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0F55C">
      <w:pPr>
        <w:pStyle w:val="13"/>
        <w:jc w:val="center"/>
        <w:rPr>
          <w:rFonts w:hAnsi="宋体" w:cs="宋体"/>
          <w:b/>
          <w:color w:val="auto"/>
          <w:spacing w:val="100"/>
          <w:sz w:val="84"/>
          <w:szCs w:val="84"/>
        </w:rPr>
      </w:pPr>
      <w:r>
        <w:rPr>
          <w:rFonts w:hint="eastAsia" w:hAnsi="宋体" w:cs="宋体"/>
          <w:b/>
          <w:bCs/>
          <w:color w:val="auto"/>
          <w:sz w:val="44"/>
          <w:szCs w:val="44"/>
        </w:rPr>
        <w:drawing>
          <wp:inline distT="0" distB="0" distL="114300" distR="114300">
            <wp:extent cx="5243195" cy="1893570"/>
            <wp:effectExtent l="0" t="0" r="14605" b="11430"/>
            <wp:docPr id="1" name="图片 1" descr="信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和11"/>
                    <pic:cNvPicPr>
                      <a:picLocks noChangeAspect="1"/>
                    </pic:cNvPicPr>
                  </pic:nvPicPr>
                  <pic:blipFill>
                    <a:blip r:embed="rId10" cstate="print"/>
                    <a:stretch>
                      <a:fillRect/>
                    </a:stretch>
                  </pic:blipFill>
                  <pic:spPr>
                    <a:xfrm>
                      <a:off x="0" y="0"/>
                      <a:ext cx="5243195" cy="1893570"/>
                    </a:xfrm>
                    <a:prstGeom prst="rect">
                      <a:avLst/>
                    </a:prstGeom>
                    <a:noFill/>
                    <a:ln>
                      <a:noFill/>
                    </a:ln>
                  </pic:spPr>
                </pic:pic>
              </a:graphicData>
            </a:graphic>
          </wp:inline>
        </w:drawing>
      </w:r>
    </w:p>
    <w:p w14:paraId="67FDE203">
      <w:pPr>
        <w:pStyle w:val="13"/>
        <w:spacing w:line="360" w:lineRule="auto"/>
        <w:jc w:val="center"/>
        <w:rPr>
          <w:rFonts w:hAnsi="宋体" w:cs="宋体"/>
          <w:b/>
          <w:color w:val="auto"/>
          <w:spacing w:val="100"/>
          <w:sz w:val="72"/>
          <w:szCs w:val="72"/>
        </w:rPr>
      </w:pPr>
    </w:p>
    <w:p w14:paraId="46AB7A89">
      <w:pPr>
        <w:pStyle w:val="13"/>
        <w:spacing w:line="360" w:lineRule="auto"/>
        <w:jc w:val="center"/>
        <w:rPr>
          <w:rFonts w:hAnsi="宋体" w:cs="宋体"/>
          <w:b/>
          <w:color w:val="auto"/>
          <w:spacing w:val="100"/>
          <w:sz w:val="72"/>
          <w:szCs w:val="72"/>
        </w:rPr>
      </w:pPr>
    </w:p>
    <w:p w14:paraId="7F07E472">
      <w:pPr>
        <w:pStyle w:val="13"/>
        <w:spacing w:line="360" w:lineRule="auto"/>
        <w:jc w:val="center"/>
        <w:rPr>
          <w:rFonts w:hAnsi="宋体" w:cs="宋体"/>
          <w:color w:val="auto"/>
          <w:sz w:val="72"/>
          <w:szCs w:val="72"/>
        </w:rPr>
      </w:pPr>
      <w:r>
        <w:rPr>
          <w:rFonts w:hint="eastAsia" w:hAnsi="宋体" w:cs="宋体"/>
          <w:b/>
          <w:color w:val="auto"/>
          <w:spacing w:val="100"/>
          <w:sz w:val="72"/>
          <w:szCs w:val="72"/>
        </w:rPr>
        <w:t>竞争性磋商文件</w:t>
      </w:r>
    </w:p>
    <w:p w14:paraId="3C518415">
      <w:pPr>
        <w:pStyle w:val="13"/>
        <w:spacing w:line="360" w:lineRule="auto"/>
        <w:rPr>
          <w:rFonts w:hAnsi="宋体" w:cs="宋体"/>
          <w:color w:val="auto"/>
          <w:sz w:val="28"/>
          <w:szCs w:val="28"/>
        </w:rPr>
      </w:pPr>
    </w:p>
    <w:p w14:paraId="3C444F74">
      <w:pPr>
        <w:pStyle w:val="13"/>
        <w:spacing w:line="360" w:lineRule="auto"/>
        <w:rPr>
          <w:rFonts w:hAnsi="宋体" w:cs="宋体"/>
          <w:color w:val="auto"/>
          <w:sz w:val="28"/>
          <w:szCs w:val="28"/>
        </w:rPr>
      </w:pPr>
    </w:p>
    <w:p w14:paraId="7772EF43">
      <w:pPr>
        <w:pStyle w:val="13"/>
        <w:spacing w:line="360" w:lineRule="auto"/>
        <w:rPr>
          <w:rFonts w:hAnsi="宋体" w:cs="宋体"/>
          <w:color w:val="auto"/>
          <w:sz w:val="28"/>
          <w:szCs w:val="28"/>
        </w:rPr>
      </w:pPr>
    </w:p>
    <w:p w14:paraId="4E9EEBB3">
      <w:pPr>
        <w:rPr>
          <w:color w:val="auto"/>
        </w:rPr>
      </w:pPr>
    </w:p>
    <w:p w14:paraId="43AE2523">
      <w:pPr>
        <w:rPr>
          <w:color w:val="auto"/>
        </w:rPr>
      </w:pPr>
    </w:p>
    <w:p w14:paraId="37C9D25A">
      <w:pPr>
        <w:ind w:firstLine="1600" w:firstLineChars="500"/>
        <w:rPr>
          <w:rFonts w:hint="eastAsia" w:ascii="宋体" w:hAnsi="宋体" w:eastAsia="宋体" w:cs="宋体"/>
          <w:b/>
          <w:color w:val="auto"/>
          <w:sz w:val="32"/>
          <w:szCs w:val="32"/>
          <w:lang w:eastAsia="zh-CN"/>
        </w:rPr>
      </w:pPr>
      <w:r>
        <w:rPr>
          <w:rFonts w:hint="eastAsia" w:ascii="宋体" w:hAnsi="宋体" w:cs="宋体"/>
          <w:b/>
          <w:color w:val="auto"/>
          <w:sz w:val="32"/>
          <w:szCs w:val="32"/>
        </w:rPr>
        <w:t>项目名称：</w:t>
      </w:r>
      <w:r>
        <w:rPr>
          <w:rFonts w:hint="eastAsia" w:ascii="宋体" w:hAnsi="宋体" w:cs="宋体"/>
          <w:b/>
          <w:color w:val="auto"/>
          <w:sz w:val="32"/>
          <w:szCs w:val="32"/>
          <w:lang w:eastAsia="zh-CN"/>
        </w:rPr>
        <w:t>采购2025年度党政机关法律顾问服务</w:t>
      </w:r>
    </w:p>
    <w:p w14:paraId="0170F8BC">
      <w:pPr>
        <w:ind w:firstLine="1600" w:firstLineChars="500"/>
        <w:rPr>
          <w:rFonts w:hint="eastAsia" w:ascii="宋体" w:hAnsi="宋体" w:eastAsia="宋体" w:cs="宋体"/>
          <w:color w:val="auto"/>
          <w:lang w:eastAsia="zh-CN"/>
        </w:rPr>
      </w:pPr>
      <w:r>
        <w:rPr>
          <w:rFonts w:hint="eastAsia" w:ascii="宋体" w:hAnsi="宋体" w:cs="宋体"/>
          <w:b/>
          <w:color w:val="auto"/>
          <w:sz w:val="32"/>
          <w:szCs w:val="32"/>
        </w:rPr>
        <w:t>采购编号：</w:t>
      </w:r>
      <w:bookmarkStart w:id="0" w:name="OLE_LINK2"/>
      <w:r>
        <w:rPr>
          <w:rFonts w:hint="eastAsia" w:ascii="宋体" w:hAnsi="宋体" w:cs="宋体"/>
          <w:b/>
          <w:color w:val="auto"/>
          <w:sz w:val="32"/>
          <w:szCs w:val="32"/>
          <w:lang w:eastAsia="zh-CN"/>
        </w:rPr>
        <w:t>LBZC2025-C3-220034-GXXH</w:t>
      </w:r>
    </w:p>
    <w:bookmarkEnd w:id="0"/>
    <w:p w14:paraId="00C0D877">
      <w:pPr>
        <w:pStyle w:val="9"/>
        <w:rPr>
          <w:rFonts w:ascii="宋体" w:hAnsi="宋体" w:cs="宋体"/>
          <w:b/>
          <w:color w:val="auto"/>
          <w:sz w:val="32"/>
          <w:szCs w:val="32"/>
        </w:rPr>
      </w:pPr>
      <w:r>
        <w:rPr>
          <w:color w:val="auto"/>
        </w:rPr>
        <w:pict>
          <v:line id="_x0000_s1026" o:spid="_x0000_s1026" o:spt="20" style="position:absolute;left:0pt;flip:y;margin-left:3.5pt;margin-top:2.45pt;height:0.7pt;width:478.6pt;z-index:251659264;mso-width-relative:page;mso-height-relative:page;" coordsize="21600,21600" o:gfxdata="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MNWM1AAAAAUBAAAPAAAAAAAAAAEAIAAAACIAAABkcnMvZG93bnJldi54bWxQSwEC&#10;FAAUAAAACACHTuJAKPtJfvgBAADlAwAADgAAAAAAAAABACAAAAAjAQAAZHJzL2Uyb0RvYy54bWxQ&#10;SwUGAAAAAAYABgBZAQAAjQUAAAAA&#10;">
            <v:path arrowok="t"/>
            <v:fill focussize="0,0"/>
            <v:stroke/>
            <v:imagedata o:title=""/>
            <o:lock v:ext="edit"/>
          </v:line>
        </w:pict>
      </w:r>
    </w:p>
    <w:p w14:paraId="2C8988E7">
      <w:pPr>
        <w:jc w:val="center"/>
        <w:rPr>
          <w:rFonts w:ascii="宋体" w:hAnsi="宋体" w:cs="宋体"/>
          <w:b/>
          <w:color w:val="auto"/>
          <w:sz w:val="32"/>
          <w:szCs w:val="32"/>
        </w:rPr>
      </w:pPr>
      <w:r>
        <w:rPr>
          <w:rFonts w:hint="eastAsia" w:ascii="宋体" w:hAnsi="宋体" w:cs="宋体"/>
          <w:b/>
          <w:color w:val="auto"/>
          <w:sz w:val="32"/>
          <w:szCs w:val="32"/>
        </w:rPr>
        <w:t>采购单位：象州县司法局</w:t>
      </w:r>
    </w:p>
    <w:p w14:paraId="202E5C30">
      <w:pPr>
        <w:jc w:val="center"/>
        <w:rPr>
          <w:rFonts w:ascii="宋体" w:hAnsi="宋体" w:cs="宋体"/>
          <w:b/>
          <w:color w:val="auto"/>
          <w:sz w:val="32"/>
          <w:szCs w:val="32"/>
        </w:rPr>
      </w:pPr>
      <w:r>
        <w:rPr>
          <w:rFonts w:hint="eastAsia" w:ascii="宋体" w:hAnsi="宋体" w:cs="宋体"/>
          <w:b/>
          <w:color w:val="auto"/>
          <w:sz w:val="32"/>
          <w:szCs w:val="32"/>
        </w:rPr>
        <w:t>采购代理机构：广西信和招标代理有限公司</w:t>
      </w:r>
    </w:p>
    <w:p w14:paraId="29980C11">
      <w:pPr>
        <w:jc w:val="center"/>
        <w:rPr>
          <w:rFonts w:ascii="宋体" w:hAnsi="宋体" w:cs="宋体"/>
          <w:b/>
          <w:color w:val="auto"/>
          <w:sz w:val="32"/>
          <w:szCs w:val="32"/>
        </w:rPr>
      </w:pPr>
      <w:r>
        <w:rPr>
          <w:rFonts w:hint="eastAsia" w:ascii="宋体" w:hAnsi="宋体" w:cs="宋体"/>
          <w:b/>
          <w:color w:val="auto"/>
          <w:sz w:val="32"/>
          <w:szCs w:val="32"/>
        </w:rPr>
        <w:t>2025年5月</w:t>
      </w:r>
    </w:p>
    <w:p w14:paraId="7135898C">
      <w:pPr>
        <w:pStyle w:val="12"/>
        <w:ind w:left="0"/>
        <w:rPr>
          <w:color w:val="auto"/>
        </w:rPr>
      </w:pPr>
    </w:p>
    <w:p w14:paraId="7B02BCD8">
      <w:pPr>
        <w:spacing w:line="560" w:lineRule="exact"/>
        <w:jc w:val="center"/>
        <w:rPr>
          <w:rFonts w:ascii="宋体" w:hAnsi="宋体" w:cs="宋体"/>
          <w:b/>
          <w:bCs/>
          <w:color w:val="auto"/>
          <w:sz w:val="32"/>
          <w:szCs w:val="20"/>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7CE64B24">
      <w:pPr>
        <w:spacing w:line="560" w:lineRule="exact"/>
        <w:jc w:val="center"/>
        <w:rPr>
          <w:rFonts w:ascii="宋体" w:hAnsi="宋体" w:cs="宋体"/>
          <w:b/>
          <w:bCs/>
          <w:color w:val="auto"/>
          <w:sz w:val="44"/>
        </w:rPr>
      </w:pPr>
      <w:r>
        <w:rPr>
          <w:rFonts w:hint="eastAsia" w:ascii="宋体" w:hAnsi="宋体" w:cs="宋体"/>
          <w:b/>
          <w:bCs/>
          <w:color w:val="auto"/>
          <w:sz w:val="32"/>
          <w:szCs w:val="20"/>
        </w:rPr>
        <w:t>目  录</w:t>
      </w:r>
    </w:p>
    <w:p w14:paraId="74ABBBA5">
      <w:pPr>
        <w:pStyle w:val="13"/>
        <w:tabs>
          <w:tab w:val="left" w:pos="8860"/>
          <w:tab w:val="left" w:pos="9140"/>
        </w:tabs>
        <w:ind w:firstLine="735"/>
        <w:rPr>
          <w:rFonts w:hAnsi="宋体" w:cs="宋体"/>
          <w:color w:val="auto"/>
          <w:sz w:val="32"/>
        </w:rPr>
      </w:pPr>
    </w:p>
    <w:p w14:paraId="206B0556">
      <w:pPr>
        <w:pStyle w:val="16"/>
        <w:tabs>
          <w:tab w:val="right" w:leader="dot" w:pos="9746"/>
          <w:tab w:val="clear" w:pos="9476"/>
        </w:tabs>
        <w:rPr>
          <w:b/>
          <w:bCs/>
          <w:color w:val="auto"/>
          <w:sz w:val="28"/>
          <w:szCs w:val="36"/>
        </w:rPr>
      </w:pPr>
      <w:r>
        <w:rPr>
          <w:rFonts w:hint="eastAsia" w:ascii="宋体" w:hAnsi="宋体" w:cs="宋体"/>
          <w:b/>
          <w:bCs/>
          <w:color w:val="auto"/>
          <w:sz w:val="28"/>
          <w:szCs w:val="36"/>
        </w:rPr>
        <w:fldChar w:fldCharType="begin"/>
      </w:r>
      <w:r>
        <w:rPr>
          <w:rFonts w:hint="eastAsia" w:ascii="宋体" w:hAnsi="宋体" w:cs="宋体"/>
          <w:b/>
          <w:bCs/>
          <w:color w:val="auto"/>
          <w:sz w:val="28"/>
          <w:szCs w:val="36"/>
        </w:rPr>
        <w:instrText xml:space="preserve">TOC \o "1-1" \h \u </w:instrText>
      </w:r>
      <w:r>
        <w:rPr>
          <w:rFonts w:hint="eastAsia" w:ascii="宋体" w:hAnsi="宋体" w:cs="宋体"/>
          <w:b/>
          <w:bCs/>
          <w:color w:val="auto"/>
          <w:sz w:val="28"/>
          <w:szCs w:val="36"/>
        </w:rPr>
        <w:fldChar w:fldCharType="separate"/>
      </w:r>
      <w:r>
        <w:rPr>
          <w:color w:val="auto"/>
        </w:rPr>
        <w:fldChar w:fldCharType="begin"/>
      </w:r>
      <w:r>
        <w:rPr>
          <w:color w:val="auto"/>
        </w:rPr>
        <w:instrText xml:space="preserve"> HYPERLINK \l "_Toc22709" </w:instrText>
      </w:r>
      <w:r>
        <w:rPr>
          <w:color w:val="auto"/>
        </w:rPr>
        <w:fldChar w:fldCharType="separate"/>
      </w:r>
      <w:r>
        <w:rPr>
          <w:rFonts w:hint="eastAsia" w:ascii="宋体" w:hAnsi="宋体" w:cs="宋体"/>
          <w:b/>
          <w:bCs/>
          <w:color w:val="auto"/>
          <w:sz w:val="28"/>
          <w:szCs w:val="44"/>
        </w:rPr>
        <w:t>第一章 竞争性磋商公告</w:t>
      </w:r>
      <w:r>
        <w:rPr>
          <w:b/>
          <w:bCs/>
          <w:color w:val="auto"/>
          <w:sz w:val="28"/>
          <w:szCs w:val="36"/>
        </w:rPr>
        <w:tab/>
      </w:r>
      <w:r>
        <w:rPr>
          <w:b/>
          <w:bCs/>
          <w:color w:val="auto"/>
          <w:sz w:val="28"/>
          <w:szCs w:val="36"/>
        </w:rPr>
        <w:fldChar w:fldCharType="begin"/>
      </w:r>
      <w:r>
        <w:rPr>
          <w:b/>
          <w:bCs/>
          <w:color w:val="auto"/>
          <w:sz w:val="28"/>
          <w:szCs w:val="36"/>
        </w:rPr>
        <w:instrText xml:space="preserve"> PAGEREF _Toc22709 \h </w:instrText>
      </w:r>
      <w:r>
        <w:rPr>
          <w:b/>
          <w:bCs/>
          <w:color w:val="auto"/>
          <w:sz w:val="28"/>
          <w:szCs w:val="36"/>
        </w:rPr>
        <w:fldChar w:fldCharType="separate"/>
      </w:r>
      <w:r>
        <w:rPr>
          <w:b/>
          <w:bCs/>
          <w:color w:val="auto"/>
          <w:sz w:val="28"/>
          <w:szCs w:val="36"/>
        </w:rPr>
        <w:t>2</w:t>
      </w:r>
      <w:r>
        <w:rPr>
          <w:b/>
          <w:bCs/>
          <w:color w:val="auto"/>
          <w:sz w:val="28"/>
          <w:szCs w:val="36"/>
        </w:rPr>
        <w:fldChar w:fldCharType="end"/>
      </w:r>
      <w:r>
        <w:rPr>
          <w:b/>
          <w:bCs/>
          <w:color w:val="auto"/>
          <w:sz w:val="28"/>
          <w:szCs w:val="36"/>
        </w:rPr>
        <w:fldChar w:fldCharType="end"/>
      </w:r>
    </w:p>
    <w:p w14:paraId="2EA7CE0A">
      <w:pPr>
        <w:pStyle w:val="16"/>
        <w:tabs>
          <w:tab w:val="right" w:leader="dot" w:pos="9746"/>
          <w:tab w:val="clear" w:pos="9476"/>
        </w:tabs>
        <w:rPr>
          <w:b/>
          <w:bCs/>
          <w:color w:val="auto"/>
          <w:sz w:val="28"/>
          <w:szCs w:val="36"/>
        </w:rPr>
      </w:pPr>
      <w:r>
        <w:rPr>
          <w:color w:val="auto"/>
        </w:rPr>
        <w:fldChar w:fldCharType="begin"/>
      </w:r>
      <w:r>
        <w:rPr>
          <w:color w:val="auto"/>
        </w:rPr>
        <w:instrText xml:space="preserve"> HYPERLINK \l "_Toc7448" </w:instrText>
      </w:r>
      <w:r>
        <w:rPr>
          <w:color w:val="auto"/>
        </w:rPr>
        <w:fldChar w:fldCharType="separate"/>
      </w:r>
      <w:r>
        <w:rPr>
          <w:rFonts w:hint="eastAsia" w:ascii="宋体" w:hAnsi="宋体" w:cs="宋体"/>
          <w:b/>
          <w:bCs/>
          <w:color w:val="auto"/>
          <w:kern w:val="44"/>
          <w:sz w:val="28"/>
          <w:szCs w:val="44"/>
        </w:rPr>
        <w:t>第二章 供应商须知</w:t>
      </w:r>
      <w:r>
        <w:rPr>
          <w:b/>
          <w:bCs/>
          <w:color w:val="auto"/>
          <w:sz w:val="28"/>
          <w:szCs w:val="36"/>
        </w:rPr>
        <w:tab/>
      </w:r>
      <w:r>
        <w:rPr>
          <w:b/>
          <w:bCs/>
          <w:color w:val="auto"/>
          <w:sz w:val="28"/>
          <w:szCs w:val="36"/>
        </w:rPr>
        <w:fldChar w:fldCharType="begin"/>
      </w:r>
      <w:r>
        <w:rPr>
          <w:b/>
          <w:bCs/>
          <w:color w:val="auto"/>
          <w:sz w:val="28"/>
          <w:szCs w:val="36"/>
        </w:rPr>
        <w:instrText xml:space="preserve"> PAGEREF _Toc7448 \h </w:instrText>
      </w:r>
      <w:r>
        <w:rPr>
          <w:b/>
          <w:bCs/>
          <w:color w:val="auto"/>
          <w:sz w:val="28"/>
          <w:szCs w:val="36"/>
        </w:rPr>
        <w:fldChar w:fldCharType="separate"/>
      </w:r>
      <w:r>
        <w:rPr>
          <w:b/>
          <w:bCs/>
          <w:color w:val="auto"/>
          <w:sz w:val="28"/>
          <w:szCs w:val="36"/>
        </w:rPr>
        <w:t>7</w:t>
      </w:r>
      <w:r>
        <w:rPr>
          <w:b/>
          <w:bCs/>
          <w:color w:val="auto"/>
          <w:sz w:val="28"/>
          <w:szCs w:val="36"/>
        </w:rPr>
        <w:fldChar w:fldCharType="end"/>
      </w:r>
      <w:r>
        <w:rPr>
          <w:b/>
          <w:bCs/>
          <w:color w:val="auto"/>
          <w:sz w:val="28"/>
          <w:szCs w:val="36"/>
        </w:rPr>
        <w:fldChar w:fldCharType="end"/>
      </w:r>
    </w:p>
    <w:p w14:paraId="1EFB29B3">
      <w:pPr>
        <w:pStyle w:val="16"/>
        <w:tabs>
          <w:tab w:val="right" w:leader="dot" w:pos="9746"/>
          <w:tab w:val="clear" w:pos="9476"/>
        </w:tabs>
        <w:rPr>
          <w:b/>
          <w:bCs/>
          <w:color w:val="auto"/>
          <w:sz w:val="28"/>
          <w:szCs w:val="36"/>
        </w:rPr>
      </w:pPr>
      <w:r>
        <w:rPr>
          <w:color w:val="auto"/>
        </w:rPr>
        <w:fldChar w:fldCharType="begin"/>
      </w:r>
      <w:r>
        <w:rPr>
          <w:color w:val="auto"/>
        </w:rPr>
        <w:instrText xml:space="preserve"> HYPERLINK \l "_Toc7341" </w:instrText>
      </w:r>
      <w:r>
        <w:rPr>
          <w:color w:val="auto"/>
        </w:rPr>
        <w:fldChar w:fldCharType="separate"/>
      </w:r>
      <w:r>
        <w:rPr>
          <w:rFonts w:hint="eastAsia" w:ascii="宋体" w:hAnsi="宋体" w:cs="宋体"/>
          <w:b/>
          <w:bCs/>
          <w:color w:val="auto"/>
          <w:kern w:val="44"/>
          <w:sz w:val="28"/>
          <w:szCs w:val="44"/>
        </w:rPr>
        <w:t>第三章 项目需求</w:t>
      </w:r>
      <w:r>
        <w:rPr>
          <w:b/>
          <w:bCs/>
          <w:color w:val="auto"/>
          <w:sz w:val="28"/>
          <w:szCs w:val="36"/>
        </w:rPr>
        <w:tab/>
      </w:r>
      <w:r>
        <w:rPr>
          <w:b/>
          <w:bCs/>
          <w:color w:val="auto"/>
          <w:sz w:val="28"/>
          <w:szCs w:val="36"/>
        </w:rPr>
        <w:fldChar w:fldCharType="begin"/>
      </w:r>
      <w:r>
        <w:rPr>
          <w:b/>
          <w:bCs/>
          <w:color w:val="auto"/>
          <w:sz w:val="28"/>
          <w:szCs w:val="36"/>
        </w:rPr>
        <w:instrText xml:space="preserve"> PAGEREF _Toc7341 \h </w:instrText>
      </w:r>
      <w:r>
        <w:rPr>
          <w:b/>
          <w:bCs/>
          <w:color w:val="auto"/>
          <w:sz w:val="28"/>
          <w:szCs w:val="36"/>
        </w:rPr>
        <w:fldChar w:fldCharType="separate"/>
      </w:r>
      <w:r>
        <w:rPr>
          <w:b/>
          <w:bCs/>
          <w:color w:val="auto"/>
          <w:sz w:val="28"/>
          <w:szCs w:val="36"/>
        </w:rPr>
        <w:t>22</w:t>
      </w:r>
      <w:r>
        <w:rPr>
          <w:b/>
          <w:bCs/>
          <w:color w:val="auto"/>
          <w:sz w:val="28"/>
          <w:szCs w:val="36"/>
        </w:rPr>
        <w:fldChar w:fldCharType="end"/>
      </w:r>
      <w:r>
        <w:rPr>
          <w:b/>
          <w:bCs/>
          <w:color w:val="auto"/>
          <w:sz w:val="28"/>
          <w:szCs w:val="36"/>
        </w:rPr>
        <w:fldChar w:fldCharType="end"/>
      </w:r>
    </w:p>
    <w:p w14:paraId="43CC4E67">
      <w:pPr>
        <w:pStyle w:val="16"/>
        <w:tabs>
          <w:tab w:val="right" w:leader="dot" w:pos="9746"/>
          <w:tab w:val="clear" w:pos="9476"/>
        </w:tabs>
        <w:rPr>
          <w:b/>
          <w:bCs/>
          <w:color w:val="auto"/>
          <w:sz w:val="28"/>
          <w:szCs w:val="36"/>
        </w:rPr>
      </w:pPr>
      <w:r>
        <w:rPr>
          <w:color w:val="auto"/>
        </w:rPr>
        <w:fldChar w:fldCharType="begin"/>
      </w:r>
      <w:r>
        <w:rPr>
          <w:color w:val="auto"/>
        </w:rPr>
        <w:instrText xml:space="preserve"> HYPERLINK \l "_Toc14240" </w:instrText>
      </w:r>
      <w:r>
        <w:rPr>
          <w:color w:val="auto"/>
        </w:rPr>
        <w:fldChar w:fldCharType="separate"/>
      </w:r>
      <w:r>
        <w:rPr>
          <w:rFonts w:hint="eastAsia" w:ascii="宋体" w:hAnsi="宋体" w:cs="宋体"/>
          <w:b/>
          <w:bCs/>
          <w:color w:val="auto"/>
          <w:kern w:val="44"/>
          <w:sz w:val="28"/>
          <w:szCs w:val="44"/>
        </w:rPr>
        <w:t>第四章 评审程序、评审方法和评审标准</w:t>
      </w:r>
      <w:r>
        <w:rPr>
          <w:b/>
          <w:bCs/>
          <w:color w:val="auto"/>
          <w:sz w:val="28"/>
          <w:szCs w:val="36"/>
        </w:rPr>
        <w:tab/>
      </w:r>
      <w:r>
        <w:rPr>
          <w:b/>
          <w:bCs/>
          <w:color w:val="auto"/>
          <w:sz w:val="28"/>
          <w:szCs w:val="36"/>
        </w:rPr>
        <w:fldChar w:fldCharType="begin"/>
      </w:r>
      <w:r>
        <w:rPr>
          <w:b/>
          <w:bCs/>
          <w:color w:val="auto"/>
          <w:sz w:val="28"/>
          <w:szCs w:val="36"/>
        </w:rPr>
        <w:instrText xml:space="preserve"> PAGEREF _Toc14240 \h </w:instrText>
      </w:r>
      <w:r>
        <w:rPr>
          <w:b/>
          <w:bCs/>
          <w:color w:val="auto"/>
          <w:sz w:val="28"/>
          <w:szCs w:val="36"/>
        </w:rPr>
        <w:fldChar w:fldCharType="separate"/>
      </w:r>
      <w:r>
        <w:rPr>
          <w:b/>
          <w:bCs/>
          <w:color w:val="auto"/>
          <w:sz w:val="28"/>
          <w:szCs w:val="36"/>
        </w:rPr>
        <w:t>34</w:t>
      </w:r>
      <w:r>
        <w:rPr>
          <w:b/>
          <w:bCs/>
          <w:color w:val="auto"/>
          <w:sz w:val="28"/>
          <w:szCs w:val="36"/>
        </w:rPr>
        <w:fldChar w:fldCharType="end"/>
      </w:r>
      <w:r>
        <w:rPr>
          <w:b/>
          <w:bCs/>
          <w:color w:val="auto"/>
          <w:sz w:val="28"/>
          <w:szCs w:val="36"/>
        </w:rPr>
        <w:fldChar w:fldCharType="end"/>
      </w:r>
    </w:p>
    <w:p w14:paraId="2DD3CA9D">
      <w:pPr>
        <w:pStyle w:val="16"/>
        <w:tabs>
          <w:tab w:val="right" w:leader="dot" w:pos="9746"/>
          <w:tab w:val="clear" w:pos="9476"/>
        </w:tabs>
        <w:rPr>
          <w:b/>
          <w:bCs/>
          <w:color w:val="auto"/>
          <w:sz w:val="28"/>
          <w:szCs w:val="36"/>
        </w:rPr>
      </w:pPr>
      <w:r>
        <w:rPr>
          <w:color w:val="auto"/>
        </w:rPr>
        <w:fldChar w:fldCharType="begin"/>
      </w:r>
      <w:r>
        <w:rPr>
          <w:color w:val="auto"/>
        </w:rPr>
        <w:instrText xml:space="preserve"> HYPERLINK \l "_Toc23010" </w:instrText>
      </w:r>
      <w:r>
        <w:rPr>
          <w:color w:val="auto"/>
        </w:rPr>
        <w:fldChar w:fldCharType="separate"/>
      </w:r>
      <w:r>
        <w:rPr>
          <w:rFonts w:hint="eastAsia" w:ascii="宋体" w:hAnsi="宋体" w:cs="宋体"/>
          <w:b/>
          <w:bCs/>
          <w:color w:val="auto"/>
          <w:sz w:val="28"/>
          <w:szCs w:val="44"/>
        </w:rPr>
        <w:t>第五章 合同条款及格式</w:t>
      </w:r>
      <w:r>
        <w:rPr>
          <w:b/>
          <w:bCs/>
          <w:color w:val="auto"/>
          <w:sz w:val="28"/>
          <w:szCs w:val="36"/>
        </w:rPr>
        <w:tab/>
      </w:r>
      <w:r>
        <w:rPr>
          <w:b/>
          <w:bCs/>
          <w:color w:val="auto"/>
          <w:sz w:val="28"/>
          <w:szCs w:val="36"/>
        </w:rPr>
        <w:fldChar w:fldCharType="begin"/>
      </w:r>
      <w:r>
        <w:rPr>
          <w:b/>
          <w:bCs/>
          <w:color w:val="auto"/>
          <w:sz w:val="28"/>
          <w:szCs w:val="36"/>
        </w:rPr>
        <w:instrText xml:space="preserve"> PAGEREF _Toc23010 \h </w:instrText>
      </w:r>
      <w:r>
        <w:rPr>
          <w:b/>
          <w:bCs/>
          <w:color w:val="auto"/>
          <w:sz w:val="28"/>
          <w:szCs w:val="36"/>
        </w:rPr>
        <w:fldChar w:fldCharType="separate"/>
      </w:r>
      <w:r>
        <w:rPr>
          <w:b/>
          <w:bCs/>
          <w:color w:val="auto"/>
          <w:sz w:val="28"/>
          <w:szCs w:val="36"/>
        </w:rPr>
        <w:t>45</w:t>
      </w:r>
      <w:r>
        <w:rPr>
          <w:b/>
          <w:bCs/>
          <w:color w:val="auto"/>
          <w:sz w:val="28"/>
          <w:szCs w:val="36"/>
        </w:rPr>
        <w:fldChar w:fldCharType="end"/>
      </w:r>
      <w:r>
        <w:rPr>
          <w:b/>
          <w:bCs/>
          <w:color w:val="auto"/>
          <w:sz w:val="28"/>
          <w:szCs w:val="36"/>
        </w:rPr>
        <w:fldChar w:fldCharType="end"/>
      </w:r>
    </w:p>
    <w:p w14:paraId="42CBF9D5">
      <w:pPr>
        <w:pStyle w:val="16"/>
        <w:tabs>
          <w:tab w:val="right" w:leader="dot" w:pos="9746"/>
          <w:tab w:val="clear" w:pos="9476"/>
        </w:tabs>
        <w:rPr>
          <w:b/>
          <w:bCs/>
          <w:color w:val="auto"/>
          <w:sz w:val="28"/>
          <w:szCs w:val="36"/>
        </w:rPr>
      </w:pPr>
      <w:r>
        <w:rPr>
          <w:color w:val="auto"/>
        </w:rPr>
        <w:fldChar w:fldCharType="begin"/>
      </w:r>
      <w:r>
        <w:rPr>
          <w:color w:val="auto"/>
        </w:rPr>
        <w:instrText xml:space="preserve"> HYPERLINK \l "_Toc6464" </w:instrText>
      </w:r>
      <w:r>
        <w:rPr>
          <w:color w:val="auto"/>
        </w:rPr>
        <w:fldChar w:fldCharType="separate"/>
      </w:r>
      <w:r>
        <w:rPr>
          <w:rFonts w:hint="eastAsia" w:ascii="宋体" w:hAnsi="宋体" w:cs="宋体"/>
          <w:b/>
          <w:bCs/>
          <w:color w:val="auto"/>
          <w:kern w:val="44"/>
          <w:sz w:val="28"/>
          <w:szCs w:val="44"/>
        </w:rPr>
        <w:t>第六章 响应文件（格式）</w:t>
      </w:r>
      <w:r>
        <w:rPr>
          <w:b/>
          <w:bCs/>
          <w:color w:val="auto"/>
          <w:sz w:val="28"/>
          <w:szCs w:val="36"/>
        </w:rPr>
        <w:tab/>
      </w:r>
      <w:r>
        <w:rPr>
          <w:b/>
          <w:bCs/>
          <w:color w:val="auto"/>
          <w:sz w:val="28"/>
          <w:szCs w:val="36"/>
        </w:rPr>
        <w:fldChar w:fldCharType="begin"/>
      </w:r>
      <w:r>
        <w:rPr>
          <w:b/>
          <w:bCs/>
          <w:color w:val="auto"/>
          <w:sz w:val="28"/>
          <w:szCs w:val="36"/>
        </w:rPr>
        <w:instrText xml:space="preserve"> PAGEREF _Toc6464 \h </w:instrText>
      </w:r>
      <w:r>
        <w:rPr>
          <w:b/>
          <w:bCs/>
          <w:color w:val="auto"/>
          <w:sz w:val="28"/>
          <w:szCs w:val="36"/>
        </w:rPr>
        <w:fldChar w:fldCharType="separate"/>
      </w:r>
      <w:r>
        <w:rPr>
          <w:b/>
          <w:bCs/>
          <w:color w:val="auto"/>
          <w:sz w:val="28"/>
          <w:szCs w:val="36"/>
        </w:rPr>
        <w:t>60</w:t>
      </w:r>
      <w:r>
        <w:rPr>
          <w:b/>
          <w:bCs/>
          <w:color w:val="auto"/>
          <w:sz w:val="28"/>
          <w:szCs w:val="36"/>
        </w:rPr>
        <w:fldChar w:fldCharType="end"/>
      </w:r>
      <w:r>
        <w:rPr>
          <w:b/>
          <w:bCs/>
          <w:color w:val="auto"/>
          <w:sz w:val="28"/>
          <w:szCs w:val="36"/>
        </w:rPr>
        <w:fldChar w:fldCharType="end"/>
      </w:r>
    </w:p>
    <w:p w14:paraId="0000092F">
      <w:pPr>
        <w:rPr>
          <w:rFonts w:ascii="宋体" w:hAnsi="宋体" w:cs="宋体"/>
          <w:b/>
          <w:bCs/>
          <w:color w:val="auto"/>
          <w:sz w:val="28"/>
          <w:szCs w:val="36"/>
        </w:rPr>
      </w:pPr>
      <w:r>
        <w:rPr>
          <w:rFonts w:hint="eastAsia" w:ascii="宋体" w:hAnsi="宋体" w:cs="宋体"/>
          <w:b/>
          <w:bCs/>
          <w:color w:val="auto"/>
          <w:sz w:val="28"/>
          <w:szCs w:val="36"/>
        </w:rPr>
        <w:fldChar w:fldCharType="end"/>
      </w:r>
    </w:p>
    <w:p w14:paraId="18BA5848">
      <w:pPr>
        <w:spacing w:line="380" w:lineRule="exact"/>
        <w:rPr>
          <w:rFonts w:ascii="宋体" w:hAnsi="宋体" w:cs="宋体"/>
          <w:color w:val="auto"/>
          <w:szCs w:val="21"/>
        </w:rPr>
      </w:pPr>
    </w:p>
    <w:p w14:paraId="5EB12713">
      <w:pPr>
        <w:rPr>
          <w:rFonts w:ascii="宋体" w:hAnsi="宋体" w:cs="宋体"/>
          <w:color w:val="auto"/>
        </w:rPr>
      </w:pPr>
      <w:bookmarkStart w:id="1" w:name="_Toc452364063"/>
    </w:p>
    <w:p w14:paraId="796E981E">
      <w:pPr>
        <w:rPr>
          <w:rFonts w:ascii="宋体" w:hAnsi="宋体" w:cs="宋体"/>
          <w:color w:val="auto"/>
        </w:rPr>
      </w:pPr>
    </w:p>
    <w:p w14:paraId="229772B9">
      <w:pPr>
        <w:rPr>
          <w:rFonts w:ascii="宋体" w:hAnsi="宋体" w:cs="宋体"/>
          <w:color w:val="auto"/>
        </w:rPr>
      </w:pPr>
    </w:p>
    <w:p w14:paraId="614553B1">
      <w:pPr>
        <w:rPr>
          <w:rFonts w:ascii="宋体" w:hAnsi="宋体" w:cs="宋体"/>
          <w:color w:val="auto"/>
        </w:rPr>
      </w:pPr>
    </w:p>
    <w:p w14:paraId="43E0A6CA">
      <w:pPr>
        <w:rPr>
          <w:rFonts w:ascii="宋体" w:hAnsi="宋体" w:cs="宋体"/>
          <w:color w:val="auto"/>
        </w:rPr>
      </w:pPr>
    </w:p>
    <w:p w14:paraId="73E6BAF2">
      <w:pPr>
        <w:pStyle w:val="29"/>
        <w:ind w:firstLine="560"/>
        <w:rPr>
          <w:rFonts w:ascii="宋体" w:hAnsi="宋体"/>
          <w:color w:val="auto"/>
        </w:rPr>
      </w:pPr>
    </w:p>
    <w:p w14:paraId="14F82523">
      <w:pPr>
        <w:tabs>
          <w:tab w:val="center" w:pos="4410"/>
          <w:tab w:val="left" w:pos="6735"/>
        </w:tabs>
        <w:spacing w:line="480" w:lineRule="auto"/>
        <w:jc w:val="center"/>
        <w:outlineLvl w:val="0"/>
        <w:rPr>
          <w:rStyle w:val="30"/>
          <w:rFonts w:ascii="宋体" w:hAnsi="宋体" w:eastAsia="宋体" w:cs="宋体"/>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14:paraId="0E6F59EA">
      <w:pPr>
        <w:pStyle w:val="4"/>
        <w:tabs>
          <w:tab w:val="left" w:pos="0"/>
        </w:tabs>
        <w:autoSpaceDE w:val="0"/>
        <w:autoSpaceDN w:val="0"/>
        <w:adjustRightInd w:val="0"/>
        <w:spacing w:line="360" w:lineRule="auto"/>
        <w:jc w:val="center"/>
        <w:rPr>
          <w:rFonts w:ascii="宋体" w:hAnsi="宋体" w:eastAsia="宋体" w:cs="宋体"/>
          <w:color w:val="auto"/>
          <w:szCs w:val="32"/>
        </w:rPr>
      </w:pPr>
      <w:bookmarkStart w:id="2" w:name="_Toc11770"/>
      <w:bookmarkStart w:id="3" w:name="_Toc6898"/>
      <w:bookmarkStart w:id="4" w:name="_Toc27574"/>
      <w:bookmarkStart w:id="5" w:name="_Toc28359011"/>
      <w:bookmarkStart w:id="6" w:name="_Toc12353"/>
      <w:bookmarkStart w:id="7" w:name="_Toc15103"/>
      <w:bookmarkStart w:id="8" w:name="_Toc16602"/>
      <w:bookmarkStart w:id="9" w:name="_Toc22607"/>
      <w:bookmarkStart w:id="10" w:name="_Toc28093"/>
      <w:bookmarkStart w:id="11" w:name="_Toc758"/>
      <w:bookmarkStart w:id="12" w:name="_Toc31122"/>
      <w:bookmarkStart w:id="13" w:name="_Toc30884"/>
      <w:bookmarkStart w:id="14" w:name="_Toc35393797"/>
      <w:bookmarkStart w:id="15" w:name="_Toc21435"/>
      <w:bookmarkStart w:id="16" w:name="_Toc22709"/>
      <w:bookmarkStart w:id="17" w:name="_Toc4170"/>
      <w:bookmarkStart w:id="18" w:name="_Toc12885"/>
      <w:bookmarkStart w:id="19" w:name="_Toc30921"/>
      <w:bookmarkStart w:id="20" w:name="_Toc24913"/>
      <w:bookmarkStart w:id="21" w:name="_Toc18399"/>
      <w:bookmarkStart w:id="22" w:name="_Toc19663"/>
      <w:bookmarkStart w:id="23" w:name="_Toc9138"/>
      <w:bookmarkStart w:id="24" w:name="_Toc22758"/>
      <w:bookmarkStart w:id="25" w:name="_Toc801"/>
      <w:r>
        <w:rPr>
          <w:rFonts w:hint="eastAsia" w:ascii="宋体" w:hAnsi="宋体" w:cs="宋体"/>
          <w:color w:val="auto"/>
          <w:szCs w:val="32"/>
        </w:rPr>
        <w:t>第一章 竞争性磋商公告</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Toc28359079"/>
      <w:bookmarkStart w:id="27" w:name="_Toc35393790"/>
      <w:bookmarkStart w:id="28" w:name="_Toc28359002"/>
      <w:bookmarkStart w:id="29" w:name="_Toc35393621"/>
      <w:bookmarkStart w:id="30" w:name="_Hlk24379207"/>
    </w:p>
    <w:p w14:paraId="551879E2">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0DEBB41">
      <w:pPr>
        <w:pBdr>
          <w:top w:val="single" w:color="auto" w:sz="4" w:space="1"/>
          <w:left w:val="single" w:color="auto" w:sz="4" w:space="4"/>
          <w:bottom w:val="single" w:color="auto" w:sz="4" w:space="1"/>
          <w:right w:val="single" w:color="auto" w:sz="4" w:space="4"/>
        </w:pBdr>
        <w:wordWrap w:val="0"/>
        <w:spacing w:line="360" w:lineRule="auto"/>
        <w:ind w:firstLine="482" w:firstLineChars="200"/>
        <w:rPr>
          <w:rFonts w:ascii="宋体" w:hAnsi="宋体" w:cs="宋体"/>
          <w:color w:val="auto"/>
          <w:sz w:val="24"/>
        </w:rPr>
      </w:pPr>
      <w:r>
        <w:rPr>
          <w:rFonts w:hint="eastAsia" w:ascii="宋体" w:hAnsi="宋体" w:cs="宋体"/>
          <w:b/>
          <w:bCs/>
          <w:iCs/>
          <w:color w:val="auto"/>
          <w:sz w:val="24"/>
          <w:u w:val="single"/>
          <w:lang w:eastAsia="zh-CN"/>
        </w:rPr>
        <w:t>采购2025年度党政机关法律顾问服务</w:t>
      </w:r>
      <w:r>
        <w:rPr>
          <w:rFonts w:hint="eastAsia" w:ascii="宋体" w:hAnsi="宋体" w:cs="宋体"/>
          <w:color w:val="auto"/>
          <w:sz w:val="24"/>
        </w:rPr>
        <w:t>采购项目的潜在供应商应在</w:t>
      </w:r>
      <w:r>
        <w:rPr>
          <w:rFonts w:hint="eastAsia" w:ascii="宋体" w:hAnsi="宋体" w:cs="宋体"/>
          <w:color w:val="auto"/>
          <w:kern w:val="0"/>
          <w:sz w:val="24"/>
          <w:u w:val="single"/>
        </w:rPr>
        <w:t>广西政府采购云平台（https://www.gcy.zfcg.gxzf.gov.cn/）</w:t>
      </w:r>
      <w:r>
        <w:rPr>
          <w:rFonts w:hint="eastAsia" w:ascii="宋体" w:hAnsi="宋体" w:cs="宋体"/>
          <w:color w:val="auto"/>
          <w:sz w:val="24"/>
        </w:rPr>
        <w:t>获取采购文件，并于</w:t>
      </w:r>
      <w:r>
        <w:rPr>
          <w:rFonts w:hint="eastAsia" w:ascii="宋体" w:hAnsi="宋体" w:cs="宋体"/>
          <w:color w:val="auto"/>
          <w:sz w:val="24"/>
          <w:u w:val="single"/>
        </w:rPr>
        <w:t>2025年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bCs/>
          <w:color w:val="auto"/>
          <w:sz w:val="24"/>
          <w:u w:val="single"/>
        </w:rPr>
        <w:t>10点00分</w:t>
      </w:r>
      <w:r>
        <w:rPr>
          <w:rFonts w:hint="eastAsia" w:ascii="宋体" w:hAnsi="宋体" w:cs="宋体"/>
          <w:bCs/>
          <w:color w:val="auto"/>
          <w:sz w:val="24"/>
        </w:rPr>
        <w:t>（北京时间）前提交电子响应文件</w:t>
      </w:r>
      <w:r>
        <w:rPr>
          <w:rFonts w:hint="eastAsia" w:ascii="宋体" w:hAnsi="宋体" w:cs="宋体"/>
          <w:color w:val="auto"/>
          <w:sz w:val="24"/>
        </w:rPr>
        <w:t>。</w:t>
      </w:r>
    </w:p>
    <w:p w14:paraId="1785AFBE">
      <w:pPr>
        <w:spacing w:line="360" w:lineRule="auto"/>
        <w:rPr>
          <w:rFonts w:ascii="宋体" w:hAnsi="宋体" w:cs="宋体"/>
          <w:color w:val="auto"/>
          <w:sz w:val="24"/>
        </w:rPr>
      </w:pPr>
    </w:p>
    <w:p w14:paraId="3F52A3AC">
      <w:pPr>
        <w:spacing w:line="360" w:lineRule="auto"/>
        <w:ind w:firstLine="422" w:firstLineChars="175"/>
        <w:rPr>
          <w:rFonts w:ascii="宋体" w:hAnsi="宋体" w:cs="宋体"/>
          <w:b/>
          <w:bCs/>
          <w:color w:val="auto"/>
          <w:sz w:val="24"/>
        </w:rPr>
      </w:pPr>
      <w:r>
        <w:rPr>
          <w:rFonts w:hint="eastAsia" w:ascii="宋体" w:hAnsi="宋体" w:cs="宋体"/>
          <w:b/>
          <w:bCs/>
          <w:color w:val="auto"/>
          <w:sz w:val="24"/>
        </w:rPr>
        <w:t>一、项目基本情况</w:t>
      </w:r>
      <w:bookmarkEnd w:id="26"/>
      <w:bookmarkEnd w:id="27"/>
      <w:bookmarkEnd w:id="28"/>
      <w:bookmarkEnd w:id="29"/>
    </w:p>
    <w:p w14:paraId="06680A97">
      <w:pPr>
        <w:spacing w:line="360" w:lineRule="auto"/>
        <w:ind w:firstLine="420" w:firstLineChars="175"/>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LBZC2025-C3-220034-GXXH</w:t>
      </w:r>
    </w:p>
    <w:p w14:paraId="01721654">
      <w:pPr>
        <w:spacing w:line="360" w:lineRule="auto"/>
        <w:ind w:firstLine="420" w:firstLineChars="175"/>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采购2025年度党政机关法律顾问服务</w:t>
      </w:r>
    </w:p>
    <w:bookmarkEnd w:id="30"/>
    <w:p w14:paraId="78929F75">
      <w:pPr>
        <w:spacing w:line="360" w:lineRule="auto"/>
        <w:ind w:firstLine="420" w:firstLineChars="175"/>
        <w:rPr>
          <w:rFonts w:ascii="宋体" w:hAnsi="宋体" w:cs="宋体"/>
          <w:color w:val="auto"/>
          <w:sz w:val="24"/>
        </w:rPr>
      </w:pPr>
      <w:r>
        <w:rPr>
          <w:rFonts w:hint="eastAsia" w:ascii="宋体" w:hAnsi="宋体" w:cs="宋体"/>
          <w:color w:val="auto"/>
          <w:sz w:val="24"/>
        </w:rPr>
        <w:t>采购方式：竞争性磋商</w:t>
      </w:r>
    </w:p>
    <w:p w14:paraId="7952B908">
      <w:pPr>
        <w:spacing w:line="360" w:lineRule="auto"/>
        <w:ind w:firstLine="420" w:firstLineChars="175"/>
        <w:rPr>
          <w:rFonts w:ascii="宋体" w:hAnsi="宋体" w:cs="宋体"/>
          <w:color w:val="auto"/>
          <w:sz w:val="24"/>
        </w:rPr>
      </w:pPr>
      <w:r>
        <w:rPr>
          <w:rFonts w:hint="eastAsia" w:ascii="宋体" w:hAnsi="宋体" w:cs="宋体"/>
          <w:color w:val="auto"/>
          <w:sz w:val="24"/>
        </w:rPr>
        <w:t>预算总金额（元）：</w:t>
      </w:r>
      <w:r>
        <w:rPr>
          <w:rFonts w:hint="eastAsia" w:ascii="宋体" w:hAnsi="宋体" w:cs="宋体"/>
          <w:color w:val="auto"/>
          <w:kern w:val="0"/>
          <w:sz w:val="24"/>
        </w:rPr>
        <w:t>人民币贰佰伍拾万元整（￥2500000.00）</w:t>
      </w:r>
    </w:p>
    <w:p w14:paraId="04717C29">
      <w:pPr>
        <w:pStyle w:val="19"/>
        <w:spacing w:before="0" w:beforeAutospacing="0" w:after="0" w:afterAutospacing="0" w:line="360" w:lineRule="auto"/>
        <w:ind w:firstLine="420" w:firstLineChars="175"/>
        <w:rPr>
          <w:rFonts w:cs="宋体"/>
          <w:color w:val="auto"/>
        </w:rPr>
      </w:pPr>
      <w:r>
        <w:rPr>
          <w:rFonts w:hint="eastAsia" w:cs="宋体"/>
          <w:color w:val="auto"/>
        </w:rPr>
        <w:t>采购需求：</w:t>
      </w:r>
    </w:p>
    <w:p w14:paraId="59B3582C">
      <w:pPr>
        <w:spacing w:line="360" w:lineRule="auto"/>
        <w:ind w:firstLine="420" w:firstLineChars="175"/>
        <w:rPr>
          <w:rFonts w:ascii="宋体" w:hAnsi="宋体" w:cs="宋体"/>
          <w:bCs/>
          <w:color w:val="auto"/>
          <w:sz w:val="24"/>
        </w:rPr>
      </w:pPr>
      <w:r>
        <w:rPr>
          <w:rFonts w:hint="eastAsia" w:ascii="宋体" w:hAnsi="宋体" w:cs="宋体"/>
          <w:bCs/>
          <w:color w:val="auto"/>
          <w:sz w:val="24"/>
        </w:rPr>
        <w:t>标项一</w:t>
      </w:r>
    </w:p>
    <w:p w14:paraId="0B7D24FF">
      <w:pPr>
        <w:spacing w:line="360" w:lineRule="auto"/>
        <w:ind w:firstLine="420" w:firstLineChars="175"/>
        <w:rPr>
          <w:rFonts w:ascii="宋体" w:hAnsi="宋体" w:cs="宋体"/>
          <w:bCs/>
          <w:color w:val="auto"/>
          <w:sz w:val="24"/>
        </w:rPr>
      </w:pPr>
      <w:r>
        <w:rPr>
          <w:rFonts w:hint="eastAsia" w:ascii="宋体" w:hAnsi="宋体" w:cs="宋体"/>
          <w:bCs/>
          <w:color w:val="auto"/>
          <w:sz w:val="24"/>
        </w:rPr>
        <w:t>标项名称:采购2025年-2028年度党政机关法律顾问服务</w:t>
      </w:r>
    </w:p>
    <w:p w14:paraId="6E57D433">
      <w:pPr>
        <w:spacing w:line="360" w:lineRule="auto"/>
        <w:ind w:firstLine="420" w:firstLineChars="175"/>
        <w:rPr>
          <w:rFonts w:ascii="宋体" w:hAnsi="宋体" w:cs="宋体"/>
          <w:bCs/>
          <w:color w:val="auto"/>
          <w:sz w:val="24"/>
        </w:rPr>
      </w:pPr>
      <w:r>
        <w:rPr>
          <w:rFonts w:hint="eastAsia" w:ascii="宋体" w:hAnsi="宋体" w:cs="宋体"/>
          <w:bCs/>
          <w:color w:val="auto"/>
          <w:sz w:val="24"/>
        </w:rPr>
        <w:t>数量:1</w:t>
      </w:r>
    </w:p>
    <w:p w14:paraId="1FA42744">
      <w:pPr>
        <w:spacing w:line="360" w:lineRule="auto"/>
        <w:ind w:firstLine="420" w:firstLineChars="175"/>
        <w:rPr>
          <w:rFonts w:ascii="宋体" w:hAnsi="宋体" w:cs="宋体"/>
          <w:bCs/>
          <w:color w:val="auto"/>
          <w:sz w:val="24"/>
        </w:rPr>
      </w:pPr>
      <w:r>
        <w:rPr>
          <w:rFonts w:hint="eastAsia" w:ascii="宋体" w:hAnsi="宋体" w:cs="宋体"/>
          <w:bCs/>
          <w:color w:val="auto"/>
          <w:sz w:val="24"/>
        </w:rPr>
        <w:t>预算金额（元）:600000</w:t>
      </w:r>
    </w:p>
    <w:p w14:paraId="3A076DF8">
      <w:pPr>
        <w:spacing w:line="360" w:lineRule="auto"/>
        <w:ind w:firstLine="420" w:firstLineChars="175"/>
        <w:rPr>
          <w:rFonts w:ascii="宋体" w:hAnsi="宋体" w:cs="宋体"/>
          <w:bCs/>
          <w:color w:val="auto"/>
          <w:sz w:val="24"/>
        </w:rPr>
      </w:pPr>
      <w:r>
        <w:rPr>
          <w:rFonts w:hint="eastAsia" w:ascii="宋体" w:hAnsi="宋体" w:cs="宋体"/>
          <w:bCs/>
          <w:color w:val="auto"/>
          <w:sz w:val="24"/>
        </w:rPr>
        <w:t>简要规格描述或项目基本概况介绍、用途：负责象州县委及象州县人民政府</w:t>
      </w:r>
      <w:r>
        <w:rPr>
          <w:rFonts w:hint="eastAsia" w:ascii="宋体" w:hAnsi="宋体" w:cs="宋体"/>
          <w:color w:val="auto"/>
          <w:sz w:val="24"/>
        </w:rPr>
        <w:t>2025年至2028年</w:t>
      </w:r>
      <w:r>
        <w:rPr>
          <w:rFonts w:hint="eastAsia" w:ascii="宋体" w:hAnsi="宋体" w:cs="宋体"/>
          <w:bCs/>
          <w:color w:val="auto"/>
          <w:sz w:val="24"/>
        </w:rPr>
        <w:t>法律顾问服务一项；详细要求见磋商文件采购需求。</w:t>
      </w:r>
    </w:p>
    <w:p w14:paraId="3B6E2C11">
      <w:pPr>
        <w:spacing w:line="360" w:lineRule="auto"/>
        <w:ind w:firstLine="422" w:firstLineChars="175"/>
        <w:rPr>
          <w:rFonts w:ascii="宋体" w:hAnsi="宋体" w:cs="宋体"/>
          <w:b/>
          <w:color w:val="auto"/>
          <w:sz w:val="24"/>
        </w:rPr>
      </w:pPr>
      <w:r>
        <w:rPr>
          <w:rFonts w:hint="eastAsia" w:ascii="宋体" w:hAnsi="宋体" w:cs="宋体"/>
          <w:b/>
          <w:color w:val="auto"/>
          <w:sz w:val="24"/>
        </w:rPr>
        <w:t>供应商可以投一个分标也可以投多个分标，一个供应商只能成为一个分标的成交供应商，评审顺序：</w:t>
      </w:r>
      <w:r>
        <w:rPr>
          <w:rFonts w:hint="eastAsia" w:ascii="宋体" w:hAnsi="宋体" w:cs="宋体"/>
          <w:b/>
          <w:color w:val="auto"/>
          <w:sz w:val="24"/>
          <w:lang w:eastAsia="zh-CN"/>
        </w:rPr>
        <w:t>标项一</w:t>
      </w:r>
      <w:r>
        <w:rPr>
          <w:rFonts w:hint="eastAsia" w:ascii="宋体" w:hAnsi="宋体" w:cs="宋体"/>
          <w:b/>
          <w:color w:val="auto"/>
          <w:sz w:val="24"/>
        </w:rPr>
        <w:t>→</w:t>
      </w:r>
      <w:r>
        <w:rPr>
          <w:rFonts w:hint="eastAsia" w:ascii="宋体" w:hAnsi="宋体" w:cs="宋体"/>
          <w:b/>
          <w:color w:val="auto"/>
          <w:sz w:val="24"/>
          <w:lang w:eastAsia="zh-CN"/>
        </w:rPr>
        <w:t>标项二</w:t>
      </w:r>
      <w:r>
        <w:rPr>
          <w:rFonts w:hint="eastAsia" w:ascii="宋体" w:hAnsi="宋体" w:cs="宋体"/>
          <w:b/>
          <w:color w:val="auto"/>
          <w:sz w:val="24"/>
        </w:rPr>
        <w:t>。第一成交候选供应商的响应文件可以参与其它分标的评审，但不能成为成交候选供应商，依此类推。</w:t>
      </w:r>
    </w:p>
    <w:p w14:paraId="0B45D05F">
      <w:pPr>
        <w:spacing w:line="360" w:lineRule="auto"/>
        <w:ind w:firstLine="420" w:firstLineChars="175"/>
        <w:rPr>
          <w:rFonts w:ascii="宋体" w:hAnsi="宋体" w:cs="宋体"/>
          <w:bCs/>
          <w:color w:val="auto"/>
          <w:sz w:val="24"/>
        </w:rPr>
      </w:pPr>
      <w:r>
        <w:rPr>
          <w:rFonts w:hint="eastAsia" w:ascii="宋体" w:hAnsi="宋体" w:cs="宋体"/>
          <w:bCs/>
          <w:color w:val="auto"/>
          <w:sz w:val="24"/>
        </w:rPr>
        <w:t>最高限价：600000</w:t>
      </w:r>
    </w:p>
    <w:p w14:paraId="2C047B0D">
      <w:pPr>
        <w:spacing w:line="360" w:lineRule="auto"/>
        <w:ind w:firstLine="420" w:firstLineChars="175"/>
        <w:rPr>
          <w:rFonts w:ascii="宋体" w:hAnsi="宋体" w:cs="宋体"/>
          <w:bCs/>
          <w:color w:val="auto"/>
          <w:sz w:val="24"/>
        </w:rPr>
      </w:pPr>
      <w:r>
        <w:rPr>
          <w:rFonts w:hint="eastAsia" w:ascii="宋体" w:hAnsi="宋体" w:cs="宋体"/>
          <w:bCs/>
          <w:color w:val="auto"/>
          <w:sz w:val="24"/>
        </w:rPr>
        <w:t>合同履约期限：服务期三年，具体以合同签订时间为准。</w:t>
      </w:r>
    </w:p>
    <w:p w14:paraId="1E6D0917">
      <w:pPr>
        <w:spacing w:line="360" w:lineRule="auto"/>
        <w:ind w:firstLine="420" w:firstLineChars="175"/>
        <w:rPr>
          <w:rFonts w:ascii="宋体" w:hAnsi="宋体" w:cs="宋体"/>
          <w:bCs/>
          <w:color w:val="auto"/>
          <w:sz w:val="24"/>
        </w:rPr>
      </w:pPr>
      <w:r>
        <w:rPr>
          <w:rFonts w:hint="eastAsia" w:ascii="宋体" w:hAnsi="宋体" w:cs="宋体"/>
          <w:bCs/>
          <w:color w:val="auto"/>
          <w:sz w:val="24"/>
        </w:rPr>
        <w:t>本标项（否）接受联合体投标</w:t>
      </w:r>
    </w:p>
    <w:p w14:paraId="0ECBC083">
      <w:pPr>
        <w:spacing w:line="360" w:lineRule="auto"/>
        <w:ind w:firstLine="420" w:firstLineChars="175"/>
        <w:rPr>
          <w:rFonts w:hint="eastAsia" w:ascii="宋体" w:hAnsi="宋体" w:eastAsia="宋体" w:cs="宋体"/>
          <w:b w:val="0"/>
          <w:bCs/>
          <w:color w:val="auto"/>
          <w:sz w:val="24"/>
          <w:lang w:val="en-US" w:eastAsia="zh-CN"/>
        </w:rPr>
      </w:pPr>
      <w:r>
        <w:rPr>
          <w:rFonts w:hint="eastAsia" w:ascii="宋体" w:hAnsi="宋体" w:cs="宋体"/>
          <w:b w:val="0"/>
          <w:bCs/>
          <w:color w:val="auto"/>
          <w:sz w:val="24"/>
        </w:rPr>
        <w:t>备注：</w:t>
      </w:r>
      <w:r>
        <w:rPr>
          <w:rFonts w:hint="eastAsia" w:ascii="宋体" w:hAnsi="宋体" w:cs="宋体"/>
          <w:b w:val="0"/>
          <w:bCs/>
          <w:color w:val="auto"/>
          <w:sz w:val="24"/>
          <w:lang w:val="en-US" w:eastAsia="zh-CN"/>
        </w:rPr>
        <w:t>/</w:t>
      </w:r>
    </w:p>
    <w:p w14:paraId="27802E91">
      <w:pPr>
        <w:spacing w:line="360" w:lineRule="auto"/>
        <w:ind w:firstLine="420" w:firstLineChars="175"/>
        <w:rPr>
          <w:rFonts w:ascii="宋体" w:hAnsi="宋体" w:cs="宋体"/>
          <w:bCs/>
          <w:color w:val="auto"/>
          <w:sz w:val="24"/>
        </w:rPr>
      </w:pPr>
      <w:r>
        <w:rPr>
          <w:rFonts w:hint="eastAsia" w:ascii="宋体" w:hAnsi="宋体" w:cs="宋体"/>
          <w:bCs/>
          <w:color w:val="auto"/>
          <w:sz w:val="24"/>
        </w:rPr>
        <w:t>标项二</w:t>
      </w:r>
    </w:p>
    <w:p w14:paraId="4B6D41EC">
      <w:pPr>
        <w:spacing w:line="360" w:lineRule="auto"/>
        <w:ind w:firstLine="420" w:firstLineChars="175"/>
        <w:rPr>
          <w:rFonts w:hint="eastAsia" w:ascii="宋体" w:hAnsi="宋体" w:eastAsia="宋体" w:cs="宋体"/>
          <w:bCs/>
          <w:color w:val="auto"/>
          <w:sz w:val="24"/>
          <w:lang w:eastAsia="zh-CN"/>
        </w:rPr>
      </w:pPr>
      <w:r>
        <w:rPr>
          <w:rFonts w:hint="eastAsia" w:ascii="宋体" w:hAnsi="宋体" w:cs="宋体"/>
          <w:bCs/>
          <w:color w:val="auto"/>
          <w:sz w:val="24"/>
        </w:rPr>
        <w:t>标项名称:</w:t>
      </w:r>
      <w:r>
        <w:rPr>
          <w:rFonts w:hint="eastAsia" w:ascii="宋体" w:hAnsi="宋体" w:cs="宋体"/>
          <w:bCs/>
          <w:color w:val="auto"/>
          <w:sz w:val="24"/>
          <w:lang w:eastAsia="zh-CN"/>
        </w:rPr>
        <w:t>采购2025年-2028年度党政机关法律顾问服务</w:t>
      </w:r>
    </w:p>
    <w:p w14:paraId="05E50D89">
      <w:pPr>
        <w:spacing w:line="360" w:lineRule="auto"/>
        <w:ind w:firstLine="420" w:firstLineChars="175"/>
        <w:rPr>
          <w:rFonts w:ascii="宋体" w:hAnsi="宋体" w:cs="宋体"/>
          <w:bCs/>
          <w:color w:val="auto"/>
          <w:sz w:val="24"/>
        </w:rPr>
      </w:pPr>
      <w:r>
        <w:rPr>
          <w:rFonts w:hint="eastAsia" w:ascii="宋体" w:hAnsi="宋体" w:cs="宋体"/>
          <w:bCs/>
          <w:color w:val="auto"/>
          <w:sz w:val="24"/>
        </w:rPr>
        <w:t>数量:1</w:t>
      </w:r>
    </w:p>
    <w:p w14:paraId="17A26338">
      <w:pPr>
        <w:spacing w:line="360" w:lineRule="auto"/>
        <w:ind w:firstLine="420" w:firstLineChars="175"/>
        <w:rPr>
          <w:rFonts w:ascii="宋体" w:hAnsi="宋体" w:cs="宋体"/>
          <w:bCs/>
          <w:color w:val="auto"/>
          <w:sz w:val="24"/>
        </w:rPr>
      </w:pPr>
      <w:r>
        <w:rPr>
          <w:rFonts w:hint="eastAsia" w:ascii="宋体" w:hAnsi="宋体" w:cs="宋体"/>
          <w:bCs/>
          <w:color w:val="auto"/>
          <w:sz w:val="24"/>
        </w:rPr>
        <w:t>预算金额（元）:1900000</w:t>
      </w:r>
    </w:p>
    <w:p w14:paraId="5D7C1A0D">
      <w:pPr>
        <w:spacing w:line="360" w:lineRule="auto"/>
        <w:ind w:firstLine="420" w:firstLineChars="175"/>
        <w:rPr>
          <w:rFonts w:ascii="宋体" w:hAnsi="宋体" w:cs="宋体"/>
          <w:bCs/>
          <w:color w:val="auto"/>
          <w:sz w:val="24"/>
        </w:rPr>
      </w:pPr>
      <w:r>
        <w:rPr>
          <w:rFonts w:hint="eastAsia" w:ascii="宋体" w:hAnsi="宋体" w:cs="宋体"/>
          <w:bCs/>
          <w:color w:val="auto"/>
          <w:sz w:val="24"/>
        </w:rPr>
        <w:t>简要规格描述或项目基本概况介绍、用途：负责象州县34个县直部门及11个乡镇党委政府</w:t>
      </w:r>
      <w:r>
        <w:rPr>
          <w:rFonts w:hint="eastAsia" w:ascii="宋体" w:hAnsi="宋体" w:cs="宋体"/>
          <w:color w:val="auto"/>
          <w:sz w:val="24"/>
        </w:rPr>
        <w:t>2025年至2028年</w:t>
      </w:r>
      <w:r>
        <w:rPr>
          <w:rFonts w:hint="eastAsia" w:ascii="宋体" w:hAnsi="宋体" w:cs="宋体"/>
          <w:bCs/>
          <w:color w:val="auto"/>
          <w:sz w:val="24"/>
        </w:rPr>
        <w:t>法律顾问服务一项；详细要求见磋商文件采购需求。</w:t>
      </w:r>
    </w:p>
    <w:p w14:paraId="68565FB2">
      <w:pPr>
        <w:spacing w:line="360" w:lineRule="auto"/>
        <w:ind w:firstLine="422" w:firstLineChars="175"/>
        <w:rPr>
          <w:color w:val="auto"/>
        </w:rPr>
      </w:pPr>
      <w:r>
        <w:rPr>
          <w:rFonts w:hint="eastAsia" w:ascii="宋体" w:hAnsi="宋体" w:cs="宋体"/>
          <w:b/>
          <w:color w:val="auto"/>
          <w:sz w:val="24"/>
        </w:rPr>
        <w:t>供应商可以投一个分标也可以投多个分标，一个供应商只能成为一个分标的成交供应商，评审顺序：</w:t>
      </w:r>
      <w:r>
        <w:rPr>
          <w:rFonts w:hint="eastAsia" w:ascii="宋体" w:hAnsi="宋体" w:cs="宋体"/>
          <w:b/>
          <w:color w:val="auto"/>
          <w:sz w:val="24"/>
          <w:lang w:eastAsia="zh-CN"/>
        </w:rPr>
        <w:t>标项一</w:t>
      </w:r>
      <w:r>
        <w:rPr>
          <w:rFonts w:hint="eastAsia" w:ascii="宋体" w:hAnsi="宋体" w:cs="宋体"/>
          <w:b/>
          <w:color w:val="auto"/>
          <w:sz w:val="24"/>
        </w:rPr>
        <w:t>→</w:t>
      </w:r>
      <w:r>
        <w:rPr>
          <w:rFonts w:hint="eastAsia" w:ascii="宋体" w:hAnsi="宋体" w:cs="宋体"/>
          <w:b/>
          <w:color w:val="auto"/>
          <w:sz w:val="24"/>
          <w:lang w:eastAsia="zh-CN"/>
        </w:rPr>
        <w:t>标项二</w:t>
      </w:r>
      <w:r>
        <w:rPr>
          <w:rFonts w:hint="eastAsia" w:ascii="宋体" w:hAnsi="宋体" w:cs="宋体"/>
          <w:b/>
          <w:color w:val="auto"/>
          <w:sz w:val="24"/>
        </w:rPr>
        <w:t>。第一成交候选供应商的响应文件可以参与其它分标的评审，但不能成为成交候选供应商，依此类推。</w:t>
      </w:r>
    </w:p>
    <w:p w14:paraId="7A4C1DD7">
      <w:pPr>
        <w:spacing w:line="360" w:lineRule="auto"/>
        <w:ind w:firstLine="420" w:firstLineChars="175"/>
        <w:rPr>
          <w:rFonts w:ascii="宋体" w:hAnsi="宋体" w:cs="宋体"/>
          <w:bCs/>
          <w:color w:val="auto"/>
          <w:sz w:val="24"/>
        </w:rPr>
      </w:pPr>
      <w:r>
        <w:rPr>
          <w:rFonts w:hint="eastAsia" w:ascii="宋体" w:hAnsi="宋体" w:cs="宋体"/>
          <w:bCs/>
          <w:color w:val="auto"/>
          <w:sz w:val="24"/>
        </w:rPr>
        <w:t>最高限价：1900000</w:t>
      </w:r>
    </w:p>
    <w:p w14:paraId="0867AD62">
      <w:pPr>
        <w:spacing w:line="360" w:lineRule="auto"/>
        <w:ind w:firstLine="420" w:firstLineChars="175"/>
        <w:rPr>
          <w:rFonts w:ascii="宋体" w:hAnsi="宋体" w:cs="宋体"/>
          <w:bCs/>
          <w:color w:val="auto"/>
          <w:sz w:val="24"/>
        </w:rPr>
      </w:pPr>
      <w:r>
        <w:rPr>
          <w:rFonts w:hint="eastAsia" w:ascii="宋体" w:hAnsi="宋体" w:cs="宋体"/>
          <w:bCs/>
          <w:color w:val="auto"/>
          <w:sz w:val="24"/>
        </w:rPr>
        <w:t>合同履约期限：服务期三年，具体以合同签订时间为准。</w:t>
      </w:r>
    </w:p>
    <w:p w14:paraId="17A9BD1A">
      <w:pPr>
        <w:spacing w:line="360" w:lineRule="auto"/>
        <w:ind w:firstLine="420" w:firstLineChars="175"/>
        <w:rPr>
          <w:rFonts w:ascii="宋体" w:hAnsi="宋体" w:cs="宋体"/>
          <w:bCs/>
          <w:color w:val="auto"/>
          <w:sz w:val="24"/>
        </w:rPr>
      </w:pPr>
      <w:r>
        <w:rPr>
          <w:rFonts w:hint="eastAsia" w:ascii="宋体" w:hAnsi="宋体" w:cs="宋体"/>
          <w:bCs/>
          <w:color w:val="auto"/>
          <w:sz w:val="24"/>
        </w:rPr>
        <w:t>本标项（否）接受联合体投标</w:t>
      </w:r>
    </w:p>
    <w:p w14:paraId="37184FF5">
      <w:pPr>
        <w:spacing w:line="360" w:lineRule="auto"/>
        <w:ind w:firstLine="420" w:firstLineChars="175"/>
        <w:rPr>
          <w:rFonts w:hint="eastAsia" w:ascii="宋体" w:hAnsi="宋体" w:eastAsia="宋体" w:cs="宋体"/>
          <w:b w:val="0"/>
          <w:bCs/>
          <w:color w:val="auto"/>
          <w:sz w:val="24"/>
          <w:lang w:val="en-US" w:eastAsia="zh-CN"/>
        </w:rPr>
      </w:pPr>
      <w:r>
        <w:rPr>
          <w:rFonts w:hint="eastAsia" w:ascii="宋体" w:hAnsi="宋体" w:cs="宋体"/>
          <w:b w:val="0"/>
          <w:bCs/>
          <w:color w:val="auto"/>
          <w:sz w:val="24"/>
        </w:rPr>
        <w:t>备注：</w:t>
      </w:r>
      <w:r>
        <w:rPr>
          <w:rFonts w:hint="eastAsia" w:ascii="宋体" w:hAnsi="宋体" w:cs="宋体"/>
          <w:b w:val="0"/>
          <w:bCs/>
          <w:color w:val="auto"/>
          <w:sz w:val="24"/>
          <w:lang w:val="en-US" w:eastAsia="zh-CN"/>
        </w:rPr>
        <w:t>/</w:t>
      </w:r>
    </w:p>
    <w:p w14:paraId="491D6D65">
      <w:pPr>
        <w:spacing w:line="360" w:lineRule="auto"/>
        <w:ind w:firstLine="422" w:firstLineChars="175"/>
        <w:rPr>
          <w:rFonts w:ascii="宋体" w:hAnsi="宋体" w:cs="宋体"/>
          <w:b/>
          <w:color w:val="auto"/>
          <w:sz w:val="24"/>
        </w:rPr>
      </w:pPr>
      <w:r>
        <w:rPr>
          <w:rFonts w:hint="eastAsia" w:ascii="宋体" w:hAnsi="宋体" w:cs="宋体"/>
          <w:b/>
          <w:color w:val="auto"/>
          <w:sz w:val="24"/>
        </w:rPr>
        <w:t>二、申请人的资格要求：</w:t>
      </w:r>
    </w:p>
    <w:p w14:paraId="7F3CBA66">
      <w:pPr>
        <w:spacing w:line="360" w:lineRule="auto"/>
        <w:ind w:firstLine="420" w:firstLineChars="175"/>
        <w:rPr>
          <w:rFonts w:ascii="宋体" w:hAnsi="宋体" w:cs="宋体"/>
          <w:color w:val="auto"/>
          <w:sz w:val="24"/>
        </w:rPr>
      </w:pPr>
      <w:r>
        <w:rPr>
          <w:rFonts w:hint="eastAsia" w:ascii="宋体" w:hAnsi="宋体" w:cs="宋体"/>
          <w:color w:val="auto"/>
          <w:sz w:val="24"/>
        </w:rPr>
        <w:t>1.满足《中华人民共和国政府采购法》第二十二条规定；</w:t>
      </w:r>
    </w:p>
    <w:p w14:paraId="771BBD02">
      <w:pPr>
        <w:spacing w:line="360" w:lineRule="auto"/>
        <w:ind w:firstLine="420" w:firstLineChars="175"/>
        <w:rPr>
          <w:rFonts w:ascii="宋体" w:hAnsi="宋体" w:cs="宋体"/>
          <w:color w:val="auto"/>
          <w:sz w:val="24"/>
        </w:rPr>
      </w:pPr>
      <w:r>
        <w:rPr>
          <w:rFonts w:hint="eastAsia" w:ascii="宋体" w:hAnsi="宋体" w:cs="宋体"/>
          <w:color w:val="auto"/>
          <w:sz w:val="24"/>
        </w:rPr>
        <w:t>2.落实政府采购政策需满足的资格要求：</w:t>
      </w:r>
      <w:r>
        <w:rPr>
          <w:rFonts w:hint="eastAsia" w:ascii="宋体" w:hAnsi="宋体"/>
          <w:color w:val="auto"/>
          <w:sz w:val="24"/>
        </w:rPr>
        <w:t>无</w:t>
      </w:r>
      <w:r>
        <w:rPr>
          <w:rFonts w:hint="eastAsia" w:ascii="宋体" w:hAnsi="宋体" w:cs="宋体"/>
          <w:color w:val="auto"/>
          <w:sz w:val="24"/>
        </w:rPr>
        <w:t>；</w:t>
      </w:r>
    </w:p>
    <w:p w14:paraId="4003B01D">
      <w:pPr>
        <w:spacing w:line="360" w:lineRule="auto"/>
        <w:ind w:firstLine="420" w:firstLineChars="175"/>
        <w:rPr>
          <w:rFonts w:ascii="宋体" w:hAnsi="宋体" w:cs="宋体"/>
          <w:color w:val="auto"/>
          <w:sz w:val="24"/>
        </w:rPr>
      </w:pPr>
      <w:r>
        <w:rPr>
          <w:rFonts w:hint="eastAsia" w:ascii="宋体" w:hAnsi="宋体" w:cs="宋体"/>
          <w:color w:val="auto"/>
          <w:sz w:val="24"/>
        </w:rPr>
        <w:t>3.本项目的特定资格要求：</w:t>
      </w:r>
    </w:p>
    <w:p w14:paraId="06A3B15F">
      <w:pPr>
        <w:spacing w:line="360" w:lineRule="auto"/>
        <w:ind w:firstLine="420" w:firstLineChars="175"/>
        <w:rPr>
          <w:rFonts w:ascii="宋体" w:hAnsi="宋体" w:cs="宋体"/>
          <w:color w:val="auto"/>
          <w:sz w:val="24"/>
        </w:rPr>
      </w:pPr>
      <w:r>
        <w:rPr>
          <w:rFonts w:hint="eastAsia" w:ascii="宋体" w:hAnsi="宋体" w:cs="宋体"/>
          <w:color w:val="auto"/>
          <w:sz w:val="24"/>
        </w:rPr>
        <w:t>3.1具有有效的律师事务所执业许可证；</w:t>
      </w:r>
    </w:p>
    <w:p w14:paraId="638B124A">
      <w:pPr>
        <w:spacing w:line="360" w:lineRule="auto"/>
        <w:ind w:firstLine="420" w:firstLineChars="175"/>
        <w:rPr>
          <w:rFonts w:ascii="宋体" w:hAnsi="宋体" w:cs="宋体"/>
          <w:color w:val="auto"/>
          <w:sz w:val="24"/>
        </w:rPr>
      </w:pPr>
      <w:r>
        <w:rPr>
          <w:rFonts w:hint="eastAsia" w:ascii="宋体" w:hAnsi="宋体" w:cs="宋体"/>
          <w:color w:val="auto"/>
          <w:sz w:val="24"/>
        </w:rPr>
        <w:t>3.2拟投入本服务项目的负责人具有律师执业证；</w:t>
      </w:r>
    </w:p>
    <w:p w14:paraId="5C51A05C">
      <w:pPr>
        <w:spacing w:line="360" w:lineRule="auto"/>
        <w:ind w:firstLine="420" w:firstLineChars="175"/>
        <w:rPr>
          <w:rFonts w:ascii="宋体" w:hAnsi="宋体" w:cs="宋体"/>
          <w:color w:val="auto"/>
          <w:sz w:val="24"/>
        </w:rPr>
      </w:pPr>
      <w:r>
        <w:rPr>
          <w:rFonts w:hint="eastAsia" w:ascii="宋体" w:hAnsi="宋体" w:cs="宋体"/>
          <w:color w:val="auto"/>
          <w:sz w:val="24"/>
        </w:rPr>
        <w:t>3.3近三年内未受到司法行政主管部门的行政处罚或律师行业协会的处分。</w:t>
      </w:r>
    </w:p>
    <w:p w14:paraId="55638B6B">
      <w:pPr>
        <w:wordWrap w:val="0"/>
        <w:autoSpaceDE w:val="0"/>
        <w:spacing w:line="360" w:lineRule="auto"/>
        <w:ind w:firstLine="422" w:firstLineChars="175"/>
        <w:jc w:val="left"/>
        <w:rPr>
          <w:rFonts w:ascii="宋体" w:hAnsi="宋体" w:cs="宋体"/>
          <w:b/>
          <w:bCs/>
          <w:color w:val="auto"/>
          <w:sz w:val="24"/>
        </w:rPr>
      </w:pPr>
      <w:r>
        <w:rPr>
          <w:rFonts w:hint="eastAsia" w:ascii="宋体" w:hAnsi="宋体" w:cs="宋体"/>
          <w:b/>
          <w:bCs/>
          <w:color w:val="auto"/>
          <w:sz w:val="24"/>
        </w:rPr>
        <w:t>三、获取采购文件</w:t>
      </w:r>
    </w:p>
    <w:p w14:paraId="172BA11F">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rPr>
        <w:t>，每天上午09:00至12:00，下午12:00至17:00（北京时间，法定节假日除外）</w:t>
      </w:r>
    </w:p>
    <w:p w14:paraId="30514422">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地点（网址）：广西政府采购云平台（https://www.gcy.zfcg.gxzf.gov.cn/） </w:t>
      </w:r>
    </w:p>
    <w:p w14:paraId="6F7148DE">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方式：线上获取。登录广西政府采购云平台（https://www.gcy.zfcg.gxzf.gov.cn/），在“应用中心”—“项目采购”—“获取采购文件”选择本项目，点击“申请获取采购文件”进行申请提交后，在已申请栏中选择下载本项目采购文件。已获取采购文件的供应商不等于符合本项目的供应商资格。</w:t>
      </w:r>
    </w:p>
    <w:p w14:paraId="7A926205">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售价（元）：0</w:t>
      </w:r>
    </w:p>
    <w:p w14:paraId="19569AA1">
      <w:pPr>
        <w:wordWrap w:val="0"/>
        <w:autoSpaceDE w:val="0"/>
        <w:spacing w:line="360" w:lineRule="auto"/>
        <w:ind w:firstLine="422" w:firstLineChars="175"/>
        <w:jc w:val="left"/>
        <w:rPr>
          <w:rFonts w:ascii="宋体" w:hAnsi="宋体" w:cs="宋体"/>
          <w:b/>
          <w:bCs/>
          <w:color w:val="auto"/>
          <w:sz w:val="24"/>
        </w:rPr>
      </w:pPr>
      <w:r>
        <w:rPr>
          <w:rFonts w:hint="eastAsia" w:ascii="宋体" w:hAnsi="宋体" w:cs="宋体"/>
          <w:b/>
          <w:bCs/>
          <w:color w:val="auto"/>
          <w:sz w:val="24"/>
        </w:rPr>
        <w:t>四、响应文件提交</w:t>
      </w:r>
    </w:p>
    <w:p w14:paraId="33822622">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10点00分（北京时间）</w:t>
      </w:r>
    </w:p>
    <w:p w14:paraId="36A1AB6B">
      <w:pPr>
        <w:wordWrap w:val="0"/>
        <w:autoSpaceDE w:val="0"/>
        <w:spacing w:line="360" w:lineRule="auto"/>
        <w:ind w:firstLine="420" w:firstLineChars="175"/>
        <w:rPr>
          <w:rFonts w:ascii="宋体" w:hAnsi="宋体" w:cs="宋体"/>
          <w:color w:val="auto"/>
          <w:sz w:val="24"/>
          <w:u w:val="single"/>
        </w:rPr>
      </w:pPr>
      <w:r>
        <w:rPr>
          <w:rFonts w:hint="eastAsia" w:ascii="宋体" w:hAnsi="宋体" w:cs="宋体"/>
          <w:color w:val="auto"/>
          <w:sz w:val="24"/>
        </w:rPr>
        <w:t>地点：广西政府采购云平台（https://www.gcy.zfcg.gxzf.gov.cn/）（供应商应当在提交响应文件截止时间前完成电子响应文件的传</w:t>
      </w:r>
      <w:bookmarkStart w:id="654" w:name="_GoBack"/>
      <w:bookmarkEnd w:id="654"/>
      <w:r>
        <w:rPr>
          <w:rFonts w:hint="eastAsia" w:ascii="宋体" w:hAnsi="宋体" w:cs="宋体"/>
          <w:color w:val="auto"/>
          <w:sz w:val="24"/>
        </w:rPr>
        <w:t>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5843561D">
      <w:pPr>
        <w:wordWrap w:val="0"/>
        <w:autoSpaceDE w:val="0"/>
        <w:spacing w:line="360" w:lineRule="auto"/>
        <w:ind w:firstLine="422" w:firstLineChars="175"/>
        <w:jc w:val="left"/>
        <w:rPr>
          <w:rFonts w:ascii="宋体" w:hAnsi="宋体" w:cs="宋体"/>
          <w:b/>
          <w:bCs/>
          <w:color w:val="auto"/>
          <w:sz w:val="24"/>
        </w:rPr>
      </w:pPr>
      <w:r>
        <w:rPr>
          <w:rFonts w:hint="eastAsia" w:ascii="宋体" w:hAnsi="宋体" w:cs="宋体"/>
          <w:b/>
          <w:bCs/>
          <w:color w:val="auto"/>
          <w:sz w:val="24"/>
        </w:rPr>
        <w:t>五、响应文件开启</w:t>
      </w:r>
    </w:p>
    <w:p w14:paraId="33C5DD12">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10:00（北京时间）</w:t>
      </w:r>
    </w:p>
    <w:p w14:paraId="04A5B511">
      <w:pPr>
        <w:wordWrap w:val="0"/>
        <w:autoSpaceDE w:val="0"/>
        <w:spacing w:line="360" w:lineRule="auto"/>
        <w:ind w:firstLine="420" w:firstLineChars="175"/>
        <w:rPr>
          <w:rFonts w:ascii="宋体" w:hAnsi="宋体" w:cs="宋体"/>
          <w:color w:val="auto"/>
          <w:sz w:val="24"/>
          <w:u w:val="single"/>
        </w:rPr>
      </w:pPr>
      <w:r>
        <w:rPr>
          <w:rFonts w:hint="eastAsia" w:ascii="宋体" w:hAnsi="宋体" w:cs="宋体"/>
          <w:color w:val="auto"/>
          <w:sz w:val="24"/>
        </w:rPr>
        <w:t>地点：广西壮族自治区来宾市兴宾区来宾市红水河大道331号开标室一(开标位1)</w:t>
      </w:r>
    </w:p>
    <w:p w14:paraId="2FE83339">
      <w:pPr>
        <w:wordWrap w:val="0"/>
        <w:autoSpaceDE w:val="0"/>
        <w:spacing w:line="360" w:lineRule="auto"/>
        <w:ind w:firstLine="422" w:firstLineChars="175"/>
        <w:jc w:val="left"/>
        <w:rPr>
          <w:rFonts w:ascii="宋体" w:hAnsi="宋体" w:cs="宋体"/>
          <w:b/>
          <w:bCs/>
          <w:color w:val="auto"/>
          <w:sz w:val="24"/>
        </w:rPr>
      </w:pPr>
      <w:r>
        <w:rPr>
          <w:rFonts w:hint="eastAsia" w:ascii="宋体" w:hAnsi="宋体" w:cs="宋体"/>
          <w:b/>
          <w:bCs/>
          <w:color w:val="auto"/>
          <w:sz w:val="24"/>
        </w:rPr>
        <w:t>六、公告期限</w:t>
      </w:r>
    </w:p>
    <w:p w14:paraId="34EACB43">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自本公告发布之日起5个工作日。</w:t>
      </w:r>
    </w:p>
    <w:p w14:paraId="7E192D36">
      <w:pPr>
        <w:wordWrap w:val="0"/>
        <w:autoSpaceDE w:val="0"/>
        <w:spacing w:line="360" w:lineRule="auto"/>
        <w:ind w:firstLine="422" w:firstLineChars="175"/>
        <w:jc w:val="left"/>
        <w:rPr>
          <w:rFonts w:ascii="宋体" w:hAnsi="宋体" w:cs="宋体"/>
          <w:b/>
          <w:bCs/>
          <w:color w:val="auto"/>
          <w:sz w:val="24"/>
        </w:rPr>
      </w:pPr>
      <w:r>
        <w:rPr>
          <w:rFonts w:hint="eastAsia" w:ascii="宋体" w:hAnsi="宋体" w:cs="宋体"/>
          <w:b/>
          <w:bCs/>
          <w:color w:val="auto"/>
          <w:sz w:val="24"/>
        </w:rPr>
        <w:t>七、其他补充事宜</w:t>
      </w:r>
    </w:p>
    <w:p w14:paraId="5E486C86">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1.本项目需要落实的政府采购政策：</w:t>
      </w:r>
    </w:p>
    <w:p w14:paraId="4DE3588C">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（1）政府采购促进中小企业发展；</w:t>
      </w:r>
    </w:p>
    <w:p w14:paraId="6CE884E6">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（2）促进残疾人就业政府采购政策；</w:t>
      </w:r>
    </w:p>
    <w:p w14:paraId="5D7D96B5">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（3）政府采购支持监狱企业发展；</w:t>
      </w:r>
    </w:p>
    <w:p w14:paraId="5122F149">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（4）扶持不发达地区和少数民族地区政策。</w:t>
      </w:r>
    </w:p>
    <w:p w14:paraId="2BFFD321">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2.磋商保证金：本项目无需缴纳磋商保证金。</w:t>
      </w:r>
    </w:p>
    <w:p w14:paraId="7F2A6062">
      <w:pPr>
        <w:snapToGrid w:val="0"/>
        <w:spacing w:line="360" w:lineRule="auto"/>
        <w:ind w:firstLine="420" w:firstLineChars="175"/>
        <w:rPr>
          <w:rFonts w:ascii="宋体" w:hAnsi="宋体" w:cs="宋体"/>
          <w:color w:val="auto"/>
          <w:sz w:val="24"/>
        </w:rPr>
      </w:pPr>
      <w:r>
        <w:rPr>
          <w:rFonts w:hint="eastAsia" w:ascii="宋体" w:hAnsi="宋体" w:cs="宋体"/>
          <w:color w:val="auto"/>
          <w:sz w:val="24"/>
        </w:rPr>
        <w:t>3.网上查询地址：</w:t>
      </w:r>
    </w:p>
    <w:p w14:paraId="532BE898">
      <w:pPr>
        <w:snapToGrid w:val="0"/>
        <w:spacing w:line="360" w:lineRule="auto"/>
        <w:ind w:firstLine="420" w:firstLineChars="175"/>
        <w:rPr>
          <w:rFonts w:ascii="宋体" w:hAnsi="宋体" w:cs="宋体"/>
          <w:color w:val="auto"/>
          <w:sz w:val="24"/>
        </w:rPr>
      </w:pPr>
      <w:r>
        <w:rPr>
          <w:rFonts w:hint="eastAsia" w:ascii="宋体" w:hAnsi="宋体" w:cs="宋体"/>
          <w:color w:val="auto"/>
          <w:sz w:val="24"/>
          <w:u w:val="single"/>
        </w:rPr>
        <w:t>www.ccgp.gov.cn</w:t>
      </w:r>
      <w:r>
        <w:rPr>
          <w:rFonts w:hint="eastAsia" w:ascii="宋体" w:hAnsi="宋体" w:cs="宋体"/>
          <w:color w:val="auto"/>
          <w:sz w:val="24"/>
        </w:rPr>
        <w:t>（中国政府采购网）、</w:t>
      </w:r>
      <w:r>
        <w:rPr>
          <w:rFonts w:hint="eastAsia" w:ascii="宋体" w:hAnsi="宋体" w:cs="宋体"/>
          <w:color w:val="auto"/>
          <w:sz w:val="24"/>
          <w:u w:val="single"/>
        </w:rPr>
        <w:t>zfcg.gxzf.gov.cn</w:t>
      </w:r>
      <w:r>
        <w:rPr>
          <w:rFonts w:hint="eastAsia" w:ascii="宋体" w:hAnsi="宋体" w:cs="宋体"/>
          <w:color w:val="auto"/>
          <w:sz w:val="24"/>
        </w:rPr>
        <w:t>（广西壮族自治区政府采购网）。</w:t>
      </w:r>
    </w:p>
    <w:p w14:paraId="430BC05F">
      <w:pPr>
        <w:snapToGrid w:val="0"/>
        <w:spacing w:line="360" w:lineRule="auto"/>
        <w:ind w:firstLine="420" w:firstLineChars="175"/>
        <w:rPr>
          <w:rFonts w:ascii="宋体" w:hAnsi="宋体" w:cs="宋体"/>
          <w:color w:val="auto"/>
          <w:sz w:val="24"/>
        </w:rPr>
      </w:pPr>
      <w:r>
        <w:rPr>
          <w:rFonts w:hint="eastAsia" w:ascii="宋体" w:hAnsi="宋体" w:cs="宋体"/>
          <w:color w:val="auto"/>
          <w:sz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98FD52D">
      <w:pPr>
        <w:snapToGrid w:val="0"/>
        <w:spacing w:line="360" w:lineRule="auto"/>
        <w:ind w:firstLine="420" w:firstLineChars="175"/>
        <w:rPr>
          <w:rFonts w:ascii="宋体" w:hAnsi="宋体" w:cs="宋体"/>
          <w:color w:val="auto"/>
          <w:sz w:val="24"/>
        </w:rPr>
      </w:pPr>
      <w:r>
        <w:rPr>
          <w:rFonts w:hint="eastAsia" w:ascii="宋体" w:hAnsi="宋体" w:cs="宋体"/>
          <w:color w:val="auto"/>
          <w:sz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ACACD65">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6.供应商参与电子响应特别说明</w:t>
      </w:r>
    </w:p>
    <w:p w14:paraId="39F25786">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①.本项目通过广西政府采购云平台实行电子投标，供应商应按照本项目采购文件和广西政府采购云平台的要求，通过“广西政府采购云电子投标客户端”编制、加密并提交电子响应文件。</w:t>
      </w:r>
    </w:p>
    <w:p w14:paraId="1936EDCF">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②.参与电子标的供应商必须为广西政府采购云平台的正式供应商且申领CA证书，各供应商应在开标前及时完成平台注册、CA证书申领、CA证书绑定、下载投标客户端，熟悉并掌握广西政府采购云电子标系统操作。</w:t>
      </w:r>
    </w:p>
    <w:p w14:paraId="1AF2DAA1">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（1）供应商应及时熟悉掌握电子标系统操作指南（见广西政府采购云电子卖场首页右上角—服务中心—帮助文档—项目采购）：https://service.zcygov.cn/#/knowledges/tree?tag=AG1DtGwBFdiHxlNdhY0r。</w:t>
      </w:r>
    </w:p>
    <w:p w14:paraId="66BDCEE0">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2）供应商应及时完成CA申领和绑定（见广西壮族自治区政府采购网—办事服务—下载专区-广西政府采购云CA证书办理操作指南）：http://zfcg.gxzf.gov.cn/OfficeService/DownloadArea/4759578.html?utm=sites_group_front.b8b6c91.0.0.272124d0107e11ec92d74f64427aa31d</w:t>
      </w:r>
    </w:p>
    <w:p w14:paraId="2CF8C098">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3）供应商通过广西政府采购云投标客户端软件制作响应文件，广西政府采购云投标客户端软件请供应商自行前往下载并安装（见广西壮族自治区政府采购网—办事服务—下载专区－广西壮族自治区全流程电子招投标项目管理系统－－供应商客户端）：http://zfcg.gxzf.gov.cn/OfficeService/DownloadArea/2455918.html?utm=sites_group_front.b8b6c91.0.0.f1cd53b0111a11ec895201ba18210e49。</w:t>
      </w:r>
    </w:p>
    <w:p w14:paraId="366739D1">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③.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74D3AE85">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④.电子标项目不要求参与响应的供应商到现场，但供应商应派法定代表人（负责人、自然人）或委托代理人准时在线出席电子开评标会议，随时关注开评标进度，如在开评标过程中有电子询标，应在规定的时间内对电子询标函进行澄清回复。</w:t>
      </w:r>
    </w:p>
    <w:p w14:paraId="2DE4AC92">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⑤.因未注册广西政府采购云平台、未办理CA证书、CA证书故障、操作不当等原因造成无法投标或投标失败等后果由供应商自行承担；</w:t>
      </w:r>
    </w:p>
    <w:p w14:paraId="11D2F6AE">
      <w:pPr>
        <w:wordWrap w:val="0"/>
        <w:autoSpaceDE w:val="0"/>
        <w:spacing w:line="360" w:lineRule="auto"/>
        <w:ind w:firstLine="420" w:firstLineChars="175"/>
        <w:rPr>
          <w:rFonts w:hint="eastAsia" w:ascii="宋体" w:hAnsi="宋体" w:cs="宋体"/>
          <w:color w:val="auto"/>
          <w:sz w:val="24"/>
        </w:rPr>
      </w:pPr>
      <w:r>
        <w:rPr>
          <w:rFonts w:hint="eastAsia" w:ascii="宋体" w:hAnsi="宋体" w:cs="宋体"/>
          <w:color w:val="auto"/>
          <w:sz w:val="24"/>
        </w:rPr>
        <w:t>⑥.供应商在使用广西政府采购云平台参与投标过程中遇到涉及平台使用的任何问题，可致电广西政府采购云平台技术支持热线咨询，联系方式：95763。</w:t>
      </w:r>
    </w:p>
    <w:p w14:paraId="1DF4731E">
      <w:pPr>
        <w:wordWrap w:val="0"/>
        <w:autoSpaceDE w:val="0"/>
        <w:spacing w:line="360" w:lineRule="auto"/>
        <w:ind w:firstLine="420" w:firstLineChars="175"/>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.监督部门名称：象州县财政局政府采购监督管理办公室</w:t>
      </w:r>
    </w:p>
    <w:p w14:paraId="4637FA58">
      <w:pPr>
        <w:wordWrap w:val="0"/>
        <w:autoSpaceDE w:val="0"/>
        <w:spacing w:line="360" w:lineRule="auto"/>
        <w:ind w:left="0" w:leftChars="0" w:firstLine="638" w:firstLineChars="266"/>
        <w:rPr>
          <w:rFonts w:hint="eastAsia" w:ascii="宋体" w:hAnsi="宋体" w:cs="宋体"/>
          <w:color w:val="auto"/>
          <w:sz w:val="24"/>
        </w:rPr>
      </w:pPr>
      <w:r>
        <w:rPr>
          <w:rFonts w:hint="eastAsia" w:ascii="宋体" w:hAnsi="宋体" w:cs="宋体"/>
          <w:color w:val="auto"/>
          <w:sz w:val="24"/>
        </w:rPr>
        <w:t>联系地址：象州县财政局 联系电话：0772-4369936</w:t>
      </w:r>
    </w:p>
    <w:p w14:paraId="67FCAD05">
      <w:pPr>
        <w:wordWrap w:val="0"/>
        <w:autoSpaceDE w:val="0"/>
        <w:spacing w:line="360" w:lineRule="auto"/>
        <w:ind w:firstLine="422" w:firstLineChars="175"/>
        <w:jc w:val="left"/>
        <w:rPr>
          <w:rFonts w:ascii="宋体" w:hAnsi="宋体" w:cs="宋体"/>
          <w:b/>
          <w:bCs/>
          <w:color w:val="auto"/>
          <w:sz w:val="24"/>
        </w:rPr>
      </w:pPr>
      <w:r>
        <w:rPr>
          <w:rFonts w:hint="eastAsia" w:ascii="宋体" w:hAnsi="宋体" w:cs="宋体"/>
          <w:b/>
          <w:bCs/>
          <w:color w:val="auto"/>
          <w:sz w:val="24"/>
        </w:rPr>
        <w:t>八、凡对本次采购提出询问，请按以下方式联系</w:t>
      </w:r>
    </w:p>
    <w:p w14:paraId="41BA2ECE">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1.采购人信息</w:t>
      </w:r>
    </w:p>
    <w:p w14:paraId="7F477357">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名    称：象州县司法局</w:t>
      </w:r>
    </w:p>
    <w:p w14:paraId="548507D4">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地    址：象州县象州镇银象路尾</w:t>
      </w:r>
    </w:p>
    <w:p w14:paraId="21527203">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采购人联系人：韦富龄</w:t>
      </w:r>
    </w:p>
    <w:p w14:paraId="1D4A2458">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联系方式：0772-4362046</w:t>
      </w:r>
    </w:p>
    <w:p w14:paraId="2837E108">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2.采购代理机构信息</w:t>
      </w:r>
    </w:p>
    <w:p w14:paraId="63FCA411">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名    称：广西信和招标代理有限公司</w:t>
      </w:r>
    </w:p>
    <w:p w14:paraId="4B4BD29E">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地  址：来宾市迎宾路北443号嘉信国际写字楼13楼1301室</w:t>
      </w:r>
    </w:p>
    <w:p w14:paraId="4AC30393">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项目联系人：谢宇杰</w:t>
      </w:r>
    </w:p>
    <w:p w14:paraId="5348579C">
      <w:pPr>
        <w:wordWrap w:val="0"/>
        <w:autoSpaceDE w:val="0"/>
        <w:spacing w:line="360" w:lineRule="auto"/>
        <w:ind w:firstLine="420" w:firstLineChars="175"/>
        <w:rPr>
          <w:rFonts w:ascii="宋体" w:hAnsi="宋体" w:cs="宋体"/>
          <w:color w:val="auto"/>
          <w:sz w:val="24"/>
        </w:rPr>
      </w:pPr>
      <w:r>
        <w:rPr>
          <w:rFonts w:hint="eastAsia" w:ascii="宋体" w:hAnsi="宋体" w:cs="宋体"/>
          <w:color w:val="auto"/>
          <w:sz w:val="24"/>
        </w:rPr>
        <w:t>项目联系方式：0772-2128755</w:t>
      </w:r>
    </w:p>
    <w:p w14:paraId="1CDCF5FA">
      <w:pPr>
        <w:tabs>
          <w:tab w:val="center" w:pos="4410"/>
          <w:tab w:val="left" w:pos="6735"/>
        </w:tabs>
        <w:spacing w:line="480" w:lineRule="auto"/>
        <w:jc w:val="center"/>
        <w:outlineLvl w:val="0"/>
        <w:rPr>
          <w:rFonts w:ascii="宋体" w:hAnsi="宋体" w:cs="宋体"/>
          <w:b/>
          <w:bCs/>
          <w:color w:val="auto"/>
          <w:kern w:val="44"/>
          <w:sz w:val="44"/>
          <w:szCs w:val="44"/>
        </w:rPr>
      </w:pPr>
      <w:r>
        <w:rPr>
          <w:rFonts w:hint="eastAsia" w:ascii="宋体" w:hAnsi="宋体" w:cs="宋体"/>
          <w:color w:val="auto"/>
        </w:rPr>
        <w:br w:type="page"/>
      </w:r>
      <w:bookmarkEnd w:id="1"/>
      <w:bookmarkStart w:id="31" w:name="_Toc22611"/>
      <w:bookmarkStart w:id="32" w:name="_Toc22207"/>
      <w:bookmarkStart w:id="33" w:name="_Toc7448"/>
      <w:bookmarkStart w:id="34" w:name="_Toc27332"/>
      <w:bookmarkStart w:id="35" w:name="_Toc199"/>
      <w:bookmarkStart w:id="36" w:name="_Toc32269"/>
      <w:bookmarkStart w:id="37" w:name="_Toc24520"/>
      <w:bookmarkStart w:id="38" w:name="_Toc31864"/>
      <w:bookmarkStart w:id="39" w:name="_Toc31603"/>
      <w:bookmarkStart w:id="40" w:name="_Toc6511"/>
      <w:bookmarkStart w:id="41" w:name="_Toc23802"/>
      <w:bookmarkStart w:id="42" w:name="_Toc11511"/>
      <w:bookmarkStart w:id="43" w:name="_Toc24115"/>
      <w:bookmarkStart w:id="44" w:name="_Toc19505"/>
      <w:bookmarkStart w:id="45" w:name="_Toc7266"/>
      <w:bookmarkStart w:id="46" w:name="_Toc12471"/>
      <w:bookmarkStart w:id="47" w:name="_Toc18653"/>
      <w:bookmarkStart w:id="48" w:name="_Toc10847"/>
      <w:bookmarkStart w:id="49" w:name="_Toc9730"/>
      <w:bookmarkStart w:id="50" w:name="_Toc14661"/>
      <w:bookmarkStart w:id="51" w:name="_Toc12119"/>
      <w:bookmarkStart w:id="52" w:name="_Toc17009"/>
      <w:bookmarkStart w:id="53" w:name="_Toc452364064"/>
      <w:r>
        <w:rPr>
          <w:rFonts w:hint="eastAsia" w:ascii="宋体" w:hAnsi="宋体" w:cs="宋体"/>
          <w:b/>
          <w:bCs/>
          <w:color w:val="auto"/>
          <w:kern w:val="44"/>
          <w:sz w:val="32"/>
          <w:szCs w:val="32"/>
        </w:rPr>
        <w:t>第二章 供应商须知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bookmarkEnd w:id="53"/>
    <w:p w14:paraId="4C029AF8">
      <w:pPr>
        <w:tabs>
          <w:tab w:val="left" w:pos="2190"/>
        </w:tabs>
        <w:spacing w:line="390" w:lineRule="exact"/>
        <w:jc w:val="center"/>
        <w:outlineLvl w:val="1"/>
        <w:rPr>
          <w:rFonts w:ascii="宋体" w:hAnsi="宋体" w:cs="宋体"/>
          <w:b/>
          <w:color w:val="auto"/>
          <w:sz w:val="32"/>
          <w:szCs w:val="32"/>
        </w:rPr>
      </w:pPr>
      <w:bookmarkStart w:id="54" w:name="_Toc20630"/>
      <w:bookmarkStart w:id="55" w:name="_Toc28317"/>
      <w:bookmarkStart w:id="56" w:name="_Toc5696"/>
      <w:bookmarkStart w:id="57" w:name="_Toc12013"/>
      <w:bookmarkStart w:id="58" w:name="_Toc16834"/>
      <w:bookmarkStart w:id="59" w:name="_Toc8052"/>
      <w:bookmarkStart w:id="60" w:name="_Toc11890"/>
      <w:bookmarkStart w:id="61" w:name="_Toc14154"/>
      <w:bookmarkStart w:id="62" w:name="_Toc19635"/>
      <w:bookmarkStart w:id="63" w:name="_Toc124"/>
      <w:bookmarkStart w:id="64" w:name="_Toc17781"/>
      <w:bookmarkStart w:id="65" w:name="_Toc23138"/>
      <w:bookmarkStart w:id="66" w:name="_Toc6309"/>
      <w:bookmarkStart w:id="67" w:name="_Toc2246"/>
      <w:bookmarkStart w:id="68" w:name="_Toc13857"/>
      <w:bookmarkStart w:id="69" w:name="_Toc1852"/>
      <w:bookmarkStart w:id="70" w:name="_Toc10623"/>
      <w:bookmarkStart w:id="71" w:name="_Toc19079"/>
      <w:bookmarkStart w:id="72" w:name="_Toc15526"/>
      <w:bookmarkStart w:id="73" w:name="_Toc22421"/>
      <w:bookmarkStart w:id="74" w:name="_Toc32399"/>
      <w:r>
        <w:rPr>
          <w:rFonts w:hint="eastAsia" w:ascii="宋体" w:hAnsi="宋体" w:cs="宋体"/>
          <w:b/>
          <w:color w:val="auto"/>
          <w:sz w:val="32"/>
          <w:szCs w:val="32"/>
        </w:rPr>
        <w:t>一、前 附 表</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32"/>
      </w:tblGrid>
      <w:tr w14:paraId="12A4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20B92EB">
            <w:pPr>
              <w:spacing w:line="440" w:lineRule="exact"/>
              <w:jc w:val="center"/>
              <w:rPr>
                <w:rFonts w:ascii="宋体" w:hAnsi="宋体" w:cs="宋体"/>
                <w:b/>
                <w:color w:val="auto"/>
                <w:sz w:val="24"/>
              </w:rPr>
            </w:pPr>
            <w:r>
              <w:rPr>
                <w:rFonts w:hint="eastAsia" w:ascii="宋体" w:hAnsi="宋体" w:cs="宋体"/>
                <w:b/>
                <w:color w:val="auto"/>
                <w:sz w:val="24"/>
              </w:rPr>
              <w:t>序号</w:t>
            </w:r>
          </w:p>
        </w:tc>
        <w:tc>
          <w:tcPr>
            <w:tcW w:w="8232" w:type="dxa"/>
          </w:tcPr>
          <w:p w14:paraId="56B2C154">
            <w:pPr>
              <w:spacing w:line="440" w:lineRule="exact"/>
              <w:jc w:val="center"/>
              <w:rPr>
                <w:rFonts w:ascii="宋体" w:hAnsi="宋体" w:cs="宋体"/>
                <w:b/>
                <w:color w:val="auto"/>
                <w:sz w:val="24"/>
              </w:rPr>
            </w:pPr>
            <w:r>
              <w:rPr>
                <w:rFonts w:hint="eastAsia" w:ascii="宋体" w:hAnsi="宋体" w:cs="宋体"/>
                <w:b/>
                <w:color w:val="auto"/>
                <w:sz w:val="24"/>
              </w:rPr>
              <w:t>内    容</w:t>
            </w:r>
          </w:p>
        </w:tc>
      </w:tr>
      <w:tr w14:paraId="605A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A797619">
            <w:pPr>
              <w:spacing w:line="440" w:lineRule="exact"/>
              <w:jc w:val="center"/>
              <w:rPr>
                <w:rFonts w:ascii="宋体" w:hAnsi="宋体" w:cs="宋体"/>
                <w:color w:val="auto"/>
                <w:sz w:val="24"/>
              </w:rPr>
            </w:pPr>
            <w:r>
              <w:rPr>
                <w:rFonts w:hint="eastAsia" w:ascii="宋体" w:hAnsi="宋体" w:cs="宋体"/>
                <w:color w:val="auto"/>
                <w:sz w:val="24"/>
              </w:rPr>
              <w:t>1</w:t>
            </w:r>
          </w:p>
        </w:tc>
        <w:tc>
          <w:tcPr>
            <w:tcW w:w="8232" w:type="dxa"/>
            <w:vAlign w:val="center"/>
          </w:tcPr>
          <w:p w14:paraId="6A9E67E3">
            <w:pPr>
              <w:spacing w:line="440" w:lineRule="exact"/>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iCs/>
                <w:color w:val="auto"/>
                <w:sz w:val="24"/>
                <w:lang w:eastAsia="zh-CN"/>
              </w:rPr>
              <w:t>采购2025年度党政机关法律顾问服务</w:t>
            </w:r>
          </w:p>
          <w:p w14:paraId="3C137ED0">
            <w:pPr>
              <w:spacing w:line="440" w:lineRule="exact"/>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LBZC2025-C3-220034-GXXH</w:t>
            </w:r>
          </w:p>
        </w:tc>
      </w:tr>
      <w:tr w14:paraId="450E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817" w:type="dxa"/>
            <w:vAlign w:val="center"/>
          </w:tcPr>
          <w:p w14:paraId="2EBA6FDA">
            <w:pPr>
              <w:spacing w:line="440" w:lineRule="exact"/>
              <w:jc w:val="center"/>
              <w:rPr>
                <w:rFonts w:ascii="宋体" w:hAnsi="宋体" w:cs="宋体"/>
                <w:color w:val="auto"/>
                <w:sz w:val="24"/>
              </w:rPr>
            </w:pPr>
            <w:r>
              <w:rPr>
                <w:rFonts w:hint="eastAsia" w:ascii="宋体" w:hAnsi="宋体" w:cs="宋体"/>
                <w:color w:val="auto"/>
                <w:sz w:val="24"/>
              </w:rPr>
              <w:t>2</w:t>
            </w:r>
          </w:p>
        </w:tc>
        <w:tc>
          <w:tcPr>
            <w:tcW w:w="8232" w:type="dxa"/>
            <w:vAlign w:val="center"/>
          </w:tcPr>
          <w:p w14:paraId="57359F31">
            <w:pPr>
              <w:spacing w:line="440" w:lineRule="exact"/>
              <w:rPr>
                <w:rFonts w:ascii="宋体" w:hAnsi="宋体" w:cs="宋体"/>
                <w:color w:val="auto"/>
                <w:sz w:val="24"/>
              </w:rPr>
            </w:pPr>
            <w:r>
              <w:rPr>
                <w:rFonts w:hint="eastAsia" w:ascii="宋体" w:hAnsi="宋体" w:cs="宋体"/>
                <w:color w:val="auto"/>
                <w:sz w:val="24"/>
              </w:rPr>
              <w:t>供应商资格：</w:t>
            </w:r>
          </w:p>
          <w:p w14:paraId="7D0A9142">
            <w:pPr>
              <w:spacing w:line="440" w:lineRule="exact"/>
              <w:rPr>
                <w:rFonts w:ascii="宋体" w:hAnsi="宋体" w:cs="宋体"/>
                <w:color w:val="auto"/>
                <w:sz w:val="24"/>
              </w:rPr>
            </w:pPr>
            <w:r>
              <w:rPr>
                <w:rFonts w:hint="eastAsia" w:ascii="宋体" w:hAnsi="宋体" w:cs="宋体"/>
                <w:color w:val="auto"/>
                <w:sz w:val="24"/>
              </w:rPr>
              <w:t>1.满足《中华人民共和国政府采购法》第二十二条规定；</w:t>
            </w:r>
          </w:p>
          <w:p w14:paraId="6955F0DA">
            <w:pPr>
              <w:spacing w:line="440" w:lineRule="exact"/>
              <w:rPr>
                <w:rFonts w:ascii="宋体" w:hAnsi="宋体" w:cs="宋体"/>
                <w:color w:val="auto"/>
                <w:sz w:val="24"/>
              </w:rPr>
            </w:pPr>
            <w:r>
              <w:rPr>
                <w:rFonts w:hint="eastAsia" w:ascii="宋体" w:hAnsi="宋体" w:cs="宋体"/>
                <w:color w:val="auto"/>
                <w:sz w:val="24"/>
              </w:rPr>
              <w:t>（1）具有独立承担民事责任的能力；</w:t>
            </w:r>
          </w:p>
          <w:p w14:paraId="35A19101">
            <w:pPr>
              <w:spacing w:line="440" w:lineRule="exact"/>
              <w:rPr>
                <w:rFonts w:ascii="宋体" w:hAnsi="宋体" w:cs="宋体"/>
                <w:color w:val="auto"/>
                <w:sz w:val="24"/>
              </w:rPr>
            </w:pPr>
            <w:r>
              <w:rPr>
                <w:rFonts w:hint="eastAsia" w:ascii="宋体" w:hAnsi="宋体" w:cs="宋体"/>
                <w:color w:val="auto"/>
                <w:sz w:val="24"/>
              </w:rPr>
              <w:t>（2）具有良好的商业信誉和健全的财务会计制度；</w:t>
            </w:r>
          </w:p>
          <w:p w14:paraId="37E1A396">
            <w:pPr>
              <w:spacing w:line="440" w:lineRule="exact"/>
              <w:rPr>
                <w:rFonts w:ascii="宋体" w:hAnsi="宋体" w:cs="宋体"/>
                <w:color w:val="auto"/>
                <w:sz w:val="24"/>
              </w:rPr>
            </w:pPr>
            <w:r>
              <w:rPr>
                <w:rFonts w:hint="eastAsia" w:ascii="宋体" w:hAnsi="宋体" w:cs="宋体"/>
                <w:color w:val="auto"/>
                <w:sz w:val="24"/>
              </w:rPr>
              <w:t>（3）具有履行合同所必需的设备和专业技术能力；</w:t>
            </w:r>
          </w:p>
          <w:p w14:paraId="1738130D">
            <w:pPr>
              <w:spacing w:line="440" w:lineRule="exact"/>
              <w:rPr>
                <w:rFonts w:ascii="宋体" w:hAnsi="宋体" w:cs="宋体"/>
                <w:color w:val="auto"/>
                <w:sz w:val="24"/>
              </w:rPr>
            </w:pPr>
            <w:r>
              <w:rPr>
                <w:rFonts w:hint="eastAsia" w:ascii="宋体" w:hAnsi="宋体" w:cs="宋体"/>
                <w:color w:val="auto"/>
                <w:sz w:val="24"/>
              </w:rPr>
              <w:t>（4）有依法缴纳税收和社会保障资金的良好记录；</w:t>
            </w:r>
          </w:p>
          <w:p w14:paraId="66D59A23">
            <w:pPr>
              <w:spacing w:line="440" w:lineRule="exact"/>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38AA9D5">
            <w:pPr>
              <w:spacing w:line="440" w:lineRule="exact"/>
              <w:rPr>
                <w:rFonts w:ascii="宋体" w:hAnsi="宋体" w:cs="宋体"/>
                <w:color w:val="auto"/>
                <w:sz w:val="24"/>
              </w:rPr>
            </w:pPr>
            <w:r>
              <w:rPr>
                <w:rFonts w:hint="eastAsia" w:ascii="宋体" w:hAnsi="宋体" w:cs="宋体"/>
                <w:color w:val="auto"/>
                <w:sz w:val="24"/>
              </w:rPr>
              <w:t>（6）诚信要求：未列入失信被执行人、重大税收违法案件当事人名单、政府采购严重违法失信行为记录名单。</w:t>
            </w:r>
          </w:p>
          <w:p w14:paraId="3896B2D7">
            <w:pPr>
              <w:spacing w:line="440" w:lineRule="exact"/>
              <w:rPr>
                <w:rFonts w:ascii="宋体" w:hAnsi="宋体" w:cs="宋体"/>
                <w:color w:val="auto"/>
                <w:sz w:val="24"/>
                <w:shd w:val="clear" w:color="auto" w:fill="000000"/>
              </w:rPr>
            </w:pPr>
            <w:r>
              <w:rPr>
                <w:rFonts w:hint="eastAsia" w:ascii="宋体" w:hAnsi="宋体" w:cs="宋体"/>
                <w:color w:val="auto"/>
                <w:sz w:val="24"/>
              </w:rPr>
              <w:t>2.落实政府采购政策需满足的资格要求：专门面向中小企业采购的项目（供应商应为中小微企业/监狱企业/残疾人福利性单位，监狱企业、残疾人福利单位视同小型、微型企业)；中小企业须符合本项目采购标的所属行业对应的中小企业划分标准。</w:t>
            </w:r>
          </w:p>
          <w:p w14:paraId="464B6833">
            <w:pPr>
              <w:spacing w:line="440" w:lineRule="exact"/>
              <w:rPr>
                <w:rFonts w:hint="eastAsia" w:ascii="宋体" w:hAnsi="宋体" w:cs="宋体"/>
                <w:color w:val="auto"/>
                <w:sz w:val="24"/>
              </w:rPr>
            </w:pPr>
            <w:r>
              <w:rPr>
                <w:rFonts w:hint="eastAsia" w:ascii="宋体" w:hAnsi="宋体" w:cs="宋体"/>
                <w:color w:val="auto"/>
                <w:sz w:val="24"/>
              </w:rPr>
              <w:t>3.本项目的特定资格要求：</w:t>
            </w:r>
          </w:p>
          <w:p w14:paraId="0BFC1CF6">
            <w:pPr>
              <w:spacing w:line="440" w:lineRule="exact"/>
              <w:ind w:firstLine="240" w:firstLineChars="100"/>
              <w:rPr>
                <w:rFonts w:hint="eastAsia" w:ascii="宋体" w:hAnsi="宋体" w:cs="宋体"/>
                <w:color w:val="auto"/>
                <w:sz w:val="24"/>
              </w:rPr>
            </w:pPr>
            <w:r>
              <w:rPr>
                <w:rFonts w:hint="eastAsia" w:ascii="宋体" w:hAnsi="宋体" w:cs="宋体"/>
                <w:color w:val="auto"/>
                <w:sz w:val="24"/>
              </w:rPr>
              <w:t>3.1具有有效的律师事务所执业许可证；</w:t>
            </w:r>
          </w:p>
          <w:p w14:paraId="6A0D5FC6">
            <w:pPr>
              <w:spacing w:line="440" w:lineRule="exact"/>
              <w:ind w:firstLine="240" w:firstLineChars="100"/>
              <w:rPr>
                <w:rFonts w:hint="eastAsia" w:ascii="宋体" w:hAnsi="宋体" w:cs="宋体"/>
                <w:color w:val="auto"/>
                <w:sz w:val="24"/>
              </w:rPr>
            </w:pPr>
            <w:r>
              <w:rPr>
                <w:rFonts w:hint="eastAsia" w:ascii="宋体" w:hAnsi="宋体" w:cs="宋体"/>
                <w:color w:val="auto"/>
                <w:sz w:val="24"/>
              </w:rPr>
              <w:t>3.2拟投入本服务项目的负责人具有律师执业证；</w:t>
            </w:r>
          </w:p>
          <w:p w14:paraId="56D45E9B">
            <w:pPr>
              <w:spacing w:line="440" w:lineRule="exact"/>
              <w:ind w:firstLine="240" w:firstLineChars="100"/>
              <w:rPr>
                <w:rFonts w:ascii="宋体" w:hAnsi="宋体" w:cs="宋体"/>
                <w:color w:val="auto"/>
                <w:sz w:val="24"/>
              </w:rPr>
            </w:pPr>
            <w:r>
              <w:rPr>
                <w:rFonts w:hint="eastAsia" w:ascii="宋体" w:hAnsi="宋体" w:cs="宋体"/>
                <w:color w:val="auto"/>
                <w:sz w:val="24"/>
              </w:rPr>
              <w:t>3.3近三年内未受到司法行政主管部门的行政处罚或律师行业协会的处分。</w:t>
            </w:r>
          </w:p>
          <w:p w14:paraId="74955F37">
            <w:pPr>
              <w:spacing w:line="440" w:lineRule="exact"/>
              <w:rPr>
                <w:rFonts w:ascii="宋体" w:hAnsi="宋体" w:cs="宋体"/>
                <w:color w:val="auto"/>
                <w:sz w:val="24"/>
              </w:rPr>
            </w:pPr>
            <w:r>
              <w:rPr>
                <w:rFonts w:hint="eastAsia" w:ascii="宋体" w:hAnsi="宋体" w:cs="宋体"/>
                <w:color w:val="auto"/>
                <w:sz w:val="24"/>
              </w:rPr>
              <w:t>4.本项目不接受联合体参与磋商。</w:t>
            </w:r>
          </w:p>
        </w:tc>
      </w:tr>
      <w:tr w14:paraId="3F48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17" w:type="dxa"/>
            <w:vAlign w:val="center"/>
          </w:tcPr>
          <w:p w14:paraId="5EB14A63">
            <w:pPr>
              <w:spacing w:line="440" w:lineRule="exact"/>
              <w:jc w:val="center"/>
              <w:rPr>
                <w:rFonts w:ascii="宋体" w:hAnsi="宋体" w:cs="宋体"/>
                <w:color w:val="auto"/>
                <w:sz w:val="24"/>
              </w:rPr>
            </w:pPr>
            <w:r>
              <w:rPr>
                <w:rFonts w:hint="eastAsia" w:ascii="宋体" w:hAnsi="宋体" w:cs="宋体"/>
                <w:color w:val="auto"/>
                <w:sz w:val="24"/>
              </w:rPr>
              <w:t>3</w:t>
            </w:r>
          </w:p>
        </w:tc>
        <w:tc>
          <w:tcPr>
            <w:tcW w:w="8232" w:type="dxa"/>
            <w:vAlign w:val="center"/>
          </w:tcPr>
          <w:p w14:paraId="560878EC">
            <w:pPr>
              <w:pStyle w:val="31"/>
              <w:adjustRightInd/>
              <w:spacing w:line="440" w:lineRule="exact"/>
              <w:rPr>
                <w:color w:val="auto"/>
              </w:rPr>
            </w:pPr>
            <w:r>
              <w:rPr>
                <w:rFonts w:hint="eastAsia"/>
                <w:color w:val="auto"/>
              </w:rPr>
              <w:t>磋商报价：供应商须就第三章《项目需求》中所响应内容作完整唯一报价。</w:t>
            </w:r>
          </w:p>
          <w:p w14:paraId="05200D82">
            <w:pPr>
              <w:pStyle w:val="31"/>
              <w:adjustRightInd/>
              <w:spacing w:line="440" w:lineRule="exact"/>
              <w:rPr>
                <w:color w:val="auto"/>
              </w:rPr>
            </w:pPr>
            <w:r>
              <w:rPr>
                <w:rFonts w:hint="eastAsia"/>
                <w:color w:val="auto"/>
              </w:rPr>
              <w:t>对于本文件中未列明，而供应商认为必需的费用也需列入总报价。在合同实施时，采购人将不予支付成交供应商没有列入的项目费用，并认为此项目的费用已包括在总报价中。</w:t>
            </w:r>
          </w:p>
        </w:tc>
      </w:tr>
      <w:tr w14:paraId="7731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10C15957">
            <w:pPr>
              <w:spacing w:line="440" w:lineRule="exact"/>
              <w:jc w:val="center"/>
              <w:rPr>
                <w:rFonts w:ascii="宋体" w:hAnsi="宋体" w:cs="宋体"/>
                <w:color w:val="auto"/>
                <w:sz w:val="24"/>
              </w:rPr>
            </w:pPr>
            <w:r>
              <w:rPr>
                <w:rFonts w:hint="eastAsia" w:ascii="宋体" w:hAnsi="宋体" w:cs="宋体"/>
                <w:color w:val="auto"/>
                <w:sz w:val="24"/>
              </w:rPr>
              <w:t>4</w:t>
            </w:r>
          </w:p>
        </w:tc>
        <w:tc>
          <w:tcPr>
            <w:tcW w:w="8232" w:type="dxa"/>
            <w:vAlign w:val="center"/>
          </w:tcPr>
          <w:p w14:paraId="260F9785">
            <w:pPr>
              <w:spacing w:line="440" w:lineRule="exact"/>
              <w:rPr>
                <w:rFonts w:ascii="宋体" w:hAnsi="宋体" w:cs="宋体"/>
                <w:color w:val="auto"/>
                <w:sz w:val="24"/>
              </w:rPr>
            </w:pPr>
            <w:r>
              <w:rPr>
                <w:rFonts w:hint="eastAsia" w:ascii="宋体" w:hAnsi="宋体" w:cs="宋体"/>
                <w:color w:val="auto"/>
                <w:sz w:val="24"/>
              </w:rPr>
              <w:t>本项目无需缴纳磋商保证金。</w:t>
            </w:r>
          </w:p>
        </w:tc>
      </w:tr>
      <w:tr w14:paraId="44B9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1077670F">
            <w:pPr>
              <w:spacing w:line="440" w:lineRule="exact"/>
              <w:jc w:val="center"/>
              <w:rPr>
                <w:rFonts w:ascii="宋体" w:hAnsi="宋体" w:cs="宋体"/>
                <w:color w:val="auto"/>
                <w:sz w:val="24"/>
              </w:rPr>
            </w:pPr>
            <w:r>
              <w:rPr>
                <w:rFonts w:hint="eastAsia" w:ascii="宋体" w:hAnsi="宋体" w:cs="宋体"/>
                <w:color w:val="auto"/>
                <w:sz w:val="24"/>
              </w:rPr>
              <w:t>5</w:t>
            </w:r>
          </w:p>
        </w:tc>
        <w:tc>
          <w:tcPr>
            <w:tcW w:w="8232" w:type="dxa"/>
            <w:vAlign w:val="center"/>
          </w:tcPr>
          <w:p w14:paraId="41D95656">
            <w:pPr>
              <w:spacing w:line="440" w:lineRule="exact"/>
              <w:rPr>
                <w:rFonts w:ascii="宋体" w:hAnsi="宋体" w:cs="宋体"/>
                <w:color w:val="auto"/>
                <w:sz w:val="24"/>
              </w:rPr>
            </w:pPr>
            <w:r>
              <w:rPr>
                <w:rFonts w:hint="eastAsia" w:ascii="宋体" w:hAnsi="宋体" w:cs="宋体"/>
                <w:color w:val="auto"/>
                <w:sz w:val="24"/>
              </w:rPr>
              <w:t>响应文件组成：资格证明文件、报价文件、商务技术文件。</w:t>
            </w:r>
          </w:p>
        </w:tc>
      </w:tr>
      <w:tr w14:paraId="72AC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17" w:type="dxa"/>
            <w:vAlign w:val="center"/>
          </w:tcPr>
          <w:p w14:paraId="46F9817A">
            <w:pPr>
              <w:spacing w:line="440" w:lineRule="exact"/>
              <w:jc w:val="center"/>
              <w:rPr>
                <w:rFonts w:ascii="宋体" w:hAnsi="宋体" w:cs="宋体"/>
                <w:color w:val="auto"/>
                <w:sz w:val="24"/>
              </w:rPr>
            </w:pPr>
            <w:r>
              <w:rPr>
                <w:rFonts w:hint="eastAsia" w:ascii="宋体" w:hAnsi="宋体" w:cs="宋体"/>
                <w:color w:val="auto"/>
                <w:sz w:val="24"/>
              </w:rPr>
              <w:t>6</w:t>
            </w:r>
          </w:p>
        </w:tc>
        <w:tc>
          <w:tcPr>
            <w:tcW w:w="8232" w:type="dxa"/>
            <w:vAlign w:val="center"/>
          </w:tcPr>
          <w:p w14:paraId="10C108DD">
            <w:pPr>
              <w:spacing w:line="440" w:lineRule="exact"/>
              <w:rPr>
                <w:rFonts w:ascii="宋体" w:hAnsi="宋体" w:cs="宋体"/>
                <w:color w:val="auto"/>
                <w:sz w:val="24"/>
              </w:rPr>
            </w:pPr>
            <w:r>
              <w:rPr>
                <w:rFonts w:hint="eastAsia" w:ascii="宋体" w:hAnsi="宋体" w:cs="宋体"/>
                <w:color w:val="auto"/>
                <w:sz w:val="24"/>
              </w:rPr>
              <w:t>1.响应文件电子版要求：按照本采购文件“第六章 响应文件格式”编写（第六章未附格式的，由供应商自行拟定），不可涂改并在规定加盖公章处加盖电子公章，否则响应文件按无效响应处理；</w:t>
            </w:r>
          </w:p>
          <w:p w14:paraId="716436B2">
            <w:pPr>
              <w:pStyle w:val="32"/>
              <w:tabs>
                <w:tab w:val="left" w:pos="736"/>
              </w:tabs>
              <w:adjustRightInd/>
              <w:spacing w:line="440" w:lineRule="exact"/>
              <w:ind w:right="63" w:rightChars="30"/>
              <w:jc w:val="both"/>
              <w:rPr>
                <w:rFonts w:ascii="宋体" w:hAnsi="宋体" w:cs="宋体"/>
                <w:color w:val="auto"/>
              </w:rPr>
            </w:pPr>
            <w:r>
              <w:rPr>
                <w:rFonts w:hint="eastAsia" w:ascii="宋体" w:hAnsi="宋体" w:cs="宋体"/>
                <w:color w:val="auto"/>
              </w:rPr>
              <w:t>2.响应文件电子版密封方式：电子响应文件通过平台有效 CA 加密后在“广西政府采购云”平台投送。（操作方式见公告附件“电子响应文件制作与投送教程”）；</w:t>
            </w:r>
            <w:r>
              <w:rPr>
                <w:rFonts w:hint="eastAsia" w:ascii="宋体" w:hAnsi="宋体" w:cs="宋体"/>
                <w:color w:val="auto"/>
                <w:kern w:val="2"/>
              </w:rPr>
              <w:t>3.电子响应文件中所需加盖公章部分均采用CA签章。若竞争性磋商文件中有专门标注的某关联点，并要求供应商在电子竞标系统中作出竞标响应的，如供应商未对关联点进行响应或者在响应文件其他内容进行描述，造成电子评审不能查询的责任由供应商自行承担。</w:t>
            </w:r>
          </w:p>
        </w:tc>
      </w:tr>
      <w:tr w14:paraId="6E0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17" w:type="dxa"/>
            <w:vAlign w:val="center"/>
          </w:tcPr>
          <w:p w14:paraId="57269A95">
            <w:pPr>
              <w:spacing w:line="440" w:lineRule="exact"/>
              <w:jc w:val="center"/>
              <w:rPr>
                <w:rFonts w:ascii="宋体" w:hAnsi="宋体" w:cs="宋体"/>
                <w:color w:val="auto"/>
                <w:sz w:val="24"/>
              </w:rPr>
            </w:pPr>
            <w:r>
              <w:rPr>
                <w:rFonts w:hint="eastAsia" w:ascii="宋体" w:hAnsi="宋体" w:cs="宋体"/>
                <w:color w:val="auto"/>
                <w:sz w:val="24"/>
              </w:rPr>
              <w:t>7</w:t>
            </w:r>
          </w:p>
        </w:tc>
        <w:tc>
          <w:tcPr>
            <w:tcW w:w="8232" w:type="dxa"/>
            <w:vAlign w:val="center"/>
          </w:tcPr>
          <w:p w14:paraId="0CA539EB">
            <w:pPr>
              <w:spacing w:line="440" w:lineRule="exact"/>
              <w:ind w:left="24" w:hanging="24" w:hangingChars="10"/>
              <w:jc w:val="left"/>
              <w:rPr>
                <w:rFonts w:ascii="宋体" w:hAnsi="宋体" w:cs="宋体"/>
                <w:color w:val="auto"/>
                <w:sz w:val="24"/>
              </w:rPr>
            </w:pPr>
            <w:r>
              <w:rPr>
                <w:rFonts w:hint="eastAsia" w:ascii="宋体" w:hAnsi="宋体" w:cs="宋体"/>
                <w:color w:val="auto"/>
                <w:sz w:val="24"/>
              </w:rPr>
              <w:t>首次响应文件递交截止时间及地点：详见本采购文件第一章《竞争性磋商公告》。</w:t>
            </w:r>
          </w:p>
        </w:tc>
      </w:tr>
      <w:tr w14:paraId="2859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17" w:type="dxa"/>
            <w:vAlign w:val="center"/>
          </w:tcPr>
          <w:p w14:paraId="26B12D1A">
            <w:pPr>
              <w:spacing w:line="440" w:lineRule="exact"/>
              <w:jc w:val="center"/>
              <w:rPr>
                <w:rFonts w:ascii="宋体" w:hAnsi="宋体" w:cs="宋体"/>
                <w:color w:val="auto"/>
                <w:sz w:val="24"/>
              </w:rPr>
            </w:pPr>
            <w:r>
              <w:rPr>
                <w:rFonts w:hint="eastAsia" w:ascii="宋体" w:hAnsi="宋体" w:cs="宋体"/>
                <w:color w:val="auto"/>
                <w:sz w:val="24"/>
              </w:rPr>
              <w:t>8</w:t>
            </w:r>
          </w:p>
        </w:tc>
        <w:tc>
          <w:tcPr>
            <w:tcW w:w="8232" w:type="dxa"/>
            <w:vAlign w:val="center"/>
          </w:tcPr>
          <w:p w14:paraId="7E7EEC88">
            <w:pPr>
              <w:spacing w:line="440" w:lineRule="exact"/>
              <w:ind w:left="24" w:hanging="24" w:hangingChars="10"/>
              <w:jc w:val="left"/>
              <w:rPr>
                <w:rFonts w:ascii="宋体" w:hAnsi="宋体" w:cs="宋体"/>
                <w:color w:val="auto"/>
                <w:sz w:val="24"/>
              </w:rPr>
            </w:pPr>
            <w:r>
              <w:rPr>
                <w:rFonts w:hint="eastAsia" w:ascii="宋体" w:hAnsi="宋体" w:cs="宋体"/>
                <w:color w:val="auto"/>
                <w:sz w:val="24"/>
              </w:rPr>
              <w:t>磋商时间及地点：</w:t>
            </w:r>
          </w:p>
          <w:p w14:paraId="613FB3A5">
            <w:pPr>
              <w:spacing w:line="440" w:lineRule="exact"/>
              <w:ind w:left="24" w:hanging="24" w:hangingChars="10"/>
              <w:jc w:val="left"/>
              <w:rPr>
                <w:rFonts w:ascii="宋体" w:hAnsi="宋体" w:cs="宋体"/>
                <w:color w:val="auto"/>
                <w:sz w:val="24"/>
              </w:rPr>
            </w:pPr>
            <w:r>
              <w:rPr>
                <w:rFonts w:hint="eastAsia" w:ascii="宋体" w:hAnsi="宋体" w:cs="宋体"/>
                <w:color w:val="auto"/>
                <w:sz w:val="24"/>
              </w:rPr>
              <w:t>1.磋商时间：首次响应文件递交截止时间后，具体时间由采购代理机构另行通知；</w:t>
            </w:r>
          </w:p>
          <w:p w14:paraId="2D20DEE9">
            <w:pPr>
              <w:spacing w:line="440" w:lineRule="exact"/>
              <w:ind w:left="24" w:hanging="24" w:hangingChars="10"/>
              <w:jc w:val="left"/>
              <w:rPr>
                <w:rFonts w:ascii="宋体" w:hAnsi="宋体" w:cs="宋体"/>
                <w:color w:val="auto"/>
                <w:sz w:val="24"/>
              </w:rPr>
            </w:pPr>
            <w:r>
              <w:rPr>
                <w:rFonts w:hint="eastAsia" w:ascii="宋体" w:hAnsi="宋体" w:cs="宋体"/>
                <w:color w:val="auto"/>
                <w:sz w:val="24"/>
              </w:rPr>
              <w:t>2.地点：在“广西政府采购云”平台电子开标大厅。</w:t>
            </w:r>
          </w:p>
        </w:tc>
      </w:tr>
      <w:tr w14:paraId="48A9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4EBFF71">
            <w:pPr>
              <w:spacing w:line="440" w:lineRule="exact"/>
              <w:jc w:val="center"/>
              <w:rPr>
                <w:rFonts w:ascii="宋体" w:hAnsi="宋体" w:cs="宋体"/>
                <w:color w:val="auto"/>
                <w:sz w:val="24"/>
              </w:rPr>
            </w:pPr>
            <w:r>
              <w:rPr>
                <w:rFonts w:hint="eastAsia" w:ascii="宋体" w:hAnsi="宋体" w:cs="宋体"/>
                <w:color w:val="auto"/>
                <w:sz w:val="24"/>
              </w:rPr>
              <w:t>9</w:t>
            </w:r>
          </w:p>
        </w:tc>
        <w:tc>
          <w:tcPr>
            <w:tcW w:w="8232" w:type="dxa"/>
            <w:vAlign w:val="center"/>
          </w:tcPr>
          <w:p w14:paraId="3716CB11">
            <w:pPr>
              <w:autoSpaceDE w:val="0"/>
              <w:autoSpaceDN w:val="0"/>
              <w:spacing w:line="440" w:lineRule="exact"/>
              <w:rPr>
                <w:rFonts w:ascii="宋体" w:hAnsi="宋体" w:cs="宋体"/>
                <w:color w:val="auto"/>
                <w:sz w:val="24"/>
              </w:rPr>
            </w:pPr>
            <w:r>
              <w:rPr>
                <w:rFonts w:hint="eastAsia" w:ascii="宋体" w:hAnsi="宋体" w:cs="宋体"/>
                <w:color w:val="auto"/>
                <w:sz w:val="24"/>
              </w:rPr>
              <w:t>评标方法：综合评分法（详见第六章）</w:t>
            </w:r>
          </w:p>
        </w:tc>
      </w:tr>
      <w:tr w14:paraId="7117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7" w:type="dxa"/>
            <w:vAlign w:val="center"/>
          </w:tcPr>
          <w:p w14:paraId="46BB34FF">
            <w:pPr>
              <w:spacing w:line="440" w:lineRule="exact"/>
              <w:jc w:val="center"/>
              <w:rPr>
                <w:rFonts w:ascii="宋体" w:hAnsi="宋体" w:cs="宋体"/>
                <w:color w:val="auto"/>
                <w:sz w:val="24"/>
              </w:rPr>
            </w:pPr>
            <w:r>
              <w:rPr>
                <w:rFonts w:hint="eastAsia" w:ascii="宋体" w:hAnsi="宋体" w:cs="宋体"/>
                <w:color w:val="auto"/>
                <w:sz w:val="24"/>
              </w:rPr>
              <w:t>10</w:t>
            </w:r>
          </w:p>
        </w:tc>
        <w:tc>
          <w:tcPr>
            <w:tcW w:w="8232" w:type="dxa"/>
            <w:vAlign w:val="center"/>
          </w:tcPr>
          <w:p w14:paraId="175FB950">
            <w:pPr>
              <w:autoSpaceDE w:val="0"/>
              <w:autoSpaceDN w:val="0"/>
              <w:spacing w:line="440" w:lineRule="exact"/>
              <w:rPr>
                <w:rFonts w:ascii="宋体" w:hAnsi="宋体" w:cs="宋体"/>
                <w:color w:val="auto"/>
                <w:sz w:val="24"/>
              </w:rPr>
            </w:pPr>
            <w:r>
              <w:rPr>
                <w:rFonts w:hint="eastAsia" w:ascii="宋体" w:hAnsi="宋体" w:cs="宋体"/>
                <w:color w:val="auto"/>
                <w:sz w:val="24"/>
              </w:rPr>
              <w:t>发布媒体：www.ccgp.gov.cn（中国政府采购网）、zfcg.gxzf.gov.cn(广西壮族自治区政府采购网)。</w:t>
            </w:r>
          </w:p>
        </w:tc>
      </w:tr>
      <w:tr w14:paraId="7BF3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17" w:type="dxa"/>
            <w:vAlign w:val="center"/>
          </w:tcPr>
          <w:p w14:paraId="0546463C">
            <w:pPr>
              <w:spacing w:line="440" w:lineRule="exact"/>
              <w:jc w:val="center"/>
              <w:rPr>
                <w:rFonts w:ascii="宋体" w:hAnsi="宋体" w:cs="宋体"/>
                <w:color w:val="auto"/>
                <w:sz w:val="24"/>
              </w:rPr>
            </w:pPr>
            <w:r>
              <w:rPr>
                <w:rFonts w:hint="eastAsia" w:ascii="宋体" w:hAnsi="宋体" w:cs="宋体"/>
                <w:color w:val="auto"/>
                <w:sz w:val="24"/>
              </w:rPr>
              <w:t>11</w:t>
            </w:r>
          </w:p>
        </w:tc>
        <w:tc>
          <w:tcPr>
            <w:tcW w:w="8232" w:type="dxa"/>
            <w:vAlign w:val="center"/>
          </w:tcPr>
          <w:p w14:paraId="79C71DD7">
            <w:pPr>
              <w:spacing w:line="440" w:lineRule="exact"/>
              <w:jc w:val="left"/>
              <w:rPr>
                <w:rFonts w:ascii="宋体" w:hAnsi="宋体" w:cs="宋体"/>
                <w:color w:val="auto"/>
                <w:sz w:val="24"/>
              </w:rPr>
            </w:pPr>
            <w:r>
              <w:rPr>
                <w:rFonts w:hint="eastAsia" w:ascii="宋体" w:hAnsi="宋体" w:cs="宋体"/>
                <w:color w:val="auto"/>
                <w:sz w:val="24"/>
              </w:rPr>
              <w:t>信用信息使用规则：</w:t>
            </w:r>
          </w:p>
          <w:p w14:paraId="6D0AFDFA">
            <w:pPr>
              <w:spacing w:line="440" w:lineRule="exact"/>
              <w:ind w:firstLine="480" w:firstLineChars="200"/>
              <w:jc w:val="left"/>
              <w:rPr>
                <w:rFonts w:ascii="宋体" w:hAnsi="宋体" w:cs="宋体"/>
                <w:color w:val="auto"/>
                <w:sz w:val="24"/>
              </w:rPr>
            </w:pPr>
            <w:r>
              <w:rPr>
                <w:rFonts w:hint="eastAsia" w:ascii="宋体" w:hAnsi="宋体" w:cs="宋体"/>
                <w:color w:val="auto"/>
                <w:sz w:val="24"/>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拒绝其参与政府采购活动。</w:t>
            </w:r>
          </w:p>
          <w:p w14:paraId="32CD746B">
            <w:pPr>
              <w:spacing w:line="440" w:lineRule="exact"/>
              <w:jc w:val="left"/>
              <w:rPr>
                <w:rFonts w:ascii="宋体" w:hAnsi="宋体" w:cs="宋体"/>
                <w:color w:val="auto"/>
                <w:sz w:val="24"/>
              </w:rPr>
            </w:pPr>
            <w:r>
              <w:rPr>
                <w:rFonts w:hint="eastAsia" w:ascii="宋体" w:hAnsi="宋体" w:cs="宋体"/>
                <w:color w:val="auto"/>
                <w:sz w:val="24"/>
              </w:rPr>
              <w:t>甄别方式：</w:t>
            </w:r>
          </w:p>
          <w:p w14:paraId="1E2FFC08">
            <w:pPr>
              <w:autoSpaceDE w:val="0"/>
              <w:autoSpaceDN w:val="0"/>
              <w:spacing w:line="440" w:lineRule="exact"/>
              <w:ind w:firstLine="480" w:firstLineChars="200"/>
              <w:rPr>
                <w:rFonts w:ascii="宋体" w:hAnsi="宋体" w:cs="宋体"/>
                <w:color w:val="auto"/>
                <w:sz w:val="24"/>
              </w:rPr>
            </w:pPr>
            <w:r>
              <w:rPr>
                <w:rFonts w:hint="eastAsia" w:ascii="宋体" w:hAnsi="宋体" w:cs="宋体"/>
                <w:color w:val="auto"/>
                <w:sz w:val="24"/>
              </w:rPr>
              <w:t>在成交通知书发出前，采购人或者采购代理机构将对成交人信用进行查询，并按照以上信用信息使用规则处理。</w:t>
            </w:r>
          </w:p>
        </w:tc>
      </w:tr>
      <w:tr w14:paraId="7C1C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6D0D5CE">
            <w:pPr>
              <w:spacing w:line="440" w:lineRule="exact"/>
              <w:jc w:val="center"/>
              <w:rPr>
                <w:rFonts w:ascii="宋体" w:hAnsi="宋体" w:cs="宋体"/>
                <w:color w:val="auto"/>
                <w:sz w:val="24"/>
              </w:rPr>
            </w:pPr>
            <w:r>
              <w:rPr>
                <w:rFonts w:hint="eastAsia" w:ascii="宋体" w:hAnsi="宋体" w:cs="宋体"/>
                <w:color w:val="auto"/>
                <w:sz w:val="24"/>
              </w:rPr>
              <w:t>12</w:t>
            </w:r>
          </w:p>
        </w:tc>
        <w:tc>
          <w:tcPr>
            <w:tcW w:w="8232" w:type="dxa"/>
            <w:vAlign w:val="center"/>
          </w:tcPr>
          <w:p w14:paraId="2A072A01">
            <w:pPr>
              <w:autoSpaceDE w:val="0"/>
              <w:autoSpaceDN w:val="0"/>
              <w:spacing w:line="440" w:lineRule="exact"/>
              <w:rPr>
                <w:rFonts w:ascii="宋体" w:hAnsi="宋体" w:cs="宋体"/>
                <w:color w:val="auto"/>
                <w:sz w:val="24"/>
              </w:rPr>
            </w:pPr>
            <w:r>
              <w:rPr>
                <w:rFonts w:hint="eastAsia" w:ascii="宋体" w:hAnsi="宋体" w:cs="宋体"/>
                <w:color w:val="auto"/>
                <w:sz w:val="24"/>
              </w:rPr>
              <w:t>成交公告及成交通知书：采购代理机构在采购人依法确认成交供应商后两个工作日内发布成交公告和成交通知书。</w:t>
            </w:r>
          </w:p>
        </w:tc>
      </w:tr>
      <w:tr w14:paraId="570D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CAFE463">
            <w:pPr>
              <w:spacing w:line="440" w:lineRule="exact"/>
              <w:jc w:val="center"/>
              <w:rPr>
                <w:rFonts w:ascii="宋体" w:hAnsi="宋体" w:cs="宋体"/>
                <w:color w:val="auto"/>
                <w:sz w:val="24"/>
              </w:rPr>
            </w:pPr>
            <w:r>
              <w:rPr>
                <w:rFonts w:hint="eastAsia" w:ascii="宋体" w:hAnsi="宋体" w:cs="宋体"/>
                <w:color w:val="auto"/>
                <w:sz w:val="24"/>
              </w:rPr>
              <w:t>13</w:t>
            </w:r>
          </w:p>
        </w:tc>
        <w:tc>
          <w:tcPr>
            <w:tcW w:w="8232" w:type="dxa"/>
            <w:vAlign w:val="center"/>
          </w:tcPr>
          <w:p w14:paraId="7BABB068">
            <w:pPr>
              <w:autoSpaceDE w:val="0"/>
              <w:autoSpaceDN w:val="0"/>
              <w:spacing w:line="440" w:lineRule="exact"/>
              <w:rPr>
                <w:rFonts w:ascii="宋体" w:hAnsi="宋体" w:cs="宋体"/>
                <w:color w:val="auto"/>
                <w:sz w:val="24"/>
              </w:rPr>
            </w:pPr>
            <w:r>
              <w:rPr>
                <w:rFonts w:hint="eastAsia" w:ascii="宋体" w:hAnsi="宋体" w:cs="宋体"/>
                <w:color w:val="auto"/>
                <w:sz w:val="24"/>
              </w:rPr>
              <w:t>签订合同时间：成交通知书发出后25日内。</w:t>
            </w:r>
          </w:p>
        </w:tc>
      </w:tr>
      <w:tr w14:paraId="309D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DB6B442">
            <w:pPr>
              <w:spacing w:line="440" w:lineRule="exact"/>
              <w:jc w:val="center"/>
              <w:rPr>
                <w:rFonts w:ascii="宋体" w:hAnsi="宋体" w:cs="宋体"/>
                <w:color w:val="auto"/>
                <w:sz w:val="24"/>
              </w:rPr>
            </w:pPr>
            <w:r>
              <w:rPr>
                <w:rFonts w:hint="eastAsia" w:ascii="宋体" w:hAnsi="宋体" w:cs="宋体"/>
                <w:color w:val="auto"/>
                <w:sz w:val="24"/>
              </w:rPr>
              <w:t>14</w:t>
            </w:r>
          </w:p>
        </w:tc>
        <w:tc>
          <w:tcPr>
            <w:tcW w:w="8232" w:type="dxa"/>
            <w:vAlign w:val="center"/>
          </w:tcPr>
          <w:p w14:paraId="76629213">
            <w:pPr>
              <w:autoSpaceDE w:val="0"/>
              <w:autoSpaceDN w:val="0"/>
              <w:spacing w:line="440" w:lineRule="exact"/>
              <w:rPr>
                <w:rFonts w:ascii="宋体" w:hAnsi="宋体" w:cs="宋体"/>
                <w:color w:val="auto"/>
                <w:kern w:val="0"/>
                <w:sz w:val="24"/>
              </w:rPr>
            </w:pPr>
            <w:r>
              <w:rPr>
                <w:rFonts w:hint="eastAsia" w:ascii="宋体" w:hAnsi="宋体" w:cs="宋体"/>
                <w:color w:val="auto"/>
                <w:kern w:val="0"/>
                <w:sz w:val="24"/>
              </w:rPr>
              <w:t>预算资金：人民币贰佰伍拾万元整（￥2500000.00），其中：</w:t>
            </w:r>
          </w:p>
          <w:p w14:paraId="45C7153C">
            <w:pPr>
              <w:autoSpaceDE w:val="0"/>
              <w:autoSpaceDN w:val="0"/>
              <w:spacing w:line="440" w:lineRule="exact"/>
              <w:rPr>
                <w:rFonts w:ascii="宋体" w:hAnsi="宋体" w:cs="宋体"/>
                <w:color w:val="auto"/>
                <w:kern w:val="0"/>
                <w:sz w:val="24"/>
              </w:rPr>
            </w:pPr>
            <w:r>
              <w:rPr>
                <w:rFonts w:hint="eastAsia" w:ascii="宋体" w:hAnsi="宋体" w:cs="宋体"/>
                <w:color w:val="auto"/>
                <w:kern w:val="0"/>
                <w:sz w:val="24"/>
              </w:rPr>
              <w:t>标项一：人民币陆拾万元整（￥600000.00）；</w:t>
            </w:r>
          </w:p>
          <w:p w14:paraId="613D0121">
            <w:pPr>
              <w:autoSpaceDE w:val="0"/>
              <w:autoSpaceDN w:val="0"/>
              <w:spacing w:line="440" w:lineRule="exact"/>
              <w:rPr>
                <w:rFonts w:ascii="宋体" w:hAnsi="宋体" w:cs="宋体"/>
                <w:color w:val="auto"/>
                <w:kern w:val="0"/>
                <w:sz w:val="24"/>
              </w:rPr>
            </w:pPr>
            <w:r>
              <w:rPr>
                <w:rFonts w:hint="eastAsia" w:ascii="宋体" w:hAnsi="宋体" w:cs="宋体"/>
                <w:color w:val="auto"/>
                <w:kern w:val="0"/>
                <w:sz w:val="24"/>
              </w:rPr>
              <w:t>标项二：人民币壹佰玖拾万元整（￥1900000.00）</w:t>
            </w:r>
          </w:p>
          <w:p w14:paraId="5B9E0BD6">
            <w:pPr>
              <w:autoSpaceDE w:val="0"/>
              <w:autoSpaceDN w:val="0"/>
              <w:spacing w:line="440" w:lineRule="exact"/>
              <w:rPr>
                <w:color w:val="auto"/>
              </w:rPr>
            </w:pPr>
            <w:r>
              <w:rPr>
                <w:rFonts w:hint="eastAsia" w:ascii="宋体" w:hAnsi="宋体" w:cs="宋体"/>
                <w:color w:val="auto"/>
                <w:kern w:val="0"/>
                <w:sz w:val="24"/>
              </w:rPr>
              <w:t>最高限价：人民币贰佰伍拾万元整（￥2500000.00）</w:t>
            </w:r>
          </w:p>
        </w:tc>
      </w:tr>
      <w:tr w14:paraId="18F7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97E95D9">
            <w:pPr>
              <w:spacing w:line="440" w:lineRule="exact"/>
              <w:jc w:val="center"/>
              <w:rPr>
                <w:rFonts w:ascii="宋体" w:hAnsi="宋体" w:cs="宋体"/>
                <w:color w:val="auto"/>
                <w:sz w:val="24"/>
              </w:rPr>
            </w:pPr>
            <w:r>
              <w:rPr>
                <w:rFonts w:hint="eastAsia" w:ascii="宋体" w:hAnsi="宋体" w:cs="宋体"/>
                <w:color w:val="auto"/>
                <w:sz w:val="24"/>
              </w:rPr>
              <w:t>15</w:t>
            </w:r>
          </w:p>
        </w:tc>
        <w:tc>
          <w:tcPr>
            <w:tcW w:w="8232" w:type="dxa"/>
            <w:vAlign w:val="center"/>
          </w:tcPr>
          <w:p w14:paraId="7D5E0CBB">
            <w:pPr>
              <w:spacing w:line="440" w:lineRule="exact"/>
              <w:rPr>
                <w:rFonts w:ascii="宋体" w:hAnsi="宋体" w:cs="宋体"/>
                <w:color w:val="auto"/>
                <w:sz w:val="24"/>
              </w:rPr>
            </w:pPr>
            <w:r>
              <w:rPr>
                <w:rFonts w:hint="eastAsia" w:ascii="宋体" w:hAnsi="宋体" w:cs="宋体"/>
                <w:color w:val="auto"/>
                <w:sz w:val="24"/>
              </w:rPr>
              <w:t>响应文件有效期：首次响应文件递交截止日期后90天。</w:t>
            </w:r>
          </w:p>
        </w:tc>
      </w:tr>
      <w:tr w14:paraId="1C8D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1AEF2A6C">
            <w:pPr>
              <w:spacing w:line="440" w:lineRule="exact"/>
              <w:jc w:val="center"/>
              <w:rPr>
                <w:rFonts w:ascii="宋体" w:hAnsi="宋体" w:cs="宋体"/>
                <w:color w:val="auto"/>
                <w:sz w:val="24"/>
              </w:rPr>
            </w:pPr>
            <w:r>
              <w:rPr>
                <w:rFonts w:hint="eastAsia" w:ascii="宋体" w:hAnsi="宋体" w:cs="宋体"/>
                <w:color w:val="auto"/>
                <w:sz w:val="24"/>
              </w:rPr>
              <w:t>16</w:t>
            </w:r>
          </w:p>
        </w:tc>
        <w:tc>
          <w:tcPr>
            <w:tcW w:w="8232" w:type="dxa"/>
            <w:vAlign w:val="center"/>
          </w:tcPr>
          <w:p w14:paraId="0B15BC25">
            <w:pPr>
              <w:spacing w:line="440" w:lineRule="exact"/>
              <w:rPr>
                <w:rFonts w:ascii="宋体" w:hAnsi="宋体" w:cs="宋体"/>
                <w:color w:val="auto"/>
                <w:sz w:val="24"/>
              </w:rPr>
            </w:pPr>
            <w:r>
              <w:rPr>
                <w:rFonts w:hint="eastAsia" w:ascii="宋体" w:hAnsi="宋体" w:cs="宋体"/>
                <w:color w:val="auto"/>
                <w:sz w:val="24"/>
              </w:rPr>
              <w:t>解释：本竞争性磋商文件的解释权属于采购代理机构。</w:t>
            </w:r>
          </w:p>
        </w:tc>
      </w:tr>
      <w:tr w14:paraId="208C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17" w:type="dxa"/>
            <w:vAlign w:val="center"/>
          </w:tcPr>
          <w:p w14:paraId="76DA720A">
            <w:pPr>
              <w:spacing w:line="440" w:lineRule="exact"/>
              <w:jc w:val="center"/>
              <w:rPr>
                <w:rFonts w:ascii="宋体" w:hAnsi="宋体" w:cs="宋体"/>
                <w:color w:val="auto"/>
                <w:sz w:val="24"/>
              </w:rPr>
            </w:pPr>
            <w:r>
              <w:rPr>
                <w:rFonts w:hint="eastAsia" w:ascii="宋体" w:hAnsi="宋体" w:cs="宋体"/>
                <w:color w:val="auto"/>
                <w:sz w:val="24"/>
              </w:rPr>
              <w:t>17</w:t>
            </w:r>
          </w:p>
        </w:tc>
        <w:tc>
          <w:tcPr>
            <w:tcW w:w="8232" w:type="dxa"/>
            <w:vAlign w:val="center"/>
          </w:tcPr>
          <w:p w14:paraId="72BD158D">
            <w:pPr>
              <w:spacing w:line="440" w:lineRule="exact"/>
              <w:rPr>
                <w:rFonts w:ascii="宋体" w:hAnsi="宋体" w:cs="宋体"/>
                <w:color w:val="auto"/>
                <w:sz w:val="24"/>
              </w:rPr>
            </w:pPr>
            <w:r>
              <w:rPr>
                <w:rFonts w:hint="eastAsia" w:ascii="宋体" w:hAnsi="宋体" w:cs="宋体"/>
                <w:color w:val="auto"/>
                <w:sz w:val="24"/>
              </w:rPr>
              <w:t>本项目代理服务费参照国家发展计划委员会计价格[2002]1980号《招标代理服务费管理暂行办法》收费标准向成交人收取。</w:t>
            </w:r>
          </w:p>
        </w:tc>
      </w:tr>
      <w:tr w14:paraId="686B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7" w:type="dxa"/>
            <w:vAlign w:val="center"/>
          </w:tcPr>
          <w:p w14:paraId="65E09D0D">
            <w:pPr>
              <w:spacing w:line="440" w:lineRule="exact"/>
              <w:jc w:val="center"/>
              <w:rPr>
                <w:rFonts w:ascii="宋体" w:hAnsi="宋体" w:cs="宋体"/>
                <w:color w:val="auto"/>
                <w:sz w:val="24"/>
              </w:rPr>
            </w:pPr>
            <w:r>
              <w:rPr>
                <w:rFonts w:hint="eastAsia" w:ascii="宋体" w:hAnsi="宋体" w:cs="宋体"/>
                <w:color w:val="auto"/>
                <w:sz w:val="24"/>
              </w:rPr>
              <w:t>18</w:t>
            </w:r>
          </w:p>
        </w:tc>
        <w:tc>
          <w:tcPr>
            <w:tcW w:w="8232" w:type="dxa"/>
            <w:vAlign w:val="center"/>
          </w:tcPr>
          <w:p w14:paraId="1C90A8A0">
            <w:pPr>
              <w:spacing w:line="440" w:lineRule="exact"/>
              <w:rPr>
                <w:rFonts w:ascii="宋体" w:hAnsi="宋体" w:cs="宋体"/>
                <w:color w:val="auto"/>
                <w:sz w:val="24"/>
              </w:rPr>
            </w:pPr>
            <w:r>
              <w:rPr>
                <w:rFonts w:hint="eastAsia" w:ascii="宋体" w:hAnsi="宋体" w:cs="宋体"/>
                <w:color w:val="auto"/>
                <w:sz w:val="24"/>
              </w:rPr>
              <w:t>备份响应文件：本项目不接受备份响应文件。</w:t>
            </w:r>
          </w:p>
        </w:tc>
      </w:tr>
      <w:tr w14:paraId="11C9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17" w:type="dxa"/>
            <w:vAlign w:val="center"/>
          </w:tcPr>
          <w:p w14:paraId="46978C7D">
            <w:pPr>
              <w:spacing w:line="440" w:lineRule="exact"/>
              <w:jc w:val="center"/>
              <w:rPr>
                <w:rFonts w:ascii="宋体" w:hAnsi="宋体" w:cs="宋体"/>
                <w:color w:val="auto"/>
                <w:sz w:val="24"/>
              </w:rPr>
            </w:pPr>
            <w:r>
              <w:rPr>
                <w:rFonts w:hint="eastAsia" w:ascii="宋体" w:hAnsi="宋体" w:cs="宋体"/>
                <w:color w:val="auto"/>
                <w:sz w:val="24"/>
              </w:rPr>
              <w:t>19</w:t>
            </w:r>
          </w:p>
        </w:tc>
        <w:tc>
          <w:tcPr>
            <w:tcW w:w="8232" w:type="dxa"/>
            <w:vAlign w:val="center"/>
          </w:tcPr>
          <w:p w14:paraId="1AC29738">
            <w:pPr>
              <w:spacing w:line="440" w:lineRule="exact"/>
              <w:rPr>
                <w:rFonts w:ascii="宋体" w:hAnsi="宋体" w:cs="宋体"/>
                <w:color w:val="auto"/>
                <w:sz w:val="24"/>
              </w:rPr>
            </w:pPr>
            <w:r>
              <w:rPr>
                <w:rFonts w:hint="eastAsia" w:ascii="宋体" w:hAnsi="宋体" w:cs="宋体"/>
                <w:color w:val="auto"/>
                <w:sz w:val="24"/>
              </w:rPr>
              <w:t>履约保证金：无。</w:t>
            </w:r>
          </w:p>
        </w:tc>
      </w:tr>
      <w:tr w14:paraId="7950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17" w:type="dxa"/>
            <w:vAlign w:val="center"/>
          </w:tcPr>
          <w:p w14:paraId="127BA071">
            <w:pPr>
              <w:spacing w:line="440" w:lineRule="exact"/>
              <w:jc w:val="center"/>
              <w:rPr>
                <w:rFonts w:ascii="宋体" w:hAnsi="宋体" w:cs="宋体"/>
                <w:color w:val="auto"/>
                <w:sz w:val="24"/>
              </w:rPr>
            </w:pPr>
            <w:r>
              <w:rPr>
                <w:rFonts w:hint="eastAsia" w:ascii="宋体" w:hAnsi="宋体" w:cs="宋体"/>
                <w:color w:val="auto"/>
                <w:sz w:val="24"/>
              </w:rPr>
              <w:t>20</w:t>
            </w:r>
          </w:p>
        </w:tc>
        <w:tc>
          <w:tcPr>
            <w:tcW w:w="8232" w:type="dxa"/>
            <w:vAlign w:val="center"/>
          </w:tcPr>
          <w:p w14:paraId="4BC883AD">
            <w:pPr>
              <w:spacing w:line="440" w:lineRule="exact"/>
              <w:rPr>
                <w:rFonts w:ascii="宋体" w:hAnsi="宋体" w:cs="宋体"/>
                <w:color w:val="auto"/>
                <w:sz w:val="24"/>
              </w:rPr>
            </w:pPr>
            <w:r>
              <w:rPr>
                <w:rFonts w:hint="eastAsia" w:ascii="宋体" w:hAnsi="宋体" w:cs="宋体"/>
                <w:color w:val="auto"/>
                <w:sz w:val="24"/>
              </w:rPr>
              <w:t>签订合同携带的材料：使用的有效 CA 证书加盖单位电子公章。</w:t>
            </w:r>
          </w:p>
        </w:tc>
      </w:tr>
      <w:tr w14:paraId="5807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3407B9CF">
            <w:pPr>
              <w:spacing w:line="440" w:lineRule="exact"/>
              <w:jc w:val="center"/>
              <w:rPr>
                <w:rFonts w:ascii="宋体" w:hAnsi="宋体" w:cs="宋体"/>
                <w:color w:val="auto"/>
                <w:sz w:val="24"/>
              </w:rPr>
            </w:pPr>
            <w:r>
              <w:rPr>
                <w:rFonts w:hint="eastAsia" w:ascii="宋体" w:hAnsi="宋体" w:cs="宋体"/>
                <w:color w:val="auto"/>
                <w:sz w:val="24"/>
              </w:rPr>
              <w:t>21</w:t>
            </w:r>
          </w:p>
        </w:tc>
        <w:tc>
          <w:tcPr>
            <w:tcW w:w="8232" w:type="dxa"/>
            <w:vAlign w:val="center"/>
          </w:tcPr>
          <w:p w14:paraId="7039457B">
            <w:pPr>
              <w:spacing w:line="440" w:lineRule="exact"/>
              <w:rPr>
                <w:rFonts w:ascii="宋体" w:hAnsi="宋体" w:cs="宋体"/>
                <w:color w:val="auto"/>
                <w:sz w:val="24"/>
              </w:rPr>
            </w:pPr>
            <w:r>
              <w:rPr>
                <w:rFonts w:hint="eastAsia" w:ascii="宋体" w:hAnsi="宋体" w:cs="宋体"/>
                <w:color w:val="auto"/>
                <w:sz w:val="24"/>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2970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62BA52EF">
            <w:pPr>
              <w:spacing w:line="440" w:lineRule="exact"/>
              <w:jc w:val="center"/>
              <w:rPr>
                <w:rFonts w:ascii="宋体" w:hAnsi="宋体" w:cs="宋体"/>
                <w:color w:val="auto"/>
                <w:sz w:val="24"/>
              </w:rPr>
            </w:pPr>
            <w:r>
              <w:rPr>
                <w:rFonts w:hint="eastAsia" w:ascii="宋体" w:hAnsi="宋体" w:cs="宋体"/>
                <w:color w:val="auto"/>
                <w:sz w:val="24"/>
              </w:rPr>
              <w:t>22</w:t>
            </w:r>
          </w:p>
        </w:tc>
        <w:tc>
          <w:tcPr>
            <w:tcW w:w="8232" w:type="dxa"/>
            <w:vAlign w:val="center"/>
          </w:tcPr>
          <w:p w14:paraId="3A91C11C">
            <w:pPr>
              <w:spacing w:line="440" w:lineRule="exact"/>
              <w:rPr>
                <w:rFonts w:ascii="宋体" w:hAnsi="宋体" w:cs="宋体"/>
                <w:color w:val="auto"/>
                <w:sz w:val="24"/>
              </w:rPr>
            </w:pPr>
            <w:r>
              <w:rPr>
                <w:rFonts w:hint="eastAsia" w:ascii="宋体" w:hAnsi="宋体" w:cs="宋体"/>
                <w:color w:val="auto"/>
                <w:sz w:val="24"/>
              </w:rPr>
              <w:t>中标（成交）供应商可凭中标（成交）通知书、政府采购合同，通过中征应收账款融资服务平台向银行在线申请‘政采贷’融资。</w:t>
            </w:r>
          </w:p>
        </w:tc>
      </w:tr>
      <w:tr w14:paraId="1001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817" w:type="dxa"/>
            <w:vAlign w:val="center"/>
          </w:tcPr>
          <w:p w14:paraId="04254C24">
            <w:pPr>
              <w:spacing w:line="440" w:lineRule="exact"/>
              <w:jc w:val="center"/>
              <w:rPr>
                <w:rFonts w:ascii="宋体" w:hAnsi="宋体" w:cs="宋体"/>
                <w:color w:val="auto"/>
                <w:sz w:val="24"/>
              </w:rPr>
            </w:pPr>
            <w:r>
              <w:rPr>
                <w:rFonts w:hint="eastAsia" w:ascii="宋体" w:hAnsi="宋体" w:cs="宋体"/>
                <w:color w:val="auto"/>
                <w:sz w:val="24"/>
              </w:rPr>
              <w:t>23</w:t>
            </w:r>
          </w:p>
        </w:tc>
        <w:tc>
          <w:tcPr>
            <w:tcW w:w="8232" w:type="dxa"/>
            <w:vAlign w:val="center"/>
          </w:tcPr>
          <w:p w14:paraId="3D0EB1B6">
            <w:pPr>
              <w:spacing w:line="440" w:lineRule="exact"/>
              <w:rPr>
                <w:rFonts w:ascii="宋体" w:hAnsi="宋体" w:cs="宋体"/>
                <w:color w:val="auto"/>
                <w:sz w:val="24"/>
              </w:rPr>
            </w:pPr>
            <w:r>
              <w:rPr>
                <w:rFonts w:hint="eastAsia" w:ascii="宋体" w:hAnsi="宋体" w:cs="宋体"/>
                <w:color w:val="auto"/>
                <w:sz w:val="24"/>
              </w:rPr>
              <w:t xml:space="preserve">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 </w:t>
            </w:r>
          </w:p>
          <w:p w14:paraId="13148079">
            <w:pPr>
              <w:spacing w:line="440" w:lineRule="exact"/>
              <w:rPr>
                <w:rFonts w:ascii="宋体" w:hAnsi="宋体" w:cs="宋体"/>
                <w:color w:val="auto"/>
                <w:sz w:val="24"/>
              </w:rPr>
            </w:pPr>
            <w:r>
              <w:rPr>
                <w:rFonts w:hint="eastAsia" w:ascii="宋体" w:hAnsi="宋体" w:cs="宋体"/>
                <w:color w:val="auto"/>
                <w:sz w:val="24"/>
              </w:rPr>
              <w:t xml:space="preserve">2.供应商为其他组织或者自然人时，本磋商文件规定的法定代表人指负责人或者自然人。本磋商文件所称负责人是指参加竞标的其他组织营业执照上的负责人，本磋商文件所称自然人指参与竞标的自然人本人。 </w:t>
            </w:r>
          </w:p>
          <w:p w14:paraId="507D2578">
            <w:pPr>
              <w:pStyle w:val="32"/>
              <w:tabs>
                <w:tab w:val="left" w:pos="323"/>
              </w:tabs>
              <w:adjustRightInd/>
              <w:spacing w:line="440" w:lineRule="exact"/>
              <w:ind w:left="63" w:leftChars="30"/>
              <w:jc w:val="both"/>
              <w:rPr>
                <w:rFonts w:ascii="宋体" w:hAnsi="宋体" w:cs="宋体"/>
                <w:color w:val="auto"/>
              </w:rPr>
            </w:pPr>
            <w:r>
              <w:rPr>
                <w:rFonts w:hint="eastAsia" w:ascii="宋体" w:hAnsi="宋体" w:cs="宋体"/>
                <w:color w:val="auto"/>
              </w:rPr>
              <w:t xml:space="preserve">3.本磋商文件中描述供应商的“签字”是指供应商的法定代表人或者委托代理人亲自在文件规定签署处亲笔写上个人的名字的行为，私章、签字章、印鉴、影印等其他形式均不能代替亲笔签字。 </w:t>
            </w:r>
          </w:p>
          <w:p w14:paraId="23151A77">
            <w:pPr>
              <w:pStyle w:val="32"/>
              <w:tabs>
                <w:tab w:val="left" w:pos="323"/>
              </w:tabs>
              <w:adjustRightInd/>
              <w:spacing w:line="440" w:lineRule="exact"/>
              <w:ind w:left="63" w:leftChars="30"/>
              <w:jc w:val="both"/>
              <w:rPr>
                <w:rFonts w:ascii="宋体" w:hAnsi="宋体" w:cs="宋体"/>
                <w:color w:val="auto"/>
              </w:rPr>
            </w:pPr>
            <w:r>
              <w:rPr>
                <w:rFonts w:hint="eastAsia" w:ascii="宋体" w:hAnsi="宋体" w:cs="宋体"/>
                <w:color w:val="auto"/>
              </w:rPr>
              <w:t>4.电子响应文件中须加盖供应商公章部分均采用CA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66D4286C">
            <w:pPr>
              <w:pStyle w:val="32"/>
              <w:tabs>
                <w:tab w:val="left" w:pos="323"/>
              </w:tabs>
              <w:adjustRightInd/>
              <w:spacing w:line="440" w:lineRule="exact"/>
              <w:ind w:left="63" w:leftChars="30"/>
              <w:jc w:val="both"/>
              <w:rPr>
                <w:rFonts w:ascii="宋体" w:hAnsi="宋体" w:cs="宋体"/>
                <w:color w:val="auto"/>
              </w:rPr>
            </w:pPr>
            <w:r>
              <w:rPr>
                <w:rFonts w:hint="eastAsia" w:ascii="宋体" w:hAnsi="宋体" w:cs="宋体"/>
                <w:color w:val="auto"/>
              </w:rPr>
              <w:t>5.CA签章上关于法人（负责人）或授权代表签字信息，供应商在响应文件中涉及签字的位置线下【签好字然后扫描或者拍照做成PDF的格式】或【通过广西政府采购云平台电子交易客户端使用CA法人（负责人）或授权代表签章】亦可。响应文件中涉及签字的位置未按要求签字的，提供的材料视为无效。</w:t>
            </w:r>
          </w:p>
          <w:p w14:paraId="7089F3FA">
            <w:pPr>
              <w:spacing w:line="440" w:lineRule="exact"/>
              <w:rPr>
                <w:rFonts w:ascii="宋体" w:hAnsi="宋体" w:cs="宋体"/>
                <w:color w:val="auto"/>
                <w:sz w:val="24"/>
              </w:rPr>
            </w:pPr>
            <w:r>
              <w:rPr>
                <w:rFonts w:hint="eastAsia" w:ascii="宋体" w:hAnsi="宋体" w:cs="宋体"/>
                <w:color w:val="auto"/>
                <w:sz w:val="24"/>
              </w:rPr>
              <w:t>6.自然人竞标的，磋商文件规定盖公章处由自然人摁手指指印。</w:t>
            </w:r>
          </w:p>
          <w:p w14:paraId="70BB3996">
            <w:pPr>
              <w:spacing w:line="440" w:lineRule="exact"/>
              <w:rPr>
                <w:rFonts w:ascii="宋体" w:hAnsi="宋体" w:cs="宋体"/>
                <w:color w:val="auto"/>
                <w:sz w:val="24"/>
              </w:rPr>
            </w:pPr>
            <w:r>
              <w:rPr>
                <w:rFonts w:hint="eastAsia" w:ascii="宋体" w:hAnsi="宋体" w:cs="宋体"/>
                <w:color w:val="auto"/>
                <w:sz w:val="24"/>
              </w:rPr>
              <w:t>7.本磋商文件所称的“以上”“以下”“以内”“届满”，包括本数；所称的“不满”“超过”“以外”，不包括本数。</w:t>
            </w:r>
          </w:p>
        </w:tc>
      </w:tr>
      <w:tr w14:paraId="59D3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7" w:type="dxa"/>
            <w:vAlign w:val="center"/>
          </w:tcPr>
          <w:p w14:paraId="2200E6D8">
            <w:pPr>
              <w:spacing w:line="440" w:lineRule="exact"/>
              <w:jc w:val="center"/>
              <w:rPr>
                <w:rFonts w:ascii="宋体" w:hAnsi="宋体" w:cs="宋体"/>
                <w:color w:val="auto"/>
                <w:sz w:val="24"/>
              </w:rPr>
            </w:pPr>
            <w:r>
              <w:rPr>
                <w:rFonts w:hint="eastAsia" w:ascii="宋体" w:hAnsi="宋体" w:cs="宋体"/>
                <w:color w:val="auto"/>
                <w:sz w:val="24"/>
              </w:rPr>
              <w:t>24</w:t>
            </w:r>
          </w:p>
        </w:tc>
        <w:tc>
          <w:tcPr>
            <w:tcW w:w="8232" w:type="dxa"/>
            <w:vAlign w:val="center"/>
          </w:tcPr>
          <w:p w14:paraId="483BE17C">
            <w:pPr>
              <w:spacing w:line="440" w:lineRule="exact"/>
              <w:rPr>
                <w:rFonts w:ascii="宋体" w:hAnsi="宋体" w:cs="宋体"/>
                <w:color w:val="auto"/>
                <w:sz w:val="24"/>
              </w:rPr>
            </w:pPr>
            <w:r>
              <w:rPr>
                <w:rFonts w:hint="eastAsia" w:ascii="宋体" w:hAnsi="宋体" w:cs="宋体"/>
                <w:color w:val="auto"/>
                <w:sz w:val="24"/>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12B3BB8E">
            <w:pPr>
              <w:spacing w:line="440" w:lineRule="exact"/>
              <w:rPr>
                <w:rFonts w:ascii="宋体" w:hAnsi="宋体" w:cs="宋体"/>
                <w:color w:val="auto"/>
                <w:sz w:val="24"/>
              </w:rPr>
            </w:pPr>
            <w:r>
              <w:rPr>
                <w:rFonts w:hint="eastAsia" w:ascii="宋体" w:hAnsi="宋体" w:cs="宋体"/>
                <w:color w:val="auto"/>
                <w:sz w:val="24"/>
              </w:rPr>
              <w:t>法律责任：</w:t>
            </w:r>
          </w:p>
          <w:p w14:paraId="089114F9">
            <w:pPr>
              <w:spacing w:line="440" w:lineRule="exact"/>
              <w:rPr>
                <w:rFonts w:ascii="宋体" w:hAnsi="宋体" w:cs="宋体"/>
                <w:color w:val="auto"/>
                <w:sz w:val="24"/>
              </w:rPr>
            </w:pPr>
            <w:r>
              <w:rPr>
                <w:rFonts w:hint="eastAsia" w:ascii="宋体" w:hAnsi="宋体" w:cs="宋体"/>
                <w:color w:val="auto"/>
                <w:sz w:val="24"/>
              </w:rPr>
              <w:t xml:space="preserve">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 </w:t>
            </w:r>
          </w:p>
          <w:p w14:paraId="1F0CD73E">
            <w:pPr>
              <w:spacing w:line="440" w:lineRule="exact"/>
              <w:rPr>
                <w:rFonts w:ascii="宋体" w:hAnsi="宋体" w:cs="宋体"/>
                <w:color w:val="auto"/>
                <w:sz w:val="24"/>
              </w:rPr>
            </w:pPr>
            <w:r>
              <w:rPr>
                <w:rFonts w:hint="eastAsia" w:ascii="宋体" w:hAnsi="宋体" w:cs="宋体"/>
                <w:color w:val="auto"/>
                <w:sz w:val="24"/>
              </w:rPr>
              <w:t>2.本项目采购代理机构应严格按照“广西政府采购云”平台项目采购全流程电子化电子开评标规程执行项目采购活动，代理机构在“项目管理”一“采购文件管理”内开评标规则设置作为本采购文件的组成部分，一经开标不可更改，因代理机构开评标规则设置错误导致采购活动无法开展下去的情况，由代理机构负责解释并承担其后果。</w:t>
            </w:r>
          </w:p>
        </w:tc>
      </w:tr>
    </w:tbl>
    <w:p w14:paraId="3695EB53">
      <w:pPr>
        <w:spacing w:line="40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一、总则</w:t>
      </w:r>
    </w:p>
    <w:p w14:paraId="7A4A1AB3">
      <w:pPr>
        <w:spacing w:line="420" w:lineRule="exact"/>
        <w:ind w:firstLine="422" w:firstLineChars="175"/>
        <w:rPr>
          <w:rFonts w:ascii="宋体" w:hAnsi="宋体" w:cs="宋体"/>
          <w:b/>
          <w:color w:val="auto"/>
          <w:sz w:val="24"/>
        </w:rPr>
      </w:pPr>
      <w:r>
        <w:rPr>
          <w:rFonts w:hint="eastAsia" w:ascii="宋体" w:hAnsi="宋体" w:cs="宋体"/>
          <w:b/>
          <w:color w:val="auto"/>
          <w:sz w:val="24"/>
        </w:rPr>
        <w:t>1.适应范围</w:t>
      </w:r>
    </w:p>
    <w:p w14:paraId="10F62B89">
      <w:pPr>
        <w:spacing w:line="420" w:lineRule="exact"/>
        <w:ind w:firstLine="420" w:firstLineChars="175"/>
        <w:rPr>
          <w:rFonts w:ascii="宋体" w:hAnsi="宋体" w:cs="宋体"/>
          <w:color w:val="auto"/>
          <w:sz w:val="24"/>
        </w:rPr>
      </w:pPr>
      <w:r>
        <w:rPr>
          <w:rFonts w:hint="eastAsia" w:ascii="宋体" w:hAnsi="宋体" w:cs="宋体"/>
          <w:color w:val="auto"/>
          <w:sz w:val="24"/>
        </w:rPr>
        <w:t>1.1 项目名称及采购编号：</w:t>
      </w:r>
    </w:p>
    <w:p w14:paraId="5C066258">
      <w:pPr>
        <w:spacing w:line="420" w:lineRule="exact"/>
        <w:ind w:firstLine="420" w:firstLineChars="175"/>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采购2025年度党政机关法律顾问服务</w:t>
      </w:r>
      <w:r>
        <w:rPr>
          <w:rFonts w:hint="eastAsia" w:ascii="宋体" w:hAnsi="宋体" w:cs="宋体"/>
          <w:color w:val="auto"/>
          <w:sz w:val="24"/>
        </w:rPr>
        <w:tab/>
      </w:r>
    </w:p>
    <w:p w14:paraId="088A6008">
      <w:pPr>
        <w:spacing w:line="420" w:lineRule="exact"/>
        <w:ind w:firstLine="420" w:firstLineChars="175"/>
        <w:rPr>
          <w:rFonts w:hint="eastAsia" w:ascii="宋体" w:hAnsi="宋体" w:eastAsia="宋体" w:cs="宋体"/>
          <w:color w:val="auto"/>
          <w:sz w:val="24"/>
          <w:lang w:eastAsia="zh-CN"/>
        </w:rPr>
      </w:pPr>
      <w:r>
        <w:rPr>
          <w:rFonts w:hint="eastAsia" w:ascii="宋体" w:hAnsi="宋体" w:cs="宋体"/>
          <w:color w:val="auto"/>
          <w:sz w:val="24"/>
        </w:rPr>
        <w:t>采购编号：</w:t>
      </w:r>
      <w:r>
        <w:rPr>
          <w:rFonts w:hint="eastAsia" w:ascii="宋体" w:hAnsi="宋体" w:cs="宋体"/>
          <w:color w:val="auto"/>
          <w:sz w:val="24"/>
          <w:lang w:eastAsia="zh-CN"/>
        </w:rPr>
        <w:t>LBZC2025-C3-220034-GXXH</w:t>
      </w:r>
    </w:p>
    <w:p w14:paraId="16364D13">
      <w:pPr>
        <w:spacing w:line="420" w:lineRule="exact"/>
        <w:ind w:firstLine="420" w:firstLineChars="175"/>
        <w:rPr>
          <w:rFonts w:ascii="宋体" w:hAnsi="宋体" w:cs="宋体"/>
          <w:color w:val="auto"/>
          <w:sz w:val="24"/>
        </w:rPr>
      </w:pPr>
      <w:r>
        <w:rPr>
          <w:rFonts w:hint="eastAsia" w:ascii="宋体" w:hAnsi="宋体" w:cs="宋体"/>
          <w:color w:val="auto"/>
          <w:sz w:val="24"/>
        </w:rPr>
        <w:t>1.2 本竞争性磋商文件（以下简称磋商文件）适用于本磋商项目的磋商、评审、合同履约、验收、付款等行为（法律法规另有规定的，从其规定）。</w:t>
      </w:r>
    </w:p>
    <w:p w14:paraId="145EE429">
      <w:pPr>
        <w:spacing w:line="420" w:lineRule="exact"/>
        <w:ind w:firstLine="422" w:firstLineChars="175"/>
        <w:rPr>
          <w:rFonts w:ascii="宋体" w:hAnsi="宋体" w:cs="宋体"/>
          <w:b/>
          <w:color w:val="auto"/>
          <w:sz w:val="24"/>
        </w:rPr>
      </w:pPr>
      <w:r>
        <w:rPr>
          <w:rFonts w:hint="eastAsia" w:ascii="宋体" w:hAnsi="宋体" w:cs="宋体"/>
          <w:b/>
          <w:color w:val="auto"/>
          <w:sz w:val="24"/>
        </w:rPr>
        <w:t>2.定义</w:t>
      </w:r>
    </w:p>
    <w:p w14:paraId="6CA663F2">
      <w:pPr>
        <w:spacing w:line="420" w:lineRule="exact"/>
        <w:ind w:firstLine="420" w:firstLineChars="175"/>
        <w:rPr>
          <w:rFonts w:ascii="宋体" w:hAnsi="宋体" w:cs="宋体"/>
          <w:color w:val="auto"/>
          <w:sz w:val="24"/>
        </w:rPr>
      </w:pPr>
      <w:r>
        <w:rPr>
          <w:rFonts w:hint="eastAsia" w:ascii="宋体" w:hAnsi="宋体" w:cs="宋体"/>
          <w:color w:val="auto"/>
          <w:sz w:val="24"/>
        </w:rPr>
        <w:t>2.1 “供应商”是指符合本次采购项目的供应商资格并提交响应文件、参加磋商的供应商。如果该供应商在本次磋商中成交，即成为“成交供应商”。</w:t>
      </w:r>
    </w:p>
    <w:p w14:paraId="5642AA71">
      <w:pPr>
        <w:spacing w:line="420" w:lineRule="exact"/>
        <w:ind w:firstLine="420" w:firstLineChars="175"/>
        <w:rPr>
          <w:rFonts w:ascii="宋体" w:hAnsi="宋体" w:cs="宋体"/>
          <w:color w:val="auto"/>
          <w:sz w:val="24"/>
        </w:rPr>
      </w:pPr>
      <w:r>
        <w:rPr>
          <w:rFonts w:hint="eastAsia" w:ascii="宋体" w:hAnsi="宋体" w:cs="宋体"/>
          <w:color w:val="auto"/>
          <w:sz w:val="24"/>
        </w:rPr>
        <w:t>2.2 “服务”系指按磋商文件规定，供应商须承担的安装、调试、技术协助、校准、培训、技术指导以及其他类似的义务。</w:t>
      </w:r>
    </w:p>
    <w:p w14:paraId="56E4B7D6">
      <w:pPr>
        <w:spacing w:line="420" w:lineRule="exact"/>
        <w:ind w:firstLine="420" w:firstLineChars="175"/>
        <w:rPr>
          <w:rFonts w:ascii="宋体" w:hAnsi="宋体" w:cs="宋体"/>
          <w:color w:val="auto"/>
          <w:sz w:val="24"/>
        </w:rPr>
      </w:pPr>
      <w:r>
        <w:rPr>
          <w:rFonts w:hint="eastAsia" w:ascii="宋体" w:hAnsi="宋体" w:cs="宋体"/>
          <w:color w:val="auto"/>
          <w:sz w:val="24"/>
        </w:rPr>
        <w:t>2.3 “项目”系指供应商按磋商文件规定向采购人提供的货物、工程和服务。</w:t>
      </w:r>
    </w:p>
    <w:p w14:paraId="0EC0115E">
      <w:pPr>
        <w:spacing w:line="420" w:lineRule="exact"/>
        <w:ind w:firstLine="420" w:firstLineChars="175"/>
        <w:rPr>
          <w:rFonts w:ascii="宋体" w:hAnsi="宋体" w:cs="宋体"/>
          <w:color w:val="auto"/>
          <w:sz w:val="24"/>
        </w:rPr>
      </w:pPr>
      <w:r>
        <w:rPr>
          <w:rFonts w:hint="eastAsia" w:ascii="宋体" w:hAnsi="宋体" w:cs="宋体"/>
          <w:color w:val="auto"/>
          <w:sz w:val="24"/>
        </w:rPr>
        <w:t>2.4 “书面形式”包括信函、传真、电报等。</w:t>
      </w:r>
    </w:p>
    <w:p w14:paraId="79792170">
      <w:pPr>
        <w:spacing w:line="420" w:lineRule="exact"/>
        <w:ind w:firstLine="422" w:firstLineChars="175"/>
        <w:rPr>
          <w:rFonts w:ascii="宋体" w:hAnsi="宋体" w:cs="宋体"/>
          <w:b/>
          <w:color w:val="auto"/>
          <w:sz w:val="24"/>
        </w:rPr>
      </w:pPr>
      <w:r>
        <w:rPr>
          <w:rFonts w:hint="eastAsia" w:ascii="宋体" w:hAnsi="宋体" w:cs="宋体"/>
          <w:b/>
          <w:color w:val="auto"/>
          <w:sz w:val="24"/>
        </w:rPr>
        <w:t>3.供应商资格</w:t>
      </w:r>
    </w:p>
    <w:p w14:paraId="037B5BE4">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3.1 满足《中华人民共和国政府采购法》第二十二条规定；</w:t>
      </w:r>
    </w:p>
    <w:p w14:paraId="1EFEC263">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（1）具有独立承担民事责任的能力；</w:t>
      </w:r>
    </w:p>
    <w:p w14:paraId="7AB4E4C7">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（2）具有良好的商业信誉和健全的财务会计制度；</w:t>
      </w:r>
    </w:p>
    <w:p w14:paraId="02ABC2FA">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（3）具有履行合同所必需的设备和专业技术能力；</w:t>
      </w:r>
    </w:p>
    <w:p w14:paraId="55FBB9AF">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（4）有依法缴纳税收和社会保障资金的良好记录；</w:t>
      </w:r>
    </w:p>
    <w:p w14:paraId="5923C7C1">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966AD70">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（6）诚信要求：未列入失信被执行人、重大税收违法案件当事人名单、政府采购严重违法失信行为记录名单。</w:t>
      </w:r>
    </w:p>
    <w:p w14:paraId="07E61179">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3.2 落实政府采购政策需满足的资格要求：详见竞争性磋商公告。</w:t>
      </w:r>
    </w:p>
    <w:p w14:paraId="476B4FE6">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3.3 本项目的特定资格要求：详见竞争性磋商公告</w:t>
      </w:r>
    </w:p>
    <w:p w14:paraId="651A9A26">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3.4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6D31E91">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3.5本项目不接受联合体参与磋商。</w:t>
      </w:r>
    </w:p>
    <w:p w14:paraId="7AA5DF17">
      <w:pPr>
        <w:spacing w:line="420" w:lineRule="exact"/>
        <w:ind w:firstLine="422" w:firstLineChars="175"/>
        <w:rPr>
          <w:rFonts w:ascii="宋体" w:hAnsi="宋体" w:cs="宋体"/>
          <w:b/>
          <w:color w:val="auto"/>
          <w:sz w:val="24"/>
        </w:rPr>
      </w:pPr>
      <w:r>
        <w:rPr>
          <w:rFonts w:hint="eastAsia" w:ascii="宋体" w:hAnsi="宋体" w:cs="宋体"/>
          <w:b/>
          <w:color w:val="auto"/>
          <w:sz w:val="24"/>
        </w:rPr>
        <w:t>4.磋商费用</w:t>
      </w:r>
    </w:p>
    <w:p w14:paraId="7B9D0FD9">
      <w:pPr>
        <w:tabs>
          <w:tab w:val="left" w:pos="1635"/>
        </w:tabs>
        <w:spacing w:line="420" w:lineRule="exact"/>
        <w:ind w:firstLine="420" w:firstLineChars="175"/>
        <w:rPr>
          <w:rFonts w:ascii="宋体" w:hAnsi="宋体" w:cs="宋体"/>
          <w:color w:val="auto"/>
          <w:sz w:val="24"/>
        </w:rPr>
      </w:pPr>
      <w:r>
        <w:rPr>
          <w:rFonts w:hint="eastAsia" w:ascii="宋体" w:hAnsi="宋体" w:cs="宋体"/>
          <w:color w:val="auto"/>
          <w:sz w:val="24"/>
        </w:rPr>
        <w:t>不论磋商结果如何，供应商均应自行承担所有与磋商有关的全部费用。</w:t>
      </w:r>
    </w:p>
    <w:p w14:paraId="6A8709F0">
      <w:pPr>
        <w:tabs>
          <w:tab w:val="left" w:pos="1635"/>
        </w:tabs>
        <w:spacing w:line="420" w:lineRule="exact"/>
        <w:ind w:firstLine="422" w:firstLineChars="175"/>
        <w:rPr>
          <w:rFonts w:ascii="宋体" w:hAnsi="宋体" w:cs="宋体"/>
          <w:b/>
          <w:color w:val="auto"/>
          <w:sz w:val="24"/>
        </w:rPr>
      </w:pPr>
      <w:r>
        <w:rPr>
          <w:rFonts w:hint="eastAsia" w:ascii="宋体" w:hAnsi="宋体" w:cs="宋体"/>
          <w:b/>
          <w:color w:val="auto"/>
          <w:sz w:val="24"/>
        </w:rPr>
        <w:t>5.联合体要求：</w:t>
      </w:r>
    </w:p>
    <w:p w14:paraId="2E20966D">
      <w:pPr>
        <w:spacing w:line="420" w:lineRule="exact"/>
        <w:ind w:firstLine="422" w:firstLineChars="175"/>
        <w:rPr>
          <w:rFonts w:ascii="宋体" w:hAnsi="宋体" w:cs="宋体"/>
          <w:color w:val="auto"/>
          <w:sz w:val="24"/>
        </w:rPr>
      </w:pPr>
      <w:r>
        <w:rPr>
          <w:rFonts w:hint="eastAsia" w:ascii="宋体" w:hAnsi="宋体" w:cs="宋体"/>
          <w:b/>
          <w:color w:val="auto"/>
          <w:sz w:val="24"/>
        </w:rPr>
        <w:t>本项目不接受联合体投标。</w:t>
      </w:r>
    </w:p>
    <w:p w14:paraId="4F5366A1">
      <w:pPr>
        <w:tabs>
          <w:tab w:val="left" w:pos="2190"/>
        </w:tabs>
        <w:spacing w:line="420" w:lineRule="exact"/>
        <w:ind w:firstLine="422" w:firstLineChars="175"/>
        <w:rPr>
          <w:rFonts w:ascii="宋体" w:hAnsi="宋体" w:cs="宋体"/>
          <w:b/>
          <w:color w:val="auto"/>
          <w:sz w:val="24"/>
        </w:rPr>
      </w:pPr>
      <w:r>
        <w:rPr>
          <w:rFonts w:hint="eastAsia" w:ascii="宋体" w:hAnsi="宋体" w:cs="宋体"/>
          <w:b/>
          <w:color w:val="auto"/>
          <w:sz w:val="24"/>
        </w:rPr>
        <w:t>6.质疑和投诉</w:t>
      </w:r>
      <w:r>
        <w:rPr>
          <w:rFonts w:hint="eastAsia" w:ascii="宋体" w:hAnsi="宋体" w:cs="宋体"/>
          <w:b/>
          <w:color w:val="auto"/>
          <w:sz w:val="24"/>
        </w:rPr>
        <w:tab/>
      </w:r>
    </w:p>
    <w:p w14:paraId="5310BF48">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6.1 供应商认为磋商文件使自己的合法权益受到损害的，应当在知道或者应知其权益受到损害之日起7个工作日内，以书面形式向采购代理机构提出质疑。供应商认为采购过程或成交结果使自己的合法权益受到损害的，应当在成交公告期限届满之日起七个工作日内，以书面形式向采购代理机构提出质疑。采购代理机构应认真做好质疑处理工作。</w:t>
      </w:r>
    </w:p>
    <w:p w14:paraId="0C1542C5">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接收质疑函的方式：以书面形式（原件）提交；联系部门：广西信和招标代理有限公司；</w:t>
      </w:r>
    </w:p>
    <w:p w14:paraId="4AF8B80F">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联系人：谢宇杰；联系电话：0772-2128755；通讯地址：来宾市迎宾路北443号嘉信国际写字楼13楼1301室。</w:t>
      </w:r>
    </w:p>
    <w:p w14:paraId="521B6C3C">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6.2 供应商对采购代理机构的质疑答复不满意或者采购代理机构未在规定的时间内作出答复的，可以在答复期满后十五个工作日内向同级政府采购监督管理机构投诉。</w:t>
      </w:r>
    </w:p>
    <w:p w14:paraId="59913E1F">
      <w:pPr>
        <w:snapToGrid w:val="0"/>
        <w:spacing w:line="420" w:lineRule="exact"/>
        <w:ind w:firstLine="420" w:firstLineChars="175"/>
        <w:rPr>
          <w:rFonts w:ascii="宋体" w:hAnsi="宋体" w:cs="宋体"/>
          <w:color w:val="auto"/>
          <w:sz w:val="24"/>
        </w:rPr>
      </w:pPr>
      <w:r>
        <w:rPr>
          <w:rFonts w:hint="eastAsia" w:ascii="宋体" w:hAnsi="宋体" w:cs="宋体"/>
          <w:color w:val="auto"/>
          <w:sz w:val="24"/>
        </w:rPr>
        <w:t>6.3 质疑、投诉应当采用书面形式，质疑书、投诉书实行实名制，均应明确阐述磋商文件、响应过程或成交结果中使自己合法权益受到损害的实质性内容，并提供必要的证明材料。</w:t>
      </w:r>
    </w:p>
    <w:p w14:paraId="5CA8A0BE">
      <w:pPr>
        <w:tabs>
          <w:tab w:val="left" w:pos="2190"/>
        </w:tabs>
        <w:spacing w:line="420" w:lineRule="exact"/>
        <w:ind w:firstLine="422" w:firstLineChars="175"/>
        <w:rPr>
          <w:rFonts w:ascii="宋体" w:hAnsi="宋体" w:cs="宋体"/>
          <w:b/>
          <w:color w:val="auto"/>
          <w:sz w:val="24"/>
        </w:rPr>
      </w:pPr>
      <w:r>
        <w:rPr>
          <w:rFonts w:hint="eastAsia" w:ascii="宋体" w:hAnsi="宋体" w:cs="宋体"/>
          <w:b/>
          <w:color w:val="auto"/>
          <w:sz w:val="24"/>
        </w:rPr>
        <w:t>7.转包与分包</w:t>
      </w:r>
    </w:p>
    <w:p w14:paraId="07980C27">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7.1 本项目不允许转包。</w:t>
      </w:r>
    </w:p>
    <w:p w14:paraId="3334D469">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7.2 本项目不可以分包。</w:t>
      </w:r>
    </w:p>
    <w:p w14:paraId="6EC8C4BF">
      <w:pPr>
        <w:tabs>
          <w:tab w:val="left" w:pos="2190"/>
        </w:tabs>
        <w:spacing w:line="420" w:lineRule="exact"/>
        <w:ind w:firstLine="422" w:firstLineChars="175"/>
        <w:rPr>
          <w:rFonts w:ascii="宋体" w:hAnsi="宋体" w:cs="宋体"/>
          <w:b/>
          <w:color w:val="auto"/>
          <w:sz w:val="24"/>
        </w:rPr>
      </w:pPr>
      <w:r>
        <w:rPr>
          <w:rFonts w:hint="eastAsia" w:ascii="宋体" w:hAnsi="宋体" w:cs="宋体"/>
          <w:b/>
          <w:color w:val="auto"/>
          <w:sz w:val="24"/>
        </w:rPr>
        <w:t>8.特别说明</w:t>
      </w:r>
    </w:p>
    <w:p w14:paraId="1A26C57A">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单位负责人为同一人或者存在直接控股、管理关系的，不得参加同一项目的磋商，否则，响应无效。</w:t>
      </w:r>
    </w:p>
    <w:p w14:paraId="38D00A82">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为本采购项目提供整体设计、规范编制或者项目管理、监理、检测等服务的供应商，不得再参加该采购项目的其他采购活动，否则响应无效。</w:t>
      </w:r>
    </w:p>
    <w:p w14:paraId="194FD12D">
      <w:pPr>
        <w:tabs>
          <w:tab w:val="left" w:pos="2190"/>
        </w:tabs>
        <w:spacing w:line="420" w:lineRule="exact"/>
        <w:ind w:firstLine="422" w:firstLineChars="175"/>
        <w:jc w:val="center"/>
        <w:outlineLvl w:val="1"/>
        <w:rPr>
          <w:rFonts w:ascii="宋体" w:hAnsi="宋体" w:cs="宋体"/>
          <w:b/>
          <w:color w:val="auto"/>
          <w:sz w:val="24"/>
        </w:rPr>
      </w:pPr>
      <w:bookmarkStart w:id="75" w:name="_Toc7184"/>
      <w:bookmarkStart w:id="76" w:name="_Toc14656"/>
      <w:bookmarkStart w:id="77" w:name="_Toc28642"/>
      <w:bookmarkStart w:id="78" w:name="_Toc452364065"/>
      <w:bookmarkStart w:id="79" w:name="_Toc3764"/>
      <w:bookmarkStart w:id="80" w:name="_Toc4323"/>
      <w:bookmarkStart w:id="81" w:name="_Toc25257"/>
      <w:bookmarkStart w:id="82" w:name="_Toc24118"/>
      <w:bookmarkStart w:id="83" w:name="_Toc23468"/>
      <w:bookmarkStart w:id="84" w:name="_Toc6065"/>
      <w:bookmarkStart w:id="85" w:name="_Toc6450"/>
      <w:bookmarkStart w:id="86" w:name="_Toc25830"/>
      <w:bookmarkStart w:id="87" w:name="_Toc30867"/>
      <w:bookmarkStart w:id="88" w:name="_Toc24887"/>
      <w:bookmarkStart w:id="89" w:name="_Toc32567"/>
      <w:bookmarkStart w:id="90" w:name="_Toc1331"/>
      <w:bookmarkStart w:id="91" w:name="_Toc12112"/>
      <w:bookmarkStart w:id="92" w:name="_Toc30358"/>
      <w:bookmarkStart w:id="93" w:name="_Toc7522"/>
      <w:bookmarkStart w:id="94" w:name="_Toc5277"/>
      <w:bookmarkStart w:id="95" w:name="_Toc1569"/>
      <w:bookmarkStart w:id="96" w:name="_Toc27259"/>
      <w:r>
        <w:rPr>
          <w:rFonts w:hint="eastAsia" w:ascii="宋体" w:hAnsi="宋体" w:cs="宋体"/>
          <w:b/>
          <w:color w:val="auto"/>
          <w:sz w:val="24"/>
        </w:rPr>
        <w:t>二、磋商文件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4AB7652">
      <w:pPr>
        <w:tabs>
          <w:tab w:val="left" w:pos="2190"/>
        </w:tabs>
        <w:spacing w:line="420" w:lineRule="exact"/>
        <w:ind w:firstLine="422" w:firstLineChars="175"/>
        <w:rPr>
          <w:rFonts w:ascii="宋体" w:hAnsi="宋体" w:cs="宋体"/>
          <w:b/>
          <w:color w:val="auto"/>
          <w:sz w:val="24"/>
        </w:rPr>
      </w:pPr>
      <w:r>
        <w:rPr>
          <w:rFonts w:hint="eastAsia" w:ascii="宋体" w:hAnsi="宋体" w:cs="宋体"/>
          <w:b/>
          <w:color w:val="auto"/>
          <w:sz w:val="24"/>
        </w:rPr>
        <w:t>9.磋商文件的构成</w:t>
      </w:r>
    </w:p>
    <w:p w14:paraId="21D0FD92">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（1）竞争性磋商公告；</w:t>
      </w:r>
    </w:p>
    <w:p w14:paraId="662ACBCC">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（2）供应商须知；</w:t>
      </w:r>
    </w:p>
    <w:p w14:paraId="6EC87D9F">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（3）项目需求；</w:t>
      </w:r>
    </w:p>
    <w:p w14:paraId="1CC67AAF">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（4）评审办法；</w:t>
      </w:r>
    </w:p>
    <w:p w14:paraId="2AD0C2A5">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（5）采购合同（合同主要条款及格式）；</w:t>
      </w:r>
    </w:p>
    <w:p w14:paraId="392B2674">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（6）响应文件（格式）；</w:t>
      </w:r>
    </w:p>
    <w:p w14:paraId="68103254">
      <w:pPr>
        <w:tabs>
          <w:tab w:val="left" w:pos="2190"/>
        </w:tabs>
        <w:spacing w:line="420" w:lineRule="exact"/>
        <w:ind w:firstLine="422" w:firstLineChars="175"/>
        <w:rPr>
          <w:rFonts w:ascii="宋体" w:hAnsi="宋体" w:cs="宋体"/>
          <w:b/>
          <w:color w:val="auto"/>
          <w:sz w:val="24"/>
        </w:rPr>
      </w:pPr>
      <w:r>
        <w:rPr>
          <w:rFonts w:hint="eastAsia" w:ascii="宋体" w:hAnsi="宋体" w:cs="宋体"/>
          <w:b/>
          <w:color w:val="auto"/>
          <w:sz w:val="24"/>
        </w:rPr>
        <w:t>10.磋商文件的澄清与修改</w:t>
      </w:r>
    </w:p>
    <w:p w14:paraId="32F2E0D2">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10.1 采购代理机构对已发出的磋商文件进行必要澄清、答复、修改或补充的，应当在响应文件递交截止时间5日前在本项目竞争性磋商公告发布的同一媒体上发布更正公告，并以书面形式通知所有的磋商文件收受人，不足5日的，应当顺延提交首次响应文件截止时间。</w:t>
      </w:r>
    </w:p>
    <w:p w14:paraId="0E536754">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10.2 澄清、答复、修改、补充的内容为磋商文件的组成部分。当澄清、答复、修改、补充通知就同一内容的表述不一致时，以最后发出的书面文件为准。</w:t>
      </w:r>
    </w:p>
    <w:p w14:paraId="6CB36426">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10.3 磋商文件的澄清、答复、修改或补充都应该通过本项目采购代理机构以法定形式发布，采购人非通过本机构，不得擅自澄清、答复、修改或补充磋商文件。</w:t>
      </w:r>
    </w:p>
    <w:p w14:paraId="7A0C08ED">
      <w:pPr>
        <w:tabs>
          <w:tab w:val="left" w:pos="2190"/>
        </w:tabs>
        <w:spacing w:line="420" w:lineRule="exact"/>
        <w:ind w:firstLine="420" w:firstLineChars="175"/>
        <w:rPr>
          <w:rFonts w:ascii="宋体" w:hAnsi="宋体" w:cs="宋体"/>
          <w:color w:val="auto"/>
          <w:sz w:val="24"/>
        </w:rPr>
      </w:pPr>
      <w:r>
        <w:rPr>
          <w:rFonts w:hint="eastAsia" w:ascii="宋体" w:hAnsi="宋体" w:cs="宋体"/>
          <w:color w:val="auto"/>
          <w:sz w:val="24"/>
        </w:rPr>
        <w:t>10.4 采购代理机构可以视采购具体情况，延长响应文件递交截止时间和磋商时间，并将变更时间书面通知所有购买磋商文件收受人，在本项目竞争性磋商公告发布的同一媒体上发布变更公告。</w:t>
      </w:r>
    </w:p>
    <w:p w14:paraId="4FD19404">
      <w:pPr>
        <w:tabs>
          <w:tab w:val="left" w:pos="2190"/>
        </w:tabs>
        <w:spacing w:line="420" w:lineRule="exact"/>
        <w:ind w:firstLine="422" w:firstLineChars="175"/>
        <w:jc w:val="center"/>
        <w:outlineLvl w:val="1"/>
        <w:rPr>
          <w:rFonts w:ascii="宋体" w:hAnsi="宋体" w:cs="宋体"/>
          <w:b/>
          <w:color w:val="auto"/>
          <w:sz w:val="24"/>
        </w:rPr>
      </w:pPr>
      <w:bookmarkStart w:id="97" w:name="_Toc13891"/>
      <w:bookmarkStart w:id="98" w:name="_Toc31284"/>
      <w:bookmarkStart w:id="99" w:name="_Toc12184"/>
      <w:bookmarkStart w:id="100" w:name="_Toc9873"/>
      <w:bookmarkStart w:id="101" w:name="_Toc8181"/>
      <w:bookmarkStart w:id="102" w:name="_Toc452364066"/>
      <w:bookmarkStart w:id="103" w:name="_Toc28349"/>
      <w:bookmarkStart w:id="104" w:name="_Toc15000"/>
      <w:bookmarkStart w:id="105" w:name="_Toc24922"/>
      <w:bookmarkStart w:id="106" w:name="_Toc19218"/>
      <w:bookmarkStart w:id="107" w:name="_Toc3935"/>
      <w:bookmarkStart w:id="108" w:name="_Toc18541"/>
      <w:bookmarkStart w:id="109" w:name="_Toc24671"/>
      <w:bookmarkStart w:id="110" w:name="_Toc11205"/>
      <w:bookmarkStart w:id="111" w:name="_Toc13656"/>
      <w:bookmarkStart w:id="112" w:name="_Toc9097"/>
      <w:bookmarkStart w:id="113" w:name="_Toc6721"/>
      <w:bookmarkStart w:id="114" w:name="_Toc16033"/>
      <w:bookmarkStart w:id="115" w:name="_Toc6595"/>
      <w:bookmarkStart w:id="116" w:name="_Toc25709"/>
      <w:bookmarkStart w:id="117" w:name="_Toc17254"/>
      <w:bookmarkStart w:id="118" w:name="_Toc22816"/>
      <w:r>
        <w:rPr>
          <w:rFonts w:hint="eastAsia" w:ascii="宋体" w:hAnsi="宋体" w:cs="宋体"/>
          <w:b/>
          <w:color w:val="auto"/>
          <w:sz w:val="24"/>
        </w:rPr>
        <w:t>三、竞争性磋商响应文件的编制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EA82C98">
      <w:pPr>
        <w:tabs>
          <w:tab w:val="left" w:pos="2190"/>
        </w:tabs>
        <w:spacing w:line="400" w:lineRule="exact"/>
        <w:ind w:firstLine="422" w:firstLineChars="175"/>
        <w:rPr>
          <w:rFonts w:ascii="宋体" w:hAnsi="宋体" w:cs="宋体"/>
          <w:b/>
          <w:color w:val="auto"/>
          <w:sz w:val="24"/>
        </w:rPr>
      </w:pPr>
      <w:r>
        <w:rPr>
          <w:rFonts w:hint="eastAsia" w:ascii="宋体" w:hAnsi="宋体" w:cs="宋体"/>
          <w:b/>
          <w:color w:val="auto"/>
          <w:sz w:val="24"/>
        </w:rPr>
        <w:t>11.竞争性磋商响应文件（以下简称响应文件）的组成及要求</w:t>
      </w:r>
      <w:r>
        <w:rPr>
          <w:rFonts w:hint="eastAsia" w:ascii="宋体" w:hAnsi="宋体" w:cs="宋体"/>
          <w:b/>
          <w:color w:val="auto"/>
          <w:sz w:val="24"/>
          <w:szCs w:val="32"/>
        </w:rPr>
        <w:t>（标项一、标项二相同）</w:t>
      </w:r>
    </w:p>
    <w:p w14:paraId="064DA78C">
      <w:pPr>
        <w:snapToGrid w:val="0"/>
        <w:spacing w:line="400" w:lineRule="exact"/>
        <w:ind w:firstLine="422" w:firstLineChars="175"/>
        <w:jc w:val="left"/>
        <w:rPr>
          <w:rFonts w:ascii="宋体" w:hAnsi="宋体" w:cs="宋体"/>
          <w:b/>
          <w:color w:val="auto"/>
          <w:sz w:val="24"/>
        </w:rPr>
      </w:pPr>
      <w:r>
        <w:rPr>
          <w:rFonts w:hint="eastAsia" w:ascii="宋体" w:hAnsi="宋体" w:cs="宋体"/>
          <w:b/>
          <w:color w:val="auto"/>
          <w:sz w:val="24"/>
        </w:rPr>
        <w:t>响应文件组成【格式见第六章“响应文件（格式）”，要求“必须提供”的内容必须在响应文件中提交，否则竞标无效。同时请在提供的材料上加盖供应商CA电子签章。】响应文件由资格证明文件、报价文件、商务技术文件组成。</w:t>
      </w:r>
    </w:p>
    <w:p w14:paraId="5F84B985">
      <w:pPr>
        <w:tabs>
          <w:tab w:val="left" w:pos="3870"/>
          <w:tab w:val="left" w:pos="4085"/>
        </w:tabs>
        <w:snapToGrid w:val="0"/>
        <w:spacing w:line="400" w:lineRule="exact"/>
        <w:ind w:firstLine="422" w:firstLineChars="175"/>
        <w:jc w:val="left"/>
        <w:rPr>
          <w:rFonts w:ascii="宋体" w:hAnsi="宋体" w:cs="宋体"/>
          <w:b/>
          <w:bCs/>
          <w:color w:val="auto"/>
          <w:sz w:val="24"/>
        </w:rPr>
      </w:pPr>
      <w:r>
        <w:rPr>
          <w:rFonts w:hint="eastAsia" w:ascii="宋体" w:hAnsi="宋体" w:cs="宋体"/>
          <w:b/>
          <w:bCs/>
          <w:color w:val="auto"/>
          <w:sz w:val="24"/>
        </w:rPr>
        <w:t xml:space="preserve">11.1资格证明文件 </w:t>
      </w:r>
    </w:p>
    <w:p w14:paraId="4EABCD7D">
      <w:pPr>
        <w:tabs>
          <w:tab w:val="left" w:pos="3870"/>
          <w:tab w:val="left" w:pos="4085"/>
        </w:tabs>
        <w:snapToGrid w:val="0"/>
        <w:spacing w:line="400" w:lineRule="exact"/>
        <w:ind w:firstLine="422" w:firstLineChars="175"/>
        <w:jc w:val="left"/>
        <w:rPr>
          <w:rFonts w:ascii="宋体" w:hAnsi="宋体" w:cs="宋体"/>
          <w:b/>
          <w:bCs/>
          <w:color w:val="auto"/>
          <w:sz w:val="24"/>
        </w:rPr>
      </w:pPr>
      <w:r>
        <w:rPr>
          <w:rFonts w:hint="eastAsia" w:ascii="宋体" w:hAnsi="宋体" w:cs="宋体"/>
          <w:b/>
          <w:bCs/>
          <w:color w:val="auto"/>
          <w:sz w:val="24"/>
        </w:rPr>
        <w:t>▲注：以下各项均要加盖磋商供应商</w:t>
      </w:r>
      <w:r>
        <w:rPr>
          <w:rFonts w:hint="eastAsia" w:ascii="宋体" w:hAnsi="宋体" w:cs="宋体"/>
          <w:b/>
          <w:color w:val="auto"/>
          <w:sz w:val="24"/>
        </w:rPr>
        <w:t>CA电子签章</w:t>
      </w:r>
      <w:r>
        <w:rPr>
          <w:rFonts w:hint="eastAsia" w:ascii="宋体" w:hAnsi="宋体" w:cs="宋体"/>
          <w:b/>
          <w:bCs/>
          <w:color w:val="auto"/>
          <w:sz w:val="24"/>
        </w:rPr>
        <w:t>，且要求由法定代表人（负责人、自然人）或委托代理人签字（或加盖CA电子签字章）的须按要求签字或加盖CA电子签字章，否则其投标无效。</w:t>
      </w:r>
    </w:p>
    <w:p w14:paraId="1078FC55">
      <w:pPr>
        <w:tabs>
          <w:tab w:val="left" w:pos="3870"/>
          <w:tab w:val="left" w:pos="4085"/>
        </w:tabs>
        <w:snapToGrid w:val="0"/>
        <w:spacing w:line="400" w:lineRule="exact"/>
        <w:ind w:firstLine="420" w:firstLineChars="175"/>
        <w:jc w:val="left"/>
        <w:rPr>
          <w:rFonts w:ascii="宋体" w:hAnsi="宋体" w:cs="宋体"/>
          <w:color w:val="auto"/>
          <w:sz w:val="24"/>
        </w:rPr>
      </w:pPr>
      <w:r>
        <w:rPr>
          <w:rFonts w:hint="eastAsia" w:ascii="宋体" w:hAnsi="宋体" w:cs="宋体"/>
          <w:color w:val="auto"/>
          <w:sz w:val="24"/>
        </w:rPr>
        <w:t>（1）磋商声明书；（格式见第六章，</w:t>
      </w:r>
      <w:r>
        <w:rPr>
          <w:rFonts w:hint="eastAsia" w:ascii="宋体" w:hAnsi="宋体" w:cs="宋体"/>
          <w:b/>
          <w:bCs/>
          <w:color w:val="auto"/>
          <w:sz w:val="24"/>
        </w:rPr>
        <w:t>必须提供，否则响应文件按无效响应处理</w:t>
      </w:r>
      <w:r>
        <w:rPr>
          <w:rFonts w:hint="eastAsia" w:ascii="宋体" w:hAnsi="宋体" w:cs="宋体"/>
          <w:color w:val="auto"/>
          <w:sz w:val="24"/>
        </w:rPr>
        <w:t>）</w:t>
      </w:r>
    </w:p>
    <w:p w14:paraId="1C17AFC5">
      <w:pPr>
        <w:spacing w:line="400" w:lineRule="exact"/>
        <w:ind w:firstLine="420" w:firstLineChars="175"/>
        <w:rPr>
          <w:rFonts w:ascii="宋体" w:hAnsi="宋体" w:cs="宋体"/>
          <w:color w:val="auto"/>
          <w:sz w:val="24"/>
        </w:rPr>
      </w:pPr>
      <w:r>
        <w:rPr>
          <w:rFonts w:hint="eastAsia" w:ascii="宋体" w:hAnsi="宋体" w:cs="宋体"/>
          <w:color w:val="auto"/>
          <w:sz w:val="24"/>
        </w:rPr>
        <w:t>（2）营业执照(或事业法人登记证或其他工商等登记证明材料)复印件（供应商为自然人的，提供自然人的身份证明）；（</w:t>
      </w:r>
      <w:r>
        <w:rPr>
          <w:rFonts w:hint="eastAsia" w:ascii="宋体" w:hAnsi="宋体" w:cs="宋体"/>
          <w:b/>
          <w:bCs/>
          <w:color w:val="auto"/>
          <w:sz w:val="24"/>
        </w:rPr>
        <w:t>必须提供</w:t>
      </w:r>
      <w:r>
        <w:rPr>
          <w:rFonts w:hint="eastAsia" w:ascii="宋体" w:hAnsi="宋体" w:cs="宋体"/>
          <w:color w:val="auto"/>
          <w:sz w:val="24"/>
        </w:rPr>
        <w:t>）</w:t>
      </w:r>
    </w:p>
    <w:p w14:paraId="14D29077">
      <w:pPr>
        <w:tabs>
          <w:tab w:val="left" w:pos="3870"/>
          <w:tab w:val="left" w:pos="4085"/>
        </w:tabs>
        <w:snapToGrid w:val="0"/>
        <w:spacing w:line="400" w:lineRule="exact"/>
        <w:ind w:firstLine="420" w:firstLineChars="175"/>
        <w:jc w:val="left"/>
        <w:rPr>
          <w:rFonts w:ascii="宋体" w:hAnsi="宋体" w:cs="宋体"/>
          <w:color w:val="auto"/>
          <w:sz w:val="24"/>
        </w:rPr>
      </w:pPr>
      <w:r>
        <w:rPr>
          <w:rFonts w:hint="eastAsia" w:ascii="宋体" w:hAnsi="宋体" w:cs="宋体"/>
          <w:color w:val="auto"/>
          <w:sz w:val="24"/>
        </w:rPr>
        <w:t>（3）政府采购供应商资格信用承诺函；（格式见第六章，</w:t>
      </w:r>
      <w:r>
        <w:rPr>
          <w:rFonts w:hint="eastAsia" w:ascii="宋体" w:hAnsi="宋体" w:cs="宋体"/>
          <w:b/>
          <w:bCs/>
          <w:color w:val="auto"/>
          <w:sz w:val="24"/>
        </w:rPr>
        <w:t>必须提供，否则响应文件按无效响应处理</w:t>
      </w:r>
      <w:r>
        <w:rPr>
          <w:rFonts w:hint="eastAsia" w:ascii="宋体" w:hAnsi="宋体" w:cs="宋体"/>
          <w:color w:val="auto"/>
          <w:sz w:val="24"/>
        </w:rPr>
        <w:t>）</w:t>
      </w:r>
    </w:p>
    <w:p w14:paraId="38F352D5">
      <w:pPr>
        <w:tabs>
          <w:tab w:val="left" w:pos="3870"/>
          <w:tab w:val="left" w:pos="4085"/>
        </w:tabs>
        <w:snapToGrid w:val="0"/>
        <w:spacing w:line="400" w:lineRule="exact"/>
        <w:ind w:firstLine="420" w:firstLineChars="175"/>
        <w:jc w:val="left"/>
        <w:rPr>
          <w:rFonts w:ascii="宋体" w:hAnsi="宋体" w:cs="宋体"/>
          <w:color w:val="auto"/>
          <w:sz w:val="24"/>
        </w:rPr>
      </w:pPr>
      <w:r>
        <w:rPr>
          <w:rFonts w:hint="eastAsia" w:ascii="宋体" w:hAnsi="宋体" w:cs="宋体"/>
          <w:color w:val="auto"/>
          <w:sz w:val="24"/>
        </w:rPr>
        <w:t>（4）供应商控股及管理关系情况申报表；（格式见第六章，</w:t>
      </w:r>
      <w:r>
        <w:rPr>
          <w:rFonts w:hint="eastAsia" w:ascii="宋体" w:hAnsi="宋体" w:cs="宋体"/>
          <w:b/>
          <w:bCs/>
          <w:color w:val="auto"/>
          <w:sz w:val="24"/>
        </w:rPr>
        <w:t>必须提供，否则响应文件按无效响应处理</w:t>
      </w:r>
      <w:r>
        <w:rPr>
          <w:rFonts w:hint="eastAsia" w:ascii="宋体" w:hAnsi="宋体" w:cs="宋体"/>
          <w:color w:val="auto"/>
          <w:sz w:val="24"/>
        </w:rPr>
        <w:t>）</w:t>
      </w:r>
    </w:p>
    <w:p w14:paraId="1E4FB36A">
      <w:pPr>
        <w:spacing w:line="400" w:lineRule="exact"/>
        <w:ind w:firstLine="420" w:firstLineChars="175"/>
        <w:rPr>
          <w:rFonts w:ascii="宋体" w:hAnsi="宋体" w:cs="宋体"/>
          <w:color w:val="auto"/>
          <w:sz w:val="24"/>
        </w:rPr>
      </w:pPr>
      <w:r>
        <w:rPr>
          <w:rFonts w:hint="eastAsia" w:ascii="宋体" w:hAnsi="宋体" w:cs="宋体"/>
          <w:color w:val="auto"/>
          <w:sz w:val="24"/>
        </w:rPr>
        <w:t>（5）供应商根据竞争性磋商公告对应的特定资格要求及特定条件设置须提供的资格证明材料：</w:t>
      </w:r>
    </w:p>
    <w:p w14:paraId="197325A8">
      <w:pPr>
        <w:numPr>
          <w:ilvl w:val="0"/>
          <w:numId w:val="1"/>
        </w:numPr>
        <w:spacing w:line="400" w:lineRule="exact"/>
        <w:ind w:firstLine="420" w:firstLineChars="175"/>
        <w:rPr>
          <w:rFonts w:ascii="宋体" w:hAnsi="宋体" w:cs="宋体"/>
          <w:color w:val="auto"/>
          <w:sz w:val="24"/>
        </w:rPr>
      </w:pPr>
      <w:r>
        <w:rPr>
          <w:rFonts w:hint="eastAsia" w:ascii="宋体" w:hAnsi="宋体" w:cs="宋体"/>
          <w:color w:val="auto"/>
          <w:sz w:val="24"/>
        </w:rPr>
        <w:t>具有有效的律师事务所执业许可证；</w:t>
      </w:r>
    </w:p>
    <w:p w14:paraId="558B6482">
      <w:pPr>
        <w:numPr>
          <w:ilvl w:val="0"/>
          <w:numId w:val="1"/>
        </w:numPr>
        <w:spacing w:line="400" w:lineRule="exact"/>
        <w:ind w:firstLine="420" w:firstLineChars="175"/>
        <w:rPr>
          <w:rFonts w:ascii="宋体" w:hAnsi="宋体" w:cs="宋体"/>
          <w:color w:val="auto"/>
          <w:sz w:val="24"/>
        </w:rPr>
      </w:pPr>
      <w:r>
        <w:rPr>
          <w:rFonts w:hint="eastAsia" w:ascii="宋体" w:hAnsi="宋体" w:cs="宋体"/>
          <w:color w:val="auto"/>
          <w:sz w:val="24"/>
        </w:rPr>
        <w:t>拟投入本服务项目的负责人具有律师执业证；</w:t>
      </w:r>
    </w:p>
    <w:p w14:paraId="5CF8F672">
      <w:pPr>
        <w:numPr>
          <w:ilvl w:val="0"/>
          <w:numId w:val="1"/>
        </w:numPr>
        <w:spacing w:line="400" w:lineRule="exact"/>
        <w:ind w:firstLine="420" w:firstLineChars="175"/>
        <w:rPr>
          <w:color w:val="auto"/>
          <w:sz w:val="24"/>
        </w:rPr>
      </w:pPr>
      <w:r>
        <w:rPr>
          <w:rFonts w:hint="eastAsia" w:ascii="宋体" w:hAnsi="宋体" w:cs="宋体"/>
          <w:color w:val="auto"/>
          <w:sz w:val="24"/>
        </w:rPr>
        <w:t>近三年内未收到司法行政主管部门的行政处罚或律师行业协会的处分；（</w:t>
      </w:r>
      <w:r>
        <w:rPr>
          <w:rFonts w:hint="eastAsia" w:ascii="宋体" w:hAnsi="宋体" w:cs="宋体"/>
          <w:b/>
          <w:bCs/>
          <w:color w:val="auto"/>
          <w:sz w:val="24"/>
        </w:rPr>
        <w:t>①、②必须提供真实有效证明文件，③无证明文件的须提供承诺函，否则响应文件按无效响应处理。</w:t>
      </w:r>
      <w:r>
        <w:rPr>
          <w:rFonts w:hint="eastAsia" w:ascii="宋体" w:hAnsi="宋体" w:cs="宋体"/>
          <w:color w:val="auto"/>
          <w:sz w:val="24"/>
        </w:rPr>
        <w:t>）</w:t>
      </w:r>
    </w:p>
    <w:p w14:paraId="179F73D8">
      <w:pPr>
        <w:tabs>
          <w:tab w:val="left" w:pos="3870"/>
          <w:tab w:val="left" w:pos="4085"/>
        </w:tabs>
        <w:snapToGrid w:val="0"/>
        <w:spacing w:line="400" w:lineRule="exact"/>
        <w:ind w:firstLine="420" w:firstLineChars="175"/>
        <w:jc w:val="left"/>
        <w:rPr>
          <w:rFonts w:ascii="宋体" w:hAnsi="宋体" w:cs="宋体"/>
          <w:color w:val="auto"/>
          <w:sz w:val="24"/>
        </w:rPr>
      </w:pPr>
      <w:r>
        <w:rPr>
          <w:rFonts w:hint="eastAsia" w:ascii="宋体" w:hAnsi="宋体" w:cs="宋体"/>
          <w:color w:val="auto"/>
          <w:sz w:val="24"/>
        </w:rPr>
        <w:t>（5）供应商如为分支机构投标的，须提供其总公司“营业执照”副本复印件和总公司对供应商的授权书复印件。（如有，请提供）</w:t>
      </w:r>
    </w:p>
    <w:p w14:paraId="4DBED8DC">
      <w:pPr>
        <w:snapToGrid w:val="0"/>
        <w:spacing w:line="360" w:lineRule="auto"/>
        <w:ind w:firstLine="422" w:firstLineChars="175"/>
        <w:jc w:val="left"/>
        <w:rPr>
          <w:rFonts w:ascii="宋体" w:hAnsi="宋体" w:cs="宋体"/>
          <w:b/>
          <w:color w:val="auto"/>
          <w:sz w:val="24"/>
        </w:rPr>
      </w:pPr>
      <w:r>
        <w:rPr>
          <w:rFonts w:hint="eastAsia" w:ascii="宋体" w:hAnsi="宋体" w:cs="宋体"/>
          <w:b/>
          <w:color w:val="auto"/>
          <w:sz w:val="24"/>
        </w:rPr>
        <w:t>11.2报价文件</w:t>
      </w:r>
    </w:p>
    <w:p w14:paraId="677E9FCD">
      <w:pPr>
        <w:snapToGrid w:val="0"/>
        <w:spacing w:line="360" w:lineRule="auto"/>
        <w:ind w:firstLine="422" w:firstLineChars="175"/>
        <w:jc w:val="left"/>
        <w:rPr>
          <w:rFonts w:ascii="宋体" w:hAnsi="宋体" w:cs="宋体"/>
          <w:b/>
          <w:bCs/>
          <w:color w:val="auto"/>
          <w:sz w:val="24"/>
        </w:rPr>
      </w:pPr>
      <w:r>
        <w:rPr>
          <w:rFonts w:hint="eastAsia" w:ascii="宋体" w:hAnsi="宋体" w:cs="宋体"/>
          <w:b/>
          <w:bCs/>
          <w:color w:val="auto"/>
          <w:sz w:val="24"/>
        </w:rPr>
        <w:t>注：以下各项均加盖供应商CA 电子签章，（1）、（2）项要由法定代表人（负责人、自然人）或委托代理人签字（或加盖CA电子签字章），第（1）至第（2）项必须提供，否则其投标无效。</w:t>
      </w:r>
    </w:p>
    <w:p w14:paraId="36F4B1CD">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（1）磋商函（格式见第六章，</w:t>
      </w:r>
      <w:r>
        <w:rPr>
          <w:rFonts w:hint="eastAsia" w:ascii="宋体" w:hAnsi="宋体" w:cs="宋体"/>
          <w:b/>
          <w:bCs/>
          <w:color w:val="auto"/>
          <w:sz w:val="24"/>
        </w:rPr>
        <w:t>必须提供，否则响应文件按无效响应处理</w:t>
      </w:r>
      <w:r>
        <w:rPr>
          <w:rFonts w:hint="eastAsia" w:ascii="宋体" w:hAnsi="宋体" w:cs="宋体"/>
          <w:color w:val="auto"/>
          <w:sz w:val="24"/>
        </w:rPr>
        <w:t>）；</w:t>
      </w:r>
    </w:p>
    <w:p w14:paraId="595F8329">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（2）磋商报价表（格式见第六章，</w:t>
      </w:r>
      <w:r>
        <w:rPr>
          <w:rFonts w:hint="eastAsia" w:ascii="宋体" w:hAnsi="宋体" w:cs="宋体"/>
          <w:b/>
          <w:bCs/>
          <w:color w:val="auto"/>
          <w:sz w:val="24"/>
        </w:rPr>
        <w:t>必须提供，否则响应文件按无效响应处理</w:t>
      </w:r>
      <w:r>
        <w:rPr>
          <w:rFonts w:hint="eastAsia" w:ascii="宋体" w:hAnsi="宋体" w:cs="宋体"/>
          <w:color w:val="auto"/>
          <w:sz w:val="24"/>
        </w:rPr>
        <w:t>）；</w:t>
      </w:r>
    </w:p>
    <w:p w14:paraId="1E03092E">
      <w:pPr>
        <w:spacing w:line="400" w:lineRule="exact"/>
        <w:ind w:firstLine="420" w:firstLineChars="175"/>
        <w:rPr>
          <w:rFonts w:ascii="宋体" w:hAnsi="宋体" w:cs="宋体"/>
          <w:color w:val="auto"/>
          <w:sz w:val="24"/>
        </w:rPr>
      </w:pPr>
      <w:r>
        <w:rPr>
          <w:rFonts w:hint="eastAsia" w:ascii="宋体" w:hAnsi="宋体" w:cs="宋体"/>
          <w:color w:val="auto"/>
          <w:sz w:val="24"/>
        </w:rPr>
        <w:t>（3）</w:t>
      </w:r>
      <w:r>
        <w:rPr>
          <w:rFonts w:hint="eastAsia" w:ascii="宋体" w:hAnsi="宋体" w:cs="宋体"/>
          <w:b/>
          <w:bCs/>
          <w:color w:val="auto"/>
          <w:sz w:val="24"/>
        </w:rPr>
        <w:t>本项目属于非专门面向中小企业采购的项目，供应商如有以下证明材料可自行提供</w:t>
      </w:r>
      <w:r>
        <w:rPr>
          <w:rFonts w:hint="eastAsia" w:ascii="宋体" w:hAnsi="宋体" w:cs="宋体"/>
          <w:color w:val="auto"/>
          <w:sz w:val="24"/>
        </w:rPr>
        <w:t>：</w:t>
      </w:r>
    </w:p>
    <w:p w14:paraId="3C1116F7">
      <w:pPr>
        <w:spacing w:line="400" w:lineRule="exact"/>
        <w:ind w:firstLine="480" w:firstLineChars="200"/>
        <w:rPr>
          <w:rFonts w:ascii="宋体" w:hAnsi="宋体" w:cs="宋体"/>
          <w:color w:val="auto"/>
          <w:sz w:val="24"/>
        </w:rPr>
      </w:pPr>
      <w:r>
        <w:rPr>
          <w:rFonts w:hint="eastAsia" w:ascii="宋体" w:hAnsi="宋体" w:cs="宋体"/>
          <w:color w:val="auto"/>
          <w:sz w:val="24"/>
        </w:rPr>
        <w:t>①中小企业声明函（由中小企业承接的必须提供，格式见第六章）；</w:t>
      </w:r>
    </w:p>
    <w:p w14:paraId="52447A0E">
      <w:pPr>
        <w:spacing w:line="400" w:lineRule="exact"/>
        <w:ind w:firstLine="480" w:firstLineChars="200"/>
        <w:rPr>
          <w:rFonts w:ascii="宋体" w:hAnsi="宋体" w:cs="宋体"/>
          <w:color w:val="auto"/>
          <w:sz w:val="24"/>
        </w:rPr>
      </w:pPr>
      <w:r>
        <w:rPr>
          <w:rFonts w:hint="eastAsia" w:ascii="宋体" w:hAnsi="宋体" w:cs="宋体"/>
          <w:color w:val="auto"/>
          <w:sz w:val="24"/>
        </w:rPr>
        <w:t>②残疾人福利性单位声明函（由残疾人福利性单位承接的必须提供，格式见第六章）；</w:t>
      </w:r>
    </w:p>
    <w:p w14:paraId="34729136">
      <w:pPr>
        <w:spacing w:line="400" w:lineRule="exact"/>
        <w:ind w:firstLine="480" w:firstLineChars="200"/>
        <w:rPr>
          <w:rFonts w:ascii="宋体" w:hAnsi="宋体" w:cs="宋体"/>
          <w:color w:val="auto"/>
        </w:rPr>
      </w:pPr>
      <w:r>
        <w:rPr>
          <w:rFonts w:hint="eastAsia" w:ascii="宋体" w:hAnsi="宋体" w:cs="宋体"/>
          <w:color w:val="auto"/>
          <w:sz w:val="24"/>
        </w:rPr>
        <w:t>③监狱企业由省级以上监狱管理局、戒毒管理局（含新疆生产建设兵团）出具的属于监狱企业的证明文件（由监狱企业承接的必须提供）。</w:t>
      </w:r>
    </w:p>
    <w:p w14:paraId="50CB69EC">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）供应商针对报价需要说明的其他文件和说明（如有，格式自拟）。</w:t>
      </w:r>
    </w:p>
    <w:p w14:paraId="56930299">
      <w:pPr>
        <w:adjustRightInd w:val="0"/>
        <w:spacing w:line="420" w:lineRule="exact"/>
        <w:ind w:firstLine="422" w:firstLineChars="175"/>
        <w:rPr>
          <w:rFonts w:ascii="宋体" w:hAnsi="宋体" w:cs="宋体"/>
          <w:b/>
          <w:color w:val="auto"/>
          <w:sz w:val="24"/>
        </w:rPr>
      </w:pPr>
      <w:bookmarkStart w:id="119" w:name="_Hlk517112217"/>
      <w:bookmarkStart w:id="120" w:name="_Toc254970678"/>
      <w:bookmarkStart w:id="121" w:name="_Toc254970537"/>
      <w:r>
        <w:rPr>
          <w:rFonts w:hint="eastAsia" w:ascii="宋体" w:hAnsi="宋体" w:cs="宋体"/>
          <w:b/>
          <w:color w:val="auto"/>
          <w:sz w:val="24"/>
        </w:rPr>
        <w:t>11.3</w:t>
      </w:r>
      <w:bookmarkEnd w:id="119"/>
      <w:r>
        <w:rPr>
          <w:rFonts w:hint="eastAsia" w:ascii="宋体" w:hAnsi="宋体" w:cs="宋体"/>
          <w:b/>
          <w:color w:val="auto"/>
          <w:sz w:val="24"/>
        </w:rPr>
        <w:t>商务技术文件</w:t>
      </w:r>
    </w:p>
    <w:p w14:paraId="20BAFDA7">
      <w:pPr>
        <w:snapToGrid w:val="0"/>
        <w:spacing w:line="420" w:lineRule="exact"/>
        <w:ind w:firstLine="422" w:firstLineChars="175"/>
        <w:jc w:val="left"/>
        <w:rPr>
          <w:rFonts w:ascii="宋体" w:hAnsi="宋体" w:cs="宋体"/>
          <w:b/>
          <w:color w:val="auto"/>
          <w:sz w:val="24"/>
        </w:rPr>
      </w:pPr>
      <w:bookmarkStart w:id="122" w:name="_Hlk517112243"/>
      <w:bookmarkStart w:id="123" w:name="_Hlk517112366"/>
      <w:r>
        <w:rPr>
          <w:rFonts w:hint="eastAsia" w:ascii="宋体" w:hAnsi="宋体" w:cs="宋体"/>
          <w:b/>
          <w:color w:val="auto"/>
          <w:sz w:val="24"/>
        </w:rPr>
        <w:t>注：</w:t>
      </w:r>
      <w:bookmarkEnd w:id="122"/>
      <w:bookmarkStart w:id="124" w:name="_Hlk517114273"/>
      <w:r>
        <w:rPr>
          <w:rFonts w:hint="eastAsia" w:ascii="宋体" w:hAnsi="宋体" w:cs="宋体"/>
          <w:b/>
          <w:bCs/>
          <w:color w:val="auto"/>
          <w:sz w:val="24"/>
        </w:rPr>
        <w:t>以下第（1）至第（7）项必须提供，且要求由法定代表人（负责人、自然人）或委托代理人签字（或加盖CA电子签字章）的须按要求签字或加盖CA电子签字章，同时</w:t>
      </w:r>
      <w:r>
        <w:rPr>
          <w:rFonts w:hint="eastAsia" w:ascii="宋体" w:hAnsi="宋体" w:cs="宋体"/>
          <w:b/>
          <w:color w:val="auto"/>
          <w:sz w:val="24"/>
        </w:rPr>
        <w:t>加盖</w:t>
      </w:r>
      <w:r>
        <w:rPr>
          <w:rFonts w:hint="eastAsia" w:ascii="宋体" w:hAnsi="宋体" w:cs="宋体"/>
          <w:b/>
          <w:bCs/>
          <w:color w:val="auto"/>
          <w:sz w:val="24"/>
        </w:rPr>
        <w:t>供应商CA电子签章，否则投标无效</w:t>
      </w:r>
      <w:r>
        <w:rPr>
          <w:rFonts w:hint="eastAsia" w:ascii="宋体" w:hAnsi="宋体" w:cs="宋体"/>
          <w:b/>
          <w:color w:val="auto"/>
          <w:sz w:val="24"/>
        </w:rPr>
        <w:t>；其余各项如有请提供，同时要加盖</w:t>
      </w:r>
      <w:r>
        <w:rPr>
          <w:rFonts w:hint="eastAsia" w:ascii="宋体" w:hAnsi="宋体" w:cs="宋体"/>
          <w:b/>
          <w:bCs/>
          <w:color w:val="auto"/>
          <w:sz w:val="24"/>
        </w:rPr>
        <w:t>供应商CA电子签章</w:t>
      </w:r>
      <w:r>
        <w:rPr>
          <w:rFonts w:hint="eastAsia" w:ascii="宋体" w:hAnsi="宋体" w:cs="宋体"/>
          <w:b/>
          <w:color w:val="auto"/>
          <w:sz w:val="24"/>
        </w:rPr>
        <w:t>，否则该材料被视为无效</w:t>
      </w:r>
      <w:bookmarkStart w:id="125" w:name="_Hlk517112350"/>
      <w:r>
        <w:rPr>
          <w:rFonts w:hint="eastAsia" w:ascii="宋体" w:hAnsi="宋体" w:cs="宋体"/>
          <w:b/>
          <w:color w:val="auto"/>
          <w:sz w:val="24"/>
        </w:rPr>
        <w:t>。</w:t>
      </w:r>
      <w:bookmarkEnd w:id="123"/>
      <w:bookmarkEnd w:id="124"/>
      <w:bookmarkEnd w:id="125"/>
    </w:p>
    <w:p w14:paraId="640CA7AB">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（1）无串通竞标行为的承诺函（格式见第六章，</w:t>
      </w:r>
      <w:r>
        <w:rPr>
          <w:rFonts w:hint="eastAsia" w:ascii="宋体" w:hAnsi="宋体" w:cs="宋体"/>
          <w:b/>
          <w:bCs/>
          <w:color w:val="auto"/>
          <w:sz w:val="24"/>
        </w:rPr>
        <w:t>必须提供，否则作无效响应处理</w:t>
      </w:r>
      <w:r>
        <w:rPr>
          <w:rFonts w:hint="eastAsia" w:ascii="宋体" w:hAnsi="宋体" w:cs="宋体"/>
          <w:color w:val="auto"/>
          <w:sz w:val="24"/>
        </w:rPr>
        <w:t>）；</w:t>
      </w:r>
    </w:p>
    <w:p w14:paraId="6EC8B1A4">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（2）法定代表人身份证明及法定代表人有效身份证正反面复印件（格式见第六章，</w:t>
      </w:r>
      <w:r>
        <w:rPr>
          <w:rFonts w:hint="eastAsia" w:ascii="宋体" w:hAnsi="宋体" w:cs="宋体"/>
          <w:b/>
          <w:bCs/>
          <w:color w:val="auto"/>
          <w:sz w:val="24"/>
        </w:rPr>
        <w:t>必须提供，否则响应文件按无效响应处理</w:t>
      </w:r>
      <w:r>
        <w:rPr>
          <w:rFonts w:hint="eastAsia" w:ascii="宋体" w:hAnsi="宋体" w:cs="宋体"/>
          <w:color w:val="auto"/>
          <w:sz w:val="24"/>
        </w:rPr>
        <w:t>）；</w:t>
      </w:r>
    </w:p>
    <w:p w14:paraId="3A911218">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（3）法定代表人授权委托书（</w:t>
      </w:r>
      <w:r>
        <w:rPr>
          <w:rFonts w:hint="eastAsia" w:ascii="宋体" w:hAnsi="宋体" w:cs="宋体"/>
          <w:b/>
          <w:bCs/>
          <w:color w:val="auto"/>
          <w:sz w:val="24"/>
        </w:rPr>
        <w:t>委托时必须提供，否则响应文件按无效响应处理</w:t>
      </w:r>
      <w:r>
        <w:rPr>
          <w:rFonts w:hint="eastAsia" w:ascii="宋体" w:hAnsi="宋体" w:cs="宋体"/>
          <w:color w:val="auto"/>
          <w:sz w:val="24"/>
        </w:rPr>
        <w:t>）</w:t>
      </w:r>
    </w:p>
    <w:p w14:paraId="17F5D861">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（4）商务条款偏离表和服务需求偏离表（格式见第六章，</w:t>
      </w:r>
      <w:r>
        <w:rPr>
          <w:rFonts w:hint="eastAsia" w:ascii="宋体" w:hAnsi="宋体" w:cs="宋体"/>
          <w:b/>
          <w:bCs/>
          <w:color w:val="auto"/>
          <w:sz w:val="24"/>
        </w:rPr>
        <w:t>必须提供，否则作无效响应处理</w:t>
      </w:r>
      <w:r>
        <w:rPr>
          <w:rFonts w:hint="eastAsia" w:ascii="宋体" w:hAnsi="宋体" w:cs="宋体"/>
          <w:color w:val="auto"/>
          <w:sz w:val="24"/>
        </w:rPr>
        <w:t>）；</w:t>
      </w:r>
    </w:p>
    <w:p w14:paraId="56E049F8">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（5）</w:t>
      </w:r>
      <w:r>
        <w:rPr>
          <w:rFonts w:hint="eastAsia" w:ascii="宋体" w:hAnsi="宋体" w:cs="宋体"/>
          <w:bCs/>
          <w:color w:val="auto"/>
          <w:spacing w:val="-4"/>
          <w:sz w:val="24"/>
        </w:rPr>
        <w:t>项目服务方案</w:t>
      </w:r>
      <w:r>
        <w:rPr>
          <w:rFonts w:hint="eastAsia" w:ascii="宋体" w:hAnsi="宋体" w:cs="宋体"/>
          <w:color w:val="auto"/>
          <w:sz w:val="24"/>
        </w:rPr>
        <w:t>（</w:t>
      </w:r>
      <w:r>
        <w:rPr>
          <w:rFonts w:hint="eastAsia" w:ascii="宋体" w:hAnsi="宋体" w:cs="宋体"/>
          <w:b/>
          <w:bCs/>
          <w:color w:val="auto"/>
          <w:sz w:val="24"/>
        </w:rPr>
        <w:t>必须提供，否则作无效响应处理</w:t>
      </w:r>
      <w:r>
        <w:rPr>
          <w:rFonts w:hint="eastAsia" w:ascii="宋体" w:hAnsi="宋体" w:cs="宋体"/>
          <w:color w:val="auto"/>
          <w:sz w:val="24"/>
        </w:rPr>
        <w:t>）；</w:t>
      </w:r>
    </w:p>
    <w:p w14:paraId="61F32103">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（6）服务承诺书（格式见第六章，</w:t>
      </w:r>
      <w:r>
        <w:rPr>
          <w:rFonts w:hint="eastAsia" w:ascii="宋体" w:hAnsi="宋体" w:cs="宋体"/>
          <w:b/>
          <w:bCs/>
          <w:color w:val="auto"/>
          <w:sz w:val="24"/>
        </w:rPr>
        <w:t>必须提供，否则作无效响应处理</w:t>
      </w:r>
      <w:r>
        <w:rPr>
          <w:rFonts w:hint="eastAsia" w:ascii="宋体" w:hAnsi="宋体" w:cs="宋体"/>
          <w:color w:val="auto"/>
          <w:sz w:val="24"/>
        </w:rPr>
        <w:t>）；</w:t>
      </w:r>
    </w:p>
    <w:p w14:paraId="45FBD0D8">
      <w:pPr>
        <w:snapToGrid w:val="0"/>
        <w:spacing w:line="420" w:lineRule="exact"/>
        <w:ind w:firstLine="420" w:firstLineChars="175"/>
        <w:jc w:val="left"/>
        <w:rPr>
          <w:color w:val="auto"/>
        </w:rPr>
      </w:pPr>
      <w:r>
        <w:rPr>
          <w:rFonts w:hint="eastAsia" w:ascii="宋体" w:hAnsi="宋体" w:cs="宋体"/>
          <w:color w:val="auto"/>
          <w:sz w:val="24"/>
        </w:rPr>
        <w:t>（7）拟投入本项目人员一览表（</w:t>
      </w:r>
      <w:r>
        <w:rPr>
          <w:rFonts w:hint="eastAsia" w:ascii="宋体" w:hAnsi="宋体" w:cs="宋体"/>
          <w:b/>
          <w:bCs/>
          <w:color w:val="auto"/>
          <w:sz w:val="24"/>
        </w:rPr>
        <w:t>必须提供，否则作无效响应处理</w:t>
      </w:r>
      <w:r>
        <w:rPr>
          <w:rFonts w:hint="eastAsia" w:ascii="宋体" w:hAnsi="宋体" w:cs="宋体"/>
          <w:color w:val="auto"/>
          <w:sz w:val="24"/>
        </w:rPr>
        <w:t>）；</w:t>
      </w:r>
    </w:p>
    <w:p w14:paraId="7EA33643">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（8）供应商2022年1月1日以来具有同类项目的业绩的相关证明材料（以签订的合同复印件为准，并能清晰反映项目的名称、种类、金额）（如有）；</w:t>
      </w:r>
    </w:p>
    <w:p w14:paraId="253CF543">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（9）供应商根据“第四章 评审程序、评审方法和评审标准”要求提供的相应证明材料（如有）；</w:t>
      </w:r>
    </w:p>
    <w:p w14:paraId="57F1A61A">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（10）供应商对本项目的合理化建议和改进措施（如有，格式自拟）；</w:t>
      </w:r>
    </w:p>
    <w:p w14:paraId="2EA838C8">
      <w:pPr>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（11）供应商认为必要提供的声明及文件资料（如有）。</w:t>
      </w:r>
    </w:p>
    <w:bookmarkEnd w:id="120"/>
    <w:bookmarkEnd w:id="121"/>
    <w:p w14:paraId="4167893F">
      <w:pPr>
        <w:tabs>
          <w:tab w:val="left" w:pos="1305"/>
        </w:tabs>
        <w:spacing w:line="420" w:lineRule="exact"/>
        <w:ind w:firstLine="422" w:firstLineChars="175"/>
        <w:rPr>
          <w:rFonts w:ascii="宋体" w:hAnsi="宋体" w:cs="宋体"/>
          <w:b/>
          <w:color w:val="auto"/>
          <w:sz w:val="24"/>
        </w:rPr>
      </w:pPr>
      <w:r>
        <w:rPr>
          <w:rFonts w:hint="eastAsia" w:ascii="宋体" w:hAnsi="宋体" w:cs="宋体"/>
          <w:b/>
          <w:color w:val="auto"/>
          <w:sz w:val="24"/>
        </w:rPr>
        <w:t>12.响应文件的语言及计量</w:t>
      </w:r>
    </w:p>
    <w:p w14:paraId="6015B4C2">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14A19568">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12.2 响应计量单位，磋商文件已有明确规定的，使用磋商文件规定的计量单位；磋商文件没有规定的，应采用中华人民共和国法定计量单位（货币单位：人民币元），否则视同未响应。</w:t>
      </w:r>
    </w:p>
    <w:p w14:paraId="6AF4C4BD">
      <w:pPr>
        <w:tabs>
          <w:tab w:val="left" w:pos="1305"/>
        </w:tabs>
        <w:spacing w:line="420" w:lineRule="exact"/>
        <w:ind w:firstLine="422" w:firstLineChars="175"/>
        <w:rPr>
          <w:rFonts w:ascii="宋体" w:hAnsi="宋体" w:cs="宋体"/>
          <w:b/>
          <w:color w:val="auto"/>
          <w:sz w:val="24"/>
        </w:rPr>
      </w:pPr>
      <w:r>
        <w:rPr>
          <w:rFonts w:hint="eastAsia" w:ascii="宋体" w:hAnsi="宋体" w:cs="宋体"/>
          <w:b/>
          <w:color w:val="auto"/>
          <w:sz w:val="24"/>
        </w:rPr>
        <w:t>13.磋商报价及采购预算总金额</w:t>
      </w:r>
    </w:p>
    <w:p w14:paraId="785A5C50">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13.1 磋商报价应按磋商文件中相关附表格式填写。</w:t>
      </w:r>
    </w:p>
    <w:p w14:paraId="7A631971">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13.2 供应商必须就“项目需求”中的所有内容做完整唯一报价，否则，其响应将被拒绝。响应文件只允许有一个报价，有选择的或有条件的报价将不予接受。</w:t>
      </w:r>
    </w:p>
    <w:p w14:paraId="0A328BD4">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13.3 磋商报价应包括本次采购范围内提供的服务、检测费、技术费、人工费、材料费、设施费、保险、税金、培训等全部费用，供应商综合考虑在报价中。</w:t>
      </w:r>
    </w:p>
    <w:p w14:paraId="155EF6A1">
      <w:pPr>
        <w:tabs>
          <w:tab w:val="left" w:pos="1305"/>
        </w:tabs>
        <w:spacing w:line="420" w:lineRule="exact"/>
        <w:ind w:firstLine="399" w:firstLineChars="175"/>
        <w:rPr>
          <w:rFonts w:ascii="宋体" w:hAnsi="宋体" w:cs="宋体"/>
          <w:color w:val="auto"/>
          <w:spacing w:val="-6"/>
          <w:sz w:val="24"/>
        </w:rPr>
      </w:pPr>
      <w:r>
        <w:rPr>
          <w:rFonts w:hint="eastAsia" w:ascii="宋体" w:hAnsi="宋体" w:cs="宋体"/>
          <w:color w:val="auto"/>
          <w:spacing w:val="-6"/>
          <w:sz w:val="24"/>
        </w:rPr>
        <w:t xml:space="preserve">13.4 </w:t>
      </w:r>
      <w:r>
        <w:rPr>
          <w:rFonts w:hint="eastAsia" w:ascii="宋体" w:hAnsi="宋体" w:cs="宋体"/>
          <w:color w:val="auto"/>
          <w:position w:val="-2"/>
          <w:sz w:val="24"/>
        </w:rPr>
        <w:t>采购预算总金</w:t>
      </w:r>
      <w:r>
        <w:rPr>
          <w:rFonts w:hint="eastAsia" w:ascii="宋体" w:hAnsi="宋体" w:cs="宋体"/>
          <w:color w:val="auto"/>
          <w:sz w:val="24"/>
        </w:rPr>
        <w:t>额（人民币）：同预算金额。最后报价超出采购预算总金额的将被视为无效响应处理</w:t>
      </w:r>
      <w:r>
        <w:rPr>
          <w:rFonts w:hint="eastAsia" w:ascii="宋体" w:hAnsi="宋体" w:cs="宋体"/>
          <w:color w:val="auto"/>
          <w:spacing w:val="-6"/>
          <w:kern w:val="0"/>
          <w:sz w:val="24"/>
        </w:rPr>
        <w:t>。</w:t>
      </w:r>
    </w:p>
    <w:p w14:paraId="5495569D">
      <w:pPr>
        <w:tabs>
          <w:tab w:val="left" w:pos="1305"/>
        </w:tabs>
        <w:spacing w:line="420" w:lineRule="exact"/>
        <w:ind w:firstLine="422" w:firstLineChars="175"/>
        <w:rPr>
          <w:rFonts w:ascii="宋体" w:hAnsi="宋体" w:cs="宋体"/>
          <w:b/>
          <w:color w:val="auto"/>
          <w:sz w:val="24"/>
        </w:rPr>
      </w:pPr>
      <w:r>
        <w:rPr>
          <w:rFonts w:hint="eastAsia" w:ascii="宋体" w:hAnsi="宋体" w:cs="宋体"/>
          <w:b/>
          <w:color w:val="auto"/>
          <w:sz w:val="24"/>
        </w:rPr>
        <w:t>14.响应文件有效期</w:t>
      </w:r>
    </w:p>
    <w:p w14:paraId="1D4D2B3D">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14.1响应文件有效期：自响应文件递交截止时间之日起</w:t>
      </w:r>
      <w:r>
        <w:rPr>
          <w:rFonts w:hint="eastAsia" w:ascii="宋体" w:hAnsi="宋体" w:cs="宋体"/>
          <w:color w:val="auto"/>
          <w:sz w:val="24"/>
          <w:u w:val="single"/>
        </w:rPr>
        <w:t xml:space="preserve">90 </w:t>
      </w:r>
      <w:r>
        <w:rPr>
          <w:rFonts w:hint="eastAsia" w:ascii="宋体" w:hAnsi="宋体" w:cs="宋体"/>
          <w:color w:val="auto"/>
          <w:sz w:val="24"/>
        </w:rPr>
        <w:t>天，有效期不足的响应文件将被拒绝。</w:t>
      </w:r>
    </w:p>
    <w:p w14:paraId="3273BF69">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14.2 出现特殊情况下，需要延长响应有效期的，采购代理机构以书面形式通知供应商延长响应文件有效期。供应商同意延长的，应相应延长其磋商保证金的有效期，但不能修改响应文件。供应商拒绝延长的，其响应无效，但供应商有权收回其磋商保证金。</w:t>
      </w:r>
    </w:p>
    <w:p w14:paraId="07FB9630">
      <w:pPr>
        <w:tabs>
          <w:tab w:val="left" w:pos="1305"/>
        </w:tabs>
        <w:spacing w:line="420" w:lineRule="exact"/>
        <w:ind w:firstLine="422" w:firstLineChars="175"/>
        <w:rPr>
          <w:rFonts w:ascii="宋体" w:hAnsi="宋体" w:cs="宋体"/>
          <w:b/>
          <w:color w:val="auto"/>
          <w:sz w:val="24"/>
        </w:rPr>
      </w:pPr>
      <w:r>
        <w:rPr>
          <w:rFonts w:hint="eastAsia" w:ascii="宋体" w:hAnsi="宋体" w:cs="宋体"/>
          <w:b/>
          <w:color w:val="auto"/>
          <w:sz w:val="24"/>
        </w:rPr>
        <w:t>15.磋商保证金</w:t>
      </w:r>
    </w:p>
    <w:p w14:paraId="321B0432">
      <w:pPr>
        <w:spacing w:line="420" w:lineRule="exact"/>
        <w:ind w:firstLine="420" w:firstLineChars="175"/>
        <w:rPr>
          <w:rFonts w:ascii="宋体" w:hAnsi="宋体" w:cs="宋体"/>
          <w:color w:val="auto"/>
          <w:sz w:val="24"/>
        </w:rPr>
      </w:pPr>
      <w:r>
        <w:rPr>
          <w:rFonts w:hint="eastAsia" w:ascii="宋体" w:hAnsi="宋体" w:cs="宋体"/>
          <w:color w:val="auto"/>
          <w:sz w:val="24"/>
        </w:rPr>
        <w:t>本项目无需缴纳磋商保证金。</w:t>
      </w:r>
    </w:p>
    <w:p w14:paraId="42F2AB14">
      <w:pPr>
        <w:tabs>
          <w:tab w:val="left" w:pos="1305"/>
        </w:tabs>
        <w:spacing w:line="420" w:lineRule="exact"/>
        <w:ind w:firstLine="422" w:firstLineChars="175"/>
        <w:rPr>
          <w:rFonts w:ascii="宋体" w:hAnsi="宋体" w:cs="宋体"/>
          <w:b/>
          <w:color w:val="auto"/>
          <w:sz w:val="24"/>
        </w:rPr>
      </w:pPr>
      <w:r>
        <w:rPr>
          <w:rFonts w:hint="eastAsia" w:ascii="宋体" w:hAnsi="宋体" w:cs="宋体"/>
          <w:b/>
          <w:color w:val="auto"/>
          <w:sz w:val="24"/>
        </w:rPr>
        <w:t>16.响应文件的修改和撤回</w:t>
      </w:r>
    </w:p>
    <w:p w14:paraId="14FADDBA">
      <w:pPr>
        <w:spacing w:line="420" w:lineRule="exact"/>
        <w:ind w:firstLine="420" w:firstLineChars="175"/>
        <w:rPr>
          <w:rFonts w:ascii="宋体" w:hAnsi="宋体" w:cs="宋体"/>
          <w:color w:val="auto"/>
          <w:sz w:val="24"/>
        </w:rPr>
      </w:pPr>
      <w:r>
        <w:rPr>
          <w:rFonts w:hint="eastAsia" w:ascii="宋体" w:hAnsi="宋体" w:cs="宋体"/>
          <w:color w:val="auto"/>
          <w:sz w:val="24"/>
        </w:rPr>
        <w:t>16.1 供应商在响应文件递交截止时间之前，可以对已递交的响应文件进行修改或撤回，并书面通知采购代理机构。</w:t>
      </w:r>
    </w:p>
    <w:p w14:paraId="13891C01">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16.2 在响应文件递交截止时间后的响应文件有效期内，供应商不得撤回其响应文件。</w:t>
      </w:r>
    </w:p>
    <w:p w14:paraId="30B409A0">
      <w:pPr>
        <w:tabs>
          <w:tab w:val="left" w:pos="1305"/>
        </w:tabs>
        <w:spacing w:line="420" w:lineRule="exact"/>
        <w:ind w:firstLine="422" w:firstLineChars="175"/>
        <w:rPr>
          <w:rFonts w:ascii="宋体" w:hAnsi="宋体" w:cs="宋体"/>
          <w:b/>
          <w:color w:val="auto"/>
          <w:sz w:val="24"/>
        </w:rPr>
      </w:pPr>
      <w:r>
        <w:rPr>
          <w:rFonts w:hint="eastAsia" w:ascii="宋体" w:hAnsi="宋体" w:cs="宋体"/>
          <w:b/>
          <w:color w:val="auto"/>
          <w:sz w:val="24"/>
        </w:rPr>
        <w:t>17.响应文件的递交</w:t>
      </w:r>
    </w:p>
    <w:p w14:paraId="1A9FBAD0">
      <w:pPr>
        <w:spacing w:line="420" w:lineRule="exact"/>
        <w:ind w:firstLine="420" w:firstLineChars="175"/>
        <w:rPr>
          <w:rFonts w:ascii="宋体" w:hAnsi="宋体" w:cs="宋体"/>
          <w:color w:val="auto"/>
          <w:sz w:val="24"/>
        </w:rPr>
      </w:pPr>
      <w:r>
        <w:rPr>
          <w:rFonts w:hint="eastAsia" w:ascii="宋体" w:hAnsi="宋体" w:cs="宋体"/>
          <w:color w:val="auto"/>
          <w:sz w:val="24"/>
        </w:rPr>
        <w:t xml:space="preserve">17.1 </w:t>
      </w:r>
      <w:r>
        <w:rPr>
          <w:rFonts w:hint="eastAsia" w:ascii="宋体" w:hAnsi="宋体" w:cs="宋体"/>
          <w:b/>
          <w:color w:val="auto"/>
          <w:sz w:val="24"/>
        </w:rPr>
        <w:t>响应文件递交截止时间：</w:t>
      </w:r>
      <w:r>
        <w:rPr>
          <w:rFonts w:hint="eastAsia" w:ascii="宋体" w:hAnsi="宋体" w:cs="宋体"/>
          <w:color w:val="auto"/>
          <w:sz w:val="24"/>
        </w:rPr>
        <w:t>见前附表。</w:t>
      </w:r>
    </w:p>
    <w:p w14:paraId="1A1B2B71">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供应商应当按以上规定的响应文件递交截止时间前递交响应文件。</w:t>
      </w:r>
    </w:p>
    <w:p w14:paraId="2A1D678F">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 xml:space="preserve">17.2 </w:t>
      </w:r>
      <w:r>
        <w:rPr>
          <w:rFonts w:hint="eastAsia" w:ascii="宋体" w:hAnsi="宋体" w:cs="宋体"/>
          <w:b/>
          <w:color w:val="auto"/>
          <w:sz w:val="24"/>
        </w:rPr>
        <w:t>递交响应文件的地点：</w:t>
      </w:r>
      <w:r>
        <w:rPr>
          <w:rFonts w:hint="eastAsia" w:ascii="宋体" w:hAnsi="宋体" w:cs="宋体"/>
          <w:color w:val="auto"/>
          <w:sz w:val="24"/>
        </w:rPr>
        <w:t>见前附表。</w:t>
      </w:r>
    </w:p>
    <w:p w14:paraId="62AFF1A7">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供应商应当按以上规定的响应文件递交截止时间前递交响应文件。</w:t>
      </w:r>
    </w:p>
    <w:p w14:paraId="66CCB1B9">
      <w:pPr>
        <w:snapToGrid w:val="0"/>
        <w:spacing w:line="420" w:lineRule="exact"/>
        <w:ind w:firstLine="422" w:firstLineChars="175"/>
        <w:jc w:val="left"/>
        <w:rPr>
          <w:rFonts w:ascii="宋体" w:hAnsi="宋体" w:cs="宋体"/>
          <w:b/>
          <w:color w:val="auto"/>
          <w:sz w:val="24"/>
        </w:rPr>
      </w:pPr>
      <w:bookmarkStart w:id="126" w:name="_Toc452364069"/>
      <w:r>
        <w:rPr>
          <w:rFonts w:hint="eastAsia" w:ascii="宋体" w:hAnsi="宋体" w:cs="宋体"/>
          <w:b/>
          <w:color w:val="auto"/>
          <w:sz w:val="24"/>
        </w:rPr>
        <w:t>18、</w:t>
      </w:r>
      <w:bookmarkStart w:id="127" w:name="_Hlk96593963"/>
      <w:r>
        <w:rPr>
          <w:rFonts w:hint="eastAsia" w:ascii="宋体" w:hAnsi="宋体" w:cs="宋体"/>
          <w:b/>
          <w:color w:val="auto"/>
          <w:sz w:val="24"/>
        </w:rPr>
        <w:t>响应文件的签署、份数、盖章和解密</w:t>
      </w:r>
      <w:bookmarkEnd w:id="127"/>
    </w:p>
    <w:p w14:paraId="0E7D7CF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18.1 响应文件应使用电子交易平台客户端软件，并按照本采购文件和电子交易平台要求编制并加密响应文件。未按规定加密的响应文件，电子交易平台将拒收。</w:t>
      </w:r>
    </w:p>
    <w:p w14:paraId="507DD1F1">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18.2 响应文件制作并加密完成后应在电子交易平台上传完成。</w:t>
      </w:r>
    </w:p>
    <w:p w14:paraId="115FA4C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18.3 响应文件应使用电子交易平台CA数字证书进行电子签章。</w:t>
      </w:r>
    </w:p>
    <w:p w14:paraId="04C3CDA6">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18.4 竞标人应准确设置评审关联点。未设置或设置错误导致响应文件被误读、漏读或者查找不到相关内容的，是竞标人的责任。</w:t>
      </w:r>
    </w:p>
    <w:p w14:paraId="0E994407">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18.5 响应文件所提供的相关材料的尺寸和清晰度应该能够在电脑上被阅读、识别和判断。</w:t>
      </w:r>
    </w:p>
    <w:p w14:paraId="74EB7BE2">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18.6 响应文件内容无法阅读、识别和判断的，视为未提供。</w:t>
      </w:r>
    </w:p>
    <w:p w14:paraId="374157B4">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18.7 响应文件的容量大小须符合电子交易平台规定。</w:t>
      </w:r>
    </w:p>
    <w:p w14:paraId="5370444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18.4 响应文件须由竞标人在规定位置盖CA 电子签章并由法定代表人（负责人或自然人）或法定代表人（负责人或自然人）的授权委托人签字，否则作无效竞标处理。</w:t>
      </w:r>
    </w:p>
    <w:p w14:paraId="7E5CCC5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18.5 响应文件中标注的竞标人名称应与主体资格证明（如营业执照、事业单位法人证书、执业许可证、个体工商户营业执照、自然人身份证等）和CA 电子签章一致，否则作无效竞标处理。</w:t>
      </w:r>
    </w:p>
    <w:p w14:paraId="21476BA2">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18.6 响应文件应尽量避免涂改、行间插字或删除。如果出现上述情况，改动之处应由竞标人的法定代表人（负责人或自然人）或其授权的代理人签字或盖章。响应文件因字迹潦草或表达不清所引起的后果由竞标人承担。</w:t>
      </w:r>
    </w:p>
    <w:p w14:paraId="0ED9D301">
      <w:pPr>
        <w:tabs>
          <w:tab w:val="left" w:pos="1305"/>
        </w:tabs>
        <w:spacing w:line="420" w:lineRule="exact"/>
        <w:ind w:firstLine="422" w:firstLineChars="175"/>
        <w:rPr>
          <w:rFonts w:ascii="宋体" w:hAnsi="宋体" w:cs="宋体"/>
          <w:b/>
          <w:bCs/>
          <w:color w:val="auto"/>
          <w:sz w:val="24"/>
        </w:rPr>
      </w:pPr>
      <w:r>
        <w:rPr>
          <w:rFonts w:hint="eastAsia" w:ascii="宋体" w:hAnsi="宋体" w:cs="宋体"/>
          <w:b/>
          <w:bCs/>
          <w:color w:val="auto"/>
          <w:sz w:val="24"/>
        </w:rPr>
        <w:t>19.首次响应文件的递交</w:t>
      </w:r>
    </w:p>
    <w:p w14:paraId="3B6573C8">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19.1 响应文件的递交：本项目实行“网上竞标、电子开、评标”，竞标人应于递交截止时间前在“广西政府采购云平台”（电子交易平台）上传输、递交加密的电子版响应文件。</w:t>
      </w:r>
    </w:p>
    <w:p w14:paraId="52BD4C7B">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19.2 竞标人应当在响应文件递交截止时间前在“广西政府采购云平台”（电子交易平台）上自行上传加密的电子响应文件，响应文件递交截止时间详见本采购文件第一章《公开采购公告》。</w:t>
      </w:r>
    </w:p>
    <w:p w14:paraId="69890E39">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19.3 未按规定上传的响应文件将被拒绝，由此造成响应文件解密失败或被误投的风险由竞标人自行承担。</w:t>
      </w:r>
    </w:p>
    <w:p w14:paraId="3ADE2504">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19.4 竞标人须在提交响应文件截止后30分钟内对上传广西政府采购云平台的响应文件进行解密。非广西政府采购云平台技术原因或非采购代理机构操作原因造成的竞标人超过解密时限未完成解密的，或响应文件无法解密或解密失败，视为竞标人放弃竞标。</w:t>
      </w:r>
    </w:p>
    <w:p w14:paraId="7CD3DAB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 xml:space="preserve">19.5响应文件的补充、修改与撤回 </w:t>
      </w:r>
    </w:p>
    <w:p w14:paraId="0F4302C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竞标人应当在响应文件递交截止时间前完成电子响应文件的传输递交，递交截止时间前可以补充、修改或者撤回电子响应文件。补充或者修改电子响应文件的，应当先行撤回原文件，补充、修改后重新传输递交。递交截止时间前未完成传输的，视为放弃竞标。递交截止时间后上传的文件，将被广西政府采购云平台拒收。</w:t>
      </w:r>
    </w:p>
    <w:p w14:paraId="06EE1F8B">
      <w:pPr>
        <w:tabs>
          <w:tab w:val="left" w:pos="1305"/>
        </w:tabs>
        <w:spacing w:line="420" w:lineRule="exact"/>
        <w:ind w:firstLine="422" w:firstLineChars="175"/>
        <w:jc w:val="center"/>
        <w:outlineLvl w:val="1"/>
        <w:rPr>
          <w:rFonts w:ascii="宋体" w:hAnsi="宋体" w:cs="宋体"/>
          <w:b/>
          <w:color w:val="auto"/>
          <w:sz w:val="24"/>
        </w:rPr>
      </w:pPr>
      <w:bookmarkStart w:id="128" w:name="_Toc6157"/>
      <w:bookmarkStart w:id="129" w:name="_Toc30133"/>
      <w:bookmarkStart w:id="130" w:name="_Toc20660"/>
      <w:bookmarkStart w:id="131" w:name="_Toc20226"/>
      <w:bookmarkStart w:id="132" w:name="_Toc6858"/>
      <w:bookmarkStart w:id="133" w:name="_Toc31850"/>
      <w:bookmarkStart w:id="134" w:name="_Toc15397"/>
      <w:bookmarkStart w:id="135" w:name="_Toc32037"/>
      <w:bookmarkStart w:id="136" w:name="_Toc15776"/>
      <w:bookmarkStart w:id="137" w:name="_Toc9753"/>
      <w:bookmarkStart w:id="138" w:name="_Toc26049"/>
      <w:bookmarkStart w:id="139" w:name="_Toc26214"/>
      <w:bookmarkStart w:id="140" w:name="_Toc8489"/>
      <w:bookmarkStart w:id="141" w:name="_Toc16498"/>
      <w:bookmarkStart w:id="142" w:name="_Toc27272"/>
      <w:bookmarkStart w:id="143" w:name="_Toc5253"/>
      <w:bookmarkStart w:id="144" w:name="_Toc452364067"/>
      <w:bookmarkStart w:id="145" w:name="_Toc3615"/>
      <w:bookmarkStart w:id="146" w:name="_Toc25954"/>
      <w:bookmarkStart w:id="147" w:name="_Toc3873"/>
      <w:bookmarkStart w:id="148" w:name="_Toc31520"/>
      <w:bookmarkStart w:id="149" w:name="_Toc22542"/>
      <w:r>
        <w:rPr>
          <w:rFonts w:hint="eastAsia" w:ascii="宋体" w:hAnsi="宋体" w:cs="宋体"/>
          <w:b/>
          <w:color w:val="auto"/>
          <w:sz w:val="24"/>
        </w:rPr>
        <w:t>四、竞争性磋商（简称磋商）与评审</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8EBE253">
      <w:pPr>
        <w:tabs>
          <w:tab w:val="left" w:pos="1305"/>
        </w:tabs>
        <w:spacing w:line="420" w:lineRule="exact"/>
        <w:ind w:firstLine="422" w:firstLineChars="175"/>
        <w:rPr>
          <w:rFonts w:ascii="宋体" w:hAnsi="宋体" w:cs="宋体"/>
          <w:b/>
          <w:bCs/>
          <w:color w:val="auto"/>
          <w:sz w:val="24"/>
        </w:rPr>
      </w:pPr>
      <w:r>
        <w:rPr>
          <w:rFonts w:hint="eastAsia" w:ascii="宋体" w:hAnsi="宋体" w:cs="宋体"/>
          <w:b/>
          <w:bCs/>
          <w:color w:val="auto"/>
          <w:sz w:val="24"/>
        </w:rPr>
        <w:t>20.评审专家的组成及评审</w:t>
      </w:r>
    </w:p>
    <w:p w14:paraId="5B1903AA">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20.1评审专家组成：采购代理机构根据磋商项目的特点依法组建“磋商小组”，“磋商小组”由采购人代表和评审专家共3人或3人以上单数组成，其中评审专家的人数不得少于磋商小组成员总数的三分之二。</w:t>
      </w:r>
    </w:p>
    <w:p w14:paraId="10F4A383">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20.2竞争性磋商小组职责</w:t>
      </w:r>
    </w:p>
    <w:p w14:paraId="44AE738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20.2.1负责确认磋商文件；</w:t>
      </w:r>
    </w:p>
    <w:p w14:paraId="0ED47753">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20.2.2根据《财政部关于政府采购竞争性磋商采购方式管理暂行办法有关问题的补充通知》财库[2015]124号及《政府采购竞争性磋商采购方式管理暂行办法》（财库〔2014〕214号）第三条第四项“市场竞争不充分的科研项目，以及需要扶持的科技成果转化项目”的规定，在采购过程中符合要求的供应商只有2家的，竞争性磋商采购活动继续进行，即提交最后报价的供应商可以为2家；</w:t>
      </w:r>
    </w:p>
    <w:p w14:paraId="0AE3543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20.2.3审查供应商的响应文件并作出评价；</w:t>
      </w:r>
    </w:p>
    <w:p w14:paraId="35EC765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20.2.4要求供应商解释或者澄清其响应文件；</w:t>
      </w:r>
    </w:p>
    <w:p w14:paraId="5AA8A136">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20.2.5编写评审报告；</w:t>
      </w:r>
    </w:p>
    <w:p w14:paraId="3608044A">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20.2.6告知采购人、采购代理机构在评审过程中发现的供应商的违法违规行为。</w:t>
      </w:r>
    </w:p>
    <w:p w14:paraId="2691F8DD">
      <w:pPr>
        <w:tabs>
          <w:tab w:val="left" w:pos="1305"/>
        </w:tabs>
        <w:spacing w:line="420" w:lineRule="exact"/>
        <w:ind w:firstLine="422" w:firstLineChars="175"/>
        <w:rPr>
          <w:rFonts w:ascii="宋体" w:hAnsi="宋体" w:cs="宋体"/>
          <w:b/>
          <w:bCs/>
          <w:color w:val="auto"/>
          <w:sz w:val="24"/>
        </w:rPr>
      </w:pPr>
      <w:r>
        <w:rPr>
          <w:rFonts w:hint="eastAsia" w:ascii="宋体" w:hAnsi="宋体" w:cs="宋体"/>
          <w:b/>
          <w:bCs/>
          <w:color w:val="auto"/>
          <w:sz w:val="24"/>
        </w:rPr>
        <w:t>21.无效响应的情形</w:t>
      </w:r>
    </w:p>
    <w:p w14:paraId="6A87F15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磋商小组根据确认后的磋商文件对供应商的响应文件进行审查。对有下列情况之一响应文件，将会按照无效响应处理，并告知有关供应商。</w:t>
      </w:r>
    </w:p>
    <w:p w14:paraId="411EBAF3">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21.1关联供应商不得参加同一合同项下的政府采购活动。</w:t>
      </w:r>
    </w:p>
    <w:p w14:paraId="5F0B186D">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21.1.1单位负责人为同一人或者存在直接控股、管理关系的不同的供应商，不得参加同一合同项下的政府采购活动；</w:t>
      </w:r>
    </w:p>
    <w:p w14:paraId="379173B8">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21.1.2生产厂商授权给供应商后自己不得参加同一合同项下的政府采购活动。</w:t>
      </w:r>
    </w:p>
    <w:p w14:paraId="7A1918A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21.2未缴或不足额缴纳保证金的。</w:t>
      </w:r>
    </w:p>
    <w:p w14:paraId="0C558AE9">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21.3磋商小组根据确认后的磋商文件对供应商的响应文件进行资格及符合性审查。对有下列情况之一的响应文件，将会按照无效响应处理。</w:t>
      </w:r>
    </w:p>
    <w:p w14:paraId="15478523">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21.3.1超越了按照法律法规规定必须获得行政许可或者行政审批的经营范围的；</w:t>
      </w:r>
    </w:p>
    <w:p w14:paraId="554ED6E8">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21.3.2资格证明文件不全的，或者不符合磋商文件标明的资格要求的；</w:t>
      </w:r>
    </w:p>
    <w:p w14:paraId="2943A1B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21.3.3 响应文件未按磋商文件规定要求签署、盖章的；</w:t>
      </w:r>
    </w:p>
    <w:p w14:paraId="632CB40A">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21.3.4递交响应文件的代表人未能出具身份证明或与法定代表人(负责人、自然人)授权委托人身份不符的；</w:t>
      </w:r>
    </w:p>
    <w:p w14:paraId="2463265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21.3.5 对磋商文件实质性要求不能完全响应或者内容虚假的；</w:t>
      </w:r>
    </w:p>
    <w:p w14:paraId="2369F8AD">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21.3.6未采用人民币报价或者未按照磋商文件标明的币种报价的；</w:t>
      </w:r>
    </w:p>
    <w:p w14:paraId="1F802A80">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21.3.7报价超过磋商文件中规定的预算金额的；</w:t>
      </w:r>
    </w:p>
    <w:p w14:paraId="7DBC91E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21.3.8响应文件的实质性内容未使用中文表述、意思表述不明确、前后矛盾或者使用计量单位不符合磋商文件要求的（经磋商小组认定并允许进行澄清的笔误除外）；</w:t>
      </w:r>
    </w:p>
    <w:p w14:paraId="3647E20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21.3.9响应文件附有采购人不能接受的条件的；</w:t>
      </w:r>
    </w:p>
    <w:p w14:paraId="6DE74902">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21.3.10不符合法律法规相关规定的；</w:t>
      </w:r>
    </w:p>
    <w:p w14:paraId="76B3E8C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21.4 被拒绝的响应文件为无效响应。</w:t>
      </w:r>
    </w:p>
    <w:p w14:paraId="55D0FCC7">
      <w:pPr>
        <w:tabs>
          <w:tab w:val="left" w:pos="1305"/>
        </w:tabs>
        <w:spacing w:line="420" w:lineRule="exact"/>
        <w:ind w:firstLine="422" w:firstLineChars="175"/>
        <w:rPr>
          <w:rFonts w:ascii="宋体" w:hAnsi="宋体" w:cs="宋体"/>
          <w:b/>
          <w:bCs/>
          <w:color w:val="auto"/>
          <w:sz w:val="24"/>
        </w:rPr>
      </w:pPr>
      <w:r>
        <w:rPr>
          <w:rFonts w:hint="eastAsia" w:ascii="宋体" w:hAnsi="宋体" w:cs="宋体"/>
          <w:b/>
          <w:bCs/>
          <w:color w:val="auto"/>
          <w:sz w:val="24"/>
        </w:rPr>
        <w:t>22.磋商的步骤说明</w:t>
      </w:r>
    </w:p>
    <w:p w14:paraId="39313F4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22.1磋商时间：截标时间后（具体时间由采购代理机构另行通知）</w:t>
      </w:r>
    </w:p>
    <w:p w14:paraId="0244A6D0">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磋商地点：广西政府采购云平台</w:t>
      </w:r>
    </w:p>
    <w:p w14:paraId="3CFC021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22.2磋商</w:t>
      </w:r>
    </w:p>
    <w:p w14:paraId="4C9508DD">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22.2.1 磋商小组确定不少于2家符合相应资格条件的供应商参加磋商。</w:t>
      </w:r>
    </w:p>
    <w:p w14:paraId="5F2E4486">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22.2.2磋商小组集中与单一供应商分别进行磋商，并给予所有参加磋商的供应商平等的磋商机会。供应商应当在采购人或采购代理机构发出磋商通知（开启新一轮报价）后在广西政府采购云平台设定的时间内进行响应，否则视同放弃参加磋商权利，其响应文件按无效响应处理。</w:t>
      </w:r>
    </w:p>
    <w:p w14:paraId="33F7B72A">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22.2.3磋商小组确定供应商符合磋商文件要求的，无需再磋商的，磋商小组按照竞争性磋商文件设定的22.4程序和综合评分法确定成交候选人。第一轮磋商后磋商小组未能确定成交候选人的，可对磋商文件变动后再次磋商。</w:t>
      </w:r>
    </w:p>
    <w:p w14:paraId="1D9C8FC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22.3磋商文件变动及再次磋商</w:t>
      </w:r>
    </w:p>
    <w:p w14:paraId="48044ED3">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22.3.1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28062EBD">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22.3.2对竞争性磋商文件作出的实质性变动是竞争性磋商文件的有效组成部分，磋商小组应当及时以书面形式同时通知所有参加磋商的供应商。</w:t>
      </w:r>
    </w:p>
    <w:p w14:paraId="7FCFB849">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22.3.3供应商应当按照磋商文件的变动情况和磋商小组的要求重新提交响应文件，并由其法定代表人(负责人、自然人)或授权代表签字或者加盖CA 电子签章。由授权代表签字的，应当附法定代表人(负责人、自然人)授权书。响应文件应送交磋商小组。逾时不交的，视同放弃磋商。重新提交的响应文件与竞争性磋商文件同具法律效力。</w:t>
      </w:r>
    </w:p>
    <w:p w14:paraId="7934D94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22.3.4磋商小组就变动后的响应文件与供应商分别进行再次磋商（具体磋商次数由磋商小组根据磋商情况确定）。</w:t>
      </w:r>
    </w:p>
    <w:p w14:paraId="00A94FD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22.3.5磋商文件不能详细列明采购标的的技术、服务要求，需经磋商由供应商提供最终设计方案或解决方案的，磋商结束后，磋商小组应当按照少数服从多数的原则投票推荐3家以上供应商的设计方案或解决方案，磋商小组按照竞争性磋商文件设定的22.4程序和综合评分法确定成交候选人。</w:t>
      </w:r>
    </w:p>
    <w:p w14:paraId="08F471D8">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22.3.6磋商小组一致确定供应商的竞争性磋商文件能够详细列明采购标的的技术、服务要求且符合竞争性磋商文件要求，无需再磋商的，磋商小组按照竞争性磋商文件设定的22.4程序和综合评分法确定成交候选人。</w:t>
      </w:r>
    </w:p>
    <w:p w14:paraId="05C92A2F">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22.4最后报价及成交候选供应商推荐</w:t>
      </w:r>
    </w:p>
    <w:p w14:paraId="7C528827">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22.4.1磋商结束后，磋商小组要求所有继续参加磋商的供应商在规定时间内提交最后报价，由其法定代表人(负责人、自然人)或授权代表签字或者加盖CA电子签章后递交磋商小组。</w:t>
      </w:r>
    </w:p>
    <w:p w14:paraId="7E8CFDD0">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22.4.2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w:t>
      </w:r>
    </w:p>
    <w:p w14:paraId="56AC8B60">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22.4.3供应商的最后报价是供应商响应文件的有效组成部分。</w:t>
      </w:r>
    </w:p>
    <w:p w14:paraId="11D09839">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22.4.4已提交响应文件的供应商，在提交最后报价之前，可以根据磋商情况退出磋商。采购人、采购代理机构应当退还退出磋商的供应商的保证金。</w:t>
      </w:r>
    </w:p>
    <w:p w14:paraId="6C06A3E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22.4.5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A5AFD1B">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22.5其他</w:t>
      </w:r>
    </w:p>
    <w:p w14:paraId="1288D0F0">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22.5.1磋商小组成员以及与评审工作有关的人员不得泄露评审情况以及评审过程中获悉的国家秘密、商业秘密。</w:t>
      </w:r>
    </w:p>
    <w:p w14:paraId="7A03F323">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22.5.2采购代理机构对磋商过程和重要磋商内容进行记录，磋商双方在记录上签字确认。</w:t>
      </w:r>
    </w:p>
    <w:p w14:paraId="36DB06E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22.5.3最终磋商结束后，磋商小组不得再与磋商供应商进行任何形式的商谈。</w:t>
      </w:r>
    </w:p>
    <w:p w14:paraId="03146359">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22.5.4出现下列情形之一的，采购代理机构可终止竞争性磋商采购活动，发布项目终止公告并说明原因，重新开展采购活动：</w:t>
      </w:r>
    </w:p>
    <w:p w14:paraId="7392195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22.5.4.1因情况变化，不再符合规定的竞争性磋商采购方式适用情形的；</w:t>
      </w:r>
    </w:p>
    <w:p w14:paraId="6BF7F35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22.5.4.2出现影响采购公正的违法、违规行为的；</w:t>
      </w:r>
    </w:p>
    <w:p w14:paraId="3316A8A8">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22.5.4.3在采购过程中符合竞争要求的供应商或者报价未超过采购预算的供应商不足3家的。</w:t>
      </w:r>
    </w:p>
    <w:p w14:paraId="0C949E98">
      <w:pPr>
        <w:tabs>
          <w:tab w:val="left" w:pos="1305"/>
        </w:tabs>
        <w:spacing w:line="420" w:lineRule="exact"/>
        <w:ind w:firstLine="422" w:firstLineChars="175"/>
        <w:rPr>
          <w:rFonts w:ascii="宋体" w:hAnsi="宋体" w:cs="宋体"/>
          <w:b/>
          <w:bCs/>
          <w:color w:val="auto"/>
          <w:sz w:val="24"/>
        </w:rPr>
      </w:pPr>
      <w:r>
        <w:rPr>
          <w:rFonts w:hint="eastAsia" w:ascii="宋体" w:hAnsi="宋体" w:cs="宋体"/>
          <w:b/>
          <w:bCs/>
          <w:color w:val="auto"/>
          <w:sz w:val="24"/>
        </w:rPr>
        <w:t>23.确定成交供应商办法</w:t>
      </w:r>
    </w:p>
    <w:p w14:paraId="038187E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23.1 采购代理机构应当在评审结束后2个工作日内将评审报告送采购人确认。采购人应当在收到评审报告后5个工作日内，从评审报告提出的成交候选人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名第一成交候选供应商为成交供应商。</w:t>
      </w:r>
    </w:p>
    <w:p w14:paraId="730EB8CB">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23.2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城中区政府采购监督管理部门。</w:t>
      </w:r>
    </w:p>
    <w:p w14:paraId="4BD7E001">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以上信息查询记录及相关证据与采购文件一并保存。</w:t>
      </w:r>
    </w:p>
    <w:p w14:paraId="72B0987F">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磋商结果将在www.ccgp.gov.cn（中国政府采购网）、zfcg.gxzf.gov.cn(广西壮族自治区政府采购网)公布。</w:t>
      </w:r>
    </w:p>
    <w:p w14:paraId="68C57FAF">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23.3采购代理机构无义务向供应商退还磋商文件。</w:t>
      </w:r>
    </w:p>
    <w:p w14:paraId="428E36DB">
      <w:pPr>
        <w:tabs>
          <w:tab w:val="left" w:pos="1305"/>
        </w:tabs>
        <w:spacing w:line="420" w:lineRule="exact"/>
        <w:ind w:firstLine="422" w:firstLineChars="175"/>
        <w:rPr>
          <w:rFonts w:ascii="宋体" w:hAnsi="宋体" w:cs="宋体"/>
          <w:b/>
          <w:bCs/>
          <w:color w:val="auto"/>
          <w:sz w:val="24"/>
        </w:rPr>
      </w:pPr>
      <w:r>
        <w:rPr>
          <w:rFonts w:hint="eastAsia" w:ascii="宋体" w:hAnsi="宋体" w:cs="宋体"/>
          <w:b/>
          <w:bCs/>
          <w:color w:val="auto"/>
          <w:sz w:val="24"/>
        </w:rPr>
        <w:t>24.质疑</w:t>
      </w:r>
    </w:p>
    <w:p w14:paraId="616EA68A">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24.1供应商对成交结果有异议的，应当在成交公告期限届满之日起七个工作日内，以书面形式向采购人或采购代理机构提出质疑，并及时索要书面回执。</w:t>
      </w:r>
    </w:p>
    <w:p w14:paraId="0C73BADE">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24.2被质疑的采购人或采购代理机构（采购代理机构应当按照有关规定就采购人委托授权范围内的事项）在收到供应商的书面质疑后七个工作日内作出答复，但答复的内容不得涉及商业秘密。</w:t>
      </w:r>
    </w:p>
    <w:p w14:paraId="4913B140">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24.3质疑、投诉应当采用书面形式，质疑函、投诉书均应明确阐述竞争性磋商文件、磋商过程或成交结果中使自己合法权益受到损害的实质性内容，提供相关事实依据和证据及其来源或线索，便于有关单位调查、答复和处理。</w:t>
      </w:r>
    </w:p>
    <w:p w14:paraId="35458028">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24.4质疑书面要求</w:t>
      </w:r>
    </w:p>
    <w:p w14:paraId="4538F482">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24.4.1质疑人质疑时须提交质疑书，质疑书至少包括下列主要内容：</w:t>
      </w:r>
    </w:p>
    <w:p w14:paraId="578B0F67">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（1）供应商的姓名或名称、地址、邮编、联系人及联系电话；</w:t>
      </w:r>
    </w:p>
    <w:p w14:paraId="018BC595">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（2）质疑项目的名称、编号；</w:t>
      </w:r>
    </w:p>
    <w:p w14:paraId="32C57034">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（3）具体、明确的质疑事项和与质疑事项相关的请求；</w:t>
      </w:r>
    </w:p>
    <w:p w14:paraId="3A5B4522">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（4）事实依据；</w:t>
      </w:r>
    </w:p>
    <w:p w14:paraId="2AC6DD3F">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（5）必要的法律依据；</w:t>
      </w:r>
    </w:p>
    <w:p w14:paraId="3AA6F2D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（6）提出质疑的日期。</w:t>
      </w:r>
    </w:p>
    <w:p w14:paraId="50A84B32">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供应商为自然人的，应当由本人签字；供应商为法人或者其他组织的，应当由法定代表人(负责人、自然人)、主要负责人，或者其授权代表签字或者盖章，并加盖公章。</w:t>
      </w:r>
    </w:p>
    <w:p w14:paraId="75B9DE6C">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如不按政府采购相关规定及上述要求质疑或投诉的，视为无效质疑或无效投诉，不予受理。</w:t>
      </w:r>
    </w:p>
    <w:p w14:paraId="762A2D7B">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25.成交供应商应在收到成交通知书发出之日起25日内，按磋商文件确定的合同文本及采购标的、规格型号、采购金额、采购数量、技术和服务要求等事项与采购人签订政府采购合同。</w:t>
      </w:r>
    </w:p>
    <w:p w14:paraId="65790BB7">
      <w:pPr>
        <w:tabs>
          <w:tab w:val="left" w:pos="1305"/>
        </w:tabs>
        <w:spacing w:line="420" w:lineRule="exact"/>
        <w:ind w:firstLine="420" w:firstLineChars="175"/>
        <w:rPr>
          <w:rFonts w:ascii="宋体" w:hAnsi="宋体" w:cs="宋体"/>
          <w:color w:val="auto"/>
          <w:sz w:val="24"/>
        </w:rPr>
      </w:pPr>
      <w:r>
        <w:rPr>
          <w:rFonts w:hint="eastAsia" w:ascii="宋体" w:hAnsi="宋体" w:cs="宋体"/>
          <w:color w:val="auto"/>
          <w:sz w:val="24"/>
        </w:rPr>
        <w:t>26.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bookmarkEnd w:id="126"/>
    </w:p>
    <w:p w14:paraId="5645F3FA">
      <w:pPr>
        <w:spacing w:line="420" w:lineRule="exact"/>
        <w:ind w:firstLine="422" w:firstLineChars="175"/>
        <w:rPr>
          <w:rFonts w:ascii="宋体" w:hAnsi="宋体" w:cs="宋体"/>
          <w:b/>
          <w:color w:val="auto"/>
          <w:sz w:val="24"/>
        </w:rPr>
      </w:pPr>
      <w:r>
        <w:rPr>
          <w:rFonts w:hint="eastAsia" w:ascii="宋体" w:hAnsi="宋体" w:cs="宋体"/>
          <w:b/>
          <w:color w:val="auto"/>
          <w:sz w:val="24"/>
        </w:rPr>
        <w:t>27.采购代理服务费</w:t>
      </w:r>
    </w:p>
    <w:p w14:paraId="2B51AE67">
      <w:pPr>
        <w:spacing w:line="420" w:lineRule="exact"/>
        <w:ind w:firstLine="420" w:firstLineChars="175"/>
        <w:jc w:val="left"/>
        <w:rPr>
          <w:rFonts w:ascii="宋体" w:hAnsi="宋体" w:cs="宋体"/>
          <w:color w:val="auto"/>
          <w:sz w:val="24"/>
        </w:rPr>
      </w:pPr>
      <w:r>
        <w:rPr>
          <w:rFonts w:hint="eastAsia" w:ascii="宋体" w:hAnsi="宋体" w:cs="宋体"/>
          <w:color w:val="auto"/>
          <w:sz w:val="24"/>
        </w:rPr>
        <w:t>成交供应商领取成交通知书前，由成交供应商向招标代理机构一次性付清采购代理服务费。本项目的采购代理服务收费标准按计价格[2002]1980号《招标代理服务收费管理暂行办法》服务类收费标准收取。</w:t>
      </w:r>
    </w:p>
    <w:p w14:paraId="55131185">
      <w:pPr>
        <w:spacing w:line="420" w:lineRule="exact"/>
        <w:ind w:firstLine="422" w:firstLineChars="175"/>
        <w:rPr>
          <w:rFonts w:ascii="宋体" w:hAnsi="宋体" w:cs="宋体"/>
          <w:b/>
          <w:color w:val="auto"/>
          <w:sz w:val="24"/>
        </w:rPr>
      </w:pPr>
      <w:r>
        <w:rPr>
          <w:rFonts w:hint="eastAsia" w:ascii="宋体" w:hAnsi="宋体" w:cs="宋体"/>
          <w:b/>
          <w:color w:val="auto"/>
          <w:sz w:val="24"/>
        </w:rPr>
        <w:t>28.适用法律</w:t>
      </w:r>
    </w:p>
    <w:p w14:paraId="75B90FEC">
      <w:pPr>
        <w:tabs>
          <w:tab w:val="left" w:pos="2835"/>
        </w:tabs>
        <w:spacing w:line="420" w:lineRule="exact"/>
        <w:ind w:firstLine="420" w:firstLineChars="175"/>
        <w:rPr>
          <w:rFonts w:ascii="宋体" w:hAnsi="宋体" w:cs="宋体"/>
          <w:color w:val="auto"/>
          <w:sz w:val="24"/>
        </w:rPr>
      </w:pPr>
      <w:r>
        <w:rPr>
          <w:rFonts w:hint="eastAsia" w:ascii="宋体" w:hAnsi="宋体" w:cs="宋体"/>
          <w:bCs/>
          <w:color w:val="auto"/>
          <w:sz w:val="24"/>
        </w:rPr>
        <w:t>采购当事人的一切活动均适用于《中华人民共和国政府采购法》《中华人民共和国政府采购法实施条例》《</w:t>
      </w:r>
      <w:r>
        <w:rPr>
          <w:rFonts w:hint="eastAsia" w:ascii="宋体" w:hAnsi="宋体" w:cs="宋体"/>
          <w:color w:val="auto"/>
          <w:sz w:val="24"/>
        </w:rPr>
        <w:t>政府采购竞争性磋商采购方式管理暂行办法</w:t>
      </w:r>
      <w:r>
        <w:rPr>
          <w:rFonts w:hint="eastAsia" w:ascii="宋体" w:hAnsi="宋体" w:cs="宋体"/>
          <w:bCs/>
          <w:color w:val="auto"/>
          <w:sz w:val="24"/>
        </w:rPr>
        <w:t>》及相关规定。</w:t>
      </w:r>
    </w:p>
    <w:p w14:paraId="0A820047">
      <w:pPr>
        <w:tabs>
          <w:tab w:val="center" w:pos="4410"/>
          <w:tab w:val="left" w:pos="6735"/>
        </w:tabs>
        <w:spacing w:line="480" w:lineRule="auto"/>
        <w:jc w:val="center"/>
        <w:outlineLvl w:val="0"/>
        <w:rPr>
          <w:rFonts w:ascii="宋体" w:hAnsi="宋体" w:cs="宋体"/>
          <w:b/>
          <w:bCs/>
          <w:color w:val="auto"/>
          <w:kern w:val="44"/>
          <w:sz w:val="44"/>
          <w:szCs w:val="44"/>
        </w:rPr>
      </w:pPr>
      <w:r>
        <w:rPr>
          <w:rFonts w:hint="eastAsia" w:ascii="宋体" w:hAnsi="宋体" w:cs="宋体"/>
          <w:color w:val="auto"/>
          <w:sz w:val="24"/>
        </w:rPr>
        <w:br w:type="page"/>
      </w:r>
      <w:bookmarkStart w:id="150" w:name="_Toc10159"/>
      <w:bookmarkStart w:id="151" w:name="_Toc29354"/>
      <w:bookmarkStart w:id="152" w:name="_Toc5068"/>
      <w:bookmarkStart w:id="153" w:name="_Toc28976"/>
      <w:bookmarkStart w:id="154" w:name="_Toc2424"/>
      <w:bookmarkStart w:id="155" w:name="_Toc20142"/>
      <w:bookmarkStart w:id="156" w:name="_Toc28359"/>
      <w:bookmarkStart w:id="157" w:name="_Toc11430"/>
      <w:bookmarkStart w:id="158" w:name="_Toc4876"/>
      <w:bookmarkStart w:id="159" w:name="_Toc12500"/>
      <w:bookmarkStart w:id="160" w:name="_Toc3051"/>
      <w:bookmarkStart w:id="161" w:name="_Toc29095"/>
      <w:bookmarkStart w:id="162" w:name="_Toc8421"/>
      <w:bookmarkStart w:id="163" w:name="_Toc7714"/>
      <w:bookmarkStart w:id="164" w:name="_Toc20739"/>
      <w:bookmarkStart w:id="165" w:name="_Toc451267281"/>
      <w:bookmarkStart w:id="166" w:name="_Toc10582"/>
      <w:bookmarkStart w:id="167" w:name="_Toc4498"/>
      <w:bookmarkStart w:id="168" w:name="_Toc18962"/>
      <w:bookmarkStart w:id="169" w:name="_Toc452364070"/>
      <w:bookmarkStart w:id="170" w:name="_Toc8936"/>
      <w:bookmarkStart w:id="171" w:name="_Toc17307"/>
      <w:bookmarkStart w:id="172" w:name="_Toc7341"/>
      <w:bookmarkStart w:id="173" w:name="_Toc20533"/>
      <w:r>
        <w:rPr>
          <w:rFonts w:hint="eastAsia" w:ascii="宋体" w:hAnsi="宋体" w:cs="宋体"/>
          <w:b/>
          <w:bCs/>
          <w:color w:val="auto"/>
          <w:kern w:val="44"/>
          <w:sz w:val="32"/>
          <w:szCs w:val="32"/>
        </w:rPr>
        <w:t>第三章  项目需求</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7631396">
      <w:pPr>
        <w:spacing w:line="420" w:lineRule="exact"/>
        <w:jc w:val="left"/>
        <w:rPr>
          <w:rFonts w:ascii="宋体" w:hAnsi="宋体" w:cs="宋体"/>
          <w:color w:val="auto"/>
        </w:rPr>
      </w:pPr>
      <w:bookmarkStart w:id="174" w:name="_Toc452364071"/>
      <w:r>
        <w:rPr>
          <w:rFonts w:hint="eastAsia" w:ascii="宋体" w:hAnsi="宋体" w:cs="宋体"/>
          <w:color w:val="auto"/>
        </w:rPr>
        <w:t>说明：</w:t>
      </w:r>
    </w:p>
    <w:p w14:paraId="29A1E553">
      <w:pPr>
        <w:spacing w:line="420" w:lineRule="exact"/>
        <w:ind w:firstLine="420" w:firstLineChars="200"/>
        <w:jc w:val="left"/>
        <w:rPr>
          <w:rFonts w:ascii="宋体" w:hAnsi="宋体" w:cs="宋体"/>
          <w:color w:val="auto"/>
        </w:rPr>
      </w:pPr>
      <w:r>
        <w:rPr>
          <w:rFonts w:hint="eastAsia" w:ascii="宋体" w:hAnsi="宋体"/>
          <w:color w:val="auto"/>
          <w:szCs w:val="32"/>
        </w:rPr>
        <w:t>1.</w:t>
      </w:r>
      <w:r>
        <w:rPr>
          <w:rFonts w:hint="eastAsia"/>
          <w:color w:val="auto"/>
          <w:szCs w:val="32"/>
        </w:rPr>
        <w:t>为落实政府采购政策需满足的要求（根据项目实际情况填写内容）</w:t>
      </w:r>
    </w:p>
    <w:p w14:paraId="13266C49">
      <w:pPr>
        <w:spacing w:line="420" w:lineRule="exact"/>
        <w:ind w:firstLine="367" w:firstLineChars="175"/>
        <w:jc w:val="left"/>
        <w:rPr>
          <w:rFonts w:ascii="宋体" w:hAnsi="宋体" w:cs="宋体"/>
          <w:color w:val="auto"/>
        </w:rPr>
      </w:pPr>
      <w:r>
        <w:rPr>
          <w:rFonts w:hint="eastAsia" w:ascii="宋体" w:hAnsi="宋体" w:cs="宋体"/>
          <w:color w:val="auto"/>
        </w:rPr>
        <w:t>（1）本竞争性磋商采购文件所称中小企业必须符合《政府采购促进中小企业发展管理办法》（财库〔2020〕46号）的规定</w:t>
      </w:r>
      <w:r>
        <w:rPr>
          <w:rFonts w:hint="eastAsia" w:ascii="宋体" w:hAnsi="宋体" w:cs="宋体"/>
          <w:b/>
          <w:bCs/>
          <w:color w:val="auto"/>
        </w:rPr>
        <w:t>（具体规定详见附件）</w:t>
      </w:r>
      <w:r>
        <w:rPr>
          <w:rFonts w:hint="eastAsia" w:ascii="宋体" w:hAnsi="宋体" w:cs="宋体"/>
          <w:color w:val="auto"/>
        </w:rPr>
        <w:t>。</w:t>
      </w:r>
      <w:r>
        <w:rPr>
          <w:rFonts w:hint="eastAsia" w:ascii="宋体" w:hAnsi="宋体" w:cs="宋体"/>
          <w:b/>
          <w:bCs/>
          <w:color w:val="auto"/>
        </w:rPr>
        <w:t>本项目（标项一、标项二）采购标的所属行业为：</w:t>
      </w:r>
      <w:r>
        <w:rPr>
          <w:rFonts w:hint="eastAsia" w:ascii="宋体" w:hAnsi="宋体" w:cs="宋体"/>
          <w:b/>
          <w:bCs/>
          <w:color w:val="auto"/>
          <w:u w:val="single"/>
        </w:rPr>
        <w:t>租赁和商务服务业</w:t>
      </w:r>
      <w:r>
        <w:rPr>
          <w:rFonts w:hint="eastAsia" w:ascii="宋体" w:hAnsi="宋体" w:cs="宋体"/>
          <w:b/>
          <w:bCs/>
          <w:color w:val="auto"/>
        </w:rPr>
        <w:t>。</w:t>
      </w:r>
    </w:p>
    <w:p w14:paraId="2FB9761C">
      <w:pPr>
        <w:tabs>
          <w:tab w:val="left" w:pos="180"/>
          <w:tab w:val="left" w:pos="1620"/>
        </w:tabs>
        <w:spacing w:line="420" w:lineRule="exact"/>
        <w:ind w:firstLine="420" w:firstLineChars="200"/>
        <w:rPr>
          <w:rFonts w:ascii="宋体" w:hAnsi="宋体" w:cs="宋体"/>
          <w:b/>
          <w:bCs/>
          <w:color w:val="auto"/>
        </w:rPr>
      </w:pPr>
      <w:r>
        <w:rPr>
          <w:rFonts w:hint="eastAsia" w:ascii="宋体" w:hAnsi="宋体" w:cs="宋体"/>
          <w:color w:val="auto"/>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评审程序和评审方法和评审标准”。</w:t>
      </w:r>
    </w:p>
    <w:p w14:paraId="6C026316">
      <w:pPr>
        <w:spacing w:line="420" w:lineRule="exact"/>
        <w:ind w:firstLine="413" w:firstLineChars="196"/>
        <w:rPr>
          <w:rFonts w:ascii="宋体" w:hAnsi="宋体" w:cs="宋体"/>
          <w:b/>
          <w:bCs/>
          <w:color w:val="auto"/>
        </w:rPr>
      </w:pPr>
      <w:r>
        <w:rPr>
          <w:rFonts w:hint="eastAsia" w:ascii="宋体" w:hAnsi="宋体" w:cs="宋体"/>
          <w:b/>
          <w:bCs/>
          <w:color w:val="auto"/>
        </w:rPr>
        <w:t>2.本“</w:t>
      </w:r>
      <w:r>
        <w:rPr>
          <w:rFonts w:hint="eastAsia" w:ascii="宋体" w:hAnsi="宋体" w:cs="宋体"/>
          <w:b/>
          <w:color w:val="auto"/>
        </w:rPr>
        <w:t>服务需求一览表</w:t>
      </w:r>
      <w:r>
        <w:rPr>
          <w:rFonts w:hint="eastAsia" w:ascii="宋体" w:hAnsi="宋体" w:cs="宋体"/>
          <w:b/>
          <w:bCs/>
          <w:color w:val="auto"/>
        </w:rPr>
        <w:t>”中标注“▲”项的条款均为实质性要求，若有任意一项负偏离则响应文件作无效处理。</w:t>
      </w:r>
    </w:p>
    <w:p w14:paraId="659A8663">
      <w:pPr>
        <w:pStyle w:val="8"/>
        <w:spacing w:line="420" w:lineRule="exact"/>
        <w:ind w:firstLine="420" w:firstLineChars="200"/>
        <w:rPr>
          <w:color w:val="auto"/>
          <w:szCs w:val="32"/>
        </w:rPr>
      </w:pPr>
      <w:r>
        <w:rPr>
          <w:rFonts w:hint="eastAsia" w:ascii="宋体" w:hAnsi="宋体" w:cs="宋体"/>
          <w:color w:val="auto"/>
        </w:rPr>
        <w:t>3.</w:t>
      </w:r>
      <w:r>
        <w:rPr>
          <w:rFonts w:hint="eastAsia"/>
          <w:color w:val="auto"/>
          <w:szCs w:val="32"/>
        </w:rPr>
        <w:t>如供应商的投标货物或服务成果存在</w:t>
      </w:r>
      <w:r>
        <w:rPr>
          <w:color w:val="auto"/>
          <w:szCs w:val="32"/>
        </w:rPr>
        <w:t>侵犯</w:t>
      </w:r>
      <w:r>
        <w:rPr>
          <w:rFonts w:hint="eastAsia"/>
          <w:color w:val="auto"/>
          <w:szCs w:val="32"/>
        </w:rPr>
        <w:t>他人的知识产权或者专利成果行为的，应</w:t>
      </w:r>
      <w:r>
        <w:rPr>
          <w:color w:val="auto"/>
          <w:szCs w:val="32"/>
        </w:rPr>
        <w:t>承担相应法律责任</w:t>
      </w:r>
      <w:r>
        <w:rPr>
          <w:rFonts w:hint="eastAsia"/>
          <w:color w:val="auto"/>
          <w:szCs w:val="32"/>
        </w:rPr>
        <w:t>。</w:t>
      </w:r>
    </w:p>
    <w:p w14:paraId="65EE081E">
      <w:pPr>
        <w:pStyle w:val="9"/>
        <w:rPr>
          <w:color w:val="auto"/>
        </w:rPr>
      </w:pPr>
    </w:p>
    <w:p w14:paraId="73C1AEA5">
      <w:pPr>
        <w:spacing w:line="420" w:lineRule="exact"/>
        <w:ind w:firstLine="420" w:firstLineChars="200"/>
        <w:jc w:val="left"/>
        <w:rPr>
          <w:color w:val="auto"/>
        </w:rPr>
      </w:pPr>
      <w:r>
        <w:rPr>
          <w:rFonts w:hint="eastAsia"/>
          <w:color w:val="auto"/>
        </w:rPr>
        <w:br w:type="page"/>
      </w:r>
    </w:p>
    <w:p w14:paraId="11516361">
      <w:pPr>
        <w:outlineLvl w:val="1"/>
        <w:rPr>
          <w:rFonts w:ascii="宋体" w:hAnsi="宋体" w:cs="宋体"/>
          <w:b/>
          <w:bCs/>
          <w:color w:val="auto"/>
          <w:kern w:val="44"/>
          <w:sz w:val="28"/>
          <w:szCs w:val="28"/>
        </w:rPr>
      </w:pPr>
      <w:r>
        <w:rPr>
          <w:rFonts w:hint="eastAsia" w:ascii="宋体" w:hAnsi="宋体" w:cs="宋体"/>
          <w:b/>
          <w:bCs/>
          <w:color w:val="auto"/>
          <w:kern w:val="44"/>
          <w:sz w:val="28"/>
          <w:szCs w:val="28"/>
        </w:rPr>
        <w:t>标项一：采购2025年</w:t>
      </w:r>
      <w:r>
        <w:rPr>
          <w:rFonts w:hint="eastAsia" w:ascii="宋体" w:hAnsi="宋体" w:cs="宋体"/>
          <w:b/>
          <w:bCs/>
          <w:iCs/>
          <w:color w:val="auto"/>
          <w:sz w:val="24"/>
        </w:rPr>
        <w:t>-</w:t>
      </w:r>
      <w:r>
        <w:rPr>
          <w:rFonts w:hint="eastAsia" w:ascii="宋体" w:hAnsi="宋体" w:cs="宋体"/>
          <w:b/>
          <w:bCs/>
          <w:color w:val="auto"/>
          <w:kern w:val="44"/>
          <w:sz w:val="28"/>
          <w:szCs w:val="28"/>
        </w:rPr>
        <w:t>2028年度党政机关法律顾问服务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24"/>
        <w:gridCol w:w="795"/>
        <w:gridCol w:w="6889"/>
        <w:gridCol w:w="761"/>
      </w:tblGrid>
      <w:tr w14:paraId="7A23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5" w:type="dxa"/>
            <w:gridSpan w:val="5"/>
            <w:vAlign w:val="center"/>
          </w:tcPr>
          <w:p w14:paraId="07B1BEA2">
            <w:pPr>
              <w:tabs>
                <w:tab w:val="center" w:pos="4410"/>
                <w:tab w:val="left" w:pos="6735"/>
              </w:tabs>
              <w:snapToGrid w:val="0"/>
              <w:spacing w:line="400" w:lineRule="exact"/>
              <w:jc w:val="center"/>
              <w:rPr>
                <w:rFonts w:ascii="宋体" w:hAnsi="宋体" w:cs="宋体"/>
                <w:b/>
                <w:color w:val="auto"/>
                <w:sz w:val="24"/>
              </w:rPr>
            </w:pPr>
            <w:r>
              <w:rPr>
                <w:rFonts w:hint="eastAsia" w:ascii="宋体" w:hAnsi="宋体" w:cs="宋体"/>
                <w:b/>
                <w:color w:val="auto"/>
                <w:sz w:val="24"/>
              </w:rPr>
              <w:t>服务需求一览表</w:t>
            </w:r>
          </w:p>
        </w:tc>
      </w:tr>
      <w:tr w14:paraId="4E5F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56" w:type="dxa"/>
            <w:vAlign w:val="center"/>
          </w:tcPr>
          <w:p w14:paraId="71CC7950">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924" w:type="dxa"/>
            <w:vAlign w:val="center"/>
          </w:tcPr>
          <w:p w14:paraId="4CC4661C">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服务项目名称</w:t>
            </w:r>
          </w:p>
        </w:tc>
        <w:tc>
          <w:tcPr>
            <w:tcW w:w="795" w:type="dxa"/>
            <w:vAlign w:val="center"/>
          </w:tcPr>
          <w:p w14:paraId="2350F1BC">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数量及单位</w:t>
            </w:r>
          </w:p>
        </w:tc>
        <w:tc>
          <w:tcPr>
            <w:tcW w:w="6889" w:type="dxa"/>
            <w:vAlign w:val="center"/>
          </w:tcPr>
          <w:p w14:paraId="0215D241">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采购需求服务内容及要求</w:t>
            </w:r>
          </w:p>
        </w:tc>
        <w:tc>
          <w:tcPr>
            <w:tcW w:w="761" w:type="dxa"/>
            <w:vAlign w:val="center"/>
          </w:tcPr>
          <w:p w14:paraId="24EB0290">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采购预算</w:t>
            </w:r>
          </w:p>
        </w:tc>
      </w:tr>
      <w:tr w14:paraId="64F6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556" w:type="dxa"/>
            <w:vAlign w:val="center"/>
          </w:tcPr>
          <w:p w14:paraId="3A1D6C82">
            <w:pPr>
              <w:snapToGrid w:val="0"/>
              <w:spacing w:line="400" w:lineRule="exact"/>
              <w:jc w:val="center"/>
              <w:rPr>
                <w:rFonts w:ascii="宋体" w:hAnsi="宋体" w:cs="宋体"/>
                <w:color w:val="auto"/>
                <w:sz w:val="24"/>
              </w:rPr>
            </w:pPr>
            <w:r>
              <w:rPr>
                <w:rFonts w:hint="eastAsia" w:ascii="宋体" w:hAnsi="宋体" w:cs="宋体"/>
                <w:color w:val="auto"/>
                <w:sz w:val="24"/>
              </w:rPr>
              <w:t>1</w:t>
            </w:r>
          </w:p>
        </w:tc>
        <w:tc>
          <w:tcPr>
            <w:tcW w:w="924" w:type="dxa"/>
            <w:vAlign w:val="center"/>
          </w:tcPr>
          <w:p w14:paraId="1BDF8F81">
            <w:pPr>
              <w:snapToGrid w:val="0"/>
              <w:spacing w:line="400" w:lineRule="exact"/>
              <w:jc w:val="center"/>
              <w:rPr>
                <w:rFonts w:ascii="宋体" w:hAnsi="宋体" w:cs="宋体"/>
                <w:color w:val="auto"/>
                <w:sz w:val="24"/>
              </w:rPr>
            </w:pPr>
            <w:r>
              <w:rPr>
                <w:rFonts w:hint="eastAsia" w:ascii="宋体" w:hAnsi="宋体" w:cs="宋体"/>
                <w:color w:val="auto"/>
                <w:sz w:val="24"/>
              </w:rPr>
              <w:t>采购2025年-2028年度党政机关法律顾问服务</w:t>
            </w:r>
          </w:p>
        </w:tc>
        <w:tc>
          <w:tcPr>
            <w:tcW w:w="795" w:type="dxa"/>
            <w:vAlign w:val="center"/>
          </w:tcPr>
          <w:p w14:paraId="1CCAD72A">
            <w:pPr>
              <w:snapToGrid w:val="0"/>
              <w:spacing w:line="400" w:lineRule="exact"/>
              <w:jc w:val="center"/>
              <w:rPr>
                <w:rFonts w:ascii="宋体" w:hAnsi="宋体" w:cs="宋体"/>
                <w:color w:val="auto"/>
                <w:sz w:val="24"/>
              </w:rPr>
            </w:pPr>
            <w:r>
              <w:rPr>
                <w:rFonts w:hint="eastAsia" w:ascii="宋体" w:hAnsi="宋体" w:cs="宋体"/>
                <w:color w:val="auto"/>
                <w:sz w:val="24"/>
              </w:rPr>
              <w:t>1项</w:t>
            </w:r>
          </w:p>
        </w:tc>
        <w:tc>
          <w:tcPr>
            <w:tcW w:w="6889" w:type="dxa"/>
          </w:tcPr>
          <w:p w14:paraId="4CAAC4AD">
            <w:pPr>
              <w:snapToGrid w:val="0"/>
              <w:spacing w:line="400" w:lineRule="exact"/>
              <w:jc w:val="left"/>
              <w:rPr>
                <w:rFonts w:ascii="宋体" w:hAnsi="宋体" w:cs="宋体"/>
                <w:color w:val="auto"/>
                <w:sz w:val="24"/>
              </w:rPr>
            </w:pPr>
            <w:r>
              <w:rPr>
                <w:rFonts w:ascii="宋体" w:hAnsi="宋体" w:cs="宋体"/>
                <w:color w:val="auto"/>
                <w:sz w:val="24"/>
              </w:rPr>
              <w:t>一、服务主体</w:t>
            </w:r>
          </w:p>
          <w:p w14:paraId="4CAB24EB">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象州县委及象州县人民政府。</w:t>
            </w:r>
          </w:p>
          <w:p w14:paraId="49CF681A">
            <w:pPr>
              <w:snapToGrid w:val="0"/>
              <w:spacing w:line="400" w:lineRule="exact"/>
              <w:jc w:val="left"/>
              <w:rPr>
                <w:rFonts w:ascii="宋体" w:hAnsi="宋体" w:cs="宋体"/>
                <w:color w:val="auto"/>
                <w:sz w:val="24"/>
              </w:rPr>
            </w:pPr>
            <w:r>
              <w:rPr>
                <w:rFonts w:ascii="宋体" w:hAnsi="宋体" w:cs="宋体"/>
                <w:color w:val="auto"/>
                <w:sz w:val="24"/>
              </w:rPr>
              <w:t>二、服务内容及要求</w:t>
            </w:r>
          </w:p>
          <w:p w14:paraId="097D4181">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日常法律咨询与文件审查：为顾问单位起草或制定的规范性文件、重大行政决策及其法律事务提供专业的法律咨询或建议，及时出具法律意见书、合法性审查意见，并开展实施后评估工作。针对国家最新的政策、法规，提供精准解读及应用指导，确保顾问单位的决策和文件符合法律法规要求。</w:t>
            </w:r>
          </w:p>
          <w:p w14:paraId="276CD880">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合同事务处理：负责草拟、审查或修改重大合同文本及其他法律事务。根据实际工作需求，积极参与涉及重要合同的谈判，从法律专业角度把控合同条款，防范法律风险，维护顾问单位的合法权益。</w:t>
            </w:r>
          </w:p>
          <w:p w14:paraId="60004E0A">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纠纷处理：参与处理涉及顾问单位尚未进入诉讼程序的民事纠纷、行政纠纷和其他重大纠纷，运用专业法律知识和丰富的实践经验，制定合理的纠纷解决方案，争取妥善解决纠纷，避免纠纷升级和法律风险扩大。</w:t>
            </w:r>
          </w:p>
          <w:p w14:paraId="6BE8F83F">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重大案件及法律事务支持：参与涉及顾问单位的重大案件、法律事务的研究讨论，提供全面、深入的法律意见，出具相关的法律分析意见书及律师函。为涉及顾问单位有关的调解、仲裁、诉讼、执行等法律事务提供专业、有效的法律意见，保障法律事务的顺利推进和合法解决。</w:t>
            </w:r>
          </w:p>
          <w:p w14:paraId="4AC4851C">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权益维护：全力维护顾问单位的合法权益，在各类法律事务中，始终以顾问单位的利益为出发点，积极采取法律措施，确保顾问单位的合法权益不受侵害。</w:t>
            </w:r>
          </w:p>
          <w:p w14:paraId="6E07310B">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强制执行代理：接受顾问单位委托，代理申请强制执行，负责相关法律程序的办理，推动执行工作的顺利进行，保障顾问单位的合法权益得以实现。</w:t>
            </w:r>
          </w:p>
          <w:p w14:paraId="76814A49">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会议咨询：按时出席甲方法律顾问室召集的法律顾问会议，准备充分的专业资料，提供具有针对性和可操作性的法律意见，为会议决策提供有力的法律支持。</w:t>
            </w:r>
          </w:p>
          <w:p w14:paraId="7AAD2685">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法治宣传与协助工作：每年至少完成 1 次甲方或其四家班子领导的法治宣传培训工作，制定系统的培训计划和内容，提升领导干部的法律素养和法治意识。指导、协助县域内法律顾问工作，促进县域法律顾问整体业务水平的提升。协助甲方进行有关的法治宣传教育，创新宣传方式和内容，增强法治宣传教育的效果。</w:t>
            </w:r>
          </w:p>
          <w:p w14:paraId="35A49F46">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特定事项处理：经指派，以法律顾问身份对特定事项进行深入调查、有效协调，广泛收集和反映社情民意，并提出专业、合理的法律意见，为顾问单位决策提供参考依据。</w:t>
            </w:r>
          </w:p>
          <w:p w14:paraId="4C6B3911">
            <w:pPr>
              <w:numPr>
                <w:ilvl w:val="0"/>
                <w:numId w:val="2"/>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其他委托事务：认真办理顾问单位委托的其他事项，积极履行职责，确保委托事项得到妥善处理，满足顾问单位的工作需求。</w:t>
            </w:r>
          </w:p>
          <w:p w14:paraId="73C7320D">
            <w:pPr>
              <w:snapToGrid w:val="0"/>
              <w:spacing w:line="400" w:lineRule="exact"/>
              <w:jc w:val="left"/>
              <w:rPr>
                <w:rFonts w:ascii="宋体" w:hAnsi="宋体" w:cs="宋体"/>
                <w:color w:val="auto"/>
                <w:sz w:val="24"/>
              </w:rPr>
            </w:pPr>
            <w:r>
              <w:rPr>
                <w:rFonts w:ascii="宋体" w:hAnsi="宋体" w:cs="宋体"/>
                <w:color w:val="auto"/>
                <w:sz w:val="24"/>
              </w:rPr>
              <w:t>三、服务用工要求</w:t>
            </w:r>
          </w:p>
          <w:p w14:paraId="6521C74C">
            <w:pPr>
              <w:numPr>
                <w:ilvl w:val="0"/>
                <w:numId w:val="3"/>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人员配置</w:t>
            </w:r>
          </w:p>
          <w:tbl>
            <w:tblPr>
              <w:tblStyle w:val="23"/>
              <w:tblW w:w="6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32"/>
              <w:gridCol w:w="1318"/>
              <w:gridCol w:w="3159"/>
            </w:tblGrid>
            <w:tr w14:paraId="6867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1329CBBD">
                  <w:pPr>
                    <w:widowControl/>
                    <w:snapToGrid w:val="0"/>
                    <w:jc w:val="center"/>
                    <w:rPr>
                      <w:color w:val="auto"/>
                    </w:rPr>
                  </w:pPr>
                  <w:r>
                    <w:rPr>
                      <w:rFonts w:ascii="宋体" w:hAnsi="宋体" w:cs="宋体"/>
                      <w:b/>
                      <w:bCs/>
                      <w:color w:val="auto"/>
                      <w:kern w:val="0"/>
                      <w:sz w:val="24"/>
                    </w:rPr>
                    <w:t>序号</w:t>
                  </w:r>
                </w:p>
              </w:tc>
              <w:tc>
                <w:tcPr>
                  <w:tcW w:w="1532" w:type="dxa"/>
                  <w:vAlign w:val="center"/>
                </w:tcPr>
                <w:p w14:paraId="3CEA1523">
                  <w:pPr>
                    <w:widowControl/>
                    <w:snapToGrid w:val="0"/>
                    <w:jc w:val="center"/>
                    <w:rPr>
                      <w:color w:val="auto"/>
                    </w:rPr>
                  </w:pPr>
                  <w:r>
                    <w:rPr>
                      <w:rFonts w:ascii="宋体" w:hAnsi="宋体" w:cs="宋体"/>
                      <w:b/>
                      <w:bCs/>
                      <w:color w:val="auto"/>
                      <w:kern w:val="0"/>
                      <w:sz w:val="24"/>
                    </w:rPr>
                    <w:t>岗位</w:t>
                  </w:r>
                </w:p>
              </w:tc>
              <w:tc>
                <w:tcPr>
                  <w:tcW w:w="1318" w:type="dxa"/>
                  <w:vAlign w:val="center"/>
                </w:tcPr>
                <w:p w14:paraId="2DC8B168">
                  <w:pPr>
                    <w:widowControl/>
                    <w:snapToGrid w:val="0"/>
                    <w:jc w:val="center"/>
                    <w:rPr>
                      <w:color w:val="auto"/>
                    </w:rPr>
                  </w:pPr>
                  <w:r>
                    <w:rPr>
                      <w:rFonts w:ascii="宋体" w:hAnsi="宋体" w:cs="宋体"/>
                      <w:b/>
                      <w:bCs/>
                      <w:color w:val="auto"/>
                      <w:kern w:val="0"/>
                      <w:sz w:val="24"/>
                    </w:rPr>
                    <w:t>人数</w:t>
                  </w:r>
                </w:p>
              </w:tc>
              <w:tc>
                <w:tcPr>
                  <w:tcW w:w="3159" w:type="dxa"/>
                  <w:vAlign w:val="center"/>
                </w:tcPr>
                <w:p w14:paraId="4ED40071">
                  <w:pPr>
                    <w:widowControl/>
                    <w:snapToGrid w:val="0"/>
                    <w:jc w:val="center"/>
                    <w:rPr>
                      <w:color w:val="auto"/>
                    </w:rPr>
                  </w:pPr>
                  <w:r>
                    <w:rPr>
                      <w:rFonts w:ascii="宋体" w:hAnsi="宋体" w:cs="宋体"/>
                      <w:b/>
                      <w:bCs/>
                      <w:color w:val="auto"/>
                      <w:kern w:val="0"/>
                      <w:sz w:val="24"/>
                    </w:rPr>
                    <w:t>备注</w:t>
                  </w:r>
                </w:p>
              </w:tc>
            </w:tr>
            <w:tr w14:paraId="60A8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55D9686A">
                  <w:pPr>
                    <w:widowControl/>
                    <w:snapToGrid w:val="0"/>
                    <w:jc w:val="center"/>
                    <w:rPr>
                      <w:color w:val="auto"/>
                    </w:rPr>
                  </w:pPr>
                  <w:r>
                    <w:rPr>
                      <w:rFonts w:ascii="宋体" w:hAnsi="宋体" w:cs="宋体"/>
                      <w:color w:val="auto"/>
                      <w:kern w:val="0"/>
                      <w:sz w:val="24"/>
                    </w:rPr>
                    <w:t>1</w:t>
                  </w:r>
                </w:p>
              </w:tc>
              <w:tc>
                <w:tcPr>
                  <w:tcW w:w="1532" w:type="dxa"/>
                  <w:vAlign w:val="center"/>
                </w:tcPr>
                <w:p w14:paraId="43E0CB7F">
                  <w:pPr>
                    <w:widowControl/>
                    <w:snapToGrid w:val="0"/>
                    <w:jc w:val="center"/>
                    <w:rPr>
                      <w:color w:val="auto"/>
                    </w:rPr>
                  </w:pPr>
                  <w:r>
                    <w:rPr>
                      <w:rFonts w:ascii="宋体" w:hAnsi="宋体" w:cs="宋体"/>
                      <w:color w:val="auto"/>
                      <w:kern w:val="0"/>
                      <w:sz w:val="24"/>
                    </w:rPr>
                    <w:t>主办律师（指定其中1位为项目负责人）</w:t>
                  </w:r>
                </w:p>
              </w:tc>
              <w:tc>
                <w:tcPr>
                  <w:tcW w:w="1318" w:type="dxa"/>
                  <w:vAlign w:val="center"/>
                </w:tcPr>
                <w:p w14:paraId="39A376B6">
                  <w:pPr>
                    <w:widowControl/>
                    <w:snapToGrid w:val="0"/>
                    <w:jc w:val="center"/>
                    <w:rPr>
                      <w:color w:val="auto"/>
                    </w:rPr>
                  </w:pPr>
                  <w:r>
                    <w:rPr>
                      <w:rFonts w:ascii="宋体" w:hAnsi="宋体" w:cs="宋体"/>
                      <w:color w:val="auto"/>
                      <w:kern w:val="0"/>
                      <w:sz w:val="24"/>
                    </w:rPr>
                    <w:t>不少于3人（含项目负责人）</w:t>
                  </w:r>
                </w:p>
              </w:tc>
              <w:tc>
                <w:tcPr>
                  <w:tcW w:w="3159" w:type="dxa"/>
                  <w:vAlign w:val="center"/>
                </w:tcPr>
                <w:p w14:paraId="1518C648">
                  <w:pPr>
                    <w:widowControl/>
                    <w:snapToGrid w:val="0"/>
                    <w:jc w:val="left"/>
                    <w:rPr>
                      <w:color w:val="auto"/>
                    </w:rPr>
                  </w:pPr>
                  <w:r>
                    <w:rPr>
                      <w:rFonts w:ascii="宋体" w:hAnsi="宋体" w:cs="宋体"/>
                      <w:color w:val="auto"/>
                      <w:kern w:val="0"/>
                      <w:sz w:val="24"/>
                    </w:rPr>
                    <w:t>1.执业三年以上</w:t>
                  </w:r>
                  <w:r>
                    <w:rPr>
                      <w:rFonts w:ascii="宋体" w:hAnsi="宋体" w:cs="宋体"/>
                      <w:color w:val="auto"/>
                      <w:kern w:val="0"/>
                      <w:sz w:val="24"/>
                    </w:rPr>
                    <w:br w:type="textWrapping"/>
                  </w:r>
                  <w:r>
                    <w:rPr>
                      <w:rFonts w:ascii="宋体" w:hAnsi="宋体" w:cs="宋体"/>
                      <w:color w:val="auto"/>
                      <w:kern w:val="0"/>
                      <w:sz w:val="24"/>
                    </w:rPr>
                    <w:t>2.至少1位为中共党员</w:t>
                  </w:r>
                  <w:r>
                    <w:rPr>
                      <w:rFonts w:ascii="宋体" w:hAnsi="宋体" w:cs="宋体"/>
                      <w:color w:val="auto"/>
                      <w:kern w:val="0"/>
                      <w:sz w:val="24"/>
                    </w:rPr>
                    <w:br w:type="textWrapping"/>
                  </w:r>
                  <w:r>
                    <w:rPr>
                      <w:rFonts w:ascii="宋体" w:hAnsi="宋体" w:cs="宋体"/>
                      <w:color w:val="auto"/>
                      <w:kern w:val="0"/>
                      <w:sz w:val="24"/>
                    </w:rPr>
                    <w:t>3.合同履行期间，非因正当理由和征得采购人同意，不得擅自变更项目负责人和主办律师</w:t>
                  </w:r>
                  <w:r>
                    <w:rPr>
                      <w:rFonts w:ascii="宋体" w:hAnsi="宋体" w:cs="宋体"/>
                      <w:color w:val="auto"/>
                      <w:kern w:val="0"/>
                      <w:sz w:val="24"/>
                    </w:rPr>
                    <w:br w:type="textWrapping"/>
                  </w:r>
                  <w:r>
                    <w:rPr>
                      <w:rFonts w:ascii="宋体" w:hAnsi="宋体" w:cs="宋体"/>
                      <w:color w:val="auto"/>
                      <w:kern w:val="0"/>
                      <w:sz w:val="24"/>
                    </w:rPr>
                    <w:t>4.必须持有律师执业证</w:t>
                  </w:r>
                </w:p>
              </w:tc>
            </w:tr>
            <w:tr w14:paraId="61DF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6A9A0A6D">
                  <w:pPr>
                    <w:widowControl/>
                    <w:snapToGrid w:val="0"/>
                    <w:jc w:val="center"/>
                    <w:rPr>
                      <w:color w:val="auto"/>
                    </w:rPr>
                  </w:pPr>
                  <w:r>
                    <w:rPr>
                      <w:rFonts w:ascii="宋体" w:hAnsi="宋体" w:cs="宋体"/>
                      <w:color w:val="auto"/>
                      <w:kern w:val="0"/>
                      <w:sz w:val="24"/>
                    </w:rPr>
                    <w:t>2</w:t>
                  </w:r>
                </w:p>
              </w:tc>
              <w:tc>
                <w:tcPr>
                  <w:tcW w:w="1532" w:type="dxa"/>
                  <w:vAlign w:val="center"/>
                </w:tcPr>
                <w:p w14:paraId="00F39C72">
                  <w:pPr>
                    <w:widowControl/>
                    <w:snapToGrid w:val="0"/>
                    <w:jc w:val="center"/>
                    <w:rPr>
                      <w:color w:val="auto"/>
                    </w:rPr>
                  </w:pPr>
                  <w:r>
                    <w:rPr>
                      <w:rFonts w:ascii="宋体" w:hAnsi="宋体" w:cs="宋体"/>
                      <w:color w:val="auto"/>
                      <w:kern w:val="0"/>
                      <w:sz w:val="24"/>
                    </w:rPr>
                    <w:t>协办律师</w:t>
                  </w:r>
                </w:p>
              </w:tc>
              <w:tc>
                <w:tcPr>
                  <w:tcW w:w="1318" w:type="dxa"/>
                  <w:vAlign w:val="center"/>
                </w:tcPr>
                <w:p w14:paraId="638386D6">
                  <w:pPr>
                    <w:widowControl/>
                    <w:snapToGrid w:val="0"/>
                    <w:jc w:val="center"/>
                    <w:rPr>
                      <w:color w:val="auto"/>
                    </w:rPr>
                  </w:pPr>
                  <w:r>
                    <w:rPr>
                      <w:rFonts w:ascii="宋体" w:hAnsi="宋体" w:cs="宋体"/>
                      <w:color w:val="auto"/>
                      <w:kern w:val="0"/>
                      <w:sz w:val="24"/>
                    </w:rPr>
                    <w:t>2人</w:t>
                  </w:r>
                </w:p>
              </w:tc>
              <w:tc>
                <w:tcPr>
                  <w:tcW w:w="3159" w:type="dxa"/>
                  <w:vAlign w:val="center"/>
                </w:tcPr>
                <w:p w14:paraId="2BD4F42A">
                  <w:pPr>
                    <w:widowControl/>
                    <w:snapToGrid w:val="0"/>
                    <w:jc w:val="left"/>
                    <w:rPr>
                      <w:color w:val="auto"/>
                    </w:rPr>
                  </w:pPr>
                  <w:r>
                    <w:rPr>
                      <w:rFonts w:ascii="宋体" w:hAnsi="宋体" w:cs="宋体"/>
                      <w:color w:val="auto"/>
                      <w:kern w:val="0"/>
                      <w:sz w:val="24"/>
                    </w:rPr>
                    <w:t>必须持有律师执业证</w:t>
                  </w:r>
                </w:p>
              </w:tc>
            </w:tr>
            <w:tr w14:paraId="4A5E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6198957C">
                  <w:pPr>
                    <w:widowControl/>
                    <w:snapToGrid w:val="0"/>
                    <w:jc w:val="center"/>
                    <w:rPr>
                      <w:color w:val="auto"/>
                    </w:rPr>
                  </w:pPr>
                  <w:r>
                    <w:rPr>
                      <w:rFonts w:ascii="宋体" w:hAnsi="宋体" w:cs="宋体"/>
                      <w:color w:val="auto"/>
                      <w:kern w:val="0"/>
                      <w:sz w:val="24"/>
                    </w:rPr>
                    <w:t>3</w:t>
                  </w:r>
                </w:p>
              </w:tc>
              <w:tc>
                <w:tcPr>
                  <w:tcW w:w="1532" w:type="dxa"/>
                  <w:vAlign w:val="center"/>
                </w:tcPr>
                <w:p w14:paraId="394B52DF">
                  <w:pPr>
                    <w:widowControl/>
                    <w:snapToGrid w:val="0"/>
                    <w:jc w:val="center"/>
                    <w:rPr>
                      <w:color w:val="auto"/>
                    </w:rPr>
                  </w:pPr>
                  <w:r>
                    <w:rPr>
                      <w:rFonts w:ascii="宋体" w:hAnsi="宋体" w:cs="宋体"/>
                      <w:color w:val="auto"/>
                      <w:kern w:val="0"/>
                      <w:sz w:val="24"/>
                    </w:rPr>
                    <w:t>助理</w:t>
                  </w:r>
                </w:p>
              </w:tc>
              <w:tc>
                <w:tcPr>
                  <w:tcW w:w="1318" w:type="dxa"/>
                  <w:vAlign w:val="center"/>
                </w:tcPr>
                <w:p w14:paraId="4D7DB143">
                  <w:pPr>
                    <w:widowControl/>
                    <w:snapToGrid w:val="0"/>
                    <w:jc w:val="center"/>
                    <w:rPr>
                      <w:color w:val="auto"/>
                    </w:rPr>
                  </w:pPr>
                  <w:r>
                    <w:rPr>
                      <w:rFonts w:ascii="宋体" w:hAnsi="宋体" w:cs="宋体"/>
                      <w:color w:val="auto"/>
                      <w:kern w:val="0"/>
                      <w:sz w:val="24"/>
                    </w:rPr>
                    <w:t>1人</w:t>
                  </w:r>
                </w:p>
              </w:tc>
              <w:tc>
                <w:tcPr>
                  <w:tcW w:w="3159" w:type="dxa"/>
                  <w:vAlign w:val="center"/>
                </w:tcPr>
                <w:p w14:paraId="72215B43">
                  <w:pPr>
                    <w:widowControl/>
                    <w:snapToGrid w:val="0"/>
                    <w:jc w:val="left"/>
                    <w:rPr>
                      <w:color w:val="auto"/>
                    </w:rPr>
                  </w:pPr>
                  <w:r>
                    <w:rPr>
                      <w:rFonts w:ascii="宋体" w:hAnsi="宋体" w:cs="宋体"/>
                      <w:color w:val="auto"/>
                      <w:kern w:val="0"/>
                      <w:sz w:val="24"/>
                    </w:rPr>
                    <w:t>可由专职律师或实习律师担任，须提供律师执业证（专职律师担任时）或实习律师证（实习律师担任时）</w:t>
                  </w:r>
                </w:p>
              </w:tc>
            </w:tr>
          </w:tbl>
          <w:p w14:paraId="66EDF7CA">
            <w:pPr>
              <w:numPr>
                <w:ilvl w:val="0"/>
                <w:numId w:val="3"/>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资质与团队要求</w:t>
            </w:r>
          </w:p>
          <w:p w14:paraId="76BF1ED2">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拟投入本项目的主办律师、协办律师和助理人员团队不得少于本项目采购人数要求，且不超过8人。所有人员须提供律师执业证、实习律师证（助理为实习律师时），否则视为无效执业律师证，按无效投标处理。确保团队人员的专业性和合法性，保障服务质量。</w:t>
            </w:r>
          </w:p>
          <w:p w14:paraId="30623E50">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四、合同管理规定</w:t>
            </w:r>
          </w:p>
          <w:p w14:paraId="56328DA2">
            <w:pPr>
              <w:numPr>
                <w:ilvl w:val="0"/>
                <w:numId w:val="4"/>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人员变更限制：在本项目合同履行期间，未经采购人许可，若主办律师、常协办律师、助理并非响应文件所指派人员，采购人有权单方解除合同。严格把控人员稳定性，保障服务的连贯性和专业性。</w:t>
            </w:r>
          </w:p>
          <w:p w14:paraId="098CAA1B">
            <w:pPr>
              <w:numPr>
                <w:ilvl w:val="0"/>
                <w:numId w:val="4"/>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服务质量监督：如在本项目合同履行期间，成交供应商提供的服务未达到采购人业务执行部门要求，采购人有权提前终止合同。建立服务质量监督机制，促使供应商持续提升服务质量，满足采购人的工作需求。</w:t>
            </w:r>
          </w:p>
          <w:p w14:paraId="643BFD9B">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五、分包限制</w:t>
            </w:r>
          </w:p>
          <w:p w14:paraId="48AA0AED">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本项目不允许分包，确保服务的整体性和责任的明确性，防止服务质量因分包而受到影响。</w:t>
            </w:r>
          </w:p>
        </w:tc>
        <w:tc>
          <w:tcPr>
            <w:tcW w:w="761" w:type="dxa"/>
            <w:vAlign w:val="center"/>
          </w:tcPr>
          <w:p w14:paraId="1427DFBC">
            <w:pPr>
              <w:snapToGrid w:val="0"/>
              <w:spacing w:line="400" w:lineRule="exact"/>
              <w:jc w:val="center"/>
              <w:rPr>
                <w:rFonts w:ascii="宋体" w:hAnsi="宋体" w:cs="宋体"/>
                <w:color w:val="auto"/>
                <w:sz w:val="24"/>
              </w:rPr>
            </w:pPr>
            <w:r>
              <w:rPr>
                <w:rFonts w:hint="eastAsia" w:ascii="宋体" w:hAnsi="宋体" w:cs="宋体"/>
                <w:color w:val="auto"/>
                <w:sz w:val="24"/>
              </w:rPr>
              <w:t>600000.00元</w:t>
            </w:r>
          </w:p>
        </w:tc>
      </w:tr>
      <w:tr w14:paraId="1288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56" w:type="dxa"/>
            <w:vMerge w:val="restart"/>
            <w:vAlign w:val="center"/>
          </w:tcPr>
          <w:p w14:paraId="00E0FD7F">
            <w:pPr>
              <w:snapToGrid w:val="0"/>
              <w:spacing w:line="400" w:lineRule="exact"/>
              <w:jc w:val="center"/>
              <w:rPr>
                <w:rFonts w:ascii="宋体" w:hAnsi="宋体" w:cs="宋体"/>
                <w:b/>
                <w:bCs/>
                <w:color w:val="auto"/>
                <w:sz w:val="24"/>
              </w:rPr>
            </w:pPr>
            <w:r>
              <w:rPr>
                <w:rFonts w:hint="eastAsia" w:ascii="宋体" w:hAnsi="宋体" w:cs="宋体"/>
                <w:b/>
                <w:bCs/>
                <w:color w:val="auto"/>
                <w:sz w:val="24"/>
              </w:rPr>
              <w:t>▲商务条款</w:t>
            </w:r>
          </w:p>
        </w:tc>
        <w:tc>
          <w:tcPr>
            <w:tcW w:w="1719" w:type="dxa"/>
            <w:gridSpan w:val="2"/>
            <w:vAlign w:val="center"/>
          </w:tcPr>
          <w:p w14:paraId="6EC7BD71">
            <w:pPr>
              <w:snapToGrid w:val="0"/>
              <w:spacing w:line="400" w:lineRule="exact"/>
              <w:jc w:val="center"/>
              <w:rPr>
                <w:rFonts w:ascii="宋体" w:hAnsi="宋体" w:cs="宋体"/>
                <w:color w:val="auto"/>
                <w:kern w:val="0"/>
                <w:sz w:val="24"/>
              </w:rPr>
            </w:pPr>
            <w:r>
              <w:rPr>
                <w:rFonts w:hint="eastAsia" w:ascii="宋体" w:hAnsi="宋体" w:cs="宋体"/>
                <w:color w:val="auto"/>
                <w:kern w:val="0"/>
                <w:sz w:val="24"/>
              </w:rPr>
              <w:t>报价要求</w:t>
            </w:r>
          </w:p>
        </w:tc>
        <w:tc>
          <w:tcPr>
            <w:tcW w:w="7650" w:type="dxa"/>
            <w:gridSpan w:val="2"/>
            <w:vAlign w:val="center"/>
          </w:tcPr>
          <w:p w14:paraId="1F19FCEB">
            <w:pPr>
              <w:snapToGrid w:val="0"/>
              <w:spacing w:line="400" w:lineRule="exact"/>
              <w:ind w:right="105" w:rightChars="50" w:firstLine="420" w:firstLineChars="175"/>
              <w:jc w:val="left"/>
              <w:rPr>
                <w:rFonts w:ascii="宋体" w:hAnsi="宋体" w:cs="宋体"/>
                <w:color w:val="auto"/>
                <w:sz w:val="24"/>
              </w:rPr>
            </w:pPr>
            <w:r>
              <w:rPr>
                <w:rFonts w:hint="eastAsia" w:ascii="宋体" w:hAnsi="宋体" w:cs="宋体"/>
                <w:color w:val="auto"/>
                <w:sz w:val="24"/>
              </w:rPr>
              <w:t>1.本标项的最高控制价为人民币陆拾万元整（小写：￥600000.00元）。报价应包含完成合同约定服务内容所需的全部费用，除合同另有约定外，不因任何因素调整。对于外聘法律顾问办理诉讼、仲裁案件等合同未尽专项服务事宜，由成交供应商和服务合同丙方根据《广西壮族自治区律师服务收费管理实施办法》规定的收费标准按50%收取或在50%以下自行协商确定。</w:t>
            </w:r>
          </w:p>
          <w:p w14:paraId="78C12DD3">
            <w:pPr>
              <w:snapToGrid w:val="0"/>
              <w:spacing w:line="400" w:lineRule="exact"/>
              <w:ind w:right="105" w:rightChars="50" w:firstLine="420" w:firstLineChars="175"/>
              <w:jc w:val="left"/>
              <w:rPr>
                <w:rFonts w:ascii="宋体" w:hAnsi="宋体" w:cs="宋体"/>
                <w:color w:val="auto"/>
                <w:sz w:val="24"/>
              </w:rPr>
            </w:pPr>
            <w:r>
              <w:rPr>
                <w:rFonts w:hint="eastAsia" w:ascii="宋体" w:hAnsi="宋体" w:cs="宋体"/>
                <w:color w:val="auto"/>
                <w:sz w:val="24"/>
              </w:rPr>
              <w:t>2.有效的供应商的报价≤本项目的最高控制价。</w:t>
            </w:r>
          </w:p>
        </w:tc>
      </w:tr>
      <w:tr w14:paraId="0B43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56" w:type="dxa"/>
            <w:vMerge w:val="continue"/>
            <w:vAlign w:val="center"/>
          </w:tcPr>
          <w:p w14:paraId="36532E7F">
            <w:pPr>
              <w:snapToGrid w:val="0"/>
              <w:spacing w:line="400" w:lineRule="exact"/>
              <w:jc w:val="center"/>
              <w:rPr>
                <w:rFonts w:ascii="宋体" w:hAnsi="宋体" w:cs="宋体"/>
                <w:b/>
                <w:bCs/>
                <w:color w:val="auto"/>
                <w:sz w:val="24"/>
              </w:rPr>
            </w:pPr>
          </w:p>
        </w:tc>
        <w:tc>
          <w:tcPr>
            <w:tcW w:w="1719" w:type="dxa"/>
            <w:gridSpan w:val="2"/>
            <w:vAlign w:val="center"/>
          </w:tcPr>
          <w:p w14:paraId="793F1E9F">
            <w:pPr>
              <w:snapToGrid w:val="0"/>
              <w:spacing w:line="400" w:lineRule="exact"/>
              <w:jc w:val="center"/>
              <w:rPr>
                <w:rFonts w:ascii="宋体" w:hAnsi="宋体" w:cs="宋体"/>
                <w:color w:val="auto"/>
                <w:kern w:val="0"/>
                <w:sz w:val="24"/>
              </w:rPr>
            </w:pPr>
            <w:r>
              <w:rPr>
                <w:rFonts w:hint="eastAsia" w:ascii="宋体" w:hAnsi="宋体" w:cs="宋体"/>
                <w:color w:val="auto"/>
                <w:kern w:val="0"/>
                <w:sz w:val="24"/>
              </w:rPr>
              <w:t>基本要求</w:t>
            </w:r>
          </w:p>
        </w:tc>
        <w:tc>
          <w:tcPr>
            <w:tcW w:w="7650" w:type="dxa"/>
            <w:gridSpan w:val="2"/>
            <w:vAlign w:val="center"/>
          </w:tcPr>
          <w:p w14:paraId="311E844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1.成交供应商须严格遵守国家法律法规，维护社会公平正义和服务合同丙方合法权益。</w:t>
            </w:r>
          </w:p>
          <w:p w14:paraId="608118D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2.成交供应商须严格遵守保密制度，不得泄漏工作中接触到的各类秘密信息，不得擅自对外透露工作内容，不得将未公开信息用于其他用途。</w:t>
            </w:r>
          </w:p>
          <w:p w14:paraId="3B44E5D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3.成交供应商须遵守职业道德和行业规范，不得利用工作便利牟取私利，不得以法律顾问身份从事商业活动或与法律顾问职责无关的活动。</w:t>
            </w:r>
          </w:p>
          <w:p w14:paraId="1BDB829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4.成交供应商须不得办理与服务合同丙方有利益冲突的法律事务，不得以党政机关常年法律顾问名义招揽或开展相关业务。</w:t>
            </w:r>
          </w:p>
        </w:tc>
      </w:tr>
      <w:tr w14:paraId="74D3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6" w:type="dxa"/>
            <w:vMerge w:val="continue"/>
            <w:vAlign w:val="center"/>
          </w:tcPr>
          <w:p w14:paraId="1B3DD7BC">
            <w:pPr>
              <w:snapToGrid w:val="0"/>
              <w:spacing w:line="400" w:lineRule="exact"/>
              <w:jc w:val="center"/>
              <w:rPr>
                <w:rFonts w:ascii="宋体" w:hAnsi="宋体" w:cs="宋体"/>
                <w:color w:val="auto"/>
                <w:sz w:val="24"/>
              </w:rPr>
            </w:pPr>
          </w:p>
        </w:tc>
        <w:tc>
          <w:tcPr>
            <w:tcW w:w="1719" w:type="dxa"/>
            <w:gridSpan w:val="2"/>
            <w:vAlign w:val="center"/>
          </w:tcPr>
          <w:p w14:paraId="5AA1F5E0">
            <w:pPr>
              <w:pStyle w:val="13"/>
              <w:snapToGrid w:val="0"/>
              <w:spacing w:line="400" w:lineRule="exact"/>
              <w:jc w:val="center"/>
              <w:rPr>
                <w:rFonts w:hAnsi="宋体" w:cs="宋体"/>
                <w:b/>
                <w:bCs/>
                <w:color w:val="auto"/>
                <w:sz w:val="24"/>
              </w:rPr>
            </w:pPr>
            <w:r>
              <w:rPr>
                <w:rFonts w:hint="eastAsia" w:hAnsi="宋体" w:cs="宋体"/>
                <w:color w:val="auto"/>
                <w:sz w:val="24"/>
                <w:szCs w:val="24"/>
              </w:rPr>
              <w:t>服务要求</w:t>
            </w:r>
          </w:p>
        </w:tc>
        <w:tc>
          <w:tcPr>
            <w:tcW w:w="7650" w:type="dxa"/>
            <w:gridSpan w:val="2"/>
            <w:vAlign w:val="center"/>
          </w:tcPr>
          <w:p w14:paraId="25821814">
            <w:pPr>
              <w:snapToGrid w:val="0"/>
              <w:spacing w:line="400" w:lineRule="exact"/>
              <w:ind w:firstLine="480" w:firstLineChars="200"/>
              <w:jc w:val="left"/>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1.成交供应商应指派符合特定条件的律师组成团队提供法律服务。</w:t>
            </w:r>
          </w:p>
          <w:p w14:paraId="228ED5BC">
            <w:pPr>
              <w:snapToGrid w:val="0"/>
              <w:spacing w:line="400" w:lineRule="exact"/>
              <w:ind w:firstLine="480" w:firstLineChars="200"/>
              <w:jc w:val="left"/>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2.律师需政治素质高，拥护中国共产党的领导，担任党委法律顾问应具备中共正式党员资格；具有良好职业道德和社会责任感；专家有较强专业能力和影响力，律师具有 3 年以上连续执业经历和较强专业能力；严格遵纪守法，未受过重大处罚；身体健康，有精力履职；能够保障承担法律顾问工作的其他必要条件。</w:t>
            </w:r>
          </w:p>
          <w:p w14:paraId="6D8E775F">
            <w:pPr>
              <w:snapToGrid w:val="0"/>
              <w:spacing w:line="400" w:lineRule="exact"/>
              <w:ind w:firstLine="480" w:firstLineChars="200"/>
              <w:jc w:val="left"/>
              <w:rPr>
                <w:rFonts w:hint="eastAsia" w:ascii="宋体" w:hAnsi="宋体" w:eastAsia="宋体" w:cs="宋体"/>
                <w:b/>
                <w:bCs/>
                <w:color w:val="auto"/>
                <w:sz w:val="24"/>
              </w:rPr>
            </w:pPr>
            <w:r>
              <w:rPr>
                <w:rFonts w:hint="eastAsia" w:ascii="宋体" w:hAnsi="宋体" w:eastAsia="宋体" w:cs="宋体"/>
                <w:color w:val="auto"/>
                <w:sz w:val="24"/>
                <w:shd w:val="clear" w:color="auto" w:fill="FFFFFF"/>
              </w:rPr>
              <w:t>3.成交供应商应按照合同约定的工作范围和方式开展服务，包括日常法律咨询、文件审查、合同处理、纠纷处理、案件参与、代理诉讼和复议、法律培训等工作。</w:t>
            </w:r>
          </w:p>
        </w:tc>
      </w:tr>
      <w:tr w14:paraId="4C1E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6" w:type="dxa"/>
            <w:vMerge w:val="continue"/>
            <w:vAlign w:val="center"/>
          </w:tcPr>
          <w:p w14:paraId="33403E09">
            <w:pPr>
              <w:snapToGrid w:val="0"/>
              <w:spacing w:line="400" w:lineRule="exact"/>
              <w:jc w:val="center"/>
              <w:rPr>
                <w:rFonts w:ascii="宋体" w:hAnsi="宋体" w:cs="宋体"/>
                <w:color w:val="auto"/>
                <w:sz w:val="24"/>
              </w:rPr>
            </w:pPr>
          </w:p>
        </w:tc>
        <w:tc>
          <w:tcPr>
            <w:tcW w:w="1719" w:type="dxa"/>
            <w:gridSpan w:val="2"/>
            <w:vAlign w:val="center"/>
          </w:tcPr>
          <w:p w14:paraId="4B7AEEA7">
            <w:pPr>
              <w:pStyle w:val="13"/>
              <w:snapToGrid w:val="0"/>
              <w:spacing w:line="400" w:lineRule="exact"/>
              <w:jc w:val="center"/>
              <w:rPr>
                <w:rFonts w:hAnsi="宋体" w:cs="宋体"/>
                <w:color w:val="auto"/>
                <w:sz w:val="24"/>
                <w:szCs w:val="24"/>
              </w:rPr>
            </w:pPr>
            <w:r>
              <w:rPr>
                <w:rFonts w:ascii="Segoe UI" w:hAnsi="Segoe UI" w:eastAsia="Segoe UI" w:cs="Segoe UI"/>
                <w:color w:val="auto"/>
                <w:sz w:val="24"/>
                <w:szCs w:val="24"/>
                <w:shd w:val="clear" w:color="auto" w:fill="FFFFFF"/>
              </w:rPr>
              <w:t>处理问题响应时间要求</w:t>
            </w:r>
          </w:p>
        </w:tc>
        <w:tc>
          <w:tcPr>
            <w:tcW w:w="7650" w:type="dxa"/>
            <w:gridSpan w:val="2"/>
            <w:vAlign w:val="center"/>
          </w:tcPr>
          <w:p w14:paraId="41F142F5">
            <w:pPr>
              <w:snapToGrid w:val="0"/>
              <w:spacing w:line="400" w:lineRule="exact"/>
              <w:ind w:firstLine="480" w:firstLineChars="200"/>
              <w:jc w:val="left"/>
              <w:rPr>
                <w:rFonts w:ascii="宋体" w:hAnsi="宋体" w:cs="宋体"/>
                <w:b/>
                <w:bCs/>
                <w:color w:val="auto"/>
                <w:sz w:val="24"/>
              </w:rPr>
            </w:pPr>
            <w:r>
              <w:rPr>
                <w:rFonts w:ascii="Segoe UI" w:hAnsi="Segoe UI" w:eastAsia="Segoe UI" w:cs="Segoe UI"/>
                <w:color w:val="auto"/>
                <w:sz w:val="24"/>
                <w:shd w:val="clear" w:color="auto" w:fill="FFFFFF"/>
              </w:rPr>
              <w:t>接到采购人处理问题通</w:t>
            </w:r>
            <w:r>
              <w:rPr>
                <w:rFonts w:hint="eastAsia" w:ascii="宋体" w:hAnsi="宋体" w:eastAsia="宋体" w:cs="宋体"/>
                <w:color w:val="auto"/>
                <w:sz w:val="24"/>
                <w:shd w:val="clear" w:color="auto" w:fill="FFFFFF"/>
              </w:rPr>
              <w:t>知后2小时内</w:t>
            </w:r>
            <w:r>
              <w:rPr>
                <w:rFonts w:ascii="Segoe UI" w:hAnsi="Segoe UI" w:eastAsia="Segoe UI" w:cs="Segoe UI"/>
                <w:color w:val="auto"/>
                <w:sz w:val="24"/>
                <w:shd w:val="clear" w:color="auto" w:fill="FFFFFF"/>
              </w:rPr>
              <w:t>到达采购人指定现场。对于紧急法律事务，应在采购人要求的更短时间内响应并提供初步法律意见。</w:t>
            </w:r>
          </w:p>
        </w:tc>
      </w:tr>
      <w:tr w14:paraId="13E6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6" w:type="dxa"/>
            <w:vMerge w:val="continue"/>
            <w:vAlign w:val="center"/>
          </w:tcPr>
          <w:p w14:paraId="027B3E37">
            <w:pPr>
              <w:snapToGrid w:val="0"/>
              <w:spacing w:line="400" w:lineRule="exact"/>
              <w:jc w:val="center"/>
              <w:rPr>
                <w:rFonts w:ascii="宋体" w:hAnsi="宋体" w:cs="宋体"/>
                <w:color w:val="auto"/>
                <w:sz w:val="24"/>
              </w:rPr>
            </w:pPr>
          </w:p>
        </w:tc>
        <w:tc>
          <w:tcPr>
            <w:tcW w:w="1719" w:type="dxa"/>
            <w:gridSpan w:val="2"/>
            <w:vAlign w:val="center"/>
          </w:tcPr>
          <w:p w14:paraId="37F00620">
            <w:pPr>
              <w:pStyle w:val="13"/>
              <w:snapToGrid w:val="0"/>
              <w:spacing w:line="400" w:lineRule="exact"/>
              <w:jc w:val="center"/>
              <w:rPr>
                <w:rFonts w:hAnsi="宋体" w:cs="宋体"/>
                <w:color w:val="auto"/>
                <w:sz w:val="24"/>
                <w:szCs w:val="24"/>
              </w:rPr>
            </w:pPr>
            <w:r>
              <w:rPr>
                <w:rFonts w:hint="eastAsia" w:hAnsi="宋体" w:cs="宋体"/>
                <w:color w:val="auto"/>
                <w:sz w:val="24"/>
                <w:szCs w:val="24"/>
              </w:rPr>
              <w:t>合同履行期限</w:t>
            </w:r>
          </w:p>
        </w:tc>
        <w:tc>
          <w:tcPr>
            <w:tcW w:w="7650" w:type="dxa"/>
            <w:gridSpan w:val="2"/>
            <w:vAlign w:val="center"/>
          </w:tcPr>
          <w:p w14:paraId="52939E7A">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1.合同履行期限：服务期三年，具体以合同签订时间为准。</w:t>
            </w:r>
          </w:p>
          <w:p w14:paraId="63BCFB2C">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2.合同履行地点：象州县采购人指定地点。</w:t>
            </w:r>
          </w:p>
        </w:tc>
      </w:tr>
      <w:tr w14:paraId="2BEE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556" w:type="dxa"/>
            <w:vMerge w:val="continue"/>
            <w:vAlign w:val="center"/>
          </w:tcPr>
          <w:p w14:paraId="58DEED90">
            <w:pPr>
              <w:snapToGrid w:val="0"/>
              <w:spacing w:line="400" w:lineRule="exact"/>
              <w:jc w:val="center"/>
              <w:rPr>
                <w:rFonts w:ascii="宋体" w:hAnsi="宋体" w:cs="宋体"/>
                <w:color w:val="auto"/>
                <w:sz w:val="24"/>
              </w:rPr>
            </w:pPr>
          </w:p>
        </w:tc>
        <w:tc>
          <w:tcPr>
            <w:tcW w:w="1719" w:type="dxa"/>
            <w:gridSpan w:val="2"/>
            <w:vAlign w:val="center"/>
          </w:tcPr>
          <w:p w14:paraId="2DFE131B">
            <w:pPr>
              <w:pStyle w:val="13"/>
              <w:snapToGrid w:val="0"/>
              <w:spacing w:line="400" w:lineRule="exact"/>
              <w:jc w:val="center"/>
              <w:rPr>
                <w:rFonts w:hAnsi="宋体" w:cs="宋体"/>
                <w:color w:val="auto"/>
                <w:sz w:val="24"/>
                <w:szCs w:val="24"/>
              </w:rPr>
            </w:pPr>
            <w:r>
              <w:rPr>
                <w:rFonts w:hint="eastAsia" w:hAnsi="宋体" w:cs="宋体"/>
                <w:color w:val="auto"/>
                <w:sz w:val="24"/>
                <w:szCs w:val="24"/>
              </w:rPr>
              <w:t>付款条件</w:t>
            </w:r>
          </w:p>
        </w:tc>
        <w:tc>
          <w:tcPr>
            <w:tcW w:w="7650" w:type="dxa"/>
            <w:gridSpan w:val="2"/>
            <w:vAlign w:val="center"/>
          </w:tcPr>
          <w:p w14:paraId="12CB96DF">
            <w:pPr>
              <w:tabs>
                <w:tab w:val="left" w:pos="-27"/>
              </w:tabs>
              <w:snapToGrid w:val="0"/>
              <w:spacing w:line="400" w:lineRule="exact"/>
              <w:ind w:firstLine="398" w:firstLineChars="166"/>
              <w:rPr>
                <w:rFonts w:ascii="宋体" w:hAnsi="宋体" w:cs="宋体"/>
                <w:color w:val="auto"/>
                <w:sz w:val="24"/>
              </w:rPr>
            </w:pPr>
            <w:r>
              <w:rPr>
                <w:rFonts w:hint="eastAsia" w:ascii="宋体" w:hAnsi="宋体" w:cs="宋体"/>
                <w:color w:val="auto"/>
                <w:sz w:val="24"/>
              </w:rPr>
              <w:t>1.合同签订后10工作日内支付服务费10万；服务期限满12个月后30日内支付服务费10万；服务期限满24个月后30日内支付服务费20万；服务期限满36个月后30日内支付服务费20万。</w:t>
            </w:r>
          </w:p>
          <w:p w14:paraId="39B5B3ED">
            <w:pPr>
              <w:tabs>
                <w:tab w:val="left" w:pos="-27"/>
              </w:tabs>
              <w:snapToGrid w:val="0"/>
              <w:spacing w:line="400" w:lineRule="exact"/>
              <w:ind w:firstLine="398" w:firstLineChars="166"/>
              <w:rPr>
                <w:rFonts w:ascii="宋体" w:hAnsi="宋体" w:cs="宋体"/>
                <w:color w:val="auto"/>
                <w:sz w:val="24"/>
              </w:rPr>
            </w:pPr>
            <w:r>
              <w:rPr>
                <w:rFonts w:hint="eastAsia" w:ascii="宋体" w:hAnsi="宋体" w:cs="宋体"/>
                <w:color w:val="auto"/>
                <w:sz w:val="24"/>
              </w:rPr>
              <w:t>2.成交供应商向采购人提供服务相关完税发票后，采购人在收到发票后一个月之内支付费用。</w:t>
            </w:r>
          </w:p>
        </w:tc>
      </w:tr>
      <w:tr w14:paraId="357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56" w:type="dxa"/>
            <w:vMerge w:val="continue"/>
            <w:vAlign w:val="center"/>
          </w:tcPr>
          <w:p w14:paraId="37FD5F8F">
            <w:pPr>
              <w:snapToGrid w:val="0"/>
              <w:spacing w:line="400" w:lineRule="exact"/>
              <w:jc w:val="center"/>
              <w:rPr>
                <w:rFonts w:ascii="宋体" w:hAnsi="宋体" w:cs="宋体"/>
                <w:color w:val="auto"/>
                <w:sz w:val="24"/>
              </w:rPr>
            </w:pPr>
          </w:p>
        </w:tc>
        <w:tc>
          <w:tcPr>
            <w:tcW w:w="1719" w:type="dxa"/>
            <w:gridSpan w:val="2"/>
            <w:vAlign w:val="center"/>
          </w:tcPr>
          <w:p w14:paraId="5FF6C47F">
            <w:pPr>
              <w:pStyle w:val="13"/>
              <w:snapToGrid w:val="0"/>
              <w:spacing w:line="400" w:lineRule="exact"/>
              <w:jc w:val="center"/>
              <w:rPr>
                <w:rFonts w:hAnsi="宋体" w:cs="宋体"/>
                <w:color w:val="auto"/>
                <w:sz w:val="24"/>
                <w:szCs w:val="24"/>
              </w:rPr>
            </w:pPr>
            <w:r>
              <w:rPr>
                <w:rFonts w:hint="eastAsia" w:hAnsi="宋体" w:cs="宋体"/>
                <w:color w:val="auto"/>
                <w:sz w:val="24"/>
                <w:szCs w:val="24"/>
              </w:rPr>
              <w:t>验收标准</w:t>
            </w:r>
          </w:p>
        </w:tc>
        <w:tc>
          <w:tcPr>
            <w:tcW w:w="7650" w:type="dxa"/>
            <w:gridSpan w:val="2"/>
            <w:vAlign w:val="center"/>
          </w:tcPr>
          <w:p w14:paraId="3DE20B2D">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1.采购人每年对法律顾问工作情况进行考核，根据考核结果支付费用。成交供应商在考核中被评定为不合格等次的，适当核减本年度法律顾问报酬，已支付的予以退还。采购人不定期对成交供应商服务内容进行考核，服务期届满后对服务质量进行验收。逾期不验收的，成交供应商可视为验收合格。</w:t>
            </w:r>
          </w:p>
          <w:p w14:paraId="16C782DD">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2.验收合格后，采购人与成交供应商签署验收单并加盖采购单位公章。采购人在验收过程中发现成交供应商有违约问题，可按招、投标文件的规定要求成交供应商及时予以解决。</w:t>
            </w:r>
          </w:p>
          <w:p w14:paraId="0D55EF0C">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3．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bl>
    <w:p w14:paraId="4E3F3402">
      <w:pPr>
        <w:rPr>
          <w:color w:val="auto"/>
        </w:rPr>
      </w:pPr>
    </w:p>
    <w:p w14:paraId="40F32154">
      <w:pPr>
        <w:rPr>
          <w:rFonts w:ascii="宋体" w:hAnsi="宋体" w:cs="宋体"/>
          <w:b/>
          <w:bCs/>
          <w:color w:val="auto"/>
          <w:kern w:val="44"/>
          <w:sz w:val="44"/>
          <w:szCs w:val="44"/>
        </w:rPr>
      </w:pPr>
      <w:r>
        <w:rPr>
          <w:rFonts w:hint="eastAsia" w:ascii="宋体" w:hAnsi="宋体" w:cs="宋体"/>
          <w:b/>
          <w:bCs/>
          <w:color w:val="auto"/>
          <w:kern w:val="44"/>
          <w:sz w:val="44"/>
          <w:szCs w:val="44"/>
        </w:rPr>
        <w:br w:type="page"/>
      </w:r>
    </w:p>
    <w:p w14:paraId="5E551DFC">
      <w:pPr>
        <w:outlineLvl w:val="1"/>
        <w:rPr>
          <w:rFonts w:ascii="宋体" w:hAnsi="宋体" w:cs="宋体"/>
          <w:b/>
          <w:bCs/>
          <w:color w:val="auto"/>
          <w:kern w:val="44"/>
          <w:sz w:val="28"/>
          <w:szCs w:val="28"/>
        </w:rPr>
      </w:pPr>
      <w:r>
        <w:rPr>
          <w:rFonts w:hint="eastAsia" w:ascii="宋体" w:hAnsi="宋体" w:cs="宋体"/>
          <w:b/>
          <w:bCs/>
          <w:color w:val="auto"/>
          <w:kern w:val="44"/>
          <w:sz w:val="28"/>
          <w:szCs w:val="28"/>
        </w:rPr>
        <w:t>标项二：采购2025年-2028年度党政机关法律顾问服务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24"/>
        <w:gridCol w:w="795"/>
        <w:gridCol w:w="6889"/>
        <w:gridCol w:w="761"/>
      </w:tblGrid>
      <w:tr w14:paraId="2367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5" w:type="dxa"/>
            <w:gridSpan w:val="5"/>
            <w:vAlign w:val="center"/>
          </w:tcPr>
          <w:p w14:paraId="63105130">
            <w:pPr>
              <w:tabs>
                <w:tab w:val="center" w:pos="4410"/>
                <w:tab w:val="left" w:pos="6735"/>
              </w:tabs>
              <w:snapToGrid w:val="0"/>
              <w:spacing w:line="400" w:lineRule="exact"/>
              <w:jc w:val="center"/>
              <w:rPr>
                <w:rFonts w:ascii="宋体" w:hAnsi="宋体" w:cs="宋体"/>
                <w:b/>
                <w:color w:val="auto"/>
                <w:sz w:val="24"/>
              </w:rPr>
            </w:pPr>
            <w:r>
              <w:rPr>
                <w:rFonts w:hint="eastAsia" w:ascii="宋体" w:hAnsi="宋体" w:cs="宋体"/>
                <w:b/>
                <w:color w:val="auto"/>
                <w:sz w:val="24"/>
              </w:rPr>
              <w:t>服务需求一览表</w:t>
            </w:r>
          </w:p>
        </w:tc>
      </w:tr>
      <w:tr w14:paraId="2CCD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56" w:type="dxa"/>
            <w:vAlign w:val="center"/>
          </w:tcPr>
          <w:p w14:paraId="08088255">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924" w:type="dxa"/>
            <w:vAlign w:val="center"/>
          </w:tcPr>
          <w:p w14:paraId="6D2C113A">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服务项目名称</w:t>
            </w:r>
          </w:p>
        </w:tc>
        <w:tc>
          <w:tcPr>
            <w:tcW w:w="795" w:type="dxa"/>
            <w:vAlign w:val="center"/>
          </w:tcPr>
          <w:p w14:paraId="25AAAAC3">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数量及单位</w:t>
            </w:r>
          </w:p>
        </w:tc>
        <w:tc>
          <w:tcPr>
            <w:tcW w:w="6889" w:type="dxa"/>
            <w:vAlign w:val="center"/>
          </w:tcPr>
          <w:p w14:paraId="57B5733E">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采购需求服务内容及要求</w:t>
            </w:r>
          </w:p>
        </w:tc>
        <w:tc>
          <w:tcPr>
            <w:tcW w:w="761" w:type="dxa"/>
            <w:vAlign w:val="center"/>
          </w:tcPr>
          <w:p w14:paraId="7E16AA5F">
            <w:pPr>
              <w:snapToGrid w:val="0"/>
              <w:spacing w:line="400" w:lineRule="exact"/>
              <w:jc w:val="center"/>
              <w:rPr>
                <w:rFonts w:ascii="宋体" w:hAnsi="宋体" w:cs="宋体"/>
                <w:b/>
                <w:bCs/>
                <w:color w:val="auto"/>
                <w:sz w:val="22"/>
                <w:szCs w:val="22"/>
              </w:rPr>
            </w:pPr>
            <w:r>
              <w:rPr>
                <w:rFonts w:hint="eastAsia" w:ascii="宋体" w:hAnsi="宋体" w:cs="宋体"/>
                <w:b/>
                <w:bCs/>
                <w:color w:val="auto"/>
                <w:sz w:val="22"/>
                <w:szCs w:val="22"/>
              </w:rPr>
              <w:t>采购预算</w:t>
            </w:r>
          </w:p>
        </w:tc>
      </w:tr>
      <w:tr w14:paraId="53D7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556" w:type="dxa"/>
            <w:vAlign w:val="center"/>
          </w:tcPr>
          <w:p w14:paraId="7DF721ED">
            <w:pPr>
              <w:snapToGrid w:val="0"/>
              <w:spacing w:line="400" w:lineRule="exact"/>
              <w:jc w:val="center"/>
              <w:rPr>
                <w:rFonts w:ascii="宋体" w:hAnsi="宋体" w:cs="宋体"/>
                <w:color w:val="auto"/>
                <w:sz w:val="24"/>
              </w:rPr>
            </w:pPr>
            <w:r>
              <w:rPr>
                <w:rFonts w:hint="eastAsia" w:ascii="宋体" w:hAnsi="宋体" w:cs="宋体"/>
                <w:color w:val="auto"/>
                <w:sz w:val="24"/>
              </w:rPr>
              <w:t>1</w:t>
            </w:r>
          </w:p>
        </w:tc>
        <w:tc>
          <w:tcPr>
            <w:tcW w:w="924" w:type="dxa"/>
            <w:vAlign w:val="center"/>
          </w:tcPr>
          <w:p w14:paraId="769A5E6B">
            <w:pPr>
              <w:snapToGrid w:val="0"/>
              <w:spacing w:line="400" w:lineRule="exact"/>
              <w:jc w:val="center"/>
              <w:rPr>
                <w:rFonts w:ascii="宋体" w:hAnsi="宋体" w:cs="宋体"/>
                <w:color w:val="auto"/>
                <w:sz w:val="24"/>
              </w:rPr>
            </w:pPr>
            <w:r>
              <w:rPr>
                <w:rFonts w:hint="eastAsia" w:ascii="宋体" w:hAnsi="宋体" w:cs="宋体"/>
                <w:color w:val="auto"/>
                <w:sz w:val="24"/>
              </w:rPr>
              <w:t>采购2025年-2028年度党政机关法律顾问服务</w:t>
            </w:r>
          </w:p>
        </w:tc>
        <w:tc>
          <w:tcPr>
            <w:tcW w:w="795" w:type="dxa"/>
            <w:vAlign w:val="center"/>
          </w:tcPr>
          <w:p w14:paraId="1A522159">
            <w:pPr>
              <w:snapToGrid w:val="0"/>
              <w:spacing w:line="400" w:lineRule="exact"/>
              <w:jc w:val="center"/>
              <w:rPr>
                <w:rFonts w:ascii="宋体" w:hAnsi="宋体" w:cs="宋体"/>
                <w:color w:val="auto"/>
                <w:sz w:val="24"/>
              </w:rPr>
            </w:pPr>
            <w:r>
              <w:rPr>
                <w:rFonts w:hint="eastAsia" w:ascii="宋体" w:hAnsi="宋体" w:cs="宋体"/>
                <w:color w:val="auto"/>
                <w:sz w:val="24"/>
              </w:rPr>
              <w:t>1项</w:t>
            </w:r>
          </w:p>
        </w:tc>
        <w:tc>
          <w:tcPr>
            <w:tcW w:w="6889" w:type="dxa"/>
          </w:tcPr>
          <w:p w14:paraId="7B3F3C72">
            <w:pPr>
              <w:snapToGrid w:val="0"/>
              <w:spacing w:line="400" w:lineRule="exact"/>
              <w:jc w:val="left"/>
              <w:rPr>
                <w:rFonts w:ascii="宋体" w:hAnsi="宋体" w:cs="宋体"/>
                <w:color w:val="auto"/>
                <w:sz w:val="24"/>
              </w:rPr>
            </w:pPr>
            <w:r>
              <w:rPr>
                <w:rFonts w:ascii="宋体" w:hAnsi="宋体" w:cs="宋体"/>
                <w:color w:val="auto"/>
                <w:sz w:val="24"/>
              </w:rPr>
              <w:t>一、服务主体</w:t>
            </w:r>
          </w:p>
          <w:p w14:paraId="1A698DC4">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象州县3</w:t>
            </w:r>
            <w:r>
              <w:rPr>
                <w:rFonts w:hint="eastAsia" w:ascii="宋体" w:hAnsi="宋体" w:cs="宋体"/>
                <w:color w:val="auto"/>
                <w:sz w:val="24"/>
              </w:rPr>
              <w:t>4</w:t>
            </w:r>
            <w:r>
              <w:rPr>
                <w:rFonts w:ascii="宋体" w:hAnsi="宋体" w:cs="宋体"/>
                <w:color w:val="auto"/>
                <w:sz w:val="24"/>
              </w:rPr>
              <w:t>个县直部门及11个乡镇党委政府。</w:t>
            </w:r>
          </w:p>
          <w:p w14:paraId="62C7D135">
            <w:pPr>
              <w:snapToGrid w:val="0"/>
              <w:spacing w:line="400" w:lineRule="exact"/>
              <w:jc w:val="left"/>
              <w:rPr>
                <w:rFonts w:ascii="宋体" w:hAnsi="宋体" w:cs="宋体"/>
                <w:color w:val="auto"/>
                <w:sz w:val="24"/>
              </w:rPr>
            </w:pPr>
            <w:r>
              <w:rPr>
                <w:rFonts w:ascii="宋体" w:hAnsi="宋体" w:cs="宋体"/>
                <w:color w:val="auto"/>
                <w:sz w:val="24"/>
              </w:rPr>
              <w:t>二、服务内容及要求</w:t>
            </w:r>
          </w:p>
          <w:p w14:paraId="11F4D21E">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日常法律咨询与文件审查：为顾问单位起草或制定的规范性文件、重大行政决策及其法律事务提供专业的法律咨询或建议，及时出具法律意见书、合法性审查意见，并开展实施后评估工作。针对国家最新的政策、法规，提供精准解读及应用指导，确保顾问单位的决策和文件符合法律法规要求。</w:t>
            </w:r>
          </w:p>
          <w:p w14:paraId="08538F41">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合同事务处理：负责草拟、审查或修改重大合同文本及其他法律事务。根据实际工作需求，积极参与涉及重要合同的谈判，从法律专业角度把控合同条款，防范法律风险，维护顾问单位的合法权益。</w:t>
            </w:r>
          </w:p>
          <w:p w14:paraId="1938033F">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纠纷处理：参与处理涉及顾问单位尚未进入诉讼程序的民事纠纷、行政纠纷和其他重大纠纷，运用专业法律知识和丰富的实践经验，制定合理的纠纷解决方案，争取妥善解决纠纷，避免纠纷升级和法律风险扩大。</w:t>
            </w:r>
          </w:p>
          <w:p w14:paraId="15BCC5B7">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重大案件及法律事务支持：参与涉及顾问单位的重大案件、法律事务的研究讨论，提供全面、深入的法律意见，出具相关的法律分析意见书及律师函。为涉及顾问单位有关的调解、仲裁、诉讼、执行等法律事务提供专业、有效的法律意见，保障法律事务的顺利推进和合法解决。</w:t>
            </w:r>
          </w:p>
          <w:p w14:paraId="7916E454">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权益维护：全力维护顾问单位的合法权益，在各类法律事务中，始终以顾问单位的利益为出发点，积极采取法律措施，确保顾问单位的合法权益不受侵害。</w:t>
            </w:r>
          </w:p>
          <w:p w14:paraId="761D15FF">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强制执行代理：接受顾问单位委托，代理申请强制执行，负责相关法律程序的办理，推动执行工作的顺利进行，保障顾问单位的合法权益得以实现。</w:t>
            </w:r>
          </w:p>
          <w:p w14:paraId="1E48FDD4">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会议咨询：按时出席甲方法律顾问室召集的法律顾问会议，准备充分的专业资料，提供具有针对性和可操作性的法律意见，为会议决策提供有力的法律支持。</w:t>
            </w:r>
          </w:p>
          <w:p w14:paraId="6B06CFCD">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法治宣传与协助工作：</w:t>
            </w:r>
            <w:r>
              <w:rPr>
                <w:rFonts w:hint="eastAsia" w:ascii="宋体" w:hAnsi="宋体" w:cs="宋体"/>
                <w:color w:val="auto"/>
                <w:sz w:val="24"/>
              </w:rPr>
              <w:t>每年至少完成2-3次甲方包括但不限于行政执法人员的法律知识培训工作</w:t>
            </w:r>
            <w:r>
              <w:rPr>
                <w:rFonts w:ascii="宋体" w:hAnsi="宋体" w:cs="宋体"/>
                <w:color w:val="auto"/>
                <w:sz w:val="24"/>
              </w:rPr>
              <w:t>。</w:t>
            </w:r>
          </w:p>
          <w:p w14:paraId="65BF118B">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特定事项处理：经指派，以法律顾问身份对特定事项进行深入调查、有效协调，广泛收集和反映社情民意，并提出专业、合理的法律意见，为顾问单位决策提供参考依据。</w:t>
            </w:r>
          </w:p>
          <w:p w14:paraId="09C76C18">
            <w:pPr>
              <w:numPr>
                <w:ilvl w:val="0"/>
                <w:numId w:val="5"/>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其他委托事务：认真办理顾问单位委托的其他事项，积极履行职责，确保委托事项得到妥善处理，满足顾问单位的工作需求。</w:t>
            </w:r>
          </w:p>
          <w:p w14:paraId="03FDE344">
            <w:pPr>
              <w:snapToGrid w:val="0"/>
              <w:spacing w:line="400" w:lineRule="exact"/>
              <w:jc w:val="left"/>
              <w:rPr>
                <w:rFonts w:ascii="宋体" w:hAnsi="宋体" w:cs="宋体"/>
                <w:color w:val="auto"/>
                <w:sz w:val="24"/>
              </w:rPr>
            </w:pPr>
            <w:r>
              <w:rPr>
                <w:rFonts w:ascii="宋体" w:hAnsi="宋体" w:cs="宋体"/>
                <w:color w:val="auto"/>
                <w:sz w:val="24"/>
              </w:rPr>
              <w:t>三、服务用工要求</w:t>
            </w:r>
          </w:p>
          <w:p w14:paraId="75F7FE71">
            <w:pPr>
              <w:numPr>
                <w:ilvl w:val="0"/>
                <w:numId w:val="3"/>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人员配置</w:t>
            </w:r>
          </w:p>
          <w:tbl>
            <w:tblPr>
              <w:tblStyle w:val="23"/>
              <w:tblW w:w="6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32"/>
              <w:gridCol w:w="1318"/>
              <w:gridCol w:w="3159"/>
            </w:tblGrid>
            <w:tr w14:paraId="4AEF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4" w:type="dxa"/>
                  <w:vAlign w:val="center"/>
                </w:tcPr>
                <w:p w14:paraId="626A82E2">
                  <w:pPr>
                    <w:widowControl/>
                    <w:snapToGrid w:val="0"/>
                    <w:jc w:val="center"/>
                    <w:rPr>
                      <w:color w:val="auto"/>
                    </w:rPr>
                  </w:pPr>
                  <w:r>
                    <w:rPr>
                      <w:rFonts w:ascii="宋体" w:hAnsi="宋体" w:cs="宋体"/>
                      <w:b/>
                      <w:bCs/>
                      <w:color w:val="auto"/>
                      <w:kern w:val="0"/>
                      <w:sz w:val="24"/>
                    </w:rPr>
                    <w:t>序号</w:t>
                  </w:r>
                </w:p>
              </w:tc>
              <w:tc>
                <w:tcPr>
                  <w:tcW w:w="1532" w:type="dxa"/>
                  <w:vAlign w:val="center"/>
                </w:tcPr>
                <w:p w14:paraId="60953BAD">
                  <w:pPr>
                    <w:widowControl/>
                    <w:snapToGrid w:val="0"/>
                    <w:jc w:val="center"/>
                    <w:rPr>
                      <w:color w:val="auto"/>
                    </w:rPr>
                  </w:pPr>
                  <w:r>
                    <w:rPr>
                      <w:rFonts w:ascii="宋体" w:hAnsi="宋体" w:cs="宋体"/>
                      <w:b/>
                      <w:bCs/>
                      <w:color w:val="auto"/>
                      <w:kern w:val="0"/>
                      <w:sz w:val="24"/>
                    </w:rPr>
                    <w:t>岗位</w:t>
                  </w:r>
                </w:p>
              </w:tc>
              <w:tc>
                <w:tcPr>
                  <w:tcW w:w="1318" w:type="dxa"/>
                  <w:vAlign w:val="center"/>
                </w:tcPr>
                <w:p w14:paraId="4DB6E045">
                  <w:pPr>
                    <w:widowControl/>
                    <w:snapToGrid w:val="0"/>
                    <w:jc w:val="center"/>
                    <w:rPr>
                      <w:color w:val="auto"/>
                    </w:rPr>
                  </w:pPr>
                  <w:r>
                    <w:rPr>
                      <w:rFonts w:ascii="宋体" w:hAnsi="宋体" w:cs="宋体"/>
                      <w:b/>
                      <w:bCs/>
                      <w:color w:val="auto"/>
                      <w:kern w:val="0"/>
                      <w:sz w:val="24"/>
                    </w:rPr>
                    <w:t>人数</w:t>
                  </w:r>
                </w:p>
              </w:tc>
              <w:tc>
                <w:tcPr>
                  <w:tcW w:w="3159" w:type="dxa"/>
                  <w:vAlign w:val="center"/>
                </w:tcPr>
                <w:p w14:paraId="793CDF23">
                  <w:pPr>
                    <w:widowControl/>
                    <w:snapToGrid w:val="0"/>
                    <w:jc w:val="center"/>
                    <w:rPr>
                      <w:color w:val="auto"/>
                    </w:rPr>
                  </w:pPr>
                  <w:r>
                    <w:rPr>
                      <w:rFonts w:ascii="宋体" w:hAnsi="宋体" w:cs="宋体"/>
                      <w:b/>
                      <w:bCs/>
                      <w:color w:val="auto"/>
                      <w:kern w:val="0"/>
                      <w:sz w:val="24"/>
                    </w:rPr>
                    <w:t>备注</w:t>
                  </w:r>
                </w:p>
              </w:tc>
            </w:tr>
            <w:tr w14:paraId="55A4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5EADC456">
                  <w:pPr>
                    <w:widowControl/>
                    <w:snapToGrid w:val="0"/>
                    <w:jc w:val="center"/>
                    <w:rPr>
                      <w:color w:val="auto"/>
                    </w:rPr>
                  </w:pPr>
                  <w:r>
                    <w:rPr>
                      <w:rFonts w:ascii="宋体" w:hAnsi="宋体" w:cs="宋体"/>
                      <w:color w:val="auto"/>
                      <w:kern w:val="0"/>
                      <w:sz w:val="24"/>
                    </w:rPr>
                    <w:t>1</w:t>
                  </w:r>
                </w:p>
              </w:tc>
              <w:tc>
                <w:tcPr>
                  <w:tcW w:w="1532" w:type="dxa"/>
                  <w:vAlign w:val="center"/>
                </w:tcPr>
                <w:p w14:paraId="501F60EC">
                  <w:pPr>
                    <w:widowControl/>
                    <w:snapToGrid w:val="0"/>
                    <w:jc w:val="center"/>
                    <w:rPr>
                      <w:color w:val="auto"/>
                    </w:rPr>
                  </w:pPr>
                  <w:r>
                    <w:rPr>
                      <w:rFonts w:ascii="宋体" w:hAnsi="宋体" w:cs="宋体"/>
                      <w:color w:val="auto"/>
                      <w:kern w:val="0"/>
                      <w:sz w:val="24"/>
                    </w:rPr>
                    <w:t>主办律师（指定其中1位为项目负责人）</w:t>
                  </w:r>
                </w:p>
              </w:tc>
              <w:tc>
                <w:tcPr>
                  <w:tcW w:w="1318" w:type="dxa"/>
                  <w:vAlign w:val="center"/>
                </w:tcPr>
                <w:p w14:paraId="7E4003DC">
                  <w:pPr>
                    <w:widowControl/>
                    <w:snapToGrid w:val="0"/>
                    <w:jc w:val="center"/>
                    <w:rPr>
                      <w:color w:val="auto"/>
                    </w:rPr>
                  </w:pPr>
                  <w:r>
                    <w:rPr>
                      <w:rFonts w:ascii="宋体" w:hAnsi="宋体" w:cs="宋体"/>
                      <w:color w:val="auto"/>
                      <w:kern w:val="0"/>
                      <w:sz w:val="24"/>
                    </w:rPr>
                    <w:t>不少于3人（含项目负责人）</w:t>
                  </w:r>
                </w:p>
              </w:tc>
              <w:tc>
                <w:tcPr>
                  <w:tcW w:w="3159" w:type="dxa"/>
                  <w:vAlign w:val="center"/>
                </w:tcPr>
                <w:p w14:paraId="67D05210">
                  <w:pPr>
                    <w:widowControl/>
                    <w:snapToGrid w:val="0"/>
                    <w:jc w:val="left"/>
                    <w:rPr>
                      <w:color w:val="auto"/>
                    </w:rPr>
                  </w:pPr>
                  <w:r>
                    <w:rPr>
                      <w:rFonts w:ascii="宋体" w:hAnsi="宋体" w:cs="宋体"/>
                      <w:color w:val="auto"/>
                      <w:kern w:val="0"/>
                      <w:sz w:val="24"/>
                    </w:rPr>
                    <w:t>1.执业三年以上</w:t>
                  </w:r>
                  <w:r>
                    <w:rPr>
                      <w:rFonts w:ascii="宋体" w:hAnsi="宋体" w:cs="宋体"/>
                      <w:color w:val="auto"/>
                      <w:kern w:val="0"/>
                      <w:sz w:val="24"/>
                    </w:rPr>
                    <w:br w:type="textWrapping"/>
                  </w:r>
                  <w:r>
                    <w:rPr>
                      <w:rFonts w:ascii="宋体" w:hAnsi="宋体" w:cs="宋体"/>
                      <w:color w:val="auto"/>
                      <w:kern w:val="0"/>
                      <w:sz w:val="24"/>
                    </w:rPr>
                    <w:t>2.至少1位为中共党员</w:t>
                  </w:r>
                  <w:r>
                    <w:rPr>
                      <w:rFonts w:ascii="宋体" w:hAnsi="宋体" w:cs="宋体"/>
                      <w:color w:val="auto"/>
                      <w:kern w:val="0"/>
                      <w:sz w:val="24"/>
                    </w:rPr>
                    <w:br w:type="textWrapping"/>
                  </w:r>
                  <w:r>
                    <w:rPr>
                      <w:rFonts w:ascii="宋体" w:hAnsi="宋体" w:cs="宋体"/>
                      <w:color w:val="auto"/>
                      <w:kern w:val="0"/>
                      <w:sz w:val="24"/>
                    </w:rPr>
                    <w:t>3.合同履行期间，非因正当理由和征得采购人同意，不得擅自变更项目负责人和主办律师</w:t>
                  </w:r>
                  <w:r>
                    <w:rPr>
                      <w:rFonts w:ascii="宋体" w:hAnsi="宋体" w:cs="宋体"/>
                      <w:color w:val="auto"/>
                      <w:kern w:val="0"/>
                      <w:sz w:val="24"/>
                    </w:rPr>
                    <w:br w:type="textWrapping"/>
                  </w:r>
                  <w:r>
                    <w:rPr>
                      <w:rFonts w:ascii="宋体" w:hAnsi="宋体" w:cs="宋体"/>
                      <w:color w:val="auto"/>
                      <w:kern w:val="0"/>
                      <w:sz w:val="24"/>
                    </w:rPr>
                    <w:t>4.必须持有律师执业证</w:t>
                  </w:r>
                </w:p>
              </w:tc>
            </w:tr>
            <w:tr w14:paraId="7E24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2D1A316D">
                  <w:pPr>
                    <w:widowControl/>
                    <w:snapToGrid w:val="0"/>
                    <w:jc w:val="center"/>
                    <w:rPr>
                      <w:color w:val="auto"/>
                    </w:rPr>
                  </w:pPr>
                  <w:r>
                    <w:rPr>
                      <w:rFonts w:ascii="宋体" w:hAnsi="宋体" w:cs="宋体"/>
                      <w:color w:val="auto"/>
                      <w:kern w:val="0"/>
                      <w:sz w:val="24"/>
                    </w:rPr>
                    <w:t>2</w:t>
                  </w:r>
                </w:p>
              </w:tc>
              <w:tc>
                <w:tcPr>
                  <w:tcW w:w="1532" w:type="dxa"/>
                  <w:vAlign w:val="center"/>
                </w:tcPr>
                <w:p w14:paraId="1ACD5ABF">
                  <w:pPr>
                    <w:widowControl/>
                    <w:snapToGrid w:val="0"/>
                    <w:jc w:val="center"/>
                    <w:rPr>
                      <w:color w:val="auto"/>
                    </w:rPr>
                  </w:pPr>
                  <w:r>
                    <w:rPr>
                      <w:rFonts w:ascii="宋体" w:hAnsi="宋体" w:cs="宋体"/>
                      <w:color w:val="auto"/>
                      <w:kern w:val="0"/>
                      <w:sz w:val="24"/>
                    </w:rPr>
                    <w:t>协办律师</w:t>
                  </w:r>
                </w:p>
              </w:tc>
              <w:tc>
                <w:tcPr>
                  <w:tcW w:w="1318" w:type="dxa"/>
                  <w:vAlign w:val="center"/>
                </w:tcPr>
                <w:p w14:paraId="4F997F4D">
                  <w:pPr>
                    <w:widowControl/>
                    <w:snapToGrid w:val="0"/>
                    <w:jc w:val="center"/>
                    <w:rPr>
                      <w:color w:val="auto"/>
                    </w:rPr>
                  </w:pPr>
                  <w:r>
                    <w:rPr>
                      <w:rFonts w:ascii="宋体" w:hAnsi="宋体" w:cs="宋体"/>
                      <w:color w:val="auto"/>
                      <w:kern w:val="0"/>
                      <w:sz w:val="24"/>
                    </w:rPr>
                    <w:t>2人</w:t>
                  </w:r>
                </w:p>
              </w:tc>
              <w:tc>
                <w:tcPr>
                  <w:tcW w:w="3159" w:type="dxa"/>
                  <w:vAlign w:val="center"/>
                </w:tcPr>
                <w:p w14:paraId="6D6A205C">
                  <w:pPr>
                    <w:widowControl/>
                    <w:snapToGrid w:val="0"/>
                    <w:jc w:val="left"/>
                    <w:rPr>
                      <w:color w:val="auto"/>
                    </w:rPr>
                  </w:pPr>
                  <w:r>
                    <w:rPr>
                      <w:rFonts w:ascii="宋体" w:hAnsi="宋体" w:cs="宋体"/>
                      <w:color w:val="auto"/>
                      <w:kern w:val="0"/>
                      <w:sz w:val="24"/>
                    </w:rPr>
                    <w:t>必须持有律师执业证</w:t>
                  </w:r>
                </w:p>
              </w:tc>
            </w:tr>
            <w:tr w14:paraId="3630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044CF55D">
                  <w:pPr>
                    <w:widowControl/>
                    <w:snapToGrid w:val="0"/>
                    <w:jc w:val="center"/>
                    <w:rPr>
                      <w:color w:val="auto"/>
                    </w:rPr>
                  </w:pPr>
                  <w:r>
                    <w:rPr>
                      <w:rFonts w:ascii="宋体" w:hAnsi="宋体" w:cs="宋体"/>
                      <w:color w:val="auto"/>
                      <w:kern w:val="0"/>
                      <w:sz w:val="24"/>
                    </w:rPr>
                    <w:t>3</w:t>
                  </w:r>
                </w:p>
              </w:tc>
              <w:tc>
                <w:tcPr>
                  <w:tcW w:w="1532" w:type="dxa"/>
                  <w:vAlign w:val="center"/>
                </w:tcPr>
                <w:p w14:paraId="0DDEEF4C">
                  <w:pPr>
                    <w:widowControl/>
                    <w:snapToGrid w:val="0"/>
                    <w:jc w:val="center"/>
                    <w:rPr>
                      <w:color w:val="auto"/>
                    </w:rPr>
                  </w:pPr>
                  <w:r>
                    <w:rPr>
                      <w:rFonts w:ascii="宋体" w:hAnsi="宋体" w:cs="宋体"/>
                      <w:color w:val="auto"/>
                      <w:kern w:val="0"/>
                      <w:sz w:val="24"/>
                    </w:rPr>
                    <w:t>助理</w:t>
                  </w:r>
                </w:p>
              </w:tc>
              <w:tc>
                <w:tcPr>
                  <w:tcW w:w="1318" w:type="dxa"/>
                  <w:vAlign w:val="center"/>
                </w:tcPr>
                <w:p w14:paraId="671A0C52">
                  <w:pPr>
                    <w:widowControl/>
                    <w:snapToGrid w:val="0"/>
                    <w:jc w:val="center"/>
                    <w:rPr>
                      <w:color w:val="auto"/>
                    </w:rPr>
                  </w:pPr>
                  <w:r>
                    <w:rPr>
                      <w:rFonts w:ascii="宋体" w:hAnsi="宋体" w:cs="宋体"/>
                      <w:color w:val="auto"/>
                      <w:kern w:val="0"/>
                      <w:sz w:val="24"/>
                    </w:rPr>
                    <w:t>1人</w:t>
                  </w:r>
                </w:p>
              </w:tc>
              <w:tc>
                <w:tcPr>
                  <w:tcW w:w="3159" w:type="dxa"/>
                  <w:vAlign w:val="center"/>
                </w:tcPr>
                <w:p w14:paraId="335DAE6B">
                  <w:pPr>
                    <w:widowControl/>
                    <w:snapToGrid w:val="0"/>
                    <w:jc w:val="left"/>
                    <w:rPr>
                      <w:color w:val="auto"/>
                    </w:rPr>
                  </w:pPr>
                  <w:r>
                    <w:rPr>
                      <w:rFonts w:ascii="宋体" w:hAnsi="宋体" w:cs="宋体"/>
                      <w:color w:val="auto"/>
                      <w:kern w:val="0"/>
                      <w:sz w:val="24"/>
                    </w:rPr>
                    <w:t>可由专职律师或实习律师担任，须提供律师执业证（专职律师担任时）或实习律师证（实习律师担任时）</w:t>
                  </w:r>
                </w:p>
              </w:tc>
            </w:tr>
          </w:tbl>
          <w:p w14:paraId="750141BA">
            <w:pPr>
              <w:numPr>
                <w:ilvl w:val="0"/>
                <w:numId w:val="3"/>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资质与团队要求</w:t>
            </w:r>
          </w:p>
          <w:p w14:paraId="314EF6E2">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拟投入本项目的主办律师、协办律师和助理人员团队不得少于本项目采购人数要求，且不超过8人。所有人员须提供律师执业证、实习律师证（助理为实习律师时），否则视为无效执业律师证，按无效投标处理。确保团队人员的专业性和合法性，保障服务质量。</w:t>
            </w:r>
          </w:p>
          <w:p w14:paraId="0865D32B">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四、合同管理规定</w:t>
            </w:r>
          </w:p>
          <w:p w14:paraId="58462A37">
            <w:pPr>
              <w:numPr>
                <w:ilvl w:val="0"/>
                <w:numId w:val="4"/>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人员变更限制：在本项目合同履行期间，未经采购人许可，若主办律师、常协办律师、助理并非响应文件所指派人员，采购人有权单方解除合同。严格把控人员稳定性，保障服务的连贯性和专业性。</w:t>
            </w:r>
          </w:p>
          <w:p w14:paraId="00FF3ED9">
            <w:pPr>
              <w:numPr>
                <w:ilvl w:val="0"/>
                <w:numId w:val="4"/>
              </w:numPr>
              <w:snapToGrid w:val="0"/>
              <w:spacing w:line="400" w:lineRule="exact"/>
              <w:ind w:firstLine="480" w:firstLineChars="200"/>
              <w:jc w:val="left"/>
              <w:rPr>
                <w:rFonts w:ascii="宋体" w:hAnsi="宋体" w:cs="宋体"/>
                <w:color w:val="auto"/>
                <w:sz w:val="24"/>
              </w:rPr>
            </w:pPr>
            <w:r>
              <w:rPr>
                <w:rFonts w:ascii="宋体" w:hAnsi="宋体" w:cs="宋体"/>
                <w:color w:val="auto"/>
                <w:sz w:val="24"/>
              </w:rPr>
              <w:t>服务质量监督：如在本项目合同履行期间，成交供应商提供的服务未达到采购人业务执行部门要求，采购人有权提前终止合同。建立服务质量监督机制，促使供应商持续提升服务质量，满足采购人的工作需求。</w:t>
            </w:r>
          </w:p>
          <w:p w14:paraId="7F5EDA66">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五、分包限制</w:t>
            </w:r>
          </w:p>
          <w:p w14:paraId="5F8F96D3">
            <w:pPr>
              <w:snapToGrid w:val="0"/>
              <w:spacing w:line="400" w:lineRule="exact"/>
              <w:ind w:firstLine="420" w:firstLineChars="175"/>
              <w:jc w:val="left"/>
              <w:rPr>
                <w:rFonts w:ascii="宋体" w:hAnsi="宋体" w:cs="宋体"/>
                <w:color w:val="auto"/>
                <w:sz w:val="24"/>
              </w:rPr>
            </w:pPr>
            <w:r>
              <w:rPr>
                <w:rFonts w:ascii="宋体" w:hAnsi="宋体" w:cs="宋体"/>
                <w:color w:val="auto"/>
                <w:sz w:val="24"/>
              </w:rPr>
              <w:t>本项目不允许分包，确保服务的整体性和责任的明确性，防止服务质量因分包而受到影响。</w:t>
            </w:r>
          </w:p>
        </w:tc>
        <w:tc>
          <w:tcPr>
            <w:tcW w:w="761" w:type="dxa"/>
            <w:vAlign w:val="center"/>
          </w:tcPr>
          <w:p w14:paraId="33D84F66">
            <w:pPr>
              <w:snapToGrid w:val="0"/>
              <w:spacing w:line="400" w:lineRule="exact"/>
              <w:jc w:val="center"/>
              <w:rPr>
                <w:rFonts w:ascii="宋体" w:hAnsi="宋体" w:cs="宋体"/>
                <w:color w:val="auto"/>
                <w:sz w:val="24"/>
              </w:rPr>
            </w:pPr>
            <w:r>
              <w:rPr>
                <w:rFonts w:hint="eastAsia" w:ascii="宋体" w:hAnsi="宋体" w:cs="宋体"/>
                <w:color w:val="auto"/>
                <w:sz w:val="24"/>
              </w:rPr>
              <w:t>1900000.00元</w:t>
            </w:r>
          </w:p>
        </w:tc>
      </w:tr>
      <w:tr w14:paraId="6D4E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56" w:type="dxa"/>
            <w:vMerge w:val="restart"/>
            <w:vAlign w:val="center"/>
          </w:tcPr>
          <w:p w14:paraId="1D7005C1">
            <w:pPr>
              <w:snapToGrid w:val="0"/>
              <w:spacing w:line="400" w:lineRule="exact"/>
              <w:jc w:val="center"/>
              <w:rPr>
                <w:rFonts w:ascii="宋体" w:hAnsi="宋体" w:cs="宋体"/>
                <w:b/>
                <w:bCs/>
                <w:color w:val="auto"/>
                <w:sz w:val="24"/>
              </w:rPr>
            </w:pPr>
            <w:r>
              <w:rPr>
                <w:rFonts w:hint="eastAsia" w:ascii="宋体" w:hAnsi="宋体" w:cs="宋体"/>
                <w:b/>
                <w:bCs/>
                <w:color w:val="auto"/>
                <w:sz w:val="24"/>
              </w:rPr>
              <w:t>▲商务条款</w:t>
            </w:r>
          </w:p>
        </w:tc>
        <w:tc>
          <w:tcPr>
            <w:tcW w:w="1719" w:type="dxa"/>
            <w:gridSpan w:val="2"/>
            <w:vAlign w:val="center"/>
          </w:tcPr>
          <w:p w14:paraId="15E4141C">
            <w:pPr>
              <w:snapToGrid w:val="0"/>
              <w:spacing w:line="400" w:lineRule="exact"/>
              <w:jc w:val="center"/>
              <w:rPr>
                <w:rFonts w:ascii="宋体" w:hAnsi="宋体" w:cs="宋体"/>
                <w:color w:val="auto"/>
                <w:kern w:val="0"/>
                <w:sz w:val="24"/>
              </w:rPr>
            </w:pPr>
            <w:r>
              <w:rPr>
                <w:rFonts w:hint="eastAsia" w:ascii="宋体" w:hAnsi="宋体" w:cs="宋体"/>
                <w:color w:val="auto"/>
                <w:kern w:val="0"/>
                <w:sz w:val="24"/>
              </w:rPr>
              <w:t>报价要求</w:t>
            </w:r>
          </w:p>
        </w:tc>
        <w:tc>
          <w:tcPr>
            <w:tcW w:w="7650" w:type="dxa"/>
            <w:gridSpan w:val="2"/>
            <w:vAlign w:val="center"/>
          </w:tcPr>
          <w:p w14:paraId="156E8E4E">
            <w:pPr>
              <w:snapToGrid w:val="0"/>
              <w:spacing w:line="400" w:lineRule="exact"/>
              <w:ind w:right="105" w:rightChars="50" w:firstLine="420" w:firstLineChars="175"/>
              <w:jc w:val="left"/>
              <w:rPr>
                <w:rFonts w:ascii="宋体" w:hAnsi="宋体" w:cs="宋体"/>
                <w:color w:val="auto"/>
                <w:sz w:val="24"/>
              </w:rPr>
            </w:pPr>
            <w:r>
              <w:rPr>
                <w:rFonts w:hint="eastAsia" w:ascii="宋体" w:hAnsi="宋体" w:cs="宋体"/>
                <w:color w:val="auto"/>
                <w:sz w:val="24"/>
              </w:rPr>
              <w:t>1.本标项的最高控制价为人民币壹佰玖拾万元整（小写：￥1900000.00元）。报价应包含完成合同约定服务内容所需的全部费用，除合同另有约定外，不因任何因素调整。对于外聘法律顾问办理诉讼、仲裁案件等合同未尽专项服务事宜，由成交供应商和服务合同丙方根据《广西壮族自治区律师服务收费管理实施办法》规定的收费标准按50%收取或在50%以下自行协商确定。</w:t>
            </w:r>
          </w:p>
          <w:p w14:paraId="617445A7">
            <w:pPr>
              <w:snapToGrid w:val="0"/>
              <w:spacing w:line="400" w:lineRule="exact"/>
              <w:ind w:right="105" w:rightChars="50" w:firstLine="420" w:firstLineChars="175"/>
              <w:jc w:val="left"/>
              <w:rPr>
                <w:rFonts w:ascii="宋体" w:hAnsi="宋体" w:cs="宋体"/>
                <w:color w:val="auto"/>
                <w:sz w:val="24"/>
              </w:rPr>
            </w:pPr>
            <w:r>
              <w:rPr>
                <w:rFonts w:hint="eastAsia" w:ascii="宋体" w:hAnsi="宋体" w:cs="宋体"/>
                <w:color w:val="auto"/>
                <w:sz w:val="24"/>
              </w:rPr>
              <w:t>2.有效的供应商的报价≤本项目的最高控制价。</w:t>
            </w:r>
          </w:p>
        </w:tc>
      </w:tr>
      <w:tr w14:paraId="264A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56" w:type="dxa"/>
            <w:vMerge w:val="continue"/>
            <w:vAlign w:val="center"/>
          </w:tcPr>
          <w:p w14:paraId="71DC5EC8">
            <w:pPr>
              <w:snapToGrid w:val="0"/>
              <w:spacing w:line="400" w:lineRule="exact"/>
              <w:jc w:val="center"/>
              <w:rPr>
                <w:rFonts w:ascii="宋体" w:hAnsi="宋体" w:cs="宋体"/>
                <w:b/>
                <w:bCs/>
                <w:color w:val="auto"/>
                <w:sz w:val="24"/>
              </w:rPr>
            </w:pPr>
          </w:p>
        </w:tc>
        <w:tc>
          <w:tcPr>
            <w:tcW w:w="1719" w:type="dxa"/>
            <w:gridSpan w:val="2"/>
            <w:vAlign w:val="center"/>
          </w:tcPr>
          <w:p w14:paraId="47830297">
            <w:pPr>
              <w:snapToGrid w:val="0"/>
              <w:spacing w:line="400" w:lineRule="exact"/>
              <w:jc w:val="center"/>
              <w:rPr>
                <w:rFonts w:ascii="宋体" w:hAnsi="宋体" w:cs="宋体"/>
                <w:color w:val="auto"/>
                <w:kern w:val="0"/>
                <w:sz w:val="24"/>
              </w:rPr>
            </w:pPr>
            <w:r>
              <w:rPr>
                <w:rFonts w:hint="eastAsia" w:ascii="宋体" w:hAnsi="宋体" w:cs="宋体"/>
                <w:color w:val="auto"/>
                <w:kern w:val="0"/>
                <w:sz w:val="24"/>
              </w:rPr>
              <w:t>基本要求</w:t>
            </w:r>
          </w:p>
        </w:tc>
        <w:tc>
          <w:tcPr>
            <w:tcW w:w="7650" w:type="dxa"/>
            <w:gridSpan w:val="2"/>
            <w:vAlign w:val="center"/>
          </w:tcPr>
          <w:p w14:paraId="57D82C9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1.成交供应商须严格遵守国家法律法规，维护社会公平正义和服务合同丙方合法权益。</w:t>
            </w:r>
          </w:p>
          <w:p w14:paraId="1AE88AF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2.成交供应商须严格遵守保密制度，不得泄漏工作中接触到的各类秘密信息，不得擅自对外透露工作内容，不得将未公开信息用于其他用途。</w:t>
            </w:r>
          </w:p>
          <w:p w14:paraId="119FF42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3.成交供应商须遵守职业道德和行业规范，不得利用工作便利牟取私利，不得以法律顾问身份从事商业活动或与法律顾问职责无关的活动。</w:t>
            </w:r>
          </w:p>
          <w:p w14:paraId="78225F7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4.成交供应商须不得办理与服务合同丙方有利益冲突的法律事务，不得以党政机关常年法律顾问名义招揽或开展相关业务。</w:t>
            </w:r>
          </w:p>
        </w:tc>
      </w:tr>
      <w:tr w14:paraId="18B6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6" w:type="dxa"/>
            <w:vMerge w:val="continue"/>
            <w:vAlign w:val="center"/>
          </w:tcPr>
          <w:p w14:paraId="49CFFE6A">
            <w:pPr>
              <w:snapToGrid w:val="0"/>
              <w:spacing w:line="400" w:lineRule="exact"/>
              <w:jc w:val="center"/>
              <w:rPr>
                <w:rFonts w:ascii="宋体" w:hAnsi="宋体" w:cs="宋体"/>
                <w:color w:val="auto"/>
                <w:sz w:val="24"/>
              </w:rPr>
            </w:pPr>
          </w:p>
        </w:tc>
        <w:tc>
          <w:tcPr>
            <w:tcW w:w="1719" w:type="dxa"/>
            <w:gridSpan w:val="2"/>
            <w:vAlign w:val="center"/>
          </w:tcPr>
          <w:p w14:paraId="27803260">
            <w:pPr>
              <w:pStyle w:val="13"/>
              <w:snapToGrid w:val="0"/>
              <w:spacing w:line="400" w:lineRule="exact"/>
              <w:jc w:val="center"/>
              <w:rPr>
                <w:rFonts w:hAnsi="宋体" w:cs="宋体"/>
                <w:b/>
                <w:bCs/>
                <w:color w:val="auto"/>
                <w:sz w:val="24"/>
              </w:rPr>
            </w:pPr>
            <w:r>
              <w:rPr>
                <w:rFonts w:hint="eastAsia" w:hAnsi="宋体" w:cs="宋体"/>
                <w:color w:val="auto"/>
                <w:sz w:val="24"/>
                <w:szCs w:val="24"/>
              </w:rPr>
              <w:t>服务要求</w:t>
            </w:r>
          </w:p>
        </w:tc>
        <w:tc>
          <w:tcPr>
            <w:tcW w:w="7650" w:type="dxa"/>
            <w:gridSpan w:val="2"/>
            <w:vAlign w:val="center"/>
          </w:tcPr>
          <w:p w14:paraId="16A0CD73">
            <w:pPr>
              <w:snapToGrid w:val="0"/>
              <w:spacing w:line="400" w:lineRule="exact"/>
              <w:ind w:firstLine="480" w:firstLineChars="200"/>
              <w:jc w:val="left"/>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1.成交供应商应指派符合特定条件的律师组成团队提供法律服务。</w:t>
            </w:r>
          </w:p>
          <w:p w14:paraId="6FD024E1">
            <w:pPr>
              <w:snapToGrid w:val="0"/>
              <w:spacing w:line="400" w:lineRule="exact"/>
              <w:ind w:firstLine="480" w:firstLineChars="200"/>
              <w:jc w:val="left"/>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2.律师需政治素质高，拥护中国共产党的领导，担任党委法律顾问应具备中共正式党员资格；具有良好职业道德和社会责任感；专家有较强专业能力和影响力，律师具有 3 年以上连续执业经历和较强专业能力；严格遵纪守法，未受过重大处罚；身体健康，有精力履职；能够保障承担法律顾问工作的其他必要条件。</w:t>
            </w:r>
          </w:p>
          <w:p w14:paraId="047001C8">
            <w:pPr>
              <w:snapToGrid w:val="0"/>
              <w:spacing w:line="400" w:lineRule="exact"/>
              <w:ind w:firstLine="480" w:firstLineChars="200"/>
              <w:jc w:val="left"/>
              <w:rPr>
                <w:rFonts w:hint="eastAsia" w:ascii="宋体" w:hAnsi="宋体" w:eastAsia="宋体" w:cs="宋体"/>
                <w:b/>
                <w:bCs/>
                <w:color w:val="auto"/>
                <w:sz w:val="24"/>
              </w:rPr>
            </w:pPr>
            <w:r>
              <w:rPr>
                <w:rFonts w:hint="eastAsia" w:ascii="宋体" w:hAnsi="宋体" w:eastAsia="宋体" w:cs="宋体"/>
                <w:color w:val="auto"/>
                <w:sz w:val="24"/>
                <w:shd w:val="clear" w:color="auto" w:fill="FFFFFF"/>
              </w:rPr>
              <w:t>3.成交供应商应按照合同约定的工作范围和方式开展服务，包括日常法律咨询、文件审查、合同处理、纠纷处理、案件参与、代理诉讼和复议、法律培训等工作。</w:t>
            </w:r>
          </w:p>
        </w:tc>
      </w:tr>
      <w:tr w14:paraId="1056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6" w:type="dxa"/>
            <w:vMerge w:val="continue"/>
            <w:vAlign w:val="center"/>
          </w:tcPr>
          <w:p w14:paraId="7C289DA3">
            <w:pPr>
              <w:snapToGrid w:val="0"/>
              <w:spacing w:line="400" w:lineRule="exact"/>
              <w:jc w:val="center"/>
              <w:rPr>
                <w:rFonts w:ascii="宋体" w:hAnsi="宋体" w:cs="宋体"/>
                <w:color w:val="auto"/>
                <w:sz w:val="24"/>
              </w:rPr>
            </w:pPr>
          </w:p>
        </w:tc>
        <w:tc>
          <w:tcPr>
            <w:tcW w:w="1719" w:type="dxa"/>
            <w:gridSpan w:val="2"/>
            <w:vAlign w:val="center"/>
          </w:tcPr>
          <w:p w14:paraId="645B4072">
            <w:pPr>
              <w:pStyle w:val="13"/>
              <w:snapToGrid w:val="0"/>
              <w:spacing w:line="400" w:lineRule="exact"/>
              <w:jc w:val="center"/>
              <w:rPr>
                <w:rFonts w:hAnsi="宋体" w:cs="宋体"/>
                <w:color w:val="auto"/>
                <w:sz w:val="24"/>
                <w:szCs w:val="24"/>
              </w:rPr>
            </w:pPr>
            <w:r>
              <w:rPr>
                <w:rFonts w:ascii="Segoe UI" w:hAnsi="Segoe UI" w:eastAsia="Segoe UI" w:cs="Segoe UI"/>
                <w:color w:val="auto"/>
                <w:sz w:val="24"/>
                <w:szCs w:val="24"/>
                <w:shd w:val="clear" w:color="auto" w:fill="FFFFFF"/>
              </w:rPr>
              <w:t>处理问题响应时间要求</w:t>
            </w:r>
          </w:p>
        </w:tc>
        <w:tc>
          <w:tcPr>
            <w:tcW w:w="7650" w:type="dxa"/>
            <w:gridSpan w:val="2"/>
            <w:vAlign w:val="center"/>
          </w:tcPr>
          <w:p w14:paraId="512B4CAB">
            <w:pPr>
              <w:snapToGrid w:val="0"/>
              <w:spacing w:line="400" w:lineRule="exact"/>
              <w:ind w:firstLine="480" w:firstLineChars="200"/>
              <w:jc w:val="left"/>
              <w:rPr>
                <w:rFonts w:ascii="宋体" w:hAnsi="宋体" w:cs="宋体"/>
                <w:b/>
                <w:bCs/>
                <w:color w:val="auto"/>
                <w:sz w:val="24"/>
              </w:rPr>
            </w:pPr>
            <w:r>
              <w:rPr>
                <w:rFonts w:ascii="Segoe UI" w:hAnsi="Segoe UI" w:eastAsia="Segoe UI" w:cs="Segoe UI"/>
                <w:color w:val="auto"/>
                <w:sz w:val="24"/>
                <w:shd w:val="clear" w:color="auto" w:fill="FFFFFF"/>
              </w:rPr>
              <w:t>接到采购人处理问</w:t>
            </w:r>
            <w:r>
              <w:rPr>
                <w:rFonts w:hint="eastAsia" w:ascii="宋体" w:hAnsi="宋体" w:eastAsia="宋体" w:cs="宋体"/>
                <w:color w:val="auto"/>
                <w:sz w:val="24"/>
                <w:shd w:val="clear" w:color="auto" w:fill="FFFFFF"/>
              </w:rPr>
              <w:t>题通知后2小时内到</w:t>
            </w:r>
            <w:r>
              <w:rPr>
                <w:rFonts w:ascii="Segoe UI" w:hAnsi="Segoe UI" w:eastAsia="Segoe UI" w:cs="Segoe UI"/>
                <w:color w:val="auto"/>
                <w:sz w:val="24"/>
                <w:shd w:val="clear" w:color="auto" w:fill="FFFFFF"/>
              </w:rPr>
              <w:t>达采购人指定现场。对于紧急法律事务，应在采购人要求的更短时间内响应并提供初步法律意见。</w:t>
            </w:r>
          </w:p>
        </w:tc>
      </w:tr>
      <w:tr w14:paraId="7A7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56" w:type="dxa"/>
            <w:vMerge w:val="continue"/>
            <w:vAlign w:val="center"/>
          </w:tcPr>
          <w:p w14:paraId="71384B43">
            <w:pPr>
              <w:snapToGrid w:val="0"/>
              <w:spacing w:line="400" w:lineRule="exact"/>
              <w:jc w:val="center"/>
              <w:rPr>
                <w:rFonts w:ascii="宋体" w:hAnsi="宋体" w:cs="宋体"/>
                <w:color w:val="auto"/>
                <w:sz w:val="24"/>
              </w:rPr>
            </w:pPr>
          </w:p>
        </w:tc>
        <w:tc>
          <w:tcPr>
            <w:tcW w:w="1719" w:type="dxa"/>
            <w:gridSpan w:val="2"/>
            <w:vAlign w:val="center"/>
          </w:tcPr>
          <w:p w14:paraId="238A4D48">
            <w:pPr>
              <w:pStyle w:val="13"/>
              <w:snapToGrid w:val="0"/>
              <w:spacing w:line="400" w:lineRule="exact"/>
              <w:jc w:val="center"/>
              <w:rPr>
                <w:rFonts w:hAnsi="宋体" w:cs="宋体"/>
                <w:color w:val="auto"/>
                <w:sz w:val="24"/>
                <w:szCs w:val="24"/>
              </w:rPr>
            </w:pPr>
            <w:r>
              <w:rPr>
                <w:rFonts w:hint="eastAsia" w:hAnsi="宋体" w:cs="宋体"/>
                <w:color w:val="auto"/>
                <w:sz w:val="24"/>
                <w:szCs w:val="24"/>
              </w:rPr>
              <w:t>合同履行期限</w:t>
            </w:r>
          </w:p>
        </w:tc>
        <w:tc>
          <w:tcPr>
            <w:tcW w:w="7650" w:type="dxa"/>
            <w:gridSpan w:val="2"/>
            <w:vAlign w:val="center"/>
          </w:tcPr>
          <w:p w14:paraId="74C334FF">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1.合同履行期限：服务期三年，具体以合同签订时间为准。</w:t>
            </w:r>
          </w:p>
          <w:p w14:paraId="208FB1B2">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2.合同履行地点：象州县采购人指定地点。</w:t>
            </w:r>
          </w:p>
        </w:tc>
      </w:tr>
      <w:tr w14:paraId="49BE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556" w:type="dxa"/>
            <w:vMerge w:val="continue"/>
            <w:vAlign w:val="center"/>
          </w:tcPr>
          <w:p w14:paraId="22F5FBCB">
            <w:pPr>
              <w:snapToGrid w:val="0"/>
              <w:spacing w:line="400" w:lineRule="exact"/>
              <w:jc w:val="center"/>
              <w:rPr>
                <w:rFonts w:ascii="宋体" w:hAnsi="宋体" w:cs="宋体"/>
                <w:color w:val="auto"/>
                <w:sz w:val="24"/>
              </w:rPr>
            </w:pPr>
          </w:p>
        </w:tc>
        <w:tc>
          <w:tcPr>
            <w:tcW w:w="1719" w:type="dxa"/>
            <w:gridSpan w:val="2"/>
            <w:vAlign w:val="center"/>
          </w:tcPr>
          <w:p w14:paraId="061C6F06">
            <w:pPr>
              <w:pStyle w:val="13"/>
              <w:snapToGrid w:val="0"/>
              <w:spacing w:line="400" w:lineRule="exact"/>
              <w:jc w:val="center"/>
              <w:rPr>
                <w:rFonts w:hAnsi="宋体" w:cs="宋体"/>
                <w:color w:val="auto"/>
                <w:sz w:val="24"/>
                <w:szCs w:val="24"/>
              </w:rPr>
            </w:pPr>
            <w:r>
              <w:rPr>
                <w:rFonts w:hint="eastAsia" w:hAnsi="宋体" w:cs="宋体"/>
                <w:color w:val="auto"/>
                <w:sz w:val="24"/>
                <w:szCs w:val="24"/>
              </w:rPr>
              <w:t>付款条件</w:t>
            </w:r>
          </w:p>
        </w:tc>
        <w:tc>
          <w:tcPr>
            <w:tcW w:w="7650" w:type="dxa"/>
            <w:gridSpan w:val="2"/>
            <w:vAlign w:val="center"/>
          </w:tcPr>
          <w:p w14:paraId="1C4B2227">
            <w:pPr>
              <w:snapToGrid w:val="0"/>
              <w:spacing w:line="400" w:lineRule="exact"/>
              <w:ind w:firstLine="420" w:firstLineChars="175"/>
              <w:rPr>
                <w:rFonts w:ascii="宋体" w:hAnsi="宋体" w:cs="宋体"/>
                <w:color w:val="auto"/>
                <w:sz w:val="24"/>
              </w:rPr>
            </w:pPr>
            <w:r>
              <w:rPr>
                <w:rFonts w:hint="eastAsia" w:ascii="宋体" w:hAnsi="宋体" w:cs="宋体"/>
                <w:color w:val="auto"/>
                <w:sz w:val="24"/>
              </w:rPr>
              <w:t>1.法律顾问服务合同签订后 10 工作日内支付服务费20万，服务期限满6个月后30日内支付服务费20万；服务期限满12个月后30日内支付服务费20万；服务期限满18个月后30日内支付服务费30万，服务期限满24个月后30日内支付服务费30万；服务期限满30个月后30日内支付服务费30万，服务期限满36个月后30日内支付服务费40万</w:t>
            </w:r>
          </w:p>
          <w:p w14:paraId="77CE2E38">
            <w:pPr>
              <w:snapToGrid w:val="0"/>
              <w:spacing w:line="400" w:lineRule="exact"/>
              <w:ind w:firstLine="420" w:firstLineChars="175"/>
              <w:rPr>
                <w:rFonts w:ascii="宋体" w:hAnsi="宋体" w:cs="宋体"/>
                <w:color w:val="auto"/>
                <w:sz w:val="24"/>
              </w:rPr>
            </w:pPr>
            <w:r>
              <w:rPr>
                <w:rFonts w:hint="eastAsia" w:ascii="宋体" w:hAnsi="宋体" w:cs="宋体"/>
                <w:color w:val="auto"/>
                <w:sz w:val="24"/>
              </w:rPr>
              <w:t>2.成交供应商向采购人提供服务相关完税发票后，采购人在收到发票后一个月之内支付费用。</w:t>
            </w:r>
          </w:p>
        </w:tc>
      </w:tr>
      <w:tr w14:paraId="7841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56" w:type="dxa"/>
            <w:vMerge w:val="continue"/>
            <w:vAlign w:val="center"/>
          </w:tcPr>
          <w:p w14:paraId="769595A4">
            <w:pPr>
              <w:snapToGrid w:val="0"/>
              <w:spacing w:line="400" w:lineRule="exact"/>
              <w:jc w:val="center"/>
              <w:rPr>
                <w:rFonts w:ascii="宋体" w:hAnsi="宋体" w:cs="宋体"/>
                <w:color w:val="auto"/>
                <w:sz w:val="24"/>
              </w:rPr>
            </w:pPr>
          </w:p>
        </w:tc>
        <w:tc>
          <w:tcPr>
            <w:tcW w:w="1719" w:type="dxa"/>
            <w:gridSpan w:val="2"/>
            <w:vAlign w:val="center"/>
          </w:tcPr>
          <w:p w14:paraId="7368609B">
            <w:pPr>
              <w:pStyle w:val="13"/>
              <w:snapToGrid w:val="0"/>
              <w:spacing w:line="400" w:lineRule="exact"/>
              <w:jc w:val="center"/>
              <w:rPr>
                <w:rFonts w:hAnsi="宋体" w:cs="宋体"/>
                <w:color w:val="auto"/>
                <w:sz w:val="24"/>
                <w:szCs w:val="24"/>
              </w:rPr>
            </w:pPr>
            <w:r>
              <w:rPr>
                <w:rFonts w:hint="eastAsia" w:hAnsi="宋体" w:cs="宋体"/>
                <w:color w:val="auto"/>
                <w:sz w:val="24"/>
                <w:szCs w:val="24"/>
              </w:rPr>
              <w:t>验收标准</w:t>
            </w:r>
          </w:p>
        </w:tc>
        <w:tc>
          <w:tcPr>
            <w:tcW w:w="7650" w:type="dxa"/>
            <w:gridSpan w:val="2"/>
            <w:vAlign w:val="center"/>
          </w:tcPr>
          <w:p w14:paraId="3EDE97EE">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1.采购人每年对法律顾问工作情况进行考核，根据考核结果支付费用。成交供应商在考核中被评定为不合格等次的，适当核减本年度法律顾问报酬，已支付的予以退还。采购人不定期对成交供应商服务内容进行考核，服务期届满后对服务质量进行验收。逾期不验收的，成交供应商可视为验收合格。</w:t>
            </w:r>
          </w:p>
          <w:p w14:paraId="0CBD51E6">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2.验收合格后，采购人与成交供应商签署验收单并加盖采购单位公章。采购人在验收过程中发现成交供应商有违约问题，可按招、投标文件的规定要求成交供应商及时予以解决。</w:t>
            </w:r>
          </w:p>
          <w:p w14:paraId="4D378AFC">
            <w:pPr>
              <w:pStyle w:val="13"/>
              <w:snapToGrid w:val="0"/>
              <w:spacing w:line="400" w:lineRule="exact"/>
              <w:ind w:firstLine="420" w:firstLineChars="175"/>
              <w:jc w:val="left"/>
              <w:rPr>
                <w:rFonts w:hAnsi="宋体" w:cs="宋体"/>
                <w:color w:val="auto"/>
                <w:sz w:val="24"/>
                <w:szCs w:val="24"/>
              </w:rPr>
            </w:pPr>
            <w:r>
              <w:rPr>
                <w:rFonts w:hint="eastAsia" w:hAnsi="宋体" w:cs="宋体"/>
                <w:color w:val="auto"/>
                <w:sz w:val="24"/>
                <w:szCs w:val="24"/>
              </w:rPr>
              <w:t>3．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bl>
    <w:p w14:paraId="24739C98">
      <w:pPr>
        <w:rPr>
          <w:color w:val="auto"/>
        </w:rPr>
      </w:pPr>
    </w:p>
    <w:p w14:paraId="1425CFB6">
      <w:pPr>
        <w:rPr>
          <w:color w:val="auto"/>
        </w:rPr>
      </w:pPr>
    </w:p>
    <w:p w14:paraId="66B34418">
      <w:pPr>
        <w:rPr>
          <w:color w:val="auto"/>
        </w:rPr>
      </w:pPr>
    </w:p>
    <w:p w14:paraId="1AD7B5E2">
      <w:pPr>
        <w:outlineLvl w:val="1"/>
        <w:rPr>
          <w:rFonts w:ascii="宋体" w:hAnsi="宋体" w:cs="宋体"/>
          <w:b/>
          <w:bCs/>
          <w:color w:val="auto"/>
          <w:kern w:val="44"/>
          <w:sz w:val="24"/>
        </w:rPr>
      </w:pPr>
      <w:r>
        <w:rPr>
          <w:rFonts w:hint="eastAsia" w:ascii="宋体" w:hAnsi="宋体" w:cs="宋体"/>
          <w:b/>
          <w:bCs/>
          <w:color w:val="auto"/>
          <w:kern w:val="44"/>
          <w:sz w:val="44"/>
          <w:szCs w:val="44"/>
        </w:rPr>
        <w:br w:type="page"/>
      </w:r>
      <w:bookmarkStart w:id="175" w:name="_Toc25170"/>
      <w:bookmarkStart w:id="176" w:name="_Toc13918"/>
      <w:bookmarkStart w:id="177" w:name="_Toc5379"/>
      <w:bookmarkStart w:id="178" w:name="_Toc19274"/>
      <w:bookmarkStart w:id="179" w:name="_Toc24966"/>
      <w:bookmarkStart w:id="180" w:name="_Toc22563"/>
      <w:bookmarkStart w:id="181" w:name="_Toc8159"/>
      <w:bookmarkStart w:id="182" w:name="_Toc32443"/>
      <w:bookmarkStart w:id="183" w:name="_Toc14773"/>
      <w:bookmarkStart w:id="184" w:name="_Toc13165"/>
      <w:bookmarkStart w:id="185" w:name="_Toc5874"/>
      <w:bookmarkStart w:id="186" w:name="_Toc4197"/>
      <w:bookmarkStart w:id="187" w:name="_Toc31984"/>
      <w:bookmarkStart w:id="188" w:name="_Toc14621"/>
      <w:bookmarkStart w:id="189" w:name="_Toc16326"/>
      <w:bookmarkStart w:id="190" w:name="_Toc18190"/>
      <w:bookmarkStart w:id="191" w:name="_Toc2902"/>
      <w:bookmarkStart w:id="192" w:name="_Toc7267"/>
      <w:bookmarkStart w:id="193" w:name="_Toc19932"/>
      <w:bookmarkStart w:id="194" w:name="_Toc18291"/>
      <w:bookmarkStart w:id="195" w:name="_Toc32677"/>
      <w:r>
        <w:rPr>
          <w:rFonts w:hint="eastAsia" w:ascii="宋体" w:hAnsi="宋体" w:cs="宋体"/>
          <w:b/>
          <w:bCs/>
          <w:color w:val="auto"/>
          <w:kern w:val="44"/>
          <w:sz w:val="24"/>
        </w:rPr>
        <w:t>附件：</w:t>
      </w:r>
    </w:p>
    <w:p w14:paraId="504FE36E">
      <w:pPr>
        <w:widowControl/>
        <w:spacing w:afterLines="50" w:line="360" w:lineRule="auto"/>
        <w:jc w:val="center"/>
        <w:rPr>
          <w:rFonts w:ascii="宋体" w:hAnsi="宋体"/>
          <w:b/>
          <w:bCs/>
          <w:color w:val="auto"/>
          <w:kern w:val="0"/>
          <w:sz w:val="24"/>
        </w:rPr>
      </w:pPr>
      <w:r>
        <w:rPr>
          <w:rFonts w:hint="eastAsia" w:ascii="宋体" w:hAnsi="宋体"/>
          <w:b/>
          <w:bCs/>
          <w:color w:val="auto"/>
          <w:kern w:val="0"/>
          <w:sz w:val="24"/>
        </w:rPr>
        <w:t>统计上大中小微型企业划分标准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373"/>
        <w:gridCol w:w="711"/>
        <w:gridCol w:w="1129"/>
        <w:gridCol w:w="1706"/>
        <w:gridCol w:w="1431"/>
        <w:gridCol w:w="995"/>
      </w:tblGrid>
      <w:tr w14:paraId="5800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20" w:type="dxa"/>
            <w:vAlign w:val="center"/>
          </w:tcPr>
          <w:p w14:paraId="7D12125F">
            <w:pPr>
              <w:widowControl/>
              <w:spacing w:line="360" w:lineRule="auto"/>
              <w:contextualSpacing/>
              <w:jc w:val="center"/>
              <w:rPr>
                <w:rFonts w:ascii="宋体" w:hAnsi="宋体"/>
                <w:b/>
                <w:bCs/>
                <w:color w:val="auto"/>
                <w:kern w:val="0"/>
                <w:szCs w:val="21"/>
              </w:rPr>
            </w:pPr>
            <w:bookmarkStart w:id="196" w:name="_Hlk161069418"/>
            <w:r>
              <w:rPr>
                <w:rFonts w:hint="eastAsia" w:ascii="宋体" w:hAnsi="宋体"/>
                <w:b/>
                <w:bCs/>
                <w:color w:val="auto"/>
                <w:kern w:val="0"/>
                <w:szCs w:val="21"/>
              </w:rPr>
              <w:t>行业名称</w:t>
            </w:r>
          </w:p>
        </w:tc>
        <w:tc>
          <w:tcPr>
            <w:tcW w:w="1373" w:type="dxa"/>
            <w:vAlign w:val="center"/>
          </w:tcPr>
          <w:p w14:paraId="1E3EF0E8">
            <w:pPr>
              <w:widowControl/>
              <w:spacing w:line="360" w:lineRule="auto"/>
              <w:contextualSpacing/>
              <w:jc w:val="center"/>
              <w:rPr>
                <w:rFonts w:ascii="宋体" w:hAnsi="宋体"/>
                <w:b/>
                <w:bCs/>
                <w:color w:val="auto"/>
                <w:kern w:val="0"/>
                <w:szCs w:val="21"/>
              </w:rPr>
            </w:pPr>
            <w:r>
              <w:rPr>
                <w:rFonts w:hint="eastAsia" w:ascii="宋体" w:hAnsi="宋体"/>
                <w:b/>
                <w:bCs/>
                <w:color w:val="auto"/>
                <w:kern w:val="0"/>
                <w:szCs w:val="21"/>
              </w:rPr>
              <w:t>指标名称</w:t>
            </w:r>
          </w:p>
        </w:tc>
        <w:tc>
          <w:tcPr>
            <w:tcW w:w="711" w:type="dxa"/>
            <w:vAlign w:val="center"/>
          </w:tcPr>
          <w:p w14:paraId="36AB7C83">
            <w:pPr>
              <w:widowControl/>
              <w:spacing w:line="360" w:lineRule="auto"/>
              <w:contextualSpacing/>
              <w:jc w:val="center"/>
              <w:rPr>
                <w:rFonts w:ascii="宋体" w:hAnsi="宋体"/>
                <w:b/>
                <w:bCs/>
                <w:color w:val="auto"/>
                <w:kern w:val="0"/>
                <w:szCs w:val="21"/>
              </w:rPr>
            </w:pPr>
            <w:r>
              <w:rPr>
                <w:rFonts w:hint="eastAsia" w:ascii="宋体" w:hAnsi="宋体"/>
                <w:b/>
                <w:bCs/>
                <w:color w:val="auto"/>
                <w:kern w:val="0"/>
                <w:szCs w:val="21"/>
              </w:rPr>
              <w:t>计量</w:t>
            </w:r>
          </w:p>
          <w:p w14:paraId="1D0495DE">
            <w:pPr>
              <w:widowControl/>
              <w:spacing w:line="360" w:lineRule="auto"/>
              <w:contextualSpacing/>
              <w:jc w:val="center"/>
              <w:rPr>
                <w:rFonts w:ascii="宋体" w:hAnsi="宋体"/>
                <w:b/>
                <w:bCs/>
                <w:color w:val="auto"/>
                <w:kern w:val="0"/>
                <w:szCs w:val="21"/>
              </w:rPr>
            </w:pPr>
            <w:r>
              <w:rPr>
                <w:rFonts w:hint="eastAsia" w:ascii="宋体" w:hAnsi="宋体"/>
                <w:b/>
                <w:bCs/>
                <w:color w:val="auto"/>
                <w:kern w:val="0"/>
                <w:szCs w:val="21"/>
              </w:rPr>
              <w:t>单位</w:t>
            </w:r>
          </w:p>
        </w:tc>
        <w:tc>
          <w:tcPr>
            <w:tcW w:w="1129" w:type="dxa"/>
            <w:vAlign w:val="center"/>
          </w:tcPr>
          <w:p w14:paraId="582CB0A5">
            <w:pPr>
              <w:widowControl/>
              <w:spacing w:line="360" w:lineRule="auto"/>
              <w:contextualSpacing/>
              <w:jc w:val="center"/>
              <w:rPr>
                <w:rFonts w:ascii="宋体" w:hAnsi="宋体"/>
                <w:b/>
                <w:bCs/>
                <w:color w:val="auto"/>
                <w:kern w:val="0"/>
                <w:szCs w:val="21"/>
              </w:rPr>
            </w:pPr>
            <w:r>
              <w:rPr>
                <w:rFonts w:hint="eastAsia" w:ascii="宋体" w:hAnsi="宋体"/>
                <w:b/>
                <w:bCs/>
                <w:color w:val="auto"/>
                <w:kern w:val="0"/>
                <w:szCs w:val="21"/>
              </w:rPr>
              <w:t>大型</w:t>
            </w:r>
          </w:p>
        </w:tc>
        <w:tc>
          <w:tcPr>
            <w:tcW w:w="1706" w:type="dxa"/>
            <w:vAlign w:val="center"/>
          </w:tcPr>
          <w:p w14:paraId="79BF4ED7">
            <w:pPr>
              <w:widowControl/>
              <w:spacing w:line="360" w:lineRule="auto"/>
              <w:contextualSpacing/>
              <w:jc w:val="center"/>
              <w:rPr>
                <w:rFonts w:ascii="宋体" w:hAnsi="宋体"/>
                <w:b/>
                <w:bCs/>
                <w:color w:val="auto"/>
                <w:kern w:val="0"/>
                <w:szCs w:val="21"/>
              </w:rPr>
            </w:pPr>
            <w:r>
              <w:rPr>
                <w:rFonts w:hint="eastAsia" w:ascii="宋体" w:hAnsi="宋体"/>
                <w:b/>
                <w:bCs/>
                <w:color w:val="auto"/>
                <w:kern w:val="0"/>
                <w:szCs w:val="21"/>
              </w:rPr>
              <w:t>中型</w:t>
            </w:r>
          </w:p>
        </w:tc>
        <w:tc>
          <w:tcPr>
            <w:tcW w:w="1431" w:type="dxa"/>
            <w:vAlign w:val="center"/>
          </w:tcPr>
          <w:p w14:paraId="47DCE9D3">
            <w:pPr>
              <w:widowControl/>
              <w:spacing w:line="360" w:lineRule="auto"/>
              <w:contextualSpacing/>
              <w:jc w:val="center"/>
              <w:rPr>
                <w:rFonts w:ascii="宋体" w:hAnsi="宋体"/>
                <w:b/>
                <w:bCs/>
                <w:color w:val="auto"/>
                <w:kern w:val="0"/>
                <w:szCs w:val="21"/>
              </w:rPr>
            </w:pPr>
            <w:r>
              <w:rPr>
                <w:rFonts w:hint="eastAsia" w:ascii="宋体" w:hAnsi="宋体"/>
                <w:b/>
                <w:bCs/>
                <w:color w:val="auto"/>
                <w:kern w:val="0"/>
                <w:szCs w:val="21"/>
              </w:rPr>
              <w:t>小型</w:t>
            </w:r>
          </w:p>
        </w:tc>
        <w:tc>
          <w:tcPr>
            <w:tcW w:w="995" w:type="dxa"/>
            <w:vAlign w:val="center"/>
          </w:tcPr>
          <w:p w14:paraId="051088CD">
            <w:pPr>
              <w:widowControl/>
              <w:spacing w:line="360" w:lineRule="auto"/>
              <w:contextualSpacing/>
              <w:jc w:val="center"/>
              <w:rPr>
                <w:rFonts w:ascii="宋体" w:hAnsi="宋体"/>
                <w:b/>
                <w:bCs/>
                <w:color w:val="auto"/>
                <w:kern w:val="0"/>
                <w:szCs w:val="21"/>
              </w:rPr>
            </w:pPr>
            <w:r>
              <w:rPr>
                <w:rFonts w:hint="eastAsia" w:ascii="宋体" w:hAnsi="宋体"/>
                <w:b/>
                <w:bCs/>
                <w:color w:val="auto"/>
                <w:kern w:val="0"/>
                <w:szCs w:val="21"/>
              </w:rPr>
              <w:t>微型</w:t>
            </w:r>
          </w:p>
        </w:tc>
      </w:tr>
      <w:tr w14:paraId="67CF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Align w:val="center"/>
          </w:tcPr>
          <w:p w14:paraId="44A1F433">
            <w:pPr>
              <w:widowControl/>
              <w:spacing w:line="360" w:lineRule="auto"/>
              <w:contextualSpacing/>
              <w:jc w:val="left"/>
              <w:rPr>
                <w:rFonts w:ascii="宋体" w:hAnsi="宋体"/>
                <w:color w:val="auto"/>
                <w:kern w:val="0"/>
                <w:szCs w:val="21"/>
              </w:rPr>
            </w:pPr>
            <w:r>
              <w:rPr>
                <w:rFonts w:hint="eastAsia" w:ascii="宋体" w:hAnsi="宋体"/>
                <w:color w:val="auto"/>
                <w:kern w:val="0"/>
                <w:szCs w:val="21"/>
              </w:rPr>
              <w:t>农、林、牧、渔业</w:t>
            </w:r>
          </w:p>
        </w:tc>
        <w:tc>
          <w:tcPr>
            <w:tcW w:w="1373" w:type="dxa"/>
            <w:vAlign w:val="center"/>
          </w:tcPr>
          <w:p w14:paraId="25FD0B73">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4E0D9FE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31383DE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Y≥20000</w:t>
            </w:r>
          </w:p>
        </w:tc>
        <w:tc>
          <w:tcPr>
            <w:tcW w:w="1706" w:type="dxa"/>
            <w:vAlign w:val="center"/>
          </w:tcPr>
          <w:p w14:paraId="08B6731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500≤Y＜20000</w:t>
            </w:r>
          </w:p>
        </w:tc>
        <w:tc>
          <w:tcPr>
            <w:tcW w:w="1431" w:type="dxa"/>
            <w:vAlign w:val="center"/>
          </w:tcPr>
          <w:p w14:paraId="387C119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50≤Y＜500</w:t>
            </w:r>
          </w:p>
        </w:tc>
        <w:tc>
          <w:tcPr>
            <w:tcW w:w="995" w:type="dxa"/>
            <w:vAlign w:val="center"/>
          </w:tcPr>
          <w:p w14:paraId="5741E80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Y＜50</w:t>
            </w:r>
          </w:p>
        </w:tc>
      </w:tr>
      <w:tr w14:paraId="1B83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16D25940">
            <w:pPr>
              <w:widowControl/>
              <w:spacing w:line="360" w:lineRule="auto"/>
              <w:contextualSpacing/>
              <w:jc w:val="left"/>
              <w:rPr>
                <w:rFonts w:ascii="宋体" w:hAnsi="宋体"/>
                <w:color w:val="auto"/>
                <w:kern w:val="0"/>
                <w:szCs w:val="21"/>
              </w:rPr>
            </w:pPr>
            <w:r>
              <w:rPr>
                <w:rFonts w:hint="eastAsia" w:ascii="宋体" w:hAnsi="宋体"/>
                <w:color w:val="auto"/>
                <w:kern w:val="0"/>
                <w:szCs w:val="21"/>
              </w:rPr>
              <w:t>工业*</w:t>
            </w:r>
          </w:p>
        </w:tc>
        <w:tc>
          <w:tcPr>
            <w:tcW w:w="1373" w:type="dxa"/>
            <w:vAlign w:val="center"/>
          </w:tcPr>
          <w:p w14:paraId="289BF90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1A0E651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0F44B763">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X≥1000</w:t>
            </w:r>
          </w:p>
        </w:tc>
        <w:tc>
          <w:tcPr>
            <w:tcW w:w="1706" w:type="dxa"/>
            <w:vAlign w:val="center"/>
          </w:tcPr>
          <w:p w14:paraId="0D56D94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300≤X＜1000</w:t>
            </w:r>
          </w:p>
        </w:tc>
        <w:tc>
          <w:tcPr>
            <w:tcW w:w="1431" w:type="dxa"/>
            <w:vAlign w:val="center"/>
          </w:tcPr>
          <w:p w14:paraId="4B8DDDD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20≤X＜300</w:t>
            </w:r>
          </w:p>
        </w:tc>
        <w:tc>
          <w:tcPr>
            <w:tcW w:w="995" w:type="dxa"/>
            <w:vAlign w:val="center"/>
          </w:tcPr>
          <w:p w14:paraId="113DE18E">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X＜20</w:t>
            </w:r>
          </w:p>
        </w:tc>
      </w:tr>
      <w:tr w14:paraId="069E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20" w:type="dxa"/>
            <w:vMerge w:val="continue"/>
            <w:vAlign w:val="center"/>
          </w:tcPr>
          <w:p w14:paraId="3B03737A">
            <w:pPr>
              <w:widowControl/>
              <w:jc w:val="left"/>
              <w:rPr>
                <w:rFonts w:ascii="宋体" w:hAnsi="宋体"/>
                <w:color w:val="auto"/>
                <w:kern w:val="0"/>
                <w:szCs w:val="21"/>
              </w:rPr>
            </w:pPr>
          </w:p>
        </w:tc>
        <w:tc>
          <w:tcPr>
            <w:tcW w:w="1373" w:type="dxa"/>
            <w:vAlign w:val="center"/>
          </w:tcPr>
          <w:p w14:paraId="6D8F7E4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38B6A9DE">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1B09093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Y≥40000</w:t>
            </w:r>
          </w:p>
        </w:tc>
        <w:tc>
          <w:tcPr>
            <w:tcW w:w="1706" w:type="dxa"/>
            <w:vAlign w:val="center"/>
          </w:tcPr>
          <w:p w14:paraId="126960B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2000≤Y＜40000</w:t>
            </w:r>
          </w:p>
        </w:tc>
        <w:tc>
          <w:tcPr>
            <w:tcW w:w="1431" w:type="dxa"/>
            <w:vAlign w:val="center"/>
          </w:tcPr>
          <w:p w14:paraId="1617FD9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300≤Y＜2000</w:t>
            </w:r>
          </w:p>
        </w:tc>
        <w:tc>
          <w:tcPr>
            <w:tcW w:w="995" w:type="dxa"/>
            <w:vAlign w:val="center"/>
          </w:tcPr>
          <w:p w14:paraId="1292BC4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Y＜300</w:t>
            </w:r>
          </w:p>
        </w:tc>
      </w:tr>
      <w:tr w14:paraId="12D3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20" w:type="dxa"/>
            <w:vMerge w:val="restart"/>
            <w:vAlign w:val="center"/>
          </w:tcPr>
          <w:p w14:paraId="02552A77">
            <w:pPr>
              <w:widowControl/>
              <w:spacing w:line="360" w:lineRule="auto"/>
              <w:contextualSpacing/>
              <w:jc w:val="left"/>
              <w:rPr>
                <w:rFonts w:ascii="宋体" w:hAnsi="宋体"/>
                <w:color w:val="auto"/>
                <w:kern w:val="0"/>
                <w:szCs w:val="21"/>
              </w:rPr>
            </w:pPr>
            <w:r>
              <w:rPr>
                <w:rFonts w:hint="eastAsia" w:ascii="宋体" w:hAnsi="宋体"/>
                <w:color w:val="auto"/>
                <w:kern w:val="0"/>
                <w:szCs w:val="21"/>
              </w:rPr>
              <w:t>建筑业</w:t>
            </w:r>
          </w:p>
        </w:tc>
        <w:tc>
          <w:tcPr>
            <w:tcW w:w="1373" w:type="dxa"/>
            <w:vAlign w:val="center"/>
          </w:tcPr>
          <w:p w14:paraId="788E571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253671F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4B8239A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Y≥80000</w:t>
            </w:r>
          </w:p>
        </w:tc>
        <w:tc>
          <w:tcPr>
            <w:tcW w:w="1706" w:type="dxa"/>
            <w:vAlign w:val="center"/>
          </w:tcPr>
          <w:p w14:paraId="1995EC4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6000≤Y＜80000</w:t>
            </w:r>
          </w:p>
        </w:tc>
        <w:tc>
          <w:tcPr>
            <w:tcW w:w="1431" w:type="dxa"/>
            <w:vAlign w:val="center"/>
          </w:tcPr>
          <w:p w14:paraId="7D01A4B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300≤Y＜6000</w:t>
            </w:r>
          </w:p>
        </w:tc>
        <w:tc>
          <w:tcPr>
            <w:tcW w:w="995" w:type="dxa"/>
            <w:vAlign w:val="center"/>
          </w:tcPr>
          <w:p w14:paraId="0AB05E6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Y＜300</w:t>
            </w:r>
          </w:p>
        </w:tc>
      </w:tr>
      <w:tr w14:paraId="2638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20" w:type="dxa"/>
            <w:vMerge w:val="continue"/>
            <w:vAlign w:val="center"/>
          </w:tcPr>
          <w:p w14:paraId="2E6322BA">
            <w:pPr>
              <w:widowControl/>
              <w:jc w:val="left"/>
              <w:rPr>
                <w:rFonts w:ascii="宋体" w:hAnsi="宋体"/>
                <w:color w:val="auto"/>
                <w:kern w:val="0"/>
                <w:szCs w:val="21"/>
              </w:rPr>
            </w:pPr>
          </w:p>
        </w:tc>
        <w:tc>
          <w:tcPr>
            <w:tcW w:w="1373" w:type="dxa"/>
            <w:vAlign w:val="center"/>
          </w:tcPr>
          <w:p w14:paraId="6895D9F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资产总额(Z)</w:t>
            </w:r>
          </w:p>
        </w:tc>
        <w:tc>
          <w:tcPr>
            <w:tcW w:w="711" w:type="dxa"/>
            <w:vAlign w:val="center"/>
          </w:tcPr>
          <w:p w14:paraId="59F340B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57C4F94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Z≥80000</w:t>
            </w:r>
          </w:p>
        </w:tc>
        <w:tc>
          <w:tcPr>
            <w:tcW w:w="1706" w:type="dxa"/>
            <w:vAlign w:val="center"/>
          </w:tcPr>
          <w:p w14:paraId="6035FB2E">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5000≤Z＜80000</w:t>
            </w:r>
          </w:p>
        </w:tc>
        <w:tc>
          <w:tcPr>
            <w:tcW w:w="1431" w:type="dxa"/>
            <w:vAlign w:val="center"/>
          </w:tcPr>
          <w:p w14:paraId="015571C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300≤Z＜5000</w:t>
            </w:r>
          </w:p>
        </w:tc>
        <w:tc>
          <w:tcPr>
            <w:tcW w:w="995" w:type="dxa"/>
            <w:vAlign w:val="center"/>
          </w:tcPr>
          <w:p w14:paraId="0FF4552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Z＜300</w:t>
            </w:r>
          </w:p>
        </w:tc>
      </w:tr>
      <w:tr w14:paraId="53F6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5661161C">
            <w:pPr>
              <w:widowControl/>
              <w:spacing w:line="360" w:lineRule="auto"/>
              <w:contextualSpacing/>
              <w:jc w:val="left"/>
              <w:rPr>
                <w:rFonts w:ascii="宋体" w:hAnsi="宋体"/>
                <w:color w:val="auto"/>
                <w:kern w:val="0"/>
                <w:szCs w:val="21"/>
              </w:rPr>
            </w:pPr>
            <w:r>
              <w:rPr>
                <w:rFonts w:hint="eastAsia" w:ascii="宋体" w:hAnsi="宋体"/>
                <w:color w:val="auto"/>
                <w:kern w:val="0"/>
                <w:szCs w:val="21"/>
              </w:rPr>
              <w:t>批发业</w:t>
            </w:r>
          </w:p>
        </w:tc>
        <w:tc>
          <w:tcPr>
            <w:tcW w:w="1373" w:type="dxa"/>
            <w:vAlign w:val="center"/>
          </w:tcPr>
          <w:p w14:paraId="1E5F2B9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3C0EB90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7B3D572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X≥200</w:t>
            </w:r>
          </w:p>
        </w:tc>
        <w:tc>
          <w:tcPr>
            <w:tcW w:w="1706" w:type="dxa"/>
            <w:vAlign w:val="center"/>
          </w:tcPr>
          <w:p w14:paraId="5D67346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20≤X＜200</w:t>
            </w:r>
          </w:p>
        </w:tc>
        <w:tc>
          <w:tcPr>
            <w:tcW w:w="1431" w:type="dxa"/>
            <w:vAlign w:val="center"/>
          </w:tcPr>
          <w:p w14:paraId="6D46136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5≤X＜20</w:t>
            </w:r>
          </w:p>
        </w:tc>
        <w:tc>
          <w:tcPr>
            <w:tcW w:w="995" w:type="dxa"/>
            <w:vAlign w:val="center"/>
          </w:tcPr>
          <w:p w14:paraId="4262243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X＜5</w:t>
            </w:r>
          </w:p>
        </w:tc>
      </w:tr>
      <w:tr w14:paraId="2253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20" w:type="dxa"/>
            <w:vMerge w:val="continue"/>
            <w:vAlign w:val="center"/>
          </w:tcPr>
          <w:p w14:paraId="0A16B337">
            <w:pPr>
              <w:widowControl/>
              <w:jc w:val="left"/>
              <w:rPr>
                <w:rFonts w:ascii="宋体" w:hAnsi="宋体"/>
                <w:color w:val="auto"/>
                <w:kern w:val="0"/>
                <w:szCs w:val="21"/>
              </w:rPr>
            </w:pPr>
          </w:p>
        </w:tc>
        <w:tc>
          <w:tcPr>
            <w:tcW w:w="1373" w:type="dxa"/>
            <w:vAlign w:val="center"/>
          </w:tcPr>
          <w:p w14:paraId="6E4351E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6EBC690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0EEBC1A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Y≥40000</w:t>
            </w:r>
          </w:p>
        </w:tc>
        <w:tc>
          <w:tcPr>
            <w:tcW w:w="1706" w:type="dxa"/>
            <w:vAlign w:val="center"/>
          </w:tcPr>
          <w:p w14:paraId="27AA2E9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5000≤Y＜40000</w:t>
            </w:r>
          </w:p>
        </w:tc>
        <w:tc>
          <w:tcPr>
            <w:tcW w:w="1431" w:type="dxa"/>
            <w:vAlign w:val="center"/>
          </w:tcPr>
          <w:p w14:paraId="0467D450">
            <w:pPr>
              <w:widowControl/>
              <w:spacing w:line="360" w:lineRule="auto"/>
              <w:ind w:left="-1" w:leftChars="-1" w:hanging="1"/>
              <w:contextualSpacing/>
              <w:jc w:val="center"/>
              <w:rPr>
                <w:rFonts w:ascii="宋体" w:hAnsi="宋体"/>
                <w:color w:val="auto"/>
                <w:kern w:val="0"/>
                <w:szCs w:val="21"/>
              </w:rPr>
            </w:pPr>
            <w:r>
              <w:rPr>
                <w:rFonts w:hint="eastAsia" w:ascii="宋体" w:hAnsi="宋体"/>
                <w:color w:val="auto"/>
                <w:kern w:val="0"/>
                <w:szCs w:val="21"/>
              </w:rPr>
              <w:t>1000≤Y＜5000</w:t>
            </w:r>
          </w:p>
        </w:tc>
        <w:tc>
          <w:tcPr>
            <w:tcW w:w="995" w:type="dxa"/>
            <w:vAlign w:val="center"/>
          </w:tcPr>
          <w:p w14:paraId="6ECD90E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Y＜1000</w:t>
            </w:r>
          </w:p>
        </w:tc>
      </w:tr>
      <w:tr w14:paraId="5DCC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18BE1E29">
            <w:pPr>
              <w:widowControl/>
              <w:spacing w:line="360" w:lineRule="auto"/>
              <w:contextualSpacing/>
              <w:jc w:val="left"/>
              <w:rPr>
                <w:rFonts w:ascii="宋体" w:hAnsi="宋体"/>
                <w:color w:val="auto"/>
                <w:kern w:val="0"/>
                <w:szCs w:val="21"/>
              </w:rPr>
            </w:pPr>
            <w:r>
              <w:rPr>
                <w:rFonts w:hint="eastAsia" w:ascii="宋体" w:hAnsi="宋体"/>
                <w:color w:val="auto"/>
                <w:kern w:val="0"/>
                <w:szCs w:val="21"/>
              </w:rPr>
              <w:t>零售业</w:t>
            </w:r>
          </w:p>
        </w:tc>
        <w:tc>
          <w:tcPr>
            <w:tcW w:w="1373" w:type="dxa"/>
            <w:vAlign w:val="center"/>
          </w:tcPr>
          <w:p w14:paraId="13DF041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223BBBA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31BB1F8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X≥300</w:t>
            </w:r>
          </w:p>
        </w:tc>
        <w:tc>
          <w:tcPr>
            <w:tcW w:w="1706" w:type="dxa"/>
            <w:vAlign w:val="center"/>
          </w:tcPr>
          <w:p w14:paraId="63465F5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50≤X＜300</w:t>
            </w:r>
          </w:p>
        </w:tc>
        <w:tc>
          <w:tcPr>
            <w:tcW w:w="1431" w:type="dxa"/>
            <w:vAlign w:val="center"/>
          </w:tcPr>
          <w:p w14:paraId="157A01F9">
            <w:pPr>
              <w:widowControl/>
              <w:spacing w:line="360" w:lineRule="auto"/>
              <w:ind w:left="-1" w:leftChars="-1" w:hanging="1"/>
              <w:contextualSpacing/>
              <w:jc w:val="center"/>
              <w:rPr>
                <w:rFonts w:ascii="宋体" w:hAnsi="宋体"/>
                <w:color w:val="auto"/>
                <w:kern w:val="0"/>
                <w:szCs w:val="21"/>
              </w:rPr>
            </w:pPr>
            <w:r>
              <w:rPr>
                <w:rFonts w:hint="eastAsia" w:ascii="宋体" w:hAnsi="宋体"/>
                <w:color w:val="auto"/>
                <w:kern w:val="0"/>
                <w:szCs w:val="21"/>
              </w:rPr>
              <w:t>10≤X＜50</w:t>
            </w:r>
          </w:p>
        </w:tc>
        <w:tc>
          <w:tcPr>
            <w:tcW w:w="995" w:type="dxa"/>
            <w:vAlign w:val="center"/>
          </w:tcPr>
          <w:p w14:paraId="2C47700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w:t>
            </w:r>
          </w:p>
        </w:tc>
      </w:tr>
      <w:tr w14:paraId="7EFB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continue"/>
            <w:vAlign w:val="center"/>
          </w:tcPr>
          <w:p w14:paraId="4BC4853D">
            <w:pPr>
              <w:widowControl/>
              <w:jc w:val="left"/>
              <w:rPr>
                <w:rFonts w:ascii="宋体" w:hAnsi="宋体"/>
                <w:color w:val="auto"/>
                <w:kern w:val="0"/>
                <w:szCs w:val="21"/>
              </w:rPr>
            </w:pPr>
          </w:p>
        </w:tc>
        <w:tc>
          <w:tcPr>
            <w:tcW w:w="1373" w:type="dxa"/>
            <w:vAlign w:val="center"/>
          </w:tcPr>
          <w:p w14:paraId="336FDF50">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7100A51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2FA562CE">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Y≥20000</w:t>
            </w:r>
          </w:p>
        </w:tc>
        <w:tc>
          <w:tcPr>
            <w:tcW w:w="1706" w:type="dxa"/>
            <w:vAlign w:val="center"/>
          </w:tcPr>
          <w:p w14:paraId="2B8CB7D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500≤Y＜20000</w:t>
            </w:r>
          </w:p>
        </w:tc>
        <w:tc>
          <w:tcPr>
            <w:tcW w:w="1431" w:type="dxa"/>
            <w:vAlign w:val="center"/>
          </w:tcPr>
          <w:p w14:paraId="39363E64">
            <w:pPr>
              <w:widowControl/>
              <w:spacing w:line="360" w:lineRule="auto"/>
              <w:ind w:left="-1" w:leftChars="-1" w:hanging="1"/>
              <w:contextualSpacing/>
              <w:jc w:val="center"/>
              <w:rPr>
                <w:rFonts w:ascii="宋体" w:hAnsi="宋体"/>
                <w:color w:val="auto"/>
                <w:kern w:val="0"/>
                <w:szCs w:val="21"/>
              </w:rPr>
            </w:pPr>
            <w:r>
              <w:rPr>
                <w:rFonts w:hint="eastAsia" w:ascii="宋体" w:hAnsi="宋体"/>
                <w:color w:val="auto"/>
                <w:kern w:val="0"/>
                <w:szCs w:val="21"/>
              </w:rPr>
              <w:t>100≤Y＜500</w:t>
            </w:r>
          </w:p>
        </w:tc>
        <w:tc>
          <w:tcPr>
            <w:tcW w:w="995" w:type="dxa"/>
            <w:vAlign w:val="center"/>
          </w:tcPr>
          <w:p w14:paraId="2AEFD86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w:t>
            </w:r>
          </w:p>
        </w:tc>
      </w:tr>
      <w:tr w14:paraId="6C64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002BD024">
            <w:pPr>
              <w:widowControl/>
              <w:spacing w:line="360" w:lineRule="auto"/>
              <w:contextualSpacing/>
              <w:jc w:val="left"/>
              <w:rPr>
                <w:rFonts w:ascii="宋体" w:hAnsi="宋体"/>
                <w:color w:val="auto"/>
                <w:kern w:val="0"/>
                <w:szCs w:val="21"/>
              </w:rPr>
            </w:pPr>
            <w:r>
              <w:rPr>
                <w:rFonts w:hint="eastAsia" w:ascii="宋体" w:hAnsi="宋体"/>
                <w:color w:val="auto"/>
                <w:kern w:val="0"/>
                <w:szCs w:val="21"/>
              </w:rPr>
              <w:t>交通运输业*</w:t>
            </w:r>
          </w:p>
        </w:tc>
        <w:tc>
          <w:tcPr>
            <w:tcW w:w="1373" w:type="dxa"/>
            <w:vAlign w:val="center"/>
          </w:tcPr>
          <w:p w14:paraId="5B5A41A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24BDE82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0E14C9D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X≥1000</w:t>
            </w:r>
          </w:p>
        </w:tc>
        <w:tc>
          <w:tcPr>
            <w:tcW w:w="1706" w:type="dxa"/>
            <w:vAlign w:val="center"/>
          </w:tcPr>
          <w:p w14:paraId="3E4F7A0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300≤X＜1000</w:t>
            </w:r>
          </w:p>
        </w:tc>
        <w:tc>
          <w:tcPr>
            <w:tcW w:w="1431" w:type="dxa"/>
            <w:vAlign w:val="center"/>
          </w:tcPr>
          <w:p w14:paraId="218B233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20≤X＜300</w:t>
            </w:r>
          </w:p>
        </w:tc>
        <w:tc>
          <w:tcPr>
            <w:tcW w:w="995" w:type="dxa"/>
            <w:vAlign w:val="center"/>
          </w:tcPr>
          <w:p w14:paraId="7F757F2E">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X＜20</w:t>
            </w:r>
          </w:p>
        </w:tc>
      </w:tr>
      <w:tr w14:paraId="07A7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120" w:type="dxa"/>
            <w:vMerge w:val="continue"/>
            <w:vAlign w:val="center"/>
          </w:tcPr>
          <w:p w14:paraId="2333F8C8">
            <w:pPr>
              <w:widowControl/>
              <w:jc w:val="left"/>
              <w:rPr>
                <w:rFonts w:ascii="宋体" w:hAnsi="宋体"/>
                <w:color w:val="auto"/>
                <w:kern w:val="0"/>
                <w:szCs w:val="21"/>
              </w:rPr>
            </w:pPr>
          </w:p>
        </w:tc>
        <w:tc>
          <w:tcPr>
            <w:tcW w:w="1373" w:type="dxa"/>
            <w:vAlign w:val="center"/>
          </w:tcPr>
          <w:p w14:paraId="55A5E45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6F90085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6C6470C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Y≥30000</w:t>
            </w:r>
          </w:p>
        </w:tc>
        <w:tc>
          <w:tcPr>
            <w:tcW w:w="1706" w:type="dxa"/>
            <w:vAlign w:val="center"/>
          </w:tcPr>
          <w:p w14:paraId="18457C2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3000≤Y＜30000</w:t>
            </w:r>
          </w:p>
        </w:tc>
        <w:tc>
          <w:tcPr>
            <w:tcW w:w="1431" w:type="dxa"/>
            <w:vAlign w:val="center"/>
          </w:tcPr>
          <w:p w14:paraId="512B109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200≤Y＜3000</w:t>
            </w:r>
          </w:p>
        </w:tc>
        <w:tc>
          <w:tcPr>
            <w:tcW w:w="995" w:type="dxa"/>
            <w:vAlign w:val="center"/>
          </w:tcPr>
          <w:p w14:paraId="2037CD7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Y＜200</w:t>
            </w:r>
          </w:p>
        </w:tc>
      </w:tr>
      <w:tr w14:paraId="09A6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1B27DEC2">
            <w:pPr>
              <w:widowControl/>
              <w:spacing w:line="360" w:lineRule="auto"/>
              <w:contextualSpacing/>
              <w:jc w:val="left"/>
              <w:rPr>
                <w:rFonts w:ascii="宋体" w:hAnsi="宋体"/>
                <w:color w:val="auto"/>
                <w:kern w:val="0"/>
                <w:szCs w:val="21"/>
              </w:rPr>
            </w:pPr>
            <w:r>
              <w:rPr>
                <w:rFonts w:hint="eastAsia" w:ascii="宋体" w:hAnsi="宋体"/>
                <w:color w:val="auto"/>
                <w:kern w:val="0"/>
                <w:szCs w:val="21"/>
              </w:rPr>
              <w:t>仓储业</w:t>
            </w:r>
          </w:p>
        </w:tc>
        <w:tc>
          <w:tcPr>
            <w:tcW w:w="1373" w:type="dxa"/>
            <w:vAlign w:val="center"/>
          </w:tcPr>
          <w:p w14:paraId="18054E2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39DFAFE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67204FF3">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X≥200</w:t>
            </w:r>
          </w:p>
        </w:tc>
        <w:tc>
          <w:tcPr>
            <w:tcW w:w="1706" w:type="dxa"/>
            <w:vAlign w:val="center"/>
          </w:tcPr>
          <w:p w14:paraId="2B5594D8">
            <w:pPr>
              <w:widowControl/>
              <w:spacing w:line="360" w:lineRule="auto"/>
              <w:ind w:left="19" w:leftChars="-51" w:hanging="126" w:hangingChars="60"/>
              <w:contextualSpacing/>
              <w:jc w:val="center"/>
              <w:rPr>
                <w:rFonts w:ascii="宋体" w:hAnsi="宋体"/>
                <w:color w:val="auto"/>
                <w:kern w:val="0"/>
                <w:szCs w:val="21"/>
              </w:rPr>
            </w:pPr>
            <w:r>
              <w:rPr>
                <w:rFonts w:hint="eastAsia" w:ascii="宋体" w:hAnsi="宋体"/>
                <w:color w:val="auto"/>
                <w:kern w:val="0"/>
                <w:szCs w:val="21"/>
              </w:rPr>
              <w:t>100≤X＜200</w:t>
            </w:r>
          </w:p>
        </w:tc>
        <w:tc>
          <w:tcPr>
            <w:tcW w:w="1431" w:type="dxa"/>
            <w:vAlign w:val="center"/>
          </w:tcPr>
          <w:p w14:paraId="6E852F0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20≤X＜100</w:t>
            </w:r>
          </w:p>
        </w:tc>
        <w:tc>
          <w:tcPr>
            <w:tcW w:w="995" w:type="dxa"/>
            <w:vAlign w:val="center"/>
          </w:tcPr>
          <w:p w14:paraId="51E9B95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X＜20</w:t>
            </w:r>
          </w:p>
        </w:tc>
      </w:tr>
      <w:tr w14:paraId="3A83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20" w:type="dxa"/>
            <w:vMerge w:val="continue"/>
            <w:vAlign w:val="center"/>
          </w:tcPr>
          <w:p w14:paraId="04C27A90">
            <w:pPr>
              <w:widowControl/>
              <w:jc w:val="left"/>
              <w:rPr>
                <w:rFonts w:ascii="宋体" w:hAnsi="宋体"/>
                <w:color w:val="auto"/>
                <w:kern w:val="0"/>
                <w:szCs w:val="21"/>
              </w:rPr>
            </w:pPr>
          </w:p>
        </w:tc>
        <w:tc>
          <w:tcPr>
            <w:tcW w:w="1373" w:type="dxa"/>
            <w:vAlign w:val="center"/>
          </w:tcPr>
          <w:p w14:paraId="2B8CB29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07E1FC9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2AB32A40">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Y≥30000</w:t>
            </w:r>
          </w:p>
        </w:tc>
        <w:tc>
          <w:tcPr>
            <w:tcW w:w="1706" w:type="dxa"/>
            <w:vAlign w:val="center"/>
          </w:tcPr>
          <w:p w14:paraId="2724624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1000≤Y＜30000</w:t>
            </w:r>
          </w:p>
        </w:tc>
        <w:tc>
          <w:tcPr>
            <w:tcW w:w="1431" w:type="dxa"/>
            <w:vAlign w:val="center"/>
          </w:tcPr>
          <w:p w14:paraId="04D1CDA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100≤Y＜1000</w:t>
            </w:r>
          </w:p>
        </w:tc>
        <w:tc>
          <w:tcPr>
            <w:tcW w:w="995" w:type="dxa"/>
            <w:vAlign w:val="center"/>
          </w:tcPr>
          <w:p w14:paraId="374A3C9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w:t>
            </w:r>
          </w:p>
        </w:tc>
      </w:tr>
      <w:tr w14:paraId="1297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7436FFDF">
            <w:pPr>
              <w:widowControl/>
              <w:spacing w:line="360" w:lineRule="auto"/>
              <w:contextualSpacing/>
              <w:jc w:val="left"/>
              <w:rPr>
                <w:rFonts w:ascii="宋体" w:hAnsi="宋体"/>
                <w:color w:val="auto"/>
                <w:kern w:val="0"/>
                <w:szCs w:val="21"/>
              </w:rPr>
            </w:pPr>
            <w:r>
              <w:rPr>
                <w:rFonts w:hint="eastAsia" w:ascii="宋体" w:hAnsi="宋体"/>
                <w:color w:val="auto"/>
                <w:kern w:val="0"/>
                <w:szCs w:val="21"/>
              </w:rPr>
              <w:t>邮政业</w:t>
            </w:r>
          </w:p>
        </w:tc>
        <w:tc>
          <w:tcPr>
            <w:tcW w:w="1373" w:type="dxa"/>
            <w:vAlign w:val="center"/>
          </w:tcPr>
          <w:p w14:paraId="73745A5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192F5B2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60EFEAA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X≥1000</w:t>
            </w:r>
          </w:p>
        </w:tc>
        <w:tc>
          <w:tcPr>
            <w:tcW w:w="1706" w:type="dxa"/>
            <w:vAlign w:val="center"/>
          </w:tcPr>
          <w:p w14:paraId="64AA0DA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300≤X＜1000</w:t>
            </w:r>
          </w:p>
        </w:tc>
        <w:tc>
          <w:tcPr>
            <w:tcW w:w="1431" w:type="dxa"/>
            <w:vAlign w:val="center"/>
          </w:tcPr>
          <w:p w14:paraId="36696F5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20≤X＜300</w:t>
            </w:r>
          </w:p>
        </w:tc>
        <w:tc>
          <w:tcPr>
            <w:tcW w:w="995" w:type="dxa"/>
            <w:vAlign w:val="center"/>
          </w:tcPr>
          <w:p w14:paraId="1387666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X＜20</w:t>
            </w:r>
          </w:p>
        </w:tc>
      </w:tr>
      <w:tr w14:paraId="7D42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20" w:type="dxa"/>
            <w:vMerge w:val="continue"/>
            <w:vAlign w:val="center"/>
          </w:tcPr>
          <w:p w14:paraId="641103C6">
            <w:pPr>
              <w:widowControl/>
              <w:jc w:val="left"/>
              <w:rPr>
                <w:rFonts w:ascii="宋体" w:hAnsi="宋体"/>
                <w:color w:val="auto"/>
                <w:kern w:val="0"/>
                <w:szCs w:val="21"/>
              </w:rPr>
            </w:pPr>
          </w:p>
        </w:tc>
        <w:tc>
          <w:tcPr>
            <w:tcW w:w="1373" w:type="dxa"/>
            <w:vAlign w:val="center"/>
          </w:tcPr>
          <w:p w14:paraId="51AED52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5D6C720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3B4C336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Y≥30000</w:t>
            </w:r>
          </w:p>
        </w:tc>
        <w:tc>
          <w:tcPr>
            <w:tcW w:w="1706" w:type="dxa"/>
            <w:vAlign w:val="center"/>
          </w:tcPr>
          <w:p w14:paraId="503786E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2000≤Y＜30000</w:t>
            </w:r>
          </w:p>
        </w:tc>
        <w:tc>
          <w:tcPr>
            <w:tcW w:w="1431" w:type="dxa"/>
            <w:vAlign w:val="center"/>
          </w:tcPr>
          <w:p w14:paraId="060A32E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100≤Y＜2000</w:t>
            </w:r>
          </w:p>
        </w:tc>
        <w:tc>
          <w:tcPr>
            <w:tcW w:w="995" w:type="dxa"/>
            <w:vAlign w:val="center"/>
          </w:tcPr>
          <w:p w14:paraId="32B3A7C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w:t>
            </w:r>
          </w:p>
        </w:tc>
      </w:tr>
      <w:tr w14:paraId="56E3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0F04DCC1">
            <w:pPr>
              <w:widowControl/>
              <w:spacing w:line="360" w:lineRule="auto"/>
              <w:contextualSpacing/>
              <w:jc w:val="left"/>
              <w:rPr>
                <w:rFonts w:ascii="宋体" w:hAnsi="宋体"/>
                <w:color w:val="auto"/>
                <w:kern w:val="0"/>
                <w:szCs w:val="21"/>
              </w:rPr>
            </w:pPr>
            <w:r>
              <w:rPr>
                <w:rFonts w:hint="eastAsia" w:ascii="宋体" w:hAnsi="宋体"/>
                <w:color w:val="auto"/>
                <w:kern w:val="0"/>
                <w:szCs w:val="21"/>
              </w:rPr>
              <w:t>住宿业</w:t>
            </w:r>
          </w:p>
        </w:tc>
        <w:tc>
          <w:tcPr>
            <w:tcW w:w="1373" w:type="dxa"/>
            <w:vAlign w:val="center"/>
          </w:tcPr>
          <w:p w14:paraId="1A1415E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5983B32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7E5FDF2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X≥300</w:t>
            </w:r>
          </w:p>
        </w:tc>
        <w:tc>
          <w:tcPr>
            <w:tcW w:w="1706" w:type="dxa"/>
            <w:vAlign w:val="center"/>
          </w:tcPr>
          <w:p w14:paraId="22BC3E92">
            <w:pPr>
              <w:widowControl/>
              <w:spacing w:line="360" w:lineRule="auto"/>
              <w:ind w:left="19" w:leftChars="-51" w:hanging="126" w:hangingChars="60"/>
              <w:contextualSpacing/>
              <w:jc w:val="center"/>
              <w:rPr>
                <w:rFonts w:ascii="宋体" w:hAnsi="宋体"/>
                <w:color w:val="auto"/>
                <w:kern w:val="0"/>
                <w:szCs w:val="21"/>
              </w:rPr>
            </w:pPr>
            <w:r>
              <w:rPr>
                <w:rFonts w:hint="eastAsia" w:ascii="宋体" w:hAnsi="宋体"/>
                <w:color w:val="auto"/>
                <w:kern w:val="0"/>
                <w:szCs w:val="21"/>
              </w:rPr>
              <w:t>100≤X＜300</w:t>
            </w:r>
          </w:p>
        </w:tc>
        <w:tc>
          <w:tcPr>
            <w:tcW w:w="1431" w:type="dxa"/>
            <w:vAlign w:val="center"/>
          </w:tcPr>
          <w:p w14:paraId="23B5A363">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10≤X＜100</w:t>
            </w:r>
          </w:p>
        </w:tc>
        <w:tc>
          <w:tcPr>
            <w:tcW w:w="995" w:type="dxa"/>
            <w:vAlign w:val="center"/>
          </w:tcPr>
          <w:p w14:paraId="0C586D6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w:t>
            </w:r>
          </w:p>
        </w:tc>
      </w:tr>
      <w:tr w14:paraId="7D57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20" w:type="dxa"/>
            <w:vMerge w:val="continue"/>
            <w:vAlign w:val="center"/>
          </w:tcPr>
          <w:p w14:paraId="7874210A">
            <w:pPr>
              <w:widowControl/>
              <w:jc w:val="left"/>
              <w:rPr>
                <w:rFonts w:ascii="宋体" w:hAnsi="宋体"/>
                <w:color w:val="auto"/>
                <w:kern w:val="0"/>
                <w:szCs w:val="21"/>
              </w:rPr>
            </w:pPr>
          </w:p>
        </w:tc>
        <w:tc>
          <w:tcPr>
            <w:tcW w:w="1373" w:type="dxa"/>
            <w:vAlign w:val="center"/>
          </w:tcPr>
          <w:p w14:paraId="1CC25E5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10ABBFE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76D4003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Y≥10000</w:t>
            </w:r>
          </w:p>
        </w:tc>
        <w:tc>
          <w:tcPr>
            <w:tcW w:w="1706" w:type="dxa"/>
            <w:vAlign w:val="center"/>
          </w:tcPr>
          <w:p w14:paraId="303E7D7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2000≤Y＜10000</w:t>
            </w:r>
          </w:p>
        </w:tc>
        <w:tc>
          <w:tcPr>
            <w:tcW w:w="1431" w:type="dxa"/>
            <w:vAlign w:val="center"/>
          </w:tcPr>
          <w:p w14:paraId="5A01E01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100≤Y＜2000</w:t>
            </w:r>
          </w:p>
        </w:tc>
        <w:tc>
          <w:tcPr>
            <w:tcW w:w="995" w:type="dxa"/>
            <w:vAlign w:val="center"/>
          </w:tcPr>
          <w:p w14:paraId="2D5C8FA0">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w:t>
            </w:r>
          </w:p>
        </w:tc>
      </w:tr>
      <w:tr w14:paraId="5382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782BF786">
            <w:pPr>
              <w:widowControl/>
              <w:spacing w:line="360" w:lineRule="auto"/>
              <w:contextualSpacing/>
              <w:jc w:val="left"/>
              <w:rPr>
                <w:rFonts w:ascii="宋体" w:hAnsi="宋体"/>
                <w:color w:val="auto"/>
                <w:kern w:val="0"/>
                <w:szCs w:val="21"/>
              </w:rPr>
            </w:pPr>
            <w:r>
              <w:rPr>
                <w:rFonts w:hint="eastAsia" w:ascii="宋体" w:hAnsi="宋体"/>
                <w:color w:val="auto"/>
                <w:kern w:val="0"/>
                <w:szCs w:val="21"/>
              </w:rPr>
              <w:t>餐饮业</w:t>
            </w:r>
          </w:p>
        </w:tc>
        <w:tc>
          <w:tcPr>
            <w:tcW w:w="1373" w:type="dxa"/>
            <w:vAlign w:val="center"/>
          </w:tcPr>
          <w:p w14:paraId="408507F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6EB4FEC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55EF9C1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X≥300</w:t>
            </w:r>
          </w:p>
        </w:tc>
        <w:tc>
          <w:tcPr>
            <w:tcW w:w="1706" w:type="dxa"/>
            <w:vAlign w:val="center"/>
          </w:tcPr>
          <w:p w14:paraId="5AF9E76C">
            <w:pPr>
              <w:widowControl/>
              <w:spacing w:line="360" w:lineRule="auto"/>
              <w:ind w:left="19" w:leftChars="-51" w:hanging="126" w:hangingChars="60"/>
              <w:contextualSpacing/>
              <w:jc w:val="center"/>
              <w:rPr>
                <w:rFonts w:ascii="宋体" w:hAnsi="宋体"/>
                <w:color w:val="auto"/>
                <w:kern w:val="0"/>
                <w:szCs w:val="21"/>
              </w:rPr>
            </w:pPr>
            <w:r>
              <w:rPr>
                <w:rFonts w:hint="eastAsia" w:ascii="宋体" w:hAnsi="宋体"/>
                <w:color w:val="auto"/>
                <w:kern w:val="0"/>
                <w:szCs w:val="21"/>
              </w:rPr>
              <w:t>100≤X＜300</w:t>
            </w:r>
          </w:p>
        </w:tc>
        <w:tc>
          <w:tcPr>
            <w:tcW w:w="1431" w:type="dxa"/>
            <w:vAlign w:val="center"/>
          </w:tcPr>
          <w:p w14:paraId="03461FA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10≤X＜100</w:t>
            </w:r>
          </w:p>
        </w:tc>
        <w:tc>
          <w:tcPr>
            <w:tcW w:w="995" w:type="dxa"/>
            <w:vAlign w:val="center"/>
          </w:tcPr>
          <w:p w14:paraId="1FDB705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w:t>
            </w:r>
          </w:p>
        </w:tc>
      </w:tr>
      <w:tr w14:paraId="68E8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20" w:type="dxa"/>
            <w:vMerge w:val="continue"/>
            <w:vAlign w:val="center"/>
          </w:tcPr>
          <w:p w14:paraId="569FC085">
            <w:pPr>
              <w:widowControl/>
              <w:jc w:val="left"/>
              <w:rPr>
                <w:rFonts w:ascii="宋体" w:hAnsi="宋体"/>
                <w:color w:val="auto"/>
                <w:kern w:val="0"/>
                <w:szCs w:val="21"/>
              </w:rPr>
            </w:pPr>
          </w:p>
        </w:tc>
        <w:tc>
          <w:tcPr>
            <w:tcW w:w="1373" w:type="dxa"/>
            <w:vAlign w:val="center"/>
          </w:tcPr>
          <w:p w14:paraId="1B13F6A3">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0085207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606C9F3E">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Y≥10000</w:t>
            </w:r>
          </w:p>
        </w:tc>
        <w:tc>
          <w:tcPr>
            <w:tcW w:w="1706" w:type="dxa"/>
            <w:vAlign w:val="center"/>
          </w:tcPr>
          <w:p w14:paraId="2D53342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2000≤Y＜10000</w:t>
            </w:r>
          </w:p>
        </w:tc>
        <w:tc>
          <w:tcPr>
            <w:tcW w:w="1431" w:type="dxa"/>
            <w:vAlign w:val="center"/>
          </w:tcPr>
          <w:p w14:paraId="3E84CE0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100≤Y＜2000</w:t>
            </w:r>
          </w:p>
        </w:tc>
        <w:tc>
          <w:tcPr>
            <w:tcW w:w="995" w:type="dxa"/>
            <w:vAlign w:val="center"/>
          </w:tcPr>
          <w:p w14:paraId="1BDFAE3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w:t>
            </w:r>
          </w:p>
        </w:tc>
      </w:tr>
      <w:tr w14:paraId="2AA7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34C4781D">
            <w:pPr>
              <w:widowControl/>
              <w:spacing w:line="360" w:lineRule="auto"/>
              <w:contextualSpacing/>
              <w:jc w:val="left"/>
              <w:rPr>
                <w:rFonts w:ascii="宋体" w:hAnsi="宋体"/>
                <w:color w:val="auto"/>
                <w:kern w:val="0"/>
                <w:szCs w:val="21"/>
              </w:rPr>
            </w:pPr>
            <w:r>
              <w:rPr>
                <w:rFonts w:hint="eastAsia" w:ascii="宋体" w:hAnsi="宋体"/>
                <w:color w:val="auto"/>
                <w:kern w:val="0"/>
                <w:szCs w:val="21"/>
              </w:rPr>
              <w:t>信息传输业*</w:t>
            </w:r>
          </w:p>
        </w:tc>
        <w:tc>
          <w:tcPr>
            <w:tcW w:w="1373" w:type="dxa"/>
            <w:vAlign w:val="center"/>
          </w:tcPr>
          <w:p w14:paraId="741D9C2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28327D5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6A4A34A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X≥2000</w:t>
            </w:r>
          </w:p>
        </w:tc>
        <w:tc>
          <w:tcPr>
            <w:tcW w:w="1706" w:type="dxa"/>
            <w:vAlign w:val="center"/>
          </w:tcPr>
          <w:p w14:paraId="322FA2D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100≤X＜2000</w:t>
            </w:r>
          </w:p>
        </w:tc>
        <w:tc>
          <w:tcPr>
            <w:tcW w:w="1431" w:type="dxa"/>
            <w:vAlign w:val="center"/>
          </w:tcPr>
          <w:p w14:paraId="251BB00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10≤X＜100</w:t>
            </w:r>
          </w:p>
        </w:tc>
        <w:tc>
          <w:tcPr>
            <w:tcW w:w="995" w:type="dxa"/>
            <w:vAlign w:val="center"/>
          </w:tcPr>
          <w:p w14:paraId="17D8880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w:t>
            </w:r>
          </w:p>
        </w:tc>
      </w:tr>
      <w:tr w14:paraId="15C4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20" w:type="dxa"/>
            <w:vMerge w:val="continue"/>
            <w:vAlign w:val="center"/>
          </w:tcPr>
          <w:p w14:paraId="2B9AB816">
            <w:pPr>
              <w:widowControl/>
              <w:jc w:val="left"/>
              <w:rPr>
                <w:rFonts w:ascii="宋体" w:hAnsi="宋体"/>
                <w:color w:val="auto"/>
                <w:kern w:val="0"/>
                <w:szCs w:val="21"/>
              </w:rPr>
            </w:pPr>
          </w:p>
        </w:tc>
        <w:tc>
          <w:tcPr>
            <w:tcW w:w="1373" w:type="dxa"/>
            <w:vAlign w:val="center"/>
          </w:tcPr>
          <w:p w14:paraId="35FC1D3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555437D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6977208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Y≥1研和【2021】第90号</w:t>
            </w:r>
          </w:p>
        </w:tc>
        <w:tc>
          <w:tcPr>
            <w:tcW w:w="1706" w:type="dxa"/>
            <w:vAlign w:val="center"/>
          </w:tcPr>
          <w:p w14:paraId="57D60D1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1000≤Y＜1研和【2021】第90号</w:t>
            </w:r>
          </w:p>
        </w:tc>
        <w:tc>
          <w:tcPr>
            <w:tcW w:w="1431" w:type="dxa"/>
            <w:vAlign w:val="center"/>
          </w:tcPr>
          <w:p w14:paraId="7286B780">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100≤Y＜1000</w:t>
            </w:r>
          </w:p>
        </w:tc>
        <w:tc>
          <w:tcPr>
            <w:tcW w:w="995" w:type="dxa"/>
            <w:vAlign w:val="center"/>
          </w:tcPr>
          <w:p w14:paraId="16B70AE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w:t>
            </w:r>
          </w:p>
        </w:tc>
      </w:tr>
      <w:tr w14:paraId="2375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56E0174E">
            <w:pPr>
              <w:widowControl/>
              <w:spacing w:line="360" w:lineRule="auto"/>
              <w:contextualSpacing/>
              <w:jc w:val="left"/>
              <w:rPr>
                <w:rFonts w:ascii="宋体" w:hAnsi="宋体"/>
                <w:color w:val="auto"/>
                <w:spacing w:val="-12"/>
                <w:kern w:val="0"/>
                <w:szCs w:val="21"/>
              </w:rPr>
            </w:pPr>
            <w:r>
              <w:rPr>
                <w:rFonts w:hint="eastAsia" w:ascii="宋体" w:hAnsi="宋体"/>
                <w:color w:val="auto"/>
                <w:spacing w:val="-12"/>
                <w:kern w:val="0"/>
                <w:szCs w:val="21"/>
              </w:rPr>
              <w:t>软件和信息技术服</w:t>
            </w:r>
            <w:r>
              <w:rPr>
                <w:rFonts w:hint="eastAsia" w:ascii="宋体" w:hAnsi="宋体"/>
                <w:color w:val="auto"/>
                <w:kern w:val="0"/>
                <w:szCs w:val="21"/>
              </w:rPr>
              <w:t>务业</w:t>
            </w:r>
          </w:p>
        </w:tc>
        <w:tc>
          <w:tcPr>
            <w:tcW w:w="1373" w:type="dxa"/>
            <w:vAlign w:val="center"/>
          </w:tcPr>
          <w:p w14:paraId="72680AA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5F7C282B">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5C12027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X≥300</w:t>
            </w:r>
          </w:p>
        </w:tc>
        <w:tc>
          <w:tcPr>
            <w:tcW w:w="1706" w:type="dxa"/>
            <w:vAlign w:val="center"/>
          </w:tcPr>
          <w:p w14:paraId="3591CF56">
            <w:pPr>
              <w:widowControl/>
              <w:spacing w:line="360" w:lineRule="auto"/>
              <w:ind w:left="19" w:leftChars="-51" w:hanging="126" w:hangingChars="60"/>
              <w:contextualSpacing/>
              <w:jc w:val="center"/>
              <w:rPr>
                <w:rFonts w:ascii="宋体" w:hAnsi="宋体"/>
                <w:color w:val="auto"/>
                <w:kern w:val="0"/>
                <w:szCs w:val="21"/>
              </w:rPr>
            </w:pPr>
            <w:r>
              <w:rPr>
                <w:rFonts w:hint="eastAsia" w:ascii="宋体" w:hAnsi="宋体"/>
                <w:color w:val="auto"/>
                <w:kern w:val="0"/>
                <w:szCs w:val="21"/>
              </w:rPr>
              <w:t>100≤X＜300</w:t>
            </w:r>
          </w:p>
        </w:tc>
        <w:tc>
          <w:tcPr>
            <w:tcW w:w="1431" w:type="dxa"/>
            <w:vAlign w:val="center"/>
          </w:tcPr>
          <w:p w14:paraId="2CE7DC3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10≤X＜100</w:t>
            </w:r>
          </w:p>
        </w:tc>
        <w:tc>
          <w:tcPr>
            <w:tcW w:w="995" w:type="dxa"/>
            <w:vAlign w:val="center"/>
          </w:tcPr>
          <w:p w14:paraId="5F017D5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w:t>
            </w:r>
          </w:p>
        </w:tc>
      </w:tr>
      <w:tr w14:paraId="5C6C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20" w:type="dxa"/>
            <w:vMerge w:val="continue"/>
            <w:vAlign w:val="center"/>
          </w:tcPr>
          <w:p w14:paraId="0AEA9371">
            <w:pPr>
              <w:widowControl/>
              <w:jc w:val="left"/>
              <w:rPr>
                <w:rFonts w:ascii="宋体" w:hAnsi="宋体"/>
                <w:color w:val="auto"/>
                <w:spacing w:val="-12"/>
                <w:kern w:val="0"/>
                <w:szCs w:val="21"/>
              </w:rPr>
            </w:pPr>
          </w:p>
        </w:tc>
        <w:tc>
          <w:tcPr>
            <w:tcW w:w="1373" w:type="dxa"/>
            <w:vAlign w:val="center"/>
          </w:tcPr>
          <w:p w14:paraId="5D54CAEE">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6862FF5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1134B4E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Y≥10000</w:t>
            </w:r>
          </w:p>
        </w:tc>
        <w:tc>
          <w:tcPr>
            <w:tcW w:w="1706" w:type="dxa"/>
            <w:vAlign w:val="center"/>
          </w:tcPr>
          <w:p w14:paraId="025F356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1000≤Y＜10000</w:t>
            </w:r>
          </w:p>
        </w:tc>
        <w:tc>
          <w:tcPr>
            <w:tcW w:w="1431" w:type="dxa"/>
            <w:vAlign w:val="center"/>
          </w:tcPr>
          <w:p w14:paraId="6360B3E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50≤Y＜1000</w:t>
            </w:r>
          </w:p>
        </w:tc>
        <w:tc>
          <w:tcPr>
            <w:tcW w:w="995" w:type="dxa"/>
            <w:vAlign w:val="center"/>
          </w:tcPr>
          <w:p w14:paraId="17EEDF6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Y＜50</w:t>
            </w:r>
          </w:p>
        </w:tc>
      </w:tr>
      <w:tr w14:paraId="2DDC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232BB4C0">
            <w:pPr>
              <w:widowControl/>
              <w:spacing w:line="360" w:lineRule="auto"/>
              <w:contextualSpacing/>
              <w:jc w:val="left"/>
              <w:rPr>
                <w:rFonts w:ascii="宋体" w:hAnsi="宋体"/>
                <w:color w:val="auto"/>
                <w:kern w:val="0"/>
                <w:szCs w:val="21"/>
              </w:rPr>
            </w:pPr>
            <w:r>
              <w:rPr>
                <w:rFonts w:hint="eastAsia" w:ascii="宋体" w:hAnsi="宋体"/>
                <w:color w:val="auto"/>
                <w:kern w:val="0"/>
                <w:szCs w:val="21"/>
              </w:rPr>
              <w:t>房地产开发经营</w:t>
            </w:r>
          </w:p>
        </w:tc>
        <w:tc>
          <w:tcPr>
            <w:tcW w:w="1373" w:type="dxa"/>
            <w:vAlign w:val="center"/>
          </w:tcPr>
          <w:p w14:paraId="07FDB94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3ACB6D7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23E255DA">
            <w:pPr>
              <w:widowControl/>
              <w:spacing w:line="360" w:lineRule="auto"/>
              <w:contextualSpacing/>
              <w:jc w:val="left"/>
              <w:rPr>
                <w:rFonts w:ascii="宋体" w:hAnsi="宋体"/>
                <w:color w:val="auto"/>
                <w:kern w:val="0"/>
                <w:szCs w:val="21"/>
              </w:rPr>
            </w:pPr>
            <w:r>
              <w:rPr>
                <w:rFonts w:hint="eastAsia" w:ascii="宋体" w:hAnsi="宋体"/>
                <w:color w:val="auto"/>
                <w:kern w:val="0"/>
                <w:szCs w:val="21"/>
              </w:rPr>
              <w:t>Y≥2研和【2021】第90号</w:t>
            </w:r>
          </w:p>
        </w:tc>
        <w:tc>
          <w:tcPr>
            <w:tcW w:w="1706" w:type="dxa"/>
            <w:vAlign w:val="center"/>
          </w:tcPr>
          <w:p w14:paraId="38A7E37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1000≤Y＜2研和【2021】第90号</w:t>
            </w:r>
          </w:p>
        </w:tc>
        <w:tc>
          <w:tcPr>
            <w:tcW w:w="1431" w:type="dxa"/>
            <w:vAlign w:val="center"/>
          </w:tcPr>
          <w:p w14:paraId="56E8C75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100≤Y＜1000</w:t>
            </w:r>
          </w:p>
        </w:tc>
        <w:tc>
          <w:tcPr>
            <w:tcW w:w="995" w:type="dxa"/>
            <w:vAlign w:val="center"/>
          </w:tcPr>
          <w:p w14:paraId="1C2E8F4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Y＜100</w:t>
            </w:r>
          </w:p>
        </w:tc>
      </w:tr>
      <w:tr w14:paraId="4E34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20" w:type="dxa"/>
            <w:vMerge w:val="continue"/>
            <w:vAlign w:val="center"/>
          </w:tcPr>
          <w:p w14:paraId="36207980">
            <w:pPr>
              <w:widowControl/>
              <w:jc w:val="left"/>
              <w:rPr>
                <w:rFonts w:ascii="宋体" w:hAnsi="宋体"/>
                <w:color w:val="auto"/>
                <w:kern w:val="0"/>
                <w:szCs w:val="21"/>
              </w:rPr>
            </w:pPr>
          </w:p>
        </w:tc>
        <w:tc>
          <w:tcPr>
            <w:tcW w:w="1373" w:type="dxa"/>
            <w:vAlign w:val="center"/>
          </w:tcPr>
          <w:p w14:paraId="226F18C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资产总额(Z)</w:t>
            </w:r>
          </w:p>
        </w:tc>
        <w:tc>
          <w:tcPr>
            <w:tcW w:w="711" w:type="dxa"/>
            <w:vAlign w:val="center"/>
          </w:tcPr>
          <w:p w14:paraId="655EA05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16CA29ED">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Z≥10000</w:t>
            </w:r>
          </w:p>
        </w:tc>
        <w:tc>
          <w:tcPr>
            <w:tcW w:w="1706" w:type="dxa"/>
            <w:vAlign w:val="center"/>
          </w:tcPr>
          <w:p w14:paraId="7EC5CF3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5000≤Z＜10000</w:t>
            </w:r>
          </w:p>
        </w:tc>
        <w:tc>
          <w:tcPr>
            <w:tcW w:w="1431" w:type="dxa"/>
            <w:vAlign w:val="center"/>
          </w:tcPr>
          <w:p w14:paraId="0D132D5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2000≤Z＜5000</w:t>
            </w:r>
          </w:p>
        </w:tc>
        <w:tc>
          <w:tcPr>
            <w:tcW w:w="995" w:type="dxa"/>
            <w:vAlign w:val="center"/>
          </w:tcPr>
          <w:p w14:paraId="1E2B685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Z＜2000</w:t>
            </w:r>
          </w:p>
        </w:tc>
      </w:tr>
      <w:tr w14:paraId="61A4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10C22311">
            <w:pPr>
              <w:widowControl/>
              <w:spacing w:line="360" w:lineRule="auto"/>
              <w:contextualSpacing/>
              <w:jc w:val="left"/>
              <w:rPr>
                <w:rFonts w:ascii="宋体" w:hAnsi="宋体"/>
                <w:color w:val="auto"/>
                <w:kern w:val="0"/>
                <w:szCs w:val="21"/>
              </w:rPr>
            </w:pPr>
            <w:r>
              <w:rPr>
                <w:rFonts w:hint="eastAsia" w:ascii="宋体" w:hAnsi="宋体"/>
                <w:color w:val="auto"/>
                <w:kern w:val="0"/>
                <w:szCs w:val="21"/>
              </w:rPr>
              <w:t>物业管理</w:t>
            </w:r>
          </w:p>
        </w:tc>
        <w:tc>
          <w:tcPr>
            <w:tcW w:w="1373" w:type="dxa"/>
            <w:vAlign w:val="center"/>
          </w:tcPr>
          <w:p w14:paraId="12F9CA1F">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2310C5AC">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2C437C4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X≥1000</w:t>
            </w:r>
          </w:p>
        </w:tc>
        <w:tc>
          <w:tcPr>
            <w:tcW w:w="1706" w:type="dxa"/>
            <w:vAlign w:val="center"/>
          </w:tcPr>
          <w:p w14:paraId="27D5C12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300≤X＜1000</w:t>
            </w:r>
          </w:p>
        </w:tc>
        <w:tc>
          <w:tcPr>
            <w:tcW w:w="1431" w:type="dxa"/>
            <w:vAlign w:val="center"/>
          </w:tcPr>
          <w:p w14:paraId="44079D9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100≤X＜300</w:t>
            </w:r>
          </w:p>
        </w:tc>
        <w:tc>
          <w:tcPr>
            <w:tcW w:w="995" w:type="dxa"/>
            <w:vAlign w:val="center"/>
          </w:tcPr>
          <w:p w14:paraId="702C5FF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X＜100</w:t>
            </w:r>
          </w:p>
        </w:tc>
      </w:tr>
      <w:tr w14:paraId="6EEB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20" w:type="dxa"/>
            <w:vMerge w:val="continue"/>
            <w:vAlign w:val="center"/>
          </w:tcPr>
          <w:p w14:paraId="43DF33BF">
            <w:pPr>
              <w:widowControl/>
              <w:jc w:val="left"/>
              <w:rPr>
                <w:rFonts w:ascii="宋体" w:hAnsi="宋体"/>
                <w:color w:val="auto"/>
                <w:kern w:val="0"/>
                <w:szCs w:val="21"/>
              </w:rPr>
            </w:pPr>
          </w:p>
        </w:tc>
        <w:tc>
          <w:tcPr>
            <w:tcW w:w="1373" w:type="dxa"/>
            <w:vAlign w:val="center"/>
          </w:tcPr>
          <w:p w14:paraId="103C1777">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营业收入(Y)</w:t>
            </w:r>
          </w:p>
        </w:tc>
        <w:tc>
          <w:tcPr>
            <w:tcW w:w="711" w:type="dxa"/>
            <w:vAlign w:val="center"/>
          </w:tcPr>
          <w:p w14:paraId="72FD4A80">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5B9CF94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Y≥5000</w:t>
            </w:r>
          </w:p>
        </w:tc>
        <w:tc>
          <w:tcPr>
            <w:tcW w:w="1706" w:type="dxa"/>
            <w:vAlign w:val="center"/>
          </w:tcPr>
          <w:p w14:paraId="4B0BACCF">
            <w:pPr>
              <w:widowControl/>
              <w:spacing w:line="360" w:lineRule="auto"/>
              <w:ind w:left="19" w:leftChars="-51" w:hanging="126" w:hangingChars="60"/>
              <w:contextualSpacing/>
              <w:jc w:val="center"/>
              <w:rPr>
                <w:rFonts w:ascii="宋体" w:hAnsi="宋体"/>
                <w:color w:val="auto"/>
                <w:kern w:val="0"/>
                <w:szCs w:val="21"/>
              </w:rPr>
            </w:pPr>
            <w:r>
              <w:rPr>
                <w:rFonts w:hint="eastAsia" w:ascii="宋体" w:hAnsi="宋体"/>
                <w:color w:val="auto"/>
                <w:kern w:val="0"/>
                <w:szCs w:val="21"/>
              </w:rPr>
              <w:t>1000≤Y＜5000</w:t>
            </w:r>
          </w:p>
        </w:tc>
        <w:tc>
          <w:tcPr>
            <w:tcW w:w="1431" w:type="dxa"/>
            <w:vAlign w:val="center"/>
          </w:tcPr>
          <w:p w14:paraId="7EA1A37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500≤Y＜1000</w:t>
            </w:r>
          </w:p>
        </w:tc>
        <w:tc>
          <w:tcPr>
            <w:tcW w:w="995" w:type="dxa"/>
            <w:vAlign w:val="center"/>
          </w:tcPr>
          <w:p w14:paraId="7BE71A44">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Y＜500</w:t>
            </w:r>
          </w:p>
        </w:tc>
      </w:tr>
      <w:tr w14:paraId="3E7E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Merge w:val="restart"/>
            <w:vAlign w:val="center"/>
          </w:tcPr>
          <w:p w14:paraId="57B392CD">
            <w:pPr>
              <w:widowControl/>
              <w:spacing w:line="360" w:lineRule="auto"/>
              <w:contextualSpacing/>
              <w:jc w:val="left"/>
              <w:rPr>
                <w:rFonts w:ascii="宋体" w:hAnsi="宋体"/>
                <w:color w:val="auto"/>
                <w:kern w:val="0"/>
                <w:szCs w:val="21"/>
              </w:rPr>
            </w:pPr>
            <w:r>
              <w:rPr>
                <w:rFonts w:hint="eastAsia" w:ascii="宋体" w:hAnsi="宋体"/>
                <w:color w:val="auto"/>
                <w:kern w:val="0"/>
                <w:szCs w:val="21"/>
              </w:rPr>
              <w:t>租赁和商务服务业</w:t>
            </w:r>
          </w:p>
        </w:tc>
        <w:tc>
          <w:tcPr>
            <w:tcW w:w="1373" w:type="dxa"/>
            <w:vAlign w:val="center"/>
          </w:tcPr>
          <w:p w14:paraId="2AC3245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30DBC456">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7249F33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X≥300</w:t>
            </w:r>
          </w:p>
        </w:tc>
        <w:tc>
          <w:tcPr>
            <w:tcW w:w="1706" w:type="dxa"/>
            <w:vAlign w:val="center"/>
          </w:tcPr>
          <w:p w14:paraId="2D990EFC">
            <w:pPr>
              <w:widowControl/>
              <w:spacing w:line="360" w:lineRule="auto"/>
              <w:ind w:left="19" w:leftChars="-51" w:hanging="126" w:hangingChars="60"/>
              <w:contextualSpacing/>
              <w:jc w:val="center"/>
              <w:rPr>
                <w:rFonts w:ascii="宋体" w:hAnsi="宋体"/>
                <w:color w:val="auto"/>
                <w:kern w:val="0"/>
                <w:szCs w:val="21"/>
              </w:rPr>
            </w:pPr>
            <w:r>
              <w:rPr>
                <w:rFonts w:hint="eastAsia" w:ascii="宋体" w:hAnsi="宋体"/>
                <w:color w:val="auto"/>
                <w:kern w:val="0"/>
                <w:szCs w:val="21"/>
              </w:rPr>
              <w:t>100≤X＜300</w:t>
            </w:r>
          </w:p>
        </w:tc>
        <w:tc>
          <w:tcPr>
            <w:tcW w:w="1431" w:type="dxa"/>
            <w:vAlign w:val="center"/>
          </w:tcPr>
          <w:p w14:paraId="45AC245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10≤X＜100</w:t>
            </w:r>
          </w:p>
        </w:tc>
        <w:tc>
          <w:tcPr>
            <w:tcW w:w="995" w:type="dxa"/>
            <w:vAlign w:val="center"/>
          </w:tcPr>
          <w:p w14:paraId="52597775">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w:t>
            </w:r>
          </w:p>
        </w:tc>
      </w:tr>
      <w:tr w14:paraId="5A4B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120" w:type="dxa"/>
            <w:vMerge w:val="continue"/>
            <w:vAlign w:val="center"/>
          </w:tcPr>
          <w:p w14:paraId="43BC2BCC">
            <w:pPr>
              <w:widowControl/>
              <w:jc w:val="left"/>
              <w:rPr>
                <w:rFonts w:ascii="宋体" w:hAnsi="宋体"/>
                <w:color w:val="auto"/>
                <w:kern w:val="0"/>
                <w:szCs w:val="21"/>
              </w:rPr>
            </w:pPr>
          </w:p>
        </w:tc>
        <w:tc>
          <w:tcPr>
            <w:tcW w:w="1373" w:type="dxa"/>
            <w:vAlign w:val="center"/>
          </w:tcPr>
          <w:p w14:paraId="3CC07B3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资产总额(Z)</w:t>
            </w:r>
          </w:p>
        </w:tc>
        <w:tc>
          <w:tcPr>
            <w:tcW w:w="711" w:type="dxa"/>
            <w:vAlign w:val="center"/>
          </w:tcPr>
          <w:p w14:paraId="46385C4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万元</w:t>
            </w:r>
          </w:p>
        </w:tc>
        <w:tc>
          <w:tcPr>
            <w:tcW w:w="1129" w:type="dxa"/>
            <w:vAlign w:val="center"/>
          </w:tcPr>
          <w:p w14:paraId="080EF2D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Z≥120000</w:t>
            </w:r>
          </w:p>
        </w:tc>
        <w:tc>
          <w:tcPr>
            <w:tcW w:w="1706" w:type="dxa"/>
            <w:vAlign w:val="center"/>
          </w:tcPr>
          <w:p w14:paraId="7CCC6CC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8000≤Z＜120000</w:t>
            </w:r>
          </w:p>
        </w:tc>
        <w:tc>
          <w:tcPr>
            <w:tcW w:w="1431" w:type="dxa"/>
            <w:vAlign w:val="center"/>
          </w:tcPr>
          <w:p w14:paraId="6F9221D9">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100≤Z＜8000</w:t>
            </w:r>
          </w:p>
        </w:tc>
        <w:tc>
          <w:tcPr>
            <w:tcW w:w="995" w:type="dxa"/>
            <w:vAlign w:val="center"/>
          </w:tcPr>
          <w:p w14:paraId="68CF43C8">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Z＜100</w:t>
            </w:r>
          </w:p>
        </w:tc>
      </w:tr>
      <w:tr w14:paraId="3757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vAlign w:val="center"/>
          </w:tcPr>
          <w:p w14:paraId="7A1AA6B3">
            <w:pPr>
              <w:widowControl/>
              <w:spacing w:line="360" w:lineRule="auto"/>
              <w:contextualSpacing/>
              <w:jc w:val="left"/>
              <w:rPr>
                <w:rFonts w:ascii="宋体" w:hAnsi="宋体"/>
                <w:color w:val="auto"/>
                <w:kern w:val="0"/>
                <w:szCs w:val="21"/>
              </w:rPr>
            </w:pPr>
            <w:r>
              <w:rPr>
                <w:rFonts w:hint="eastAsia" w:ascii="宋体" w:hAnsi="宋体"/>
                <w:color w:val="auto"/>
                <w:kern w:val="0"/>
                <w:szCs w:val="21"/>
              </w:rPr>
              <w:t>其他未列明行业*</w:t>
            </w:r>
          </w:p>
        </w:tc>
        <w:tc>
          <w:tcPr>
            <w:tcW w:w="1373" w:type="dxa"/>
            <w:vAlign w:val="center"/>
          </w:tcPr>
          <w:p w14:paraId="4210ECC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从业人员(X)</w:t>
            </w:r>
          </w:p>
        </w:tc>
        <w:tc>
          <w:tcPr>
            <w:tcW w:w="711" w:type="dxa"/>
            <w:vAlign w:val="center"/>
          </w:tcPr>
          <w:p w14:paraId="4EF73D62">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人</w:t>
            </w:r>
          </w:p>
        </w:tc>
        <w:tc>
          <w:tcPr>
            <w:tcW w:w="1129" w:type="dxa"/>
            <w:vAlign w:val="center"/>
          </w:tcPr>
          <w:p w14:paraId="1BD9A9D3">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X≥300</w:t>
            </w:r>
          </w:p>
        </w:tc>
        <w:tc>
          <w:tcPr>
            <w:tcW w:w="1706" w:type="dxa"/>
            <w:vAlign w:val="center"/>
          </w:tcPr>
          <w:p w14:paraId="0F8CEA24">
            <w:pPr>
              <w:widowControl/>
              <w:spacing w:line="360" w:lineRule="auto"/>
              <w:ind w:left="19" w:leftChars="-51" w:hanging="126" w:hangingChars="60"/>
              <w:contextualSpacing/>
              <w:jc w:val="center"/>
              <w:rPr>
                <w:rFonts w:ascii="宋体" w:hAnsi="宋体"/>
                <w:color w:val="auto"/>
                <w:kern w:val="0"/>
                <w:szCs w:val="21"/>
              </w:rPr>
            </w:pPr>
            <w:r>
              <w:rPr>
                <w:rFonts w:hint="eastAsia" w:ascii="宋体" w:hAnsi="宋体"/>
                <w:color w:val="auto"/>
                <w:kern w:val="0"/>
                <w:szCs w:val="21"/>
              </w:rPr>
              <w:t>100≤X＜300</w:t>
            </w:r>
          </w:p>
        </w:tc>
        <w:tc>
          <w:tcPr>
            <w:tcW w:w="1431" w:type="dxa"/>
            <w:vAlign w:val="center"/>
          </w:tcPr>
          <w:p w14:paraId="17708951">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10≤X＜100</w:t>
            </w:r>
          </w:p>
        </w:tc>
        <w:tc>
          <w:tcPr>
            <w:tcW w:w="995" w:type="dxa"/>
            <w:vAlign w:val="center"/>
          </w:tcPr>
          <w:p w14:paraId="547F005A">
            <w:pPr>
              <w:widowControl/>
              <w:spacing w:line="360" w:lineRule="auto"/>
              <w:contextualSpacing/>
              <w:jc w:val="center"/>
              <w:rPr>
                <w:rFonts w:ascii="宋体" w:hAnsi="宋体"/>
                <w:color w:val="auto"/>
                <w:kern w:val="0"/>
                <w:szCs w:val="21"/>
              </w:rPr>
            </w:pPr>
            <w:r>
              <w:rPr>
                <w:rFonts w:hint="eastAsia" w:ascii="宋体" w:hAnsi="宋体"/>
                <w:color w:val="auto"/>
                <w:kern w:val="0"/>
                <w:szCs w:val="21"/>
              </w:rPr>
              <w:t>X＜10</w:t>
            </w:r>
          </w:p>
        </w:tc>
      </w:tr>
      <w:bookmarkEnd w:id="196"/>
    </w:tbl>
    <w:p w14:paraId="0DC9D6B6">
      <w:pPr>
        <w:snapToGrid w:val="0"/>
        <w:spacing w:beforeLines="50" w:line="420" w:lineRule="exact"/>
        <w:ind w:firstLine="454" w:firstLineChars="200"/>
        <w:rPr>
          <w:rFonts w:ascii="宋体" w:hAnsi="宋体"/>
          <w:color w:val="auto"/>
          <w:szCs w:val="21"/>
        </w:rPr>
      </w:pPr>
      <w:r>
        <w:rPr>
          <w:rFonts w:hint="eastAsia" w:ascii="宋体" w:hAnsi="宋体"/>
          <w:b/>
          <w:bCs/>
          <w:color w:val="auto"/>
          <w:spacing w:val="8"/>
          <w:kern w:val="0"/>
          <w:szCs w:val="21"/>
        </w:rPr>
        <w:t>说明：</w:t>
      </w:r>
      <w:r>
        <w:rPr>
          <w:rFonts w:hint="eastAsia" w:ascii="宋体" w:hAnsi="宋体"/>
          <w:color w:val="auto"/>
          <w:szCs w:val="21"/>
        </w:rPr>
        <w:t>1、大型、中型和小型企业须同时满足所列指标的下限，否则下划一档；微型企业只须满足所列指标中的一项即可。</w:t>
      </w:r>
    </w:p>
    <w:p w14:paraId="6C8F23E8">
      <w:pPr>
        <w:snapToGrid w:val="0"/>
        <w:spacing w:beforeLines="50" w:line="420" w:lineRule="exact"/>
        <w:ind w:firstLine="420" w:firstLineChars="200"/>
        <w:rPr>
          <w:rFonts w:ascii="宋体" w:hAnsi="宋体"/>
          <w:color w:val="auto"/>
          <w:szCs w:val="21"/>
        </w:rPr>
      </w:pPr>
      <w:r>
        <w:rPr>
          <w:rFonts w:hint="eastAsia" w:ascii="宋体" w:hAnsi="宋体"/>
          <w:color w:val="auto"/>
          <w:szCs w:val="21"/>
        </w:rPr>
        <w:t>2、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EDB5AEC">
      <w:pPr>
        <w:snapToGrid w:val="0"/>
        <w:spacing w:beforeLines="50" w:line="420" w:lineRule="exact"/>
        <w:ind w:firstLine="420" w:firstLineChars="200"/>
        <w:rPr>
          <w:rFonts w:ascii="宋体" w:hAnsi="宋体"/>
          <w:color w:val="auto"/>
          <w:szCs w:val="21"/>
        </w:rPr>
      </w:pPr>
      <w:r>
        <w:rPr>
          <w:rFonts w:hint="eastAsia" w:ascii="宋体" w:hAnsi="宋体"/>
          <w:color w:val="auto"/>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2D5DF7A">
      <w:pPr>
        <w:snapToGrid w:val="0"/>
        <w:spacing w:line="420" w:lineRule="exact"/>
        <w:ind w:firstLine="422" w:firstLineChars="200"/>
        <w:rPr>
          <w:rFonts w:ascii="宋体" w:hAnsi="宋体"/>
          <w:color w:val="auto"/>
          <w:szCs w:val="21"/>
        </w:rPr>
      </w:pPr>
      <w:r>
        <w:rPr>
          <w:rFonts w:hint="eastAsia" w:ascii="宋体" w:hAnsi="宋体"/>
          <w:b/>
          <w:bCs/>
          <w:color w:val="auto"/>
          <w:szCs w:val="21"/>
        </w:rPr>
        <w:t>（2）监狱企业</w:t>
      </w:r>
    </w:p>
    <w:p w14:paraId="5072FF41">
      <w:pPr>
        <w:snapToGrid w:val="0"/>
        <w:spacing w:line="420" w:lineRule="exact"/>
        <w:ind w:firstLine="420" w:firstLineChars="200"/>
        <w:rPr>
          <w:rFonts w:ascii="宋体" w:hAnsi="宋体"/>
          <w:b/>
          <w:bCs/>
          <w:color w:val="auto"/>
          <w:szCs w:val="21"/>
        </w:rPr>
      </w:pPr>
      <w:r>
        <w:rPr>
          <w:rFonts w:hint="eastAsia" w:ascii="宋体" w:hAnsi="宋体"/>
          <w:color w:val="auto"/>
          <w:szCs w:val="21"/>
        </w:rPr>
        <w:t>根据《财政部司法部关于政府采购支持监狱企业发展有关问题的通知》（财库〔2014〕68号）文的规定，在政府采购活动中，监狱企业视同小型、微型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BD869B">
      <w:pPr>
        <w:snapToGrid w:val="0"/>
        <w:spacing w:line="420" w:lineRule="exact"/>
        <w:ind w:firstLine="422" w:firstLineChars="200"/>
        <w:rPr>
          <w:rFonts w:ascii="宋体" w:hAnsi="宋体"/>
          <w:b/>
          <w:bCs/>
          <w:color w:val="auto"/>
          <w:szCs w:val="21"/>
        </w:rPr>
      </w:pPr>
      <w:r>
        <w:rPr>
          <w:rFonts w:hint="eastAsia" w:ascii="宋体" w:hAnsi="宋体"/>
          <w:b/>
          <w:bCs/>
          <w:color w:val="auto"/>
          <w:szCs w:val="21"/>
        </w:rPr>
        <w:t>（3）残疾人福利性单位</w:t>
      </w:r>
    </w:p>
    <w:p w14:paraId="2CA892BA">
      <w:pPr>
        <w:snapToGrid w:val="0"/>
        <w:spacing w:line="420" w:lineRule="exact"/>
        <w:ind w:firstLine="420" w:firstLineChars="200"/>
        <w:rPr>
          <w:rFonts w:ascii="宋体" w:hAnsi="宋体"/>
          <w:color w:val="auto"/>
          <w:szCs w:val="21"/>
        </w:rPr>
      </w:pPr>
      <w:r>
        <w:rPr>
          <w:rFonts w:hint="eastAsia" w:ascii="宋体" w:hAnsi="宋体"/>
          <w:color w:val="auto"/>
          <w:szCs w:val="21"/>
        </w:rPr>
        <w:t xml:space="preserve">根据《财政部 民政部 中国残疾人联合会关于促进残疾人就业政府采购政策的通知》（财库〔2017〕141号）文的规定，在政府采购活动中，残疾人福利性单位视同小型、微型企业。享受政府采购支持政策的残疾人福利性单位应当同时满足以下条件： </w:t>
      </w:r>
    </w:p>
    <w:p w14:paraId="22728A8A">
      <w:pPr>
        <w:snapToGrid w:val="0"/>
        <w:spacing w:line="420" w:lineRule="exact"/>
        <w:ind w:firstLine="420" w:firstLineChars="200"/>
        <w:rPr>
          <w:rFonts w:ascii="宋体" w:hAnsi="宋体"/>
          <w:color w:val="auto"/>
          <w:szCs w:val="21"/>
        </w:rPr>
      </w:pPr>
      <w:r>
        <w:rPr>
          <w:rFonts w:hint="eastAsia" w:ascii="宋体" w:hAnsi="宋体"/>
          <w:color w:val="auto"/>
          <w:szCs w:val="21"/>
        </w:rPr>
        <w:t xml:space="preserve">①安置的残疾人占本单位在职职工人数的比例不低于25%（含25%），并且安置的残疾人人数不少于10 人（含10人）； </w:t>
      </w:r>
    </w:p>
    <w:p w14:paraId="18FA906C">
      <w:pPr>
        <w:snapToGrid w:val="0"/>
        <w:spacing w:line="420" w:lineRule="exact"/>
        <w:ind w:firstLine="420" w:firstLineChars="200"/>
        <w:rPr>
          <w:rFonts w:ascii="宋体" w:hAnsi="宋体"/>
          <w:color w:val="auto"/>
          <w:szCs w:val="21"/>
        </w:rPr>
      </w:pPr>
      <w:r>
        <w:rPr>
          <w:rFonts w:hint="eastAsia" w:ascii="宋体" w:hAnsi="宋体"/>
          <w:color w:val="auto"/>
          <w:szCs w:val="21"/>
        </w:rPr>
        <w:t xml:space="preserve">②依法与安置的每位残疾人签订了一年以上（含一年）的劳动合同或服务协议； </w:t>
      </w:r>
    </w:p>
    <w:p w14:paraId="32570DDF">
      <w:pPr>
        <w:snapToGrid w:val="0"/>
        <w:spacing w:line="420" w:lineRule="exact"/>
        <w:ind w:firstLine="420" w:firstLineChars="200"/>
        <w:rPr>
          <w:rFonts w:ascii="宋体" w:hAnsi="宋体"/>
          <w:color w:val="auto"/>
          <w:szCs w:val="21"/>
        </w:rPr>
      </w:pPr>
      <w:r>
        <w:rPr>
          <w:rFonts w:hint="eastAsia" w:ascii="宋体" w:hAnsi="宋体"/>
          <w:color w:val="auto"/>
          <w:szCs w:val="21"/>
        </w:rPr>
        <w:t xml:space="preserve">③为安置的每位残疾人按月足额缴纳了基本养老保险、基本医疗保险、失业保险、工伤保险和生育保 险等社会保险费； </w:t>
      </w:r>
    </w:p>
    <w:p w14:paraId="47B7BEE1">
      <w:pPr>
        <w:snapToGrid w:val="0"/>
        <w:spacing w:line="420" w:lineRule="exact"/>
        <w:ind w:firstLine="420" w:firstLineChars="200"/>
        <w:rPr>
          <w:rFonts w:ascii="宋体" w:hAnsi="宋体"/>
          <w:color w:val="auto"/>
          <w:szCs w:val="21"/>
        </w:rPr>
      </w:pPr>
      <w:r>
        <w:rPr>
          <w:rFonts w:hint="eastAsia" w:ascii="宋体" w:hAnsi="宋体"/>
          <w:color w:val="auto"/>
          <w:szCs w:val="21"/>
        </w:rPr>
        <w:t xml:space="preserve">④通过银行等金融机构向安置的每位残疾人，按月支付了不低于单位所在区县适用的经省级人民政府 批准的月最低工资标准的工资； </w:t>
      </w:r>
    </w:p>
    <w:p w14:paraId="1EE4811F">
      <w:pPr>
        <w:snapToGrid w:val="0"/>
        <w:spacing w:line="420" w:lineRule="exact"/>
        <w:ind w:firstLine="420" w:firstLineChars="200"/>
        <w:rPr>
          <w:rFonts w:ascii="宋体" w:hAnsi="宋体"/>
          <w:color w:val="auto"/>
          <w:szCs w:val="21"/>
        </w:rPr>
      </w:pPr>
      <w:r>
        <w:rPr>
          <w:rFonts w:hint="eastAsia" w:ascii="宋体" w:hAnsi="宋体"/>
          <w:color w:val="auto"/>
          <w:szCs w:val="21"/>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C36EAC">
      <w:pPr>
        <w:snapToGrid w:val="0"/>
        <w:spacing w:line="420" w:lineRule="exact"/>
        <w:rPr>
          <w:rFonts w:ascii="宋体" w:hAnsi="宋体"/>
          <w:color w:val="auto"/>
          <w:szCs w:val="21"/>
        </w:rPr>
      </w:pPr>
      <w:r>
        <w:rPr>
          <w:rFonts w:hint="eastAsia" w:ascii="宋体" w:hAnsi="宋体"/>
          <w:color w:val="auto"/>
          <w:szCs w:val="21"/>
        </w:rPr>
        <w:t>符合条件的残疾人福利性单位在参加政府采购活动时，应当提供《残疾人福利性单位声明函》（声明函格式见第四章“投标文件格式”）。</w:t>
      </w:r>
    </w:p>
    <w:p w14:paraId="6F424CE1">
      <w:pPr>
        <w:tabs>
          <w:tab w:val="center" w:pos="4410"/>
          <w:tab w:val="left" w:pos="6735"/>
        </w:tabs>
        <w:spacing w:line="360" w:lineRule="auto"/>
        <w:jc w:val="center"/>
        <w:outlineLvl w:val="0"/>
        <w:rPr>
          <w:rFonts w:ascii="宋体" w:hAnsi="宋体" w:cs="宋体"/>
          <w:b/>
          <w:bCs/>
          <w:color w:val="auto"/>
          <w:kern w:val="44"/>
          <w:sz w:val="44"/>
          <w:szCs w:val="44"/>
        </w:rPr>
      </w:pPr>
      <w:r>
        <w:rPr>
          <w:rFonts w:hint="eastAsia" w:ascii="宋体" w:hAnsi="宋体" w:cs="宋体"/>
          <w:b/>
          <w:bCs/>
          <w:color w:val="auto"/>
          <w:kern w:val="44"/>
          <w:sz w:val="24"/>
        </w:rPr>
        <w:br w:type="page"/>
      </w:r>
      <w:bookmarkStart w:id="197" w:name="_Toc14240"/>
      <w:r>
        <w:rPr>
          <w:rFonts w:hint="eastAsia" w:ascii="宋体" w:hAnsi="宋体" w:cs="宋体"/>
          <w:b/>
          <w:bCs/>
          <w:color w:val="auto"/>
          <w:kern w:val="44"/>
          <w:sz w:val="32"/>
          <w:szCs w:val="32"/>
        </w:rPr>
        <w:t xml:space="preserve">第四章  </w:t>
      </w:r>
      <w:bookmarkEnd w:id="175"/>
      <w:r>
        <w:rPr>
          <w:rFonts w:hint="eastAsia" w:ascii="宋体" w:hAnsi="宋体" w:cs="宋体"/>
          <w:b/>
          <w:bCs/>
          <w:color w:val="auto"/>
          <w:kern w:val="44"/>
          <w:sz w:val="32"/>
          <w:szCs w:val="32"/>
        </w:rPr>
        <w:t>评审程序、评审方法和评审标准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7"/>
    </w:p>
    <w:bookmarkEnd w:id="174"/>
    <w:p w14:paraId="41E460C7">
      <w:pPr>
        <w:pStyle w:val="5"/>
        <w:jc w:val="center"/>
        <w:rPr>
          <w:rFonts w:hint="default" w:cs="宋体"/>
          <w:bCs w:val="0"/>
          <w:color w:val="auto"/>
          <w:sz w:val="24"/>
          <w:szCs w:val="24"/>
        </w:rPr>
      </w:pPr>
      <w:bookmarkStart w:id="198" w:name="_Toc1303"/>
      <w:bookmarkStart w:id="199" w:name="_Toc80886938"/>
      <w:bookmarkStart w:id="200" w:name="_Toc12455"/>
      <w:bookmarkStart w:id="201" w:name="_Toc2521"/>
      <w:bookmarkStart w:id="202" w:name="_Toc4660"/>
      <w:bookmarkStart w:id="203" w:name="_Toc6339"/>
      <w:bookmarkStart w:id="204" w:name="_Toc28621"/>
      <w:bookmarkStart w:id="205" w:name="_Toc24071"/>
      <w:bookmarkStart w:id="206" w:name="_Toc16315"/>
      <w:bookmarkStart w:id="207" w:name="_Toc12576"/>
      <w:bookmarkStart w:id="208" w:name="_Toc23043"/>
      <w:bookmarkStart w:id="209" w:name="_Toc10681"/>
      <w:bookmarkStart w:id="210" w:name="_Toc29125"/>
      <w:bookmarkStart w:id="211" w:name="_Toc28988"/>
      <w:bookmarkStart w:id="212" w:name="_Toc4283"/>
      <w:bookmarkStart w:id="213" w:name="_Toc6443"/>
      <w:bookmarkStart w:id="214" w:name="_Toc24769"/>
      <w:bookmarkStart w:id="215" w:name="_Toc20953"/>
      <w:bookmarkStart w:id="216" w:name="_Toc21621"/>
      <w:bookmarkStart w:id="217" w:name="_Toc27744"/>
      <w:bookmarkStart w:id="218" w:name="_Toc28927"/>
      <w:r>
        <w:rPr>
          <w:rFonts w:cs="宋体"/>
          <w:bCs w:val="0"/>
          <w:color w:val="auto"/>
          <w:sz w:val="24"/>
          <w:szCs w:val="24"/>
        </w:rPr>
        <w:t>第一节 评审程序和评审方法</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C338CD9">
      <w:pPr>
        <w:spacing w:line="430" w:lineRule="exact"/>
        <w:ind w:firstLine="422" w:firstLineChars="175"/>
        <w:rPr>
          <w:rFonts w:ascii="宋体" w:hAnsi="宋体" w:cs="宋体"/>
          <w:b/>
          <w:bCs/>
          <w:color w:val="auto"/>
          <w:sz w:val="24"/>
        </w:rPr>
      </w:pPr>
      <w:r>
        <w:rPr>
          <w:rFonts w:hint="eastAsia" w:ascii="宋体" w:hAnsi="宋体" w:cs="宋体"/>
          <w:b/>
          <w:bCs/>
          <w:color w:val="auto"/>
          <w:sz w:val="24"/>
        </w:rPr>
        <w:t>1.确认磋商文件</w:t>
      </w:r>
    </w:p>
    <w:p w14:paraId="4D7C9317">
      <w:pPr>
        <w:spacing w:line="430" w:lineRule="exact"/>
        <w:ind w:firstLine="420" w:firstLineChars="175"/>
        <w:rPr>
          <w:rFonts w:ascii="宋体" w:hAnsi="宋体" w:cs="宋体"/>
          <w:color w:val="auto"/>
          <w:sz w:val="24"/>
        </w:rPr>
      </w:pPr>
      <w:r>
        <w:rPr>
          <w:rFonts w:hint="eastAsia" w:ascii="宋体" w:hAnsi="宋体" w:cs="宋体"/>
          <w:color w:val="auto"/>
          <w:sz w:val="24"/>
        </w:rPr>
        <w:t>由磋商小组确认磋商文件。</w:t>
      </w:r>
    </w:p>
    <w:p w14:paraId="20949D0A">
      <w:pPr>
        <w:spacing w:line="430" w:lineRule="exact"/>
        <w:ind w:firstLine="422" w:firstLineChars="175"/>
        <w:rPr>
          <w:rFonts w:ascii="宋体" w:hAnsi="宋体" w:cs="宋体"/>
          <w:b/>
          <w:bCs/>
          <w:color w:val="auto"/>
          <w:sz w:val="24"/>
        </w:rPr>
      </w:pPr>
      <w:r>
        <w:rPr>
          <w:rFonts w:hint="eastAsia" w:ascii="宋体" w:hAnsi="宋体" w:cs="宋体"/>
          <w:b/>
          <w:bCs/>
          <w:color w:val="auto"/>
          <w:sz w:val="24"/>
        </w:rPr>
        <w:t>2.资格审查</w:t>
      </w:r>
    </w:p>
    <w:p w14:paraId="04EA9253">
      <w:pPr>
        <w:snapToGrid w:val="0"/>
        <w:spacing w:line="430" w:lineRule="exact"/>
        <w:ind w:firstLine="420" w:firstLineChars="175"/>
        <w:rPr>
          <w:rFonts w:ascii="宋体" w:hAnsi="宋体" w:cs="宋体"/>
          <w:color w:val="auto"/>
          <w:sz w:val="24"/>
        </w:rPr>
      </w:pPr>
      <w:r>
        <w:rPr>
          <w:rFonts w:hint="eastAsia" w:ascii="宋体" w:hAnsi="宋体" w:cs="宋体"/>
          <w:color w:val="auto"/>
          <w:sz w:val="24"/>
        </w:rPr>
        <w:t>2.1响应文件开启后，磋商小组依法对供应商的资格证明文件进行审查。</w:t>
      </w:r>
    </w:p>
    <w:p w14:paraId="16624E2C">
      <w:pPr>
        <w:snapToGrid w:val="0"/>
        <w:spacing w:line="430" w:lineRule="exact"/>
        <w:ind w:firstLine="420" w:firstLineChars="175"/>
        <w:rPr>
          <w:rFonts w:ascii="宋体" w:hAnsi="宋体" w:cs="宋体"/>
          <w:color w:val="auto"/>
          <w:sz w:val="24"/>
        </w:rPr>
      </w:pPr>
      <w:r>
        <w:rPr>
          <w:rFonts w:hint="eastAsia" w:ascii="宋体" w:hAnsi="宋体" w:cs="宋体"/>
          <w:color w:val="auto"/>
          <w:sz w:val="24"/>
        </w:rPr>
        <w:t>注：采购人代表或者采购代理机构在资格审查结束前，对供应商进行信用查询。</w:t>
      </w:r>
    </w:p>
    <w:p w14:paraId="5247E23A">
      <w:pPr>
        <w:snapToGrid w:val="0"/>
        <w:spacing w:line="430" w:lineRule="exact"/>
        <w:ind w:firstLine="420" w:firstLineChars="175"/>
        <w:jc w:val="left"/>
        <w:rPr>
          <w:rFonts w:ascii="宋体" w:hAnsi="宋体" w:cs="宋体"/>
          <w:color w:val="auto"/>
          <w:sz w:val="24"/>
        </w:rPr>
      </w:pPr>
      <w:r>
        <w:rPr>
          <w:rFonts w:hint="eastAsia" w:ascii="宋体" w:hAnsi="宋体" w:cs="宋体"/>
          <w:color w:val="auto"/>
          <w:sz w:val="24"/>
        </w:rPr>
        <w:t>（1）查询渠道：“广西政府采购云”平台“信用中国”网站(</w:t>
      </w:r>
      <w:r>
        <w:rPr>
          <w:color w:val="auto"/>
        </w:rPr>
        <w:fldChar w:fldCharType="begin"/>
      </w:r>
      <w:r>
        <w:rPr>
          <w:color w:val="auto"/>
        </w:rPr>
        <w:instrText xml:space="preserve"> HYPERLINK "http://www.creditchina.gov.cn" </w:instrText>
      </w:r>
      <w:r>
        <w:rPr>
          <w:color w:val="auto"/>
        </w:rPr>
        <w:fldChar w:fldCharType="separate"/>
      </w:r>
      <w:r>
        <w:rPr>
          <w:rStyle w:val="26"/>
          <w:rFonts w:hint="eastAsia" w:ascii="宋体" w:hAnsi="宋体" w:cs="宋体"/>
          <w:color w:val="auto"/>
          <w:sz w:val="24"/>
        </w:rPr>
        <w:t>www.creditchina.gov.cn</w:t>
      </w:r>
      <w:r>
        <w:rPr>
          <w:rStyle w:val="26"/>
          <w:rFonts w:hint="eastAsia" w:ascii="宋体" w:hAnsi="宋体" w:cs="宋体"/>
          <w:color w:val="auto"/>
          <w:sz w:val="24"/>
        </w:rPr>
        <w:fldChar w:fldCharType="end"/>
      </w:r>
      <w:r>
        <w:rPr>
          <w:rFonts w:hint="eastAsia" w:ascii="宋体" w:hAnsi="宋体" w:cs="宋体"/>
          <w:color w:val="auto"/>
          <w:sz w:val="24"/>
        </w:rPr>
        <w:t>)、中国政府采购网(</w:t>
      </w:r>
      <w:r>
        <w:rPr>
          <w:color w:val="auto"/>
        </w:rPr>
        <w:fldChar w:fldCharType="begin"/>
      </w:r>
      <w:r>
        <w:rPr>
          <w:color w:val="auto"/>
        </w:rPr>
        <w:instrText xml:space="preserve"> HYPERLINK "http://www.ccgp.gov.cn" </w:instrText>
      </w:r>
      <w:r>
        <w:rPr>
          <w:color w:val="auto"/>
        </w:rPr>
        <w:fldChar w:fldCharType="separate"/>
      </w:r>
      <w:r>
        <w:rPr>
          <w:rStyle w:val="26"/>
          <w:rFonts w:hint="eastAsia" w:ascii="宋体" w:hAnsi="宋体" w:cs="宋体"/>
          <w:color w:val="auto"/>
          <w:sz w:val="24"/>
        </w:rPr>
        <w:t>www.ccgp.gov.cn</w:t>
      </w:r>
      <w:r>
        <w:rPr>
          <w:rStyle w:val="26"/>
          <w:rFonts w:hint="eastAsia" w:ascii="宋体" w:hAnsi="宋体" w:cs="宋体"/>
          <w:color w:val="auto"/>
          <w:sz w:val="24"/>
        </w:rPr>
        <w:fldChar w:fldCharType="end"/>
      </w:r>
      <w:r>
        <w:rPr>
          <w:rFonts w:hint="eastAsia" w:ascii="宋体" w:hAnsi="宋体" w:cs="宋体"/>
          <w:color w:val="auto"/>
          <w:sz w:val="24"/>
        </w:rPr>
        <w:t>)链接入口。</w:t>
      </w:r>
    </w:p>
    <w:p w14:paraId="66681427">
      <w:pPr>
        <w:snapToGrid w:val="0"/>
        <w:spacing w:line="430" w:lineRule="exact"/>
        <w:ind w:firstLine="420" w:firstLineChars="175"/>
        <w:rPr>
          <w:rFonts w:ascii="宋体" w:hAnsi="宋体" w:cs="宋体"/>
          <w:color w:val="auto"/>
          <w:sz w:val="24"/>
        </w:rPr>
      </w:pPr>
      <w:r>
        <w:rPr>
          <w:rFonts w:hint="eastAsia" w:ascii="宋体" w:hAnsi="宋体" w:cs="宋体"/>
          <w:color w:val="auto"/>
          <w:sz w:val="24"/>
        </w:rPr>
        <w:t>（2）信用查询截止时点：资格审查结束前。</w:t>
      </w:r>
    </w:p>
    <w:p w14:paraId="3EEA00B9">
      <w:pPr>
        <w:snapToGrid w:val="0"/>
        <w:spacing w:line="430" w:lineRule="exact"/>
        <w:ind w:firstLine="420" w:firstLineChars="175"/>
        <w:rPr>
          <w:rFonts w:ascii="宋体" w:hAnsi="宋体" w:cs="宋体"/>
          <w:color w:val="auto"/>
          <w:sz w:val="24"/>
        </w:rPr>
      </w:pPr>
      <w:r>
        <w:rPr>
          <w:rFonts w:hint="eastAsia" w:ascii="宋体" w:hAnsi="宋体" w:cs="宋体"/>
          <w:color w:val="auto"/>
          <w:sz w:val="24"/>
        </w:rPr>
        <w:t>查询记录和证据留存方式：在查询网站中直接打印查询记录，截图另存为电子文档作为评审资料保存。</w:t>
      </w:r>
    </w:p>
    <w:p w14:paraId="693B0352">
      <w:pPr>
        <w:spacing w:line="430" w:lineRule="exact"/>
        <w:ind w:firstLine="420" w:firstLineChars="175"/>
        <w:rPr>
          <w:rFonts w:ascii="宋体" w:hAnsi="宋体" w:cs="宋体"/>
          <w:color w:val="auto"/>
          <w:sz w:val="24"/>
        </w:rPr>
      </w:pPr>
      <w:r>
        <w:rPr>
          <w:rFonts w:hint="eastAsia" w:ascii="宋体" w:hAnsi="宋体" w:cs="宋体"/>
          <w:color w:val="auto"/>
          <w:sz w:val="24"/>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5A7A37">
      <w:pPr>
        <w:spacing w:line="430" w:lineRule="exact"/>
        <w:ind w:firstLine="420" w:firstLineChars="175"/>
        <w:rPr>
          <w:rFonts w:ascii="宋体" w:hAnsi="宋体" w:cs="宋体"/>
          <w:color w:val="auto"/>
          <w:sz w:val="24"/>
        </w:rPr>
      </w:pPr>
      <w:r>
        <w:rPr>
          <w:rFonts w:hint="eastAsia" w:ascii="宋体" w:hAnsi="宋体" w:cs="宋体"/>
          <w:color w:val="auto"/>
          <w:sz w:val="24"/>
        </w:rPr>
        <w:t>2.2资格审查标准为本磋商文件中载明对供应商资格要求的条件。资格审查采用合格制，凡符合磋商文件规定的供应商资格要求的响应文件均通过资格审查。</w:t>
      </w:r>
    </w:p>
    <w:p w14:paraId="4C5A2CE9">
      <w:pPr>
        <w:spacing w:line="430" w:lineRule="exact"/>
        <w:ind w:firstLine="420" w:firstLineChars="175"/>
        <w:rPr>
          <w:rFonts w:ascii="宋体" w:hAnsi="宋体" w:cs="宋体"/>
          <w:color w:val="auto"/>
          <w:sz w:val="24"/>
        </w:rPr>
      </w:pPr>
      <w:r>
        <w:rPr>
          <w:rFonts w:hint="eastAsia" w:ascii="宋体" w:hAnsi="宋体" w:cs="宋体"/>
          <w:color w:val="auto"/>
          <w:sz w:val="24"/>
        </w:rPr>
        <w:t>2.3供应商有下列情形之一的，资格审查不通过，其响应文件按无效响应处理：</w:t>
      </w:r>
    </w:p>
    <w:p w14:paraId="297FF15D">
      <w:pPr>
        <w:snapToGrid w:val="0"/>
        <w:spacing w:line="430" w:lineRule="exact"/>
        <w:ind w:firstLine="420" w:firstLineChars="175"/>
        <w:rPr>
          <w:rFonts w:ascii="宋体" w:hAnsi="宋体" w:cs="宋体"/>
          <w:color w:val="auto"/>
          <w:sz w:val="24"/>
        </w:rPr>
      </w:pPr>
      <w:r>
        <w:rPr>
          <w:rFonts w:hint="eastAsia" w:ascii="宋体" w:hAnsi="宋体" w:cs="宋体"/>
          <w:color w:val="auto"/>
          <w:sz w:val="24"/>
        </w:rPr>
        <w:t>（1）不具备磋商文件中规定的资格要求的；</w:t>
      </w:r>
    </w:p>
    <w:p w14:paraId="79D79C6B">
      <w:pPr>
        <w:spacing w:line="430" w:lineRule="exact"/>
        <w:ind w:firstLine="420" w:firstLineChars="175"/>
        <w:rPr>
          <w:rFonts w:ascii="宋体" w:hAnsi="宋体" w:cs="宋体"/>
          <w:color w:val="auto"/>
          <w:sz w:val="24"/>
        </w:rPr>
      </w:pPr>
      <w:r>
        <w:rPr>
          <w:rFonts w:hint="eastAsia" w:ascii="宋体" w:hAnsi="宋体" w:cs="宋体"/>
          <w:color w:val="auto"/>
          <w:sz w:val="24"/>
        </w:rPr>
        <w:t>（2）响应文件未提供任一项“供应商须知前附表”资格证明文件规定的“必须提供”的文件资料的；</w:t>
      </w:r>
    </w:p>
    <w:p w14:paraId="3C9420A2">
      <w:pPr>
        <w:spacing w:line="430" w:lineRule="exact"/>
        <w:ind w:firstLine="420" w:firstLineChars="175"/>
        <w:rPr>
          <w:rFonts w:ascii="宋体" w:hAnsi="宋体" w:cs="宋体"/>
          <w:color w:val="auto"/>
          <w:sz w:val="24"/>
        </w:rPr>
      </w:pPr>
      <w:r>
        <w:rPr>
          <w:rFonts w:hint="eastAsia" w:ascii="宋体" w:hAnsi="宋体" w:cs="宋体"/>
          <w:color w:val="auto"/>
          <w:sz w:val="24"/>
        </w:rPr>
        <w:t>（3）响应文件提供的资格证明文件出现任一项不符合“供应商须知前附表”资格证明文件规定的“必须提供”的文件资料要求或者无效的。</w:t>
      </w:r>
    </w:p>
    <w:p w14:paraId="5354170C">
      <w:pPr>
        <w:spacing w:line="430" w:lineRule="exact"/>
        <w:ind w:firstLine="422" w:firstLineChars="175"/>
        <w:rPr>
          <w:rFonts w:ascii="宋体" w:hAnsi="宋体" w:cs="宋体"/>
          <w:b/>
          <w:bCs/>
          <w:color w:val="auto"/>
          <w:sz w:val="24"/>
        </w:rPr>
      </w:pPr>
      <w:bookmarkStart w:id="219" w:name="_Hlk68601553"/>
      <w:r>
        <w:rPr>
          <w:rFonts w:hint="eastAsia" w:ascii="宋体" w:hAnsi="宋体" w:cs="宋体"/>
          <w:b/>
          <w:bCs/>
          <w:color w:val="auto"/>
          <w:sz w:val="24"/>
        </w:rPr>
        <w:t>（4）同一合同项下的不同供应商，单位负责人为同一人或者存在直接控股、管理关系的；为本项目提供过整体设计、规范编制或者项目管理、监理、检测等服务的。</w:t>
      </w:r>
      <w:bookmarkEnd w:id="219"/>
    </w:p>
    <w:p w14:paraId="5B5B6E0C">
      <w:pPr>
        <w:spacing w:line="430" w:lineRule="exact"/>
        <w:ind w:firstLine="420" w:firstLineChars="175"/>
        <w:rPr>
          <w:rFonts w:ascii="宋体" w:hAnsi="宋体" w:cs="宋体"/>
          <w:color w:val="auto"/>
          <w:sz w:val="24"/>
        </w:rPr>
      </w:pPr>
      <w:r>
        <w:rPr>
          <w:rFonts w:hint="eastAsia" w:ascii="宋体" w:hAnsi="宋体" w:cs="宋体"/>
          <w:color w:val="auto"/>
          <w:sz w:val="24"/>
        </w:rPr>
        <w:t>2.4通过资格审查的合格供应商不足3家的，不得进入符合性审查环节，采购人或者采购代理机构应当重新开展采购活动。</w:t>
      </w:r>
    </w:p>
    <w:p w14:paraId="05066854">
      <w:pPr>
        <w:spacing w:line="430" w:lineRule="exact"/>
        <w:ind w:firstLine="422" w:firstLineChars="175"/>
        <w:rPr>
          <w:rFonts w:ascii="宋体" w:hAnsi="宋体" w:cs="宋体"/>
          <w:b/>
          <w:bCs/>
          <w:color w:val="auto"/>
          <w:sz w:val="24"/>
        </w:rPr>
      </w:pPr>
      <w:r>
        <w:rPr>
          <w:rFonts w:hint="eastAsia" w:ascii="宋体" w:hAnsi="宋体" w:cs="宋体"/>
          <w:b/>
          <w:bCs/>
          <w:color w:val="auto"/>
          <w:sz w:val="24"/>
        </w:rPr>
        <w:t>3.符合性审查</w:t>
      </w:r>
    </w:p>
    <w:p w14:paraId="1E37CC54">
      <w:pPr>
        <w:spacing w:line="430" w:lineRule="exact"/>
        <w:ind w:firstLine="420" w:firstLineChars="175"/>
        <w:rPr>
          <w:rFonts w:ascii="宋体" w:hAnsi="宋体" w:cs="宋体"/>
          <w:color w:val="auto"/>
          <w:sz w:val="24"/>
        </w:rPr>
      </w:pPr>
      <w:r>
        <w:rPr>
          <w:rFonts w:hint="eastAsia" w:ascii="宋体" w:hAnsi="宋体" w:cs="宋体"/>
          <w:color w:val="auto"/>
          <w:sz w:val="24"/>
        </w:rPr>
        <w:t>3.1由磋商小组对通过资格审查的合格供应商的响应文件的响应报价、商务、技术等实质性要求进行符合性审查，以确定其是否满足磋商文件的实质性要求。</w:t>
      </w:r>
    </w:p>
    <w:p w14:paraId="27F484A5">
      <w:pPr>
        <w:spacing w:line="430" w:lineRule="exact"/>
        <w:ind w:firstLine="420" w:firstLineChars="175"/>
        <w:rPr>
          <w:rFonts w:ascii="宋体" w:hAnsi="宋体" w:cs="宋体"/>
          <w:color w:val="auto"/>
          <w:sz w:val="24"/>
        </w:rPr>
      </w:pPr>
      <w:r>
        <w:rPr>
          <w:rFonts w:hint="eastAsia" w:ascii="宋体" w:hAnsi="宋体" w:cs="宋体"/>
          <w:color w:val="auto"/>
          <w:sz w:val="24"/>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C5C659">
      <w:pPr>
        <w:spacing w:line="430" w:lineRule="exact"/>
        <w:ind w:firstLine="420" w:firstLineChars="175"/>
        <w:rPr>
          <w:rFonts w:ascii="宋体" w:hAnsi="宋体" w:cs="宋体"/>
          <w:color w:val="auto"/>
          <w:spacing w:val="-6"/>
          <w:sz w:val="24"/>
        </w:rPr>
      </w:pPr>
      <w:r>
        <w:rPr>
          <w:rFonts w:hint="eastAsia" w:ascii="宋体" w:hAnsi="宋体" w:cs="宋体"/>
          <w:color w:val="auto"/>
          <w:sz w:val="24"/>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 w:val="24"/>
        </w:rPr>
        <w:t>。供应商为自然人的，必须由本人签字并附身份证明。</w:t>
      </w:r>
    </w:p>
    <w:p w14:paraId="6A48730B">
      <w:pPr>
        <w:spacing w:line="430" w:lineRule="exact"/>
        <w:ind w:firstLine="399" w:firstLineChars="175"/>
        <w:rPr>
          <w:rFonts w:ascii="宋体" w:hAnsi="宋体" w:cs="宋体"/>
          <w:color w:val="auto"/>
          <w:sz w:val="24"/>
        </w:rPr>
      </w:pPr>
      <w:r>
        <w:rPr>
          <w:rFonts w:hint="eastAsia" w:ascii="宋体" w:hAnsi="宋体" w:cs="宋体"/>
          <w:color w:val="auto"/>
          <w:spacing w:val="-6"/>
          <w:sz w:val="24"/>
        </w:rPr>
        <w:t>3.4</w:t>
      </w:r>
      <w:r>
        <w:rPr>
          <w:rFonts w:hint="eastAsia" w:ascii="宋体" w:hAnsi="宋体" w:cs="宋体"/>
          <w:color w:val="auto"/>
          <w:sz w:val="24"/>
        </w:rPr>
        <w:t xml:space="preserve">首次响应文件报价出现前后不一致的，按照下列规定修正： </w:t>
      </w:r>
    </w:p>
    <w:p w14:paraId="00DCBD5C">
      <w:pPr>
        <w:spacing w:line="430" w:lineRule="exact"/>
        <w:ind w:firstLine="420" w:firstLineChars="175"/>
        <w:rPr>
          <w:rFonts w:ascii="宋体" w:hAnsi="宋体" w:cs="宋体"/>
          <w:color w:val="auto"/>
          <w:sz w:val="24"/>
        </w:rPr>
      </w:pPr>
      <w:r>
        <w:rPr>
          <w:rFonts w:hint="eastAsia" w:ascii="宋体" w:hAnsi="宋体" w:cs="宋体"/>
          <w:color w:val="auto"/>
          <w:sz w:val="24"/>
        </w:rPr>
        <w:t>（1）响应文件中报价表内容与响应文件中相应内容不一致的，以报价表为准；</w:t>
      </w:r>
    </w:p>
    <w:p w14:paraId="6D9E1ED3">
      <w:pPr>
        <w:spacing w:line="430" w:lineRule="exact"/>
        <w:ind w:firstLine="420" w:firstLineChars="175"/>
        <w:rPr>
          <w:rFonts w:ascii="宋体" w:hAnsi="宋体" w:cs="宋体"/>
          <w:color w:val="auto"/>
          <w:sz w:val="24"/>
        </w:rPr>
      </w:pPr>
      <w:r>
        <w:rPr>
          <w:rFonts w:hint="eastAsia" w:ascii="宋体" w:hAnsi="宋体" w:cs="宋体"/>
          <w:color w:val="auto"/>
          <w:sz w:val="24"/>
        </w:rPr>
        <w:t>（2）大写金额和小写金额不一致的，以大写金额为准；</w:t>
      </w:r>
    </w:p>
    <w:p w14:paraId="36907CA0">
      <w:pPr>
        <w:spacing w:line="430" w:lineRule="exact"/>
        <w:ind w:firstLine="420" w:firstLineChars="175"/>
        <w:rPr>
          <w:rFonts w:ascii="宋体" w:hAnsi="宋体" w:cs="宋体"/>
          <w:color w:val="auto"/>
          <w:sz w:val="24"/>
        </w:rPr>
      </w:pPr>
      <w:r>
        <w:rPr>
          <w:rFonts w:hint="eastAsia" w:ascii="宋体" w:hAnsi="宋体" w:cs="宋体"/>
          <w:color w:val="auto"/>
          <w:sz w:val="24"/>
        </w:rPr>
        <w:t>（3）单价金额小数点或者百分比有明显错位的，以报价表的总价为准，并修改单价；</w:t>
      </w:r>
    </w:p>
    <w:p w14:paraId="5D477565">
      <w:pPr>
        <w:spacing w:line="430" w:lineRule="exact"/>
        <w:ind w:firstLine="420" w:firstLineChars="175"/>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14:paraId="3C028E1E">
      <w:pPr>
        <w:spacing w:line="430" w:lineRule="exact"/>
        <w:ind w:firstLine="420" w:firstLineChars="175"/>
        <w:rPr>
          <w:rFonts w:ascii="宋体" w:hAnsi="宋体" w:cs="宋体"/>
          <w:color w:val="auto"/>
          <w:sz w:val="24"/>
        </w:rPr>
      </w:pPr>
      <w:r>
        <w:rPr>
          <w:rFonts w:hint="eastAsia" w:ascii="宋体" w:hAnsi="宋体" w:cs="宋体"/>
          <w:color w:val="auto"/>
          <w:sz w:val="24"/>
        </w:rPr>
        <w:t>同时出现两种以上不一致的，按照以上（1）－（4）规定的顺序逐条进行修正。修正后的报价经供应商确认后产生约束力，供应商不确认的，其响应文件按无效响应处理。</w:t>
      </w:r>
    </w:p>
    <w:p w14:paraId="7ED5D5B2">
      <w:pPr>
        <w:spacing w:line="430" w:lineRule="exact"/>
        <w:ind w:firstLine="420" w:firstLineChars="175"/>
        <w:rPr>
          <w:rFonts w:ascii="宋体" w:hAnsi="宋体" w:cs="宋体"/>
          <w:color w:val="auto"/>
          <w:sz w:val="24"/>
        </w:rPr>
      </w:pPr>
      <w:r>
        <w:rPr>
          <w:rFonts w:hint="eastAsia" w:ascii="宋体" w:hAnsi="宋体" w:cs="宋体"/>
          <w:color w:val="auto"/>
          <w:sz w:val="24"/>
        </w:rPr>
        <w:t>3.5报价、商务资信、技术评审</w:t>
      </w:r>
    </w:p>
    <w:p w14:paraId="7A7C2743">
      <w:pPr>
        <w:spacing w:line="430" w:lineRule="exact"/>
        <w:ind w:firstLine="420" w:firstLineChars="175"/>
        <w:rPr>
          <w:rFonts w:ascii="宋体" w:hAnsi="宋体" w:cs="宋体"/>
          <w:color w:val="auto"/>
          <w:sz w:val="24"/>
        </w:rPr>
      </w:pPr>
      <w:r>
        <w:rPr>
          <w:rFonts w:hint="eastAsia" w:ascii="宋体" w:hAnsi="宋体" w:cs="宋体"/>
          <w:color w:val="auto"/>
          <w:sz w:val="24"/>
        </w:rPr>
        <w:t>在评审时，如发现下列情形之一的，将被视为响应文件无效处理：</w:t>
      </w:r>
    </w:p>
    <w:p w14:paraId="1651FCC3">
      <w:pPr>
        <w:spacing w:line="430" w:lineRule="exact"/>
        <w:ind w:firstLine="420" w:firstLineChars="175"/>
        <w:rPr>
          <w:rFonts w:ascii="宋体" w:hAnsi="宋体" w:cs="宋体"/>
          <w:color w:val="auto"/>
          <w:sz w:val="24"/>
        </w:rPr>
      </w:pPr>
      <w:r>
        <w:rPr>
          <w:rFonts w:hint="eastAsia" w:ascii="宋体" w:hAnsi="宋体" w:cs="宋体"/>
          <w:color w:val="auto"/>
          <w:sz w:val="24"/>
        </w:rPr>
        <w:t>（1）报价评审</w:t>
      </w:r>
    </w:p>
    <w:p w14:paraId="7B2D95DA">
      <w:pPr>
        <w:spacing w:line="430" w:lineRule="exact"/>
        <w:ind w:firstLine="420" w:firstLineChars="175"/>
        <w:rPr>
          <w:rFonts w:ascii="宋体" w:hAnsi="宋体" w:cs="宋体"/>
          <w:color w:val="auto"/>
          <w:sz w:val="24"/>
        </w:rPr>
      </w:pPr>
      <w:r>
        <w:rPr>
          <w:rFonts w:hint="eastAsia" w:ascii="宋体" w:hAnsi="宋体" w:cs="宋体"/>
          <w:color w:val="auto"/>
          <w:sz w:val="24"/>
        </w:rPr>
        <w:t>1）响应文件未提供“供应商须知”报价文件中规定的“响应报价表”；</w:t>
      </w:r>
    </w:p>
    <w:p w14:paraId="7871A06B">
      <w:pPr>
        <w:spacing w:line="430" w:lineRule="exact"/>
        <w:ind w:firstLine="420" w:firstLineChars="175"/>
        <w:rPr>
          <w:rFonts w:ascii="宋体" w:hAnsi="宋体" w:cs="宋体"/>
          <w:color w:val="auto"/>
          <w:sz w:val="24"/>
        </w:rPr>
      </w:pPr>
      <w:r>
        <w:rPr>
          <w:rFonts w:hint="eastAsia" w:ascii="宋体" w:hAnsi="宋体" w:cs="宋体"/>
          <w:color w:val="auto"/>
          <w:sz w:val="24"/>
        </w:rPr>
        <w:t>2）未采用人民币报价或者未按照磋商文件标明的币种报价；</w:t>
      </w:r>
    </w:p>
    <w:p w14:paraId="0AFAA7E8">
      <w:pPr>
        <w:spacing w:line="430" w:lineRule="exact"/>
        <w:ind w:firstLine="420" w:firstLineChars="175"/>
        <w:rPr>
          <w:rFonts w:ascii="宋体" w:hAnsi="宋体" w:cs="宋体"/>
          <w:color w:val="auto"/>
          <w:sz w:val="24"/>
        </w:rPr>
      </w:pPr>
      <w:r>
        <w:rPr>
          <w:rFonts w:hint="eastAsia" w:ascii="宋体" w:hAnsi="宋体" w:cs="宋体"/>
          <w:color w:val="auto"/>
          <w:sz w:val="24"/>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24E677B">
      <w:pPr>
        <w:spacing w:line="430" w:lineRule="exact"/>
        <w:ind w:firstLine="420" w:firstLineChars="175"/>
        <w:rPr>
          <w:rFonts w:ascii="宋体" w:hAnsi="宋体" w:cs="宋体"/>
          <w:color w:val="auto"/>
          <w:sz w:val="24"/>
        </w:rPr>
      </w:pPr>
      <w:r>
        <w:rPr>
          <w:rFonts w:hint="eastAsia" w:ascii="宋体" w:hAnsi="宋体" w:cs="宋体"/>
          <w:color w:val="auto"/>
          <w:sz w:val="24"/>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3369A7B">
      <w:pPr>
        <w:spacing w:line="430" w:lineRule="exact"/>
        <w:ind w:firstLine="420" w:firstLineChars="175"/>
        <w:rPr>
          <w:rFonts w:ascii="宋体" w:hAnsi="宋体" w:cs="宋体"/>
          <w:color w:val="auto"/>
          <w:sz w:val="24"/>
        </w:rPr>
      </w:pPr>
      <w:r>
        <w:rPr>
          <w:rFonts w:hint="eastAsia" w:ascii="宋体" w:hAnsi="宋体" w:cs="宋体"/>
          <w:color w:val="auto"/>
          <w:sz w:val="24"/>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1197E1D">
      <w:pPr>
        <w:spacing w:line="430" w:lineRule="exact"/>
        <w:ind w:firstLine="420" w:firstLineChars="175"/>
        <w:rPr>
          <w:rFonts w:ascii="宋体" w:hAnsi="宋体" w:cs="宋体"/>
          <w:color w:val="auto"/>
          <w:sz w:val="24"/>
        </w:rPr>
      </w:pPr>
      <w:r>
        <w:rPr>
          <w:rFonts w:hint="eastAsia" w:ascii="宋体" w:hAnsi="宋体" w:cs="宋体"/>
          <w:color w:val="auto"/>
          <w:sz w:val="24"/>
        </w:rPr>
        <w:t>6）响应文件响应的标的数量及单位与竞争性磋商采购文件要求实质性不一致的。</w:t>
      </w:r>
    </w:p>
    <w:p w14:paraId="733F9E01">
      <w:pPr>
        <w:spacing w:line="430" w:lineRule="exact"/>
        <w:ind w:firstLine="420" w:firstLineChars="175"/>
        <w:rPr>
          <w:rFonts w:ascii="宋体" w:hAnsi="宋体" w:cs="宋体"/>
          <w:color w:val="auto"/>
          <w:sz w:val="24"/>
        </w:rPr>
      </w:pPr>
      <w:r>
        <w:rPr>
          <w:rFonts w:hint="eastAsia" w:ascii="宋体" w:hAnsi="宋体" w:cs="宋体"/>
          <w:color w:val="auto"/>
          <w:sz w:val="24"/>
        </w:rPr>
        <w:t>（2）商务资信评审</w:t>
      </w:r>
    </w:p>
    <w:p w14:paraId="4D779BF1">
      <w:pPr>
        <w:spacing w:line="430" w:lineRule="exact"/>
        <w:ind w:firstLine="420" w:firstLineChars="175"/>
        <w:rPr>
          <w:rFonts w:ascii="宋体" w:hAnsi="宋体" w:cs="宋体"/>
          <w:color w:val="auto"/>
          <w:sz w:val="24"/>
        </w:rPr>
      </w:pPr>
      <w:r>
        <w:rPr>
          <w:rFonts w:hint="eastAsia" w:ascii="宋体" w:hAnsi="宋体" w:cs="宋体"/>
          <w:color w:val="auto"/>
          <w:sz w:val="24"/>
        </w:rPr>
        <w:t>1）响应文件未按磋商文件要求签署、盖章；委托代理人未能出具有效身份证明或者出具的身份证明与授权委托书中的信息不符；</w:t>
      </w:r>
    </w:p>
    <w:p w14:paraId="1EDAF6E4">
      <w:pPr>
        <w:spacing w:line="430" w:lineRule="exact"/>
        <w:ind w:firstLine="420" w:firstLineChars="175"/>
        <w:rPr>
          <w:rFonts w:ascii="宋体" w:hAnsi="宋体" w:cs="宋体"/>
          <w:color w:val="auto"/>
          <w:sz w:val="24"/>
        </w:rPr>
      </w:pPr>
      <w:r>
        <w:rPr>
          <w:rFonts w:hint="eastAsia" w:ascii="宋体" w:hAnsi="宋体" w:cs="宋体"/>
          <w:color w:val="auto"/>
          <w:sz w:val="24"/>
        </w:rPr>
        <w:t>2）响应文件未提供任一项“供应商须知”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12E03E57">
      <w:pPr>
        <w:spacing w:line="430" w:lineRule="exact"/>
        <w:ind w:firstLine="420" w:firstLineChars="175"/>
        <w:rPr>
          <w:rFonts w:ascii="宋体" w:hAnsi="宋体" w:cs="宋体"/>
          <w:color w:val="auto"/>
          <w:sz w:val="24"/>
        </w:rPr>
      </w:pPr>
      <w:r>
        <w:rPr>
          <w:rFonts w:hint="eastAsia" w:ascii="宋体" w:hAnsi="宋体" w:cs="宋体"/>
          <w:color w:val="auto"/>
          <w:sz w:val="24"/>
        </w:rPr>
        <w:t>3）商务条款中标“▲”的条款发生负偏离的或者允许负偏离的条款数超过“供应商须知前附表”规定项数的或者标明实质性的要求发生负偏离；</w:t>
      </w:r>
    </w:p>
    <w:p w14:paraId="027D6C9C">
      <w:pPr>
        <w:spacing w:line="430" w:lineRule="exact"/>
        <w:ind w:firstLine="420" w:firstLineChars="175"/>
        <w:rPr>
          <w:rFonts w:ascii="宋体" w:hAnsi="宋体" w:cs="宋体"/>
          <w:color w:val="auto"/>
          <w:sz w:val="24"/>
        </w:rPr>
      </w:pPr>
      <w:r>
        <w:rPr>
          <w:rFonts w:hint="eastAsia" w:ascii="宋体" w:hAnsi="宋体" w:cs="宋体"/>
          <w:color w:val="auto"/>
          <w:sz w:val="24"/>
        </w:rPr>
        <w:t>4）未对竞标有效期作出响应或者响应文件承诺的竞标有效期不满足磋商文件要求；</w:t>
      </w:r>
    </w:p>
    <w:p w14:paraId="4C8E3D1C">
      <w:pPr>
        <w:spacing w:line="430" w:lineRule="exact"/>
        <w:ind w:firstLine="420" w:firstLineChars="175"/>
        <w:rPr>
          <w:rFonts w:ascii="宋体" w:hAnsi="宋体" w:cs="宋体"/>
          <w:color w:val="auto"/>
          <w:sz w:val="24"/>
        </w:rPr>
      </w:pPr>
      <w:r>
        <w:rPr>
          <w:rFonts w:hint="eastAsia" w:ascii="宋体" w:hAnsi="宋体" w:cs="宋体"/>
          <w:color w:val="auto"/>
          <w:sz w:val="24"/>
        </w:rPr>
        <w:t>5）属于“供应商须知正文”第21条“无效响应的情形”中的任一情形；</w:t>
      </w:r>
    </w:p>
    <w:p w14:paraId="1D883E8F">
      <w:pPr>
        <w:spacing w:line="430" w:lineRule="exact"/>
        <w:ind w:firstLine="420" w:firstLineChars="175"/>
        <w:rPr>
          <w:rFonts w:ascii="宋体" w:hAnsi="宋体" w:cs="宋体"/>
          <w:color w:val="auto"/>
          <w:sz w:val="24"/>
        </w:rPr>
      </w:pPr>
      <w:r>
        <w:rPr>
          <w:rFonts w:hint="eastAsia" w:ascii="宋体" w:hAnsi="宋体" w:cs="宋体"/>
          <w:color w:val="auto"/>
          <w:sz w:val="24"/>
        </w:rPr>
        <w:t>6）法律、法规和磋商文件规定的其他无效情形。</w:t>
      </w:r>
    </w:p>
    <w:p w14:paraId="115E67ED">
      <w:pPr>
        <w:spacing w:line="430" w:lineRule="exact"/>
        <w:ind w:firstLine="420" w:firstLineChars="175"/>
        <w:rPr>
          <w:rFonts w:ascii="宋体" w:hAnsi="宋体" w:cs="宋体"/>
          <w:color w:val="auto"/>
          <w:sz w:val="24"/>
        </w:rPr>
      </w:pPr>
      <w:r>
        <w:rPr>
          <w:rFonts w:hint="eastAsia" w:ascii="宋体" w:hAnsi="宋体" w:cs="宋体"/>
          <w:color w:val="auto"/>
          <w:sz w:val="24"/>
        </w:rPr>
        <w:t>（3）技术评审</w:t>
      </w:r>
    </w:p>
    <w:p w14:paraId="090A2451">
      <w:pPr>
        <w:spacing w:line="430" w:lineRule="exact"/>
        <w:ind w:firstLine="420" w:firstLineChars="175"/>
        <w:rPr>
          <w:rFonts w:ascii="宋体" w:hAnsi="宋体" w:cs="宋体"/>
          <w:color w:val="auto"/>
          <w:sz w:val="24"/>
        </w:rPr>
      </w:pPr>
      <w:r>
        <w:rPr>
          <w:rFonts w:hint="eastAsia" w:ascii="宋体" w:hAnsi="宋体" w:cs="宋体"/>
          <w:color w:val="auto"/>
          <w:sz w:val="24"/>
        </w:rPr>
        <w:t>1）技术需求允许负偏离的条款数超过“供应商须知”规定项数；</w:t>
      </w:r>
    </w:p>
    <w:p w14:paraId="485E59D9">
      <w:pPr>
        <w:spacing w:line="430" w:lineRule="exact"/>
        <w:ind w:firstLine="420" w:firstLineChars="175"/>
        <w:rPr>
          <w:rFonts w:ascii="宋体" w:hAnsi="宋体" w:cs="宋体"/>
          <w:color w:val="auto"/>
          <w:sz w:val="24"/>
        </w:rPr>
      </w:pPr>
      <w:r>
        <w:rPr>
          <w:rFonts w:hint="eastAsia" w:ascii="宋体" w:hAnsi="宋体" w:cs="宋体"/>
          <w:color w:val="auto"/>
          <w:sz w:val="24"/>
        </w:rPr>
        <w:t>2）虚假竞标，或者出现其他情形而导致被磋商小组认定无效；</w:t>
      </w:r>
    </w:p>
    <w:p w14:paraId="0A67DB14">
      <w:pPr>
        <w:spacing w:line="430" w:lineRule="exact"/>
        <w:ind w:firstLine="420" w:firstLineChars="175"/>
        <w:rPr>
          <w:rFonts w:ascii="宋体" w:hAnsi="宋体" w:cs="宋体"/>
          <w:color w:val="auto"/>
          <w:sz w:val="24"/>
        </w:rPr>
      </w:pPr>
      <w:r>
        <w:rPr>
          <w:rFonts w:hint="eastAsia" w:ascii="宋体" w:hAnsi="宋体" w:cs="宋体"/>
          <w:color w:val="auto"/>
          <w:sz w:val="24"/>
        </w:rPr>
        <w:t>3）竞标技术方案不明确，磋商文件未允许但响应文件中存在一个或者一个以上备选（替代）竞标方案。</w:t>
      </w:r>
    </w:p>
    <w:p w14:paraId="59ACAB97">
      <w:pPr>
        <w:spacing w:line="430" w:lineRule="exact"/>
        <w:ind w:firstLine="420" w:firstLineChars="175"/>
        <w:rPr>
          <w:rFonts w:ascii="宋体" w:hAnsi="宋体" w:cs="宋体"/>
          <w:color w:val="auto"/>
          <w:sz w:val="24"/>
        </w:rPr>
      </w:pPr>
      <w:r>
        <w:rPr>
          <w:rFonts w:hint="eastAsia" w:ascii="宋体" w:hAnsi="宋体" w:cs="宋体"/>
          <w:color w:val="auto"/>
          <w:sz w:val="24"/>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9CEE5F3">
      <w:pPr>
        <w:spacing w:line="430" w:lineRule="exact"/>
        <w:ind w:firstLine="420" w:firstLineChars="175"/>
        <w:rPr>
          <w:rFonts w:ascii="宋体" w:hAnsi="宋体" w:cs="宋体"/>
          <w:color w:val="auto"/>
          <w:sz w:val="24"/>
        </w:rPr>
      </w:pPr>
      <w:r>
        <w:rPr>
          <w:rFonts w:hint="eastAsia" w:ascii="宋体" w:hAnsi="宋体" w:cs="宋体"/>
          <w:color w:val="auto"/>
          <w:sz w:val="24"/>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C06FA24">
      <w:pPr>
        <w:spacing w:line="430" w:lineRule="exact"/>
        <w:ind w:firstLine="422" w:firstLineChars="175"/>
        <w:rPr>
          <w:rFonts w:ascii="宋体" w:hAnsi="宋体" w:cs="宋体"/>
          <w:b/>
          <w:bCs/>
          <w:color w:val="auto"/>
          <w:sz w:val="24"/>
        </w:rPr>
      </w:pPr>
      <w:r>
        <w:rPr>
          <w:rFonts w:hint="eastAsia" w:ascii="宋体" w:hAnsi="宋体" w:cs="宋体"/>
          <w:b/>
          <w:bCs/>
          <w:color w:val="auto"/>
          <w:sz w:val="24"/>
        </w:rPr>
        <w:t>4.磋商程序</w:t>
      </w:r>
    </w:p>
    <w:p w14:paraId="7EEC5F06">
      <w:pPr>
        <w:spacing w:line="430" w:lineRule="exact"/>
        <w:ind w:firstLine="420" w:firstLineChars="175"/>
        <w:rPr>
          <w:rFonts w:ascii="宋体" w:hAnsi="宋体" w:cs="宋体"/>
          <w:color w:val="auto"/>
          <w:kern w:val="0"/>
          <w:sz w:val="24"/>
        </w:rPr>
      </w:pPr>
      <w:r>
        <w:rPr>
          <w:rFonts w:hint="eastAsia" w:ascii="宋体" w:hAnsi="宋体" w:cs="宋体"/>
          <w:color w:val="auto"/>
          <w:kern w:val="0"/>
          <w:sz w:val="24"/>
        </w:rPr>
        <w:t>4.1磋商小组按照“供应商须知前附表”</w:t>
      </w:r>
      <w:r>
        <w:rPr>
          <w:rFonts w:hint="eastAsia" w:ascii="宋体" w:hAnsi="宋体" w:cs="宋体"/>
          <w:color w:val="auto"/>
          <w:sz w:val="24"/>
        </w:rPr>
        <w:t xml:space="preserve"> </w:t>
      </w:r>
      <w:r>
        <w:rPr>
          <w:rFonts w:hint="eastAsia" w:ascii="宋体" w:hAnsi="宋体" w:cs="宋体"/>
          <w:color w:val="auto"/>
          <w:kern w:val="0"/>
          <w:sz w:val="24"/>
        </w:rPr>
        <w:t>确定的</w:t>
      </w:r>
      <w:r>
        <w:rPr>
          <w:rFonts w:hint="eastAsia" w:ascii="宋体" w:hAnsi="宋体" w:cs="宋体"/>
          <w:color w:val="auto"/>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3AFBC3">
      <w:pPr>
        <w:spacing w:line="430" w:lineRule="exact"/>
        <w:ind w:firstLine="420" w:firstLineChars="175"/>
        <w:rPr>
          <w:rFonts w:ascii="宋体" w:hAnsi="宋体" w:cs="宋体"/>
          <w:color w:val="auto"/>
          <w:sz w:val="24"/>
        </w:rPr>
      </w:pPr>
      <w:r>
        <w:rPr>
          <w:rFonts w:hint="eastAsia" w:ascii="宋体" w:hAnsi="宋体" w:cs="宋体"/>
          <w:color w:val="auto"/>
          <w:sz w:val="24"/>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D5F8943">
      <w:pPr>
        <w:spacing w:line="430" w:lineRule="exact"/>
        <w:ind w:firstLine="420" w:firstLineChars="175"/>
        <w:rPr>
          <w:rFonts w:ascii="宋体" w:hAnsi="宋体" w:cs="宋体"/>
          <w:color w:val="auto"/>
          <w:sz w:val="24"/>
        </w:rPr>
      </w:pPr>
      <w:r>
        <w:rPr>
          <w:rFonts w:hint="eastAsia" w:ascii="宋体" w:hAnsi="宋体" w:cs="宋体"/>
          <w:color w:val="auto"/>
          <w:sz w:val="24"/>
        </w:rPr>
        <w:t>4.3对磋商文件作出的实质性变动是磋商文件的有效组成部分，由磋商小组及时以电子澄清函形式同时通知所有参加磋商的供应商。</w:t>
      </w:r>
    </w:p>
    <w:p w14:paraId="2AC9F4E8">
      <w:pPr>
        <w:spacing w:line="430" w:lineRule="exact"/>
        <w:ind w:firstLine="420" w:firstLineChars="175"/>
        <w:rPr>
          <w:rFonts w:ascii="宋体" w:hAnsi="宋体" w:cs="宋体"/>
          <w:color w:val="auto"/>
          <w:sz w:val="24"/>
        </w:rPr>
      </w:pPr>
      <w:r>
        <w:rPr>
          <w:rFonts w:hint="eastAsia" w:ascii="宋体" w:hAnsi="宋体" w:cs="宋体"/>
          <w:color w:val="auto"/>
          <w:sz w:val="24"/>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66D4755">
      <w:pPr>
        <w:spacing w:line="430" w:lineRule="exact"/>
        <w:ind w:firstLine="420" w:firstLineChars="175"/>
        <w:rPr>
          <w:rFonts w:ascii="宋体" w:hAnsi="宋体" w:cs="宋体"/>
          <w:color w:val="auto"/>
          <w:sz w:val="24"/>
        </w:rPr>
      </w:pPr>
      <w:r>
        <w:rPr>
          <w:rFonts w:hint="eastAsia" w:ascii="宋体" w:hAnsi="宋体" w:cs="宋体"/>
          <w:color w:val="auto"/>
          <w:sz w:val="24"/>
        </w:rPr>
        <w:t>4.5磋商中，</w:t>
      </w:r>
      <w:r>
        <w:rPr>
          <w:rFonts w:hint="eastAsia" w:ascii="宋体" w:hAnsi="宋体" w:cs="宋体"/>
          <w:color w:val="auto"/>
          <w:spacing w:val="-6"/>
          <w:sz w:val="24"/>
        </w:rPr>
        <w:t>磋商的任何一方不得透露与磋商有关的其他供应商的技术资料、价格和其他信息。</w:t>
      </w:r>
    </w:p>
    <w:p w14:paraId="4E1AA5BC">
      <w:pPr>
        <w:widowControl/>
        <w:tabs>
          <w:tab w:val="left" w:pos="540"/>
        </w:tabs>
        <w:spacing w:line="430" w:lineRule="exact"/>
        <w:ind w:firstLine="420" w:firstLineChars="175"/>
        <w:jc w:val="left"/>
        <w:rPr>
          <w:rFonts w:ascii="宋体" w:hAnsi="宋体" w:cs="宋体"/>
          <w:b/>
          <w:color w:val="auto"/>
          <w:sz w:val="24"/>
        </w:rPr>
      </w:pPr>
      <w:r>
        <w:rPr>
          <w:rFonts w:hint="eastAsia" w:ascii="宋体" w:hAnsi="宋体" w:cs="宋体"/>
          <w:color w:val="auto"/>
          <w:sz w:val="24"/>
        </w:rPr>
        <w:t>4.6磋商小组应对磋商过程和重要磋商内容进行记录，作为评标报告一部分，磋商小组在记录上签字确认。</w:t>
      </w:r>
      <w:r>
        <w:rPr>
          <w:rFonts w:hint="eastAsia" w:ascii="宋体" w:hAnsi="宋体" w:cs="宋体"/>
          <w:b/>
          <w:color w:val="auto"/>
          <w:sz w:val="24"/>
        </w:rPr>
        <w:t>主要内容包括：</w:t>
      </w:r>
    </w:p>
    <w:p w14:paraId="1E684BD7">
      <w:pPr>
        <w:pStyle w:val="33"/>
        <w:spacing w:before="0" w:line="430" w:lineRule="exact"/>
        <w:ind w:firstLine="399" w:firstLineChars="175"/>
        <w:rPr>
          <w:rFonts w:ascii="宋体" w:hAnsi="宋体" w:cs="宋体"/>
          <w:color w:val="auto"/>
          <w:spacing w:val="-6"/>
          <w:kern w:val="2"/>
          <w:szCs w:val="24"/>
        </w:rPr>
      </w:pPr>
      <w:r>
        <w:rPr>
          <w:rFonts w:hint="eastAsia" w:ascii="宋体" w:hAnsi="宋体" w:cs="宋体"/>
          <w:color w:val="auto"/>
          <w:spacing w:val="-6"/>
          <w:kern w:val="2"/>
          <w:szCs w:val="24"/>
        </w:rPr>
        <w:t>（1）按照相关规定进行公示的，公示情况说明；</w:t>
      </w:r>
    </w:p>
    <w:p w14:paraId="2CE89FF6">
      <w:pPr>
        <w:pStyle w:val="33"/>
        <w:spacing w:before="0" w:line="430" w:lineRule="exact"/>
        <w:ind w:firstLine="399" w:firstLineChars="175"/>
        <w:rPr>
          <w:rFonts w:ascii="宋体" w:hAnsi="宋体" w:cs="宋体"/>
          <w:color w:val="auto"/>
          <w:spacing w:val="-6"/>
          <w:kern w:val="2"/>
          <w:szCs w:val="24"/>
        </w:rPr>
      </w:pPr>
      <w:r>
        <w:rPr>
          <w:rFonts w:hint="eastAsia" w:ascii="宋体" w:hAnsi="宋体" w:cs="宋体"/>
          <w:color w:val="auto"/>
          <w:spacing w:val="-6"/>
          <w:kern w:val="2"/>
          <w:szCs w:val="24"/>
        </w:rPr>
        <w:t>（2）磋商日期和地点，磋商人员名单；</w:t>
      </w:r>
    </w:p>
    <w:p w14:paraId="042DAEC6">
      <w:pPr>
        <w:pStyle w:val="33"/>
        <w:spacing w:before="0" w:line="430" w:lineRule="exact"/>
        <w:ind w:firstLine="399" w:firstLineChars="175"/>
        <w:rPr>
          <w:rFonts w:ascii="宋体" w:hAnsi="宋体" w:cs="宋体"/>
          <w:color w:val="auto"/>
          <w:spacing w:val="-6"/>
          <w:kern w:val="2"/>
          <w:szCs w:val="24"/>
        </w:rPr>
      </w:pPr>
      <w:r>
        <w:rPr>
          <w:rFonts w:hint="eastAsia" w:ascii="宋体" w:hAnsi="宋体" w:cs="宋体"/>
          <w:color w:val="auto"/>
          <w:spacing w:val="-6"/>
          <w:kern w:val="2"/>
          <w:szCs w:val="24"/>
        </w:rPr>
        <w:t>（3）合同主要条款及价格商定情况。</w:t>
      </w:r>
    </w:p>
    <w:p w14:paraId="0CB7137D">
      <w:pPr>
        <w:widowControl/>
        <w:tabs>
          <w:tab w:val="left" w:pos="540"/>
        </w:tabs>
        <w:spacing w:line="430" w:lineRule="exact"/>
        <w:ind w:firstLine="420" w:firstLineChars="175"/>
        <w:jc w:val="left"/>
        <w:rPr>
          <w:rFonts w:ascii="宋体" w:hAnsi="宋体" w:cs="宋体"/>
          <w:color w:val="auto"/>
          <w:sz w:val="24"/>
        </w:rPr>
      </w:pPr>
      <w:r>
        <w:rPr>
          <w:rFonts w:hint="eastAsia" w:ascii="宋体" w:hAnsi="宋体" w:cs="宋体"/>
          <w:color w:val="auto"/>
          <w:sz w:val="24"/>
        </w:rPr>
        <w:t>4.7磋商过程中重新提交的响应文件，供应商可以在开启前补充、修改。</w:t>
      </w:r>
    </w:p>
    <w:p w14:paraId="5E2F7210">
      <w:pPr>
        <w:tabs>
          <w:tab w:val="left" w:pos="2835"/>
        </w:tabs>
        <w:spacing w:line="430" w:lineRule="exact"/>
        <w:ind w:firstLine="420" w:firstLineChars="175"/>
        <w:rPr>
          <w:rFonts w:ascii="宋体" w:hAnsi="宋体" w:cs="宋体"/>
          <w:color w:val="auto"/>
          <w:sz w:val="24"/>
        </w:rPr>
      </w:pPr>
      <w:r>
        <w:rPr>
          <w:rFonts w:hint="eastAsia" w:ascii="宋体" w:hAnsi="宋体" w:cs="宋体"/>
          <w:color w:val="auto"/>
          <w:sz w:val="24"/>
        </w:rPr>
        <w:t>4.8对磋商过程提交的响应文件进行有效性、完整性和响应程度审查，通过审查的合格供应商不足3家的，采购人或者采购代理机构应当重新开展采购活动。</w:t>
      </w:r>
    </w:p>
    <w:p w14:paraId="76B1B442">
      <w:pPr>
        <w:spacing w:line="430" w:lineRule="exact"/>
        <w:ind w:firstLine="422" w:firstLineChars="175"/>
        <w:rPr>
          <w:rFonts w:ascii="宋体" w:hAnsi="宋体" w:cs="宋体"/>
          <w:color w:val="auto"/>
          <w:sz w:val="24"/>
        </w:rPr>
      </w:pPr>
      <w:r>
        <w:rPr>
          <w:rFonts w:hint="eastAsia" w:ascii="宋体" w:hAnsi="宋体" w:cs="宋体"/>
          <w:b/>
          <w:bCs/>
          <w:color w:val="auto"/>
          <w:sz w:val="24"/>
        </w:rPr>
        <w:t>5.最后报价</w:t>
      </w:r>
    </w:p>
    <w:p w14:paraId="6BDF61EC">
      <w:pPr>
        <w:spacing w:line="430" w:lineRule="exact"/>
        <w:ind w:firstLine="420" w:firstLineChars="175"/>
        <w:rPr>
          <w:rFonts w:ascii="宋体" w:hAnsi="宋体" w:cs="宋体"/>
          <w:color w:val="auto"/>
          <w:sz w:val="24"/>
        </w:rPr>
      </w:pPr>
      <w:r>
        <w:rPr>
          <w:rFonts w:hint="eastAsia" w:ascii="宋体" w:hAnsi="宋体" w:cs="宋体"/>
          <w:color w:val="auto"/>
          <w:sz w:val="24"/>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0DC0899">
      <w:pPr>
        <w:spacing w:line="430" w:lineRule="exact"/>
        <w:ind w:firstLine="420" w:firstLineChars="175"/>
        <w:rPr>
          <w:rFonts w:ascii="宋体" w:hAnsi="宋体" w:cs="宋体"/>
          <w:color w:val="auto"/>
          <w:sz w:val="24"/>
        </w:rPr>
      </w:pPr>
      <w:r>
        <w:rPr>
          <w:rFonts w:hint="eastAsia" w:ascii="宋体" w:hAnsi="宋体" w:cs="宋体"/>
          <w:color w:val="auto"/>
          <w:sz w:val="24"/>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8B98C2F">
      <w:pPr>
        <w:spacing w:line="430" w:lineRule="exact"/>
        <w:ind w:firstLine="420" w:firstLineChars="175"/>
        <w:rPr>
          <w:rFonts w:ascii="宋体" w:hAnsi="宋体" w:cs="宋体"/>
          <w:color w:val="auto"/>
          <w:sz w:val="24"/>
        </w:rPr>
      </w:pPr>
      <w:r>
        <w:rPr>
          <w:rFonts w:hint="eastAsia" w:ascii="宋体" w:hAnsi="宋体" w:cs="宋体"/>
          <w:color w:val="auto"/>
          <w:sz w:val="24"/>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5A5C4D5">
      <w:pPr>
        <w:spacing w:line="430" w:lineRule="exact"/>
        <w:ind w:firstLine="420" w:firstLineChars="175"/>
        <w:rPr>
          <w:rFonts w:ascii="宋体" w:hAnsi="宋体" w:cs="宋体"/>
          <w:color w:val="auto"/>
          <w:sz w:val="24"/>
        </w:rPr>
      </w:pPr>
      <w:r>
        <w:rPr>
          <w:rFonts w:hint="eastAsia" w:ascii="宋体" w:hAnsi="宋体" w:cs="宋体"/>
          <w:color w:val="auto"/>
          <w:sz w:val="24"/>
        </w:rPr>
        <w:t>5.4已经提交响应文件的供应商，在提交最后报价之前，可以根据磋商情况退出磋商，退出磋商的供应商的响应文件按无效响应处理。</w:t>
      </w:r>
    </w:p>
    <w:p w14:paraId="7545ADC9">
      <w:pPr>
        <w:spacing w:line="430" w:lineRule="exact"/>
        <w:ind w:firstLine="420" w:firstLineChars="175"/>
        <w:rPr>
          <w:rFonts w:ascii="宋体" w:hAnsi="宋体" w:cs="宋体"/>
          <w:color w:val="auto"/>
          <w:sz w:val="24"/>
        </w:rPr>
      </w:pPr>
      <w:r>
        <w:rPr>
          <w:rFonts w:hint="eastAsia" w:ascii="宋体" w:hAnsi="宋体" w:cs="宋体"/>
          <w:color w:val="auto"/>
          <w:sz w:val="24"/>
        </w:rPr>
        <w:t>5.5供应商未在规定时间内提交最后报价的，视同退出磋商。</w:t>
      </w:r>
    </w:p>
    <w:p w14:paraId="56A0D3A4">
      <w:pPr>
        <w:spacing w:line="430" w:lineRule="exact"/>
        <w:ind w:firstLine="420" w:firstLineChars="175"/>
        <w:rPr>
          <w:rFonts w:ascii="宋体" w:hAnsi="宋体" w:cs="宋体"/>
          <w:color w:val="auto"/>
          <w:sz w:val="24"/>
        </w:rPr>
      </w:pPr>
      <w:r>
        <w:rPr>
          <w:rFonts w:hint="eastAsia" w:ascii="宋体" w:hAnsi="宋体" w:cs="宋体"/>
          <w:color w:val="auto"/>
          <w:sz w:val="24"/>
        </w:rPr>
        <w:t>5.6磋商小组收齐某一分标最后报价后统一开启，磋商小组对最后报价进行有效性、完整性和响应程度的审查。</w:t>
      </w:r>
    </w:p>
    <w:p w14:paraId="47CDB25F">
      <w:pPr>
        <w:spacing w:line="430" w:lineRule="exact"/>
        <w:ind w:firstLine="420" w:firstLineChars="175"/>
        <w:rPr>
          <w:rFonts w:ascii="宋体" w:hAnsi="宋体" w:cs="宋体"/>
          <w:color w:val="auto"/>
          <w:sz w:val="24"/>
        </w:rPr>
      </w:pPr>
      <w:r>
        <w:rPr>
          <w:rFonts w:hint="eastAsia" w:ascii="宋体" w:hAnsi="宋体" w:cs="宋体"/>
          <w:color w:val="auto"/>
          <w:sz w:val="24"/>
        </w:rPr>
        <w:t xml:space="preserve">5.7最终响应文件的报价出现前后不一致的，按照本章第3.4条的规定修正。 </w:t>
      </w:r>
    </w:p>
    <w:p w14:paraId="0A462CA5">
      <w:pPr>
        <w:spacing w:line="430" w:lineRule="exact"/>
        <w:ind w:firstLine="420" w:firstLineChars="175"/>
        <w:rPr>
          <w:rFonts w:ascii="宋体" w:hAnsi="宋体" w:cs="宋体"/>
          <w:color w:val="auto"/>
          <w:sz w:val="24"/>
        </w:rPr>
      </w:pPr>
      <w:r>
        <w:rPr>
          <w:rFonts w:hint="eastAsia" w:ascii="宋体" w:hAnsi="宋体" w:cs="宋体"/>
          <w:color w:val="auto"/>
          <w:sz w:val="24"/>
        </w:rPr>
        <w:t>5.8修正后的最终报价出现下列情形的，按无效响应处理：</w:t>
      </w:r>
    </w:p>
    <w:p w14:paraId="669B06E3">
      <w:pPr>
        <w:spacing w:line="430" w:lineRule="exact"/>
        <w:ind w:firstLine="420" w:firstLineChars="175"/>
        <w:rPr>
          <w:rFonts w:ascii="宋体" w:hAnsi="宋体" w:cs="宋体"/>
          <w:color w:val="auto"/>
          <w:sz w:val="24"/>
        </w:rPr>
      </w:pPr>
      <w:r>
        <w:rPr>
          <w:rFonts w:hint="eastAsia" w:ascii="宋体" w:hAnsi="宋体" w:cs="宋体"/>
          <w:color w:val="auto"/>
          <w:sz w:val="24"/>
        </w:rPr>
        <w:t>（1）供应商不确认的（全流程电子化评标采取在线确认）；</w:t>
      </w:r>
    </w:p>
    <w:p w14:paraId="1A82E69B">
      <w:pPr>
        <w:spacing w:line="430" w:lineRule="exact"/>
        <w:ind w:firstLine="420" w:firstLineChars="175"/>
        <w:rPr>
          <w:rFonts w:ascii="宋体" w:hAnsi="宋体" w:cs="宋体"/>
          <w:color w:val="auto"/>
          <w:sz w:val="24"/>
        </w:rPr>
      </w:pPr>
      <w:r>
        <w:rPr>
          <w:rFonts w:hint="eastAsia" w:ascii="宋体" w:hAnsi="宋体" w:cs="宋体"/>
          <w:color w:val="auto"/>
          <w:sz w:val="24"/>
        </w:rPr>
        <w:t>（2）经供应商确认修正后的响应报价（包含首次报价、最后报价）超过所竞标分标规定的采购预算金额或者最高限价的（如本项目公布了最高限价）；</w:t>
      </w:r>
    </w:p>
    <w:p w14:paraId="6F2BBA14">
      <w:pPr>
        <w:spacing w:line="430" w:lineRule="exact"/>
        <w:ind w:firstLine="420" w:firstLineChars="175"/>
        <w:rPr>
          <w:rFonts w:ascii="宋体" w:hAnsi="宋体" w:cs="宋体"/>
          <w:color w:val="auto"/>
          <w:sz w:val="24"/>
        </w:rPr>
      </w:pPr>
      <w:r>
        <w:rPr>
          <w:rFonts w:hint="eastAsia" w:ascii="宋体" w:hAnsi="宋体" w:cs="宋体"/>
          <w:color w:val="auto"/>
          <w:sz w:val="24"/>
        </w:rPr>
        <w:t>（3）经供应商确认修正后的响应报价（包含首次报价、最后报价）超过分项采购预算金额或者最高限价的（如本项目公布了最高限价）。</w:t>
      </w:r>
    </w:p>
    <w:p w14:paraId="41FA519D">
      <w:pPr>
        <w:spacing w:line="430" w:lineRule="exact"/>
        <w:ind w:firstLine="420" w:firstLineChars="175"/>
        <w:rPr>
          <w:rFonts w:ascii="宋体" w:hAnsi="宋体" w:cs="宋体"/>
          <w:color w:val="auto"/>
          <w:sz w:val="24"/>
        </w:rPr>
      </w:pPr>
      <w:r>
        <w:rPr>
          <w:rFonts w:hint="eastAsia" w:ascii="宋体" w:hAnsi="宋体" w:cs="宋体"/>
          <w:color w:val="auto"/>
          <w:sz w:val="24"/>
        </w:rPr>
        <w:t>5.9经供应商确认修正后的最后报价作为评审及签订合同的依据。</w:t>
      </w:r>
    </w:p>
    <w:p w14:paraId="292E2422">
      <w:pPr>
        <w:spacing w:line="430" w:lineRule="exact"/>
        <w:ind w:firstLine="420" w:firstLineChars="175"/>
        <w:rPr>
          <w:rFonts w:ascii="宋体" w:hAnsi="宋体" w:cs="宋体"/>
          <w:color w:val="auto"/>
          <w:sz w:val="24"/>
        </w:rPr>
      </w:pPr>
      <w:r>
        <w:rPr>
          <w:rFonts w:hint="eastAsia" w:ascii="宋体" w:hAnsi="宋体" w:cs="宋体"/>
          <w:color w:val="auto"/>
          <w:sz w:val="24"/>
        </w:rPr>
        <w:t>5.10供应商出现最后报价按无效响应处理或者响应文件按无效处理时，磋商小组应当告知有关供应商。</w:t>
      </w:r>
    </w:p>
    <w:p w14:paraId="4A385B16">
      <w:pPr>
        <w:spacing w:line="430" w:lineRule="exact"/>
        <w:ind w:firstLine="420" w:firstLineChars="175"/>
        <w:rPr>
          <w:rFonts w:ascii="宋体" w:hAnsi="宋体" w:cs="宋体"/>
          <w:color w:val="auto"/>
          <w:sz w:val="24"/>
        </w:rPr>
      </w:pPr>
      <w:r>
        <w:rPr>
          <w:rFonts w:hint="eastAsia" w:ascii="宋体" w:hAnsi="宋体" w:cs="宋体"/>
          <w:color w:val="auto"/>
          <w:sz w:val="24"/>
        </w:rPr>
        <w:t>5.11最后报价结束后，磋商小组不得再与供应商进行任何形式的商谈。</w:t>
      </w:r>
    </w:p>
    <w:p w14:paraId="3FD1AF2D">
      <w:pPr>
        <w:spacing w:line="430" w:lineRule="exact"/>
        <w:ind w:firstLine="422" w:firstLineChars="175"/>
        <w:rPr>
          <w:rFonts w:ascii="宋体" w:hAnsi="宋体" w:cs="宋体"/>
          <w:b/>
          <w:bCs/>
          <w:color w:val="auto"/>
          <w:sz w:val="24"/>
        </w:rPr>
      </w:pPr>
      <w:r>
        <w:rPr>
          <w:rFonts w:hint="eastAsia" w:ascii="宋体" w:hAnsi="宋体" w:cs="宋体"/>
          <w:b/>
          <w:bCs/>
          <w:color w:val="auto"/>
          <w:sz w:val="24"/>
        </w:rPr>
        <w:t>6.比较与评价</w:t>
      </w:r>
    </w:p>
    <w:p w14:paraId="2A56A30B">
      <w:pPr>
        <w:spacing w:line="430" w:lineRule="exact"/>
        <w:ind w:firstLine="420" w:firstLineChars="175"/>
        <w:rPr>
          <w:rFonts w:ascii="宋体" w:hAnsi="宋体" w:cs="宋体"/>
          <w:color w:val="auto"/>
          <w:sz w:val="24"/>
        </w:rPr>
      </w:pPr>
      <w:r>
        <w:rPr>
          <w:rFonts w:hint="eastAsia" w:ascii="宋体" w:hAnsi="宋体" w:cs="宋体"/>
          <w:color w:val="auto"/>
          <w:sz w:val="24"/>
        </w:rPr>
        <w:t>6.1评审方法：综合评分法。</w:t>
      </w:r>
    </w:p>
    <w:p w14:paraId="586E7E6E">
      <w:pPr>
        <w:spacing w:line="430" w:lineRule="exact"/>
        <w:ind w:firstLine="420" w:firstLineChars="175"/>
        <w:rPr>
          <w:rFonts w:ascii="宋体" w:hAnsi="宋体" w:cs="宋体"/>
          <w:color w:val="auto"/>
          <w:sz w:val="24"/>
        </w:rPr>
      </w:pPr>
      <w:r>
        <w:rPr>
          <w:rFonts w:hint="eastAsia" w:ascii="宋体" w:hAnsi="宋体" w:cs="宋体"/>
          <w:color w:val="auto"/>
          <w:sz w:val="24"/>
        </w:rPr>
        <w:t>6.2经磋商确定最终采购需求和提交最后报价的供应商后，由磋商小组采用综合评分法对提交最后报价的供应商的响应文件和最后报价进行综合评分。</w:t>
      </w:r>
    </w:p>
    <w:p w14:paraId="4CDEC2F9">
      <w:pPr>
        <w:spacing w:line="430" w:lineRule="exact"/>
        <w:ind w:firstLine="420" w:firstLineChars="175"/>
        <w:rPr>
          <w:rFonts w:ascii="宋体" w:hAnsi="宋体" w:cs="宋体"/>
          <w:color w:val="auto"/>
          <w:sz w:val="24"/>
        </w:rPr>
      </w:pPr>
      <w:r>
        <w:rPr>
          <w:rFonts w:hint="eastAsia" w:ascii="宋体" w:hAnsi="宋体" w:cs="宋体"/>
          <w:color w:val="auto"/>
          <w:sz w:val="24"/>
        </w:rPr>
        <w:t>6.3评审时，磋商小组各成员应当独立对每个有效响应的文件进行评价、打分，然后汇总每个供应商每项评分因素的得分。</w:t>
      </w:r>
    </w:p>
    <w:p w14:paraId="20F25C95">
      <w:pPr>
        <w:spacing w:line="430" w:lineRule="exact"/>
        <w:ind w:firstLine="420" w:firstLineChars="175"/>
        <w:rPr>
          <w:rFonts w:ascii="宋体" w:hAnsi="宋体" w:cs="宋体"/>
          <w:color w:val="auto"/>
          <w:sz w:val="24"/>
        </w:rPr>
      </w:pPr>
      <w:r>
        <w:rPr>
          <w:rFonts w:hint="eastAsia" w:ascii="宋体" w:hAnsi="宋体" w:cs="宋体"/>
          <w:color w:val="auto"/>
          <w:sz w:val="24"/>
        </w:rPr>
        <w:t>（1）磋商小组按照磋商文件中规定的评审标准计算各供应商的报价得分。项目评审过程中，不得去掉最后报价中的最高报价和最低报价。</w:t>
      </w:r>
    </w:p>
    <w:p w14:paraId="02CAFF98">
      <w:pPr>
        <w:spacing w:line="430" w:lineRule="exact"/>
        <w:ind w:firstLine="420" w:firstLineChars="175"/>
        <w:rPr>
          <w:rFonts w:ascii="宋体" w:hAnsi="宋体" w:cs="宋体"/>
          <w:color w:val="auto"/>
          <w:sz w:val="24"/>
        </w:rPr>
      </w:pPr>
      <w:r>
        <w:rPr>
          <w:rFonts w:hint="eastAsia" w:ascii="宋体" w:hAnsi="宋体" w:cs="宋体"/>
          <w:color w:val="auto"/>
          <w:sz w:val="24"/>
        </w:rPr>
        <w:t>（2）各供应商的得分为磋商小组所有成员的有效评分的算术平均数。</w:t>
      </w:r>
    </w:p>
    <w:p w14:paraId="0A7DC95C">
      <w:pPr>
        <w:spacing w:line="430" w:lineRule="exact"/>
        <w:ind w:firstLine="420" w:firstLineChars="175"/>
        <w:rPr>
          <w:rFonts w:ascii="宋体" w:hAnsi="宋体" w:cs="宋体"/>
          <w:color w:val="auto"/>
          <w:sz w:val="24"/>
        </w:rPr>
      </w:pPr>
      <w:r>
        <w:rPr>
          <w:rFonts w:hint="eastAsia" w:ascii="宋体" w:hAnsi="宋体" w:cs="宋体"/>
          <w:color w:val="auto"/>
          <w:sz w:val="24"/>
        </w:rPr>
        <w:t>6.4评审价为供应商的最后报价进行政策性扣除后的价格，评审价只是作为评审时使用。最终成交供应商的成交金额等于最后报价（如有修正，以确认修正后的最后报价为准）。</w:t>
      </w:r>
    </w:p>
    <w:p w14:paraId="7E825AF0">
      <w:pPr>
        <w:spacing w:line="430" w:lineRule="exact"/>
        <w:ind w:firstLine="420" w:firstLineChars="175"/>
        <w:rPr>
          <w:rFonts w:ascii="宋体" w:hAnsi="宋体" w:cs="宋体"/>
          <w:color w:val="auto"/>
          <w:kern w:val="0"/>
          <w:sz w:val="24"/>
        </w:rPr>
      </w:pPr>
      <w:r>
        <w:rPr>
          <w:rFonts w:hint="eastAsia" w:ascii="宋体" w:hAnsi="宋体" w:cs="宋体"/>
          <w:color w:val="auto"/>
          <w:sz w:val="24"/>
        </w:rPr>
        <w:t>6.5由磋商小组根据综合评分情况，按照评审得分由高到低顺序推荐3名以上成交候选供应商，并编写评</w:t>
      </w:r>
      <w:r>
        <w:rPr>
          <w:rFonts w:hint="eastAsia" w:ascii="宋体" w:hAnsi="宋体" w:cs="宋体"/>
          <w:color w:val="auto"/>
          <w:kern w:val="0"/>
          <w:sz w:val="24"/>
        </w:rPr>
        <w:t>审报告。符合本章第4.3条情形的，可以推荐2家成交候选供应商。评审得分相同的，按照最后报价由低到高的顺序推荐。评审得分且最后报价相同的，按照技术指标优劣顺序推荐。</w:t>
      </w:r>
    </w:p>
    <w:p w14:paraId="561CFA38">
      <w:pPr>
        <w:spacing w:line="430" w:lineRule="exact"/>
        <w:ind w:firstLine="420" w:firstLineChars="175"/>
        <w:rPr>
          <w:rFonts w:ascii="宋体" w:hAnsi="宋体" w:cs="宋体"/>
          <w:color w:val="auto"/>
          <w:sz w:val="24"/>
        </w:rPr>
      </w:pPr>
      <w:r>
        <w:rPr>
          <w:rFonts w:hint="eastAsia" w:ascii="宋体" w:hAnsi="宋体" w:cs="宋体"/>
          <w:color w:val="auto"/>
          <w:kern w:val="0"/>
          <w:sz w:val="24"/>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544204">
      <w:pPr>
        <w:spacing w:line="430" w:lineRule="exact"/>
        <w:ind w:firstLine="422" w:firstLineChars="175"/>
        <w:rPr>
          <w:rFonts w:ascii="宋体" w:hAnsi="宋体" w:cs="宋体"/>
          <w:b/>
          <w:bCs/>
          <w:color w:val="auto"/>
          <w:sz w:val="24"/>
        </w:rPr>
      </w:pPr>
      <w:r>
        <w:rPr>
          <w:rFonts w:hint="eastAsia" w:ascii="宋体" w:hAnsi="宋体" w:cs="宋体"/>
          <w:b/>
          <w:bCs/>
          <w:color w:val="auto"/>
          <w:sz w:val="24"/>
        </w:rPr>
        <w:t>7.评审标准</w:t>
      </w:r>
    </w:p>
    <w:p w14:paraId="7ED459B8">
      <w:pPr>
        <w:spacing w:line="430" w:lineRule="exact"/>
        <w:ind w:firstLine="420" w:firstLineChars="175"/>
        <w:rPr>
          <w:rFonts w:ascii="宋体" w:hAnsi="宋体" w:cs="宋体"/>
          <w:bCs/>
          <w:color w:val="auto"/>
          <w:sz w:val="24"/>
        </w:rPr>
      </w:pPr>
      <w:r>
        <w:rPr>
          <w:rFonts w:hint="eastAsia" w:ascii="宋体" w:hAnsi="宋体" w:cs="宋体"/>
          <w:bCs/>
          <w:color w:val="auto"/>
          <w:sz w:val="24"/>
        </w:rPr>
        <w:t>7.1评审依据：磋商小组将以磋商响应文件为评审依据，对供应商的报价、技术、商务等方面内容按百分制打分。（计分方法按四舍五入取至百分位）</w:t>
      </w:r>
    </w:p>
    <w:p w14:paraId="38377576">
      <w:pPr>
        <w:spacing w:line="430" w:lineRule="exact"/>
        <w:jc w:val="center"/>
        <w:rPr>
          <w:rFonts w:ascii="宋体" w:hAnsi="宋体" w:cs="宋体"/>
          <w:b/>
          <w:color w:val="auto"/>
          <w:sz w:val="24"/>
        </w:rPr>
      </w:pPr>
      <w:bookmarkStart w:id="220" w:name="PO_TDCUS_ITEM_SM_TITLE_1"/>
      <w:r>
        <w:rPr>
          <w:rFonts w:hint="eastAsia" w:ascii="宋体" w:hAnsi="宋体" w:cs="宋体"/>
          <w:b/>
          <w:color w:val="auto"/>
          <w:sz w:val="24"/>
        </w:rPr>
        <w:t>评分方法</w:t>
      </w:r>
      <w:bookmarkEnd w:id="220"/>
      <w:r>
        <w:rPr>
          <w:rFonts w:hint="eastAsia" w:ascii="宋体" w:hAnsi="宋体" w:cs="宋体"/>
          <w:b/>
          <w:color w:val="auto"/>
          <w:sz w:val="24"/>
        </w:rPr>
        <w:t>（标项一、标项二相同）</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1"/>
        <w:gridCol w:w="6199"/>
        <w:gridCol w:w="1202"/>
      </w:tblGrid>
      <w:tr w14:paraId="7FF6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53F2D9B">
            <w:pPr>
              <w:snapToGrid w:val="0"/>
              <w:spacing w:line="360" w:lineRule="exact"/>
              <w:jc w:val="center"/>
              <w:rPr>
                <w:rFonts w:ascii="宋体" w:hAnsi="宋体" w:cs="宋体"/>
                <w:bCs/>
                <w:color w:val="auto"/>
                <w:sz w:val="24"/>
              </w:rPr>
            </w:pPr>
            <w:bookmarkStart w:id="221" w:name="_Toc80205935"/>
            <w:r>
              <w:rPr>
                <w:rFonts w:hint="eastAsia" w:ascii="宋体" w:hAnsi="宋体" w:cs="宋体"/>
                <w:bCs/>
                <w:color w:val="auto"/>
                <w:sz w:val="24"/>
              </w:rPr>
              <w:t>序号</w:t>
            </w:r>
          </w:p>
        </w:tc>
        <w:tc>
          <w:tcPr>
            <w:tcW w:w="1241" w:type="dxa"/>
            <w:vAlign w:val="center"/>
          </w:tcPr>
          <w:p w14:paraId="7B09D8D9">
            <w:pPr>
              <w:snapToGrid w:val="0"/>
              <w:spacing w:line="360" w:lineRule="exact"/>
              <w:jc w:val="center"/>
              <w:rPr>
                <w:rFonts w:ascii="宋体" w:hAnsi="宋体" w:cs="宋体"/>
                <w:bCs/>
                <w:color w:val="auto"/>
                <w:sz w:val="24"/>
              </w:rPr>
            </w:pPr>
            <w:r>
              <w:rPr>
                <w:rFonts w:hint="eastAsia" w:ascii="宋体" w:hAnsi="宋体" w:cs="宋体"/>
                <w:bCs/>
                <w:color w:val="auto"/>
                <w:sz w:val="24"/>
              </w:rPr>
              <w:t>评分类型</w:t>
            </w:r>
          </w:p>
        </w:tc>
        <w:tc>
          <w:tcPr>
            <w:tcW w:w="6199" w:type="dxa"/>
            <w:vAlign w:val="center"/>
          </w:tcPr>
          <w:p w14:paraId="4181D067">
            <w:pPr>
              <w:snapToGrid w:val="0"/>
              <w:spacing w:line="360" w:lineRule="exact"/>
              <w:jc w:val="center"/>
              <w:rPr>
                <w:rFonts w:ascii="宋体" w:hAnsi="宋体" w:cs="宋体"/>
                <w:bCs/>
                <w:color w:val="auto"/>
                <w:sz w:val="24"/>
              </w:rPr>
            </w:pPr>
            <w:r>
              <w:rPr>
                <w:rFonts w:hint="eastAsia" w:ascii="宋体" w:hAnsi="宋体" w:cs="宋体"/>
                <w:bCs/>
                <w:color w:val="auto"/>
                <w:sz w:val="24"/>
              </w:rPr>
              <w:t>评分标准</w:t>
            </w:r>
          </w:p>
        </w:tc>
        <w:tc>
          <w:tcPr>
            <w:tcW w:w="1202" w:type="dxa"/>
            <w:vAlign w:val="center"/>
          </w:tcPr>
          <w:p w14:paraId="2F7FBB9C">
            <w:pPr>
              <w:snapToGrid w:val="0"/>
              <w:spacing w:line="360" w:lineRule="exact"/>
              <w:jc w:val="center"/>
              <w:rPr>
                <w:rFonts w:ascii="宋体" w:hAnsi="宋体" w:cs="宋体"/>
                <w:bCs/>
                <w:color w:val="auto"/>
                <w:sz w:val="24"/>
              </w:rPr>
            </w:pPr>
            <w:r>
              <w:rPr>
                <w:rFonts w:hint="eastAsia" w:ascii="宋体" w:hAnsi="宋体" w:cs="宋体"/>
                <w:bCs/>
                <w:color w:val="auto"/>
                <w:sz w:val="24"/>
              </w:rPr>
              <w:t>分值</w:t>
            </w:r>
          </w:p>
        </w:tc>
      </w:tr>
      <w:tr w14:paraId="57E8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786C64D">
            <w:pPr>
              <w:snapToGrid w:val="0"/>
              <w:spacing w:line="360" w:lineRule="exact"/>
              <w:jc w:val="center"/>
              <w:rPr>
                <w:rFonts w:ascii="宋体" w:hAnsi="宋体" w:cs="宋体"/>
                <w:b/>
                <w:color w:val="auto"/>
                <w:sz w:val="24"/>
              </w:rPr>
            </w:pPr>
            <w:r>
              <w:rPr>
                <w:rFonts w:hint="eastAsia" w:ascii="宋体" w:hAnsi="宋体" w:cs="宋体"/>
                <w:b/>
                <w:color w:val="auto"/>
                <w:sz w:val="24"/>
              </w:rPr>
              <w:t>1</w:t>
            </w:r>
          </w:p>
        </w:tc>
        <w:tc>
          <w:tcPr>
            <w:tcW w:w="1241" w:type="dxa"/>
            <w:vAlign w:val="center"/>
          </w:tcPr>
          <w:p w14:paraId="5D3E4CD2">
            <w:pPr>
              <w:snapToGrid w:val="0"/>
              <w:spacing w:line="360" w:lineRule="exact"/>
              <w:jc w:val="center"/>
              <w:rPr>
                <w:rFonts w:ascii="宋体" w:hAnsi="宋体" w:cs="宋体"/>
                <w:b/>
                <w:color w:val="auto"/>
                <w:sz w:val="24"/>
              </w:rPr>
            </w:pPr>
            <w:r>
              <w:rPr>
                <w:rFonts w:hint="eastAsia" w:ascii="宋体" w:hAnsi="宋体" w:cs="宋体"/>
                <w:b/>
                <w:color w:val="auto"/>
                <w:sz w:val="24"/>
              </w:rPr>
              <w:t>报价分（满分</w:t>
            </w:r>
            <w:r>
              <w:rPr>
                <w:rFonts w:ascii="宋体" w:hAnsi="宋体" w:cs="宋体"/>
                <w:b/>
                <w:color w:val="auto"/>
                <w:sz w:val="24"/>
              </w:rPr>
              <w:t>1</w:t>
            </w:r>
            <w:r>
              <w:rPr>
                <w:rFonts w:hint="eastAsia" w:ascii="宋体" w:hAnsi="宋体" w:cs="宋体"/>
                <w:b/>
                <w:color w:val="auto"/>
                <w:sz w:val="24"/>
              </w:rPr>
              <w:t>0分）</w:t>
            </w:r>
          </w:p>
        </w:tc>
        <w:tc>
          <w:tcPr>
            <w:tcW w:w="6199" w:type="dxa"/>
          </w:tcPr>
          <w:p w14:paraId="6293BF3B">
            <w:pPr>
              <w:snapToGrid w:val="0"/>
              <w:spacing w:line="400" w:lineRule="exact"/>
              <w:ind w:firstLine="420" w:firstLineChars="175"/>
              <w:rPr>
                <w:rFonts w:ascii="宋体" w:hAnsi="宋体" w:cs="宋体"/>
                <w:bCs/>
                <w:color w:val="auto"/>
                <w:sz w:val="24"/>
                <w:szCs w:val="32"/>
              </w:rPr>
            </w:pPr>
            <w:r>
              <w:rPr>
                <w:rFonts w:hint="eastAsia" w:ascii="宋体" w:hAnsi="宋体" w:cs="宋体"/>
                <w:bCs/>
                <w:color w:val="auto"/>
                <w:sz w:val="24"/>
                <w:szCs w:val="32"/>
              </w:rPr>
              <w:t>（1）评标报价为供应商的投标报价进行政策性扣除后的价格，评标报价只是作为评标时使用。最终成交人的成交金额等于投标报价。</w:t>
            </w:r>
          </w:p>
          <w:p w14:paraId="22F2DD51">
            <w:pPr>
              <w:snapToGrid w:val="0"/>
              <w:spacing w:line="400" w:lineRule="exact"/>
              <w:ind w:firstLine="420" w:firstLineChars="175"/>
              <w:rPr>
                <w:rFonts w:ascii="宋体" w:hAnsi="宋体" w:cs="宋体"/>
                <w:bCs/>
                <w:color w:val="auto"/>
                <w:sz w:val="24"/>
                <w:szCs w:val="32"/>
              </w:rPr>
            </w:pPr>
            <w:r>
              <w:rPr>
                <w:rFonts w:hint="eastAsia" w:ascii="宋体" w:hAnsi="宋体" w:cs="宋体"/>
                <w:bCs/>
                <w:color w:val="auto"/>
                <w:sz w:val="24"/>
                <w:szCs w:val="32"/>
              </w:rPr>
              <w:t>（2）</w:t>
            </w:r>
            <w:r>
              <w:rPr>
                <w:rFonts w:hint="eastAsia" w:ascii="宋体" w:hAnsi="宋体" w:cs="宋体"/>
                <w:color w:val="auto"/>
                <w:sz w:val="24"/>
                <w:szCs w:val="32"/>
              </w:rPr>
              <w:t>按照《政府采购促进中小企业发展管理办法》（财库〔2020〕46号）的规定，供应商为小型和微型企业，并在其投标文件中提供《中小企业声明函》，且其</w:t>
            </w:r>
            <w:r>
              <w:rPr>
                <w:rFonts w:hint="eastAsia" w:ascii="宋体" w:hAnsi="宋体" w:cs="宋体"/>
                <w:color w:val="auto"/>
                <w:kern w:val="0"/>
                <w:sz w:val="24"/>
                <w:szCs w:val="32"/>
              </w:rPr>
              <w:t>服务全部由符合政策要求的小微企业承接</w:t>
            </w:r>
            <w:r>
              <w:rPr>
                <w:rFonts w:hint="eastAsia" w:ascii="宋体" w:hAnsi="宋体" w:cs="宋体"/>
                <w:color w:val="auto"/>
                <w:sz w:val="24"/>
                <w:szCs w:val="32"/>
              </w:rPr>
              <w:t>，对其投标价格给予20%的扣除。</w:t>
            </w:r>
          </w:p>
          <w:p w14:paraId="7BB6701B">
            <w:pPr>
              <w:snapToGrid w:val="0"/>
              <w:spacing w:line="400" w:lineRule="exact"/>
              <w:ind w:firstLine="420" w:firstLineChars="175"/>
              <w:rPr>
                <w:rFonts w:ascii="宋体" w:hAnsi="宋体" w:cs="宋体"/>
                <w:bCs/>
                <w:color w:val="auto"/>
                <w:sz w:val="24"/>
                <w:szCs w:val="32"/>
              </w:rPr>
            </w:pPr>
            <w:r>
              <w:rPr>
                <w:rFonts w:hint="eastAsia" w:ascii="宋体" w:hAnsi="宋体" w:cs="宋体"/>
                <w:bCs/>
                <w:color w:val="auto"/>
                <w:sz w:val="24"/>
                <w:szCs w:val="32"/>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 w:val="24"/>
                <w:szCs w:val="32"/>
              </w:rPr>
              <w:t>监狱企业参加政府采购活动时，应当提供由省级以上监狱管理局、戒毒管理局(含新疆生产建设兵团)出具的属于监狱企业的证明文件。</w:t>
            </w:r>
            <w:r>
              <w:rPr>
                <w:rFonts w:hint="eastAsia" w:ascii="宋体" w:hAnsi="宋体" w:cs="宋体"/>
                <w:bCs/>
                <w:color w:val="auto"/>
                <w:sz w:val="24"/>
                <w:szCs w:val="32"/>
              </w:rPr>
              <w:t>不重复享受政策。</w:t>
            </w:r>
          </w:p>
          <w:p w14:paraId="4DC4C2A8">
            <w:pPr>
              <w:snapToGrid w:val="0"/>
              <w:spacing w:line="400" w:lineRule="exact"/>
              <w:ind w:firstLine="420" w:firstLineChars="175"/>
              <w:rPr>
                <w:rFonts w:ascii="宋体" w:hAnsi="宋体" w:cs="宋体"/>
                <w:bCs/>
                <w:color w:val="auto"/>
                <w:sz w:val="24"/>
                <w:szCs w:val="32"/>
              </w:rPr>
            </w:pPr>
            <w:r>
              <w:rPr>
                <w:rFonts w:hint="eastAsia" w:ascii="宋体" w:hAnsi="宋体" w:cs="宋体"/>
                <w:color w:val="auto"/>
                <w:sz w:val="24"/>
                <w:szCs w:val="32"/>
              </w:rPr>
              <w:t>（4）按照</w:t>
            </w:r>
            <w:r>
              <w:rPr>
                <w:rFonts w:hint="eastAsia" w:ascii="宋体" w:hAnsi="宋体" w:cs="宋体"/>
                <w:bCs/>
                <w:color w:val="auto"/>
                <w:sz w:val="24"/>
                <w:szCs w:val="32"/>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 w:val="24"/>
                <w:szCs w:val="32"/>
              </w:rPr>
              <w:t>残疾人福利性单位参加政府采购活动时，应当提供该通知规定的《残疾人福利性单位声明函》，并对声明的真实性负责。</w:t>
            </w:r>
            <w:r>
              <w:rPr>
                <w:rFonts w:hint="eastAsia" w:ascii="宋体" w:hAnsi="宋体" w:cs="宋体"/>
                <w:bCs/>
                <w:color w:val="auto"/>
                <w:sz w:val="24"/>
                <w:szCs w:val="32"/>
              </w:rPr>
              <w:t>残疾人福利性单位属于小型、微型企业的，不重复享受政策。</w:t>
            </w:r>
          </w:p>
          <w:p w14:paraId="6B6C176F">
            <w:pPr>
              <w:snapToGrid w:val="0"/>
              <w:spacing w:line="400" w:lineRule="exact"/>
              <w:ind w:firstLine="420" w:firstLineChars="175"/>
              <w:rPr>
                <w:rFonts w:ascii="宋体" w:hAnsi="宋体" w:cs="宋体"/>
                <w:bCs/>
                <w:color w:val="auto"/>
                <w:sz w:val="24"/>
                <w:szCs w:val="32"/>
              </w:rPr>
            </w:pPr>
            <w:r>
              <w:rPr>
                <w:rFonts w:hint="eastAsia" w:ascii="宋体" w:hAnsi="宋体" w:cs="宋体"/>
                <w:bCs/>
                <w:color w:val="auto"/>
                <w:sz w:val="24"/>
                <w:szCs w:val="32"/>
              </w:rPr>
              <w:t>（5）政策性扣除计算方法。</w:t>
            </w:r>
          </w:p>
          <w:p w14:paraId="10E280E8">
            <w:pPr>
              <w:snapToGrid w:val="0"/>
              <w:spacing w:line="400" w:lineRule="exact"/>
              <w:ind w:firstLine="420" w:firstLineChars="175"/>
              <w:rPr>
                <w:rFonts w:hAnsi="宋体" w:cs="宋体"/>
                <w:bCs/>
                <w:color w:val="auto"/>
                <w:sz w:val="24"/>
                <w:szCs w:val="32"/>
              </w:rPr>
            </w:pPr>
            <w:r>
              <w:rPr>
                <w:rFonts w:hint="eastAsia" w:ascii="宋体" w:hAnsi="宋体" w:cs="宋体"/>
                <w:bCs/>
                <w:color w:val="auto"/>
                <w:sz w:val="24"/>
                <w:szCs w:val="32"/>
              </w:rPr>
              <w:t>供应商</w:t>
            </w:r>
            <w:r>
              <w:rPr>
                <w:rFonts w:hint="eastAsia" w:ascii="宋体" w:hAnsi="宋体" w:cs="宋体"/>
                <w:color w:val="auto"/>
                <w:sz w:val="24"/>
                <w:szCs w:val="32"/>
              </w:rPr>
              <w:t>被评定为</w:t>
            </w:r>
            <w:r>
              <w:rPr>
                <w:rFonts w:hint="eastAsia" w:ascii="宋体" w:hAnsi="宋体" w:cs="宋体"/>
                <w:bCs/>
                <w:color w:val="auto"/>
                <w:sz w:val="24"/>
                <w:szCs w:val="32"/>
              </w:rPr>
              <w:t>监狱企业或者残疾人福利性单位或者</w:t>
            </w:r>
            <w:r>
              <w:rPr>
                <w:rFonts w:hint="eastAsia" w:ascii="宋体" w:hAnsi="宋体" w:cs="宋体"/>
                <w:color w:val="auto"/>
                <w:sz w:val="24"/>
                <w:szCs w:val="32"/>
              </w:rPr>
              <w:t>小型和微型企业且其所投标全部产品为小型和微型企业产品的，</w:t>
            </w:r>
            <w:r>
              <w:rPr>
                <w:rFonts w:hint="eastAsia" w:ascii="宋体" w:hAnsi="宋体" w:cs="宋体"/>
                <w:bCs/>
                <w:color w:val="auto"/>
                <w:sz w:val="24"/>
                <w:szCs w:val="32"/>
              </w:rPr>
              <w:t>该供应商的投标报价</w:t>
            </w:r>
            <w:r>
              <w:rPr>
                <w:rFonts w:hint="eastAsia" w:ascii="宋体" w:hAnsi="宋体" w:cs="宋体"/>
                <w:color w:val="auto"/>
                <w:sz w:val="24"/>
                <w:szCs w:val="32"/>
              </w:rPr>
              <w:t>给予20%的扣除</w:t>
            </w:r>
            <w:r>
              <w:rPr>
                <w:rFonts w:hint="eastAsia" w:ascii="宋体" w:hAnsi="宋体" w:cs="宋体"/>
                <w:bCs/>
                <w:color w:val="auto"/>
                <w:sz w:val="24"/>
                <w:szCs w:val="32"/>
              </w:rPr>
              <w:t>，</w:t>
            </w:r>
            <w:r>
              <w:rPr>
                <w:rFonts w:hint="eastAsia" w:ascii="宋体" w:hAnsi="宋体" w:cs="宋体"/>
                <w:color w:val="auto"/>
                <w:sz w:val="24"/>
                <w:szCs w:val="32"/>
              </w:rPr>
              <w:t>扣除后的价格为评标报价，即评标报价=投标报价×（1-20%）；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cs="宋体"/>
                <w:color w:val="auto"/>
                <w:sz w:val="24"/>
                <w:szCs w:val="32"/>
                <w:u w:val="single"/>
              </w:rPr>
              <w:t xml:space="preserve"> 6 </w:t>
            </w:r>
            <w:r>
              <w:rPr>
                <w:rFonts w:hint="eastAsia" w:ascii="宋体" w:hAnsi="宋体" w:cs="宋体"/>
                <w:color w:val="auto"/>
                <w:sz w:val="24"/>
                <w:szCs w:val="32"/>
              </w:rPr>
              <w:t>%的扣除，扣除后的价格为评标价，即评标报价=投标报价×（1-</w:t>
            </w:r>
            <w:r>
              <w:rPr>
                <w:rFonts w:hint="eastAsia" w:ascii="宋体" w:hAnsi="宋体" w:cs="宋体"/>
                <w:color w:val="auto"/>
                <w:sz w:val="24"/>
                <w:szCs w:val="32"/>
                <w:u w:val="single"/>
              </w:rPr>
              <w:t xml:space="preserve"> 6 </w:t>
            </w:r>
            <w:r>
              <w:rPr>
                <w:rFonts w:hint="eastAsia" w:ascii="宋体" w:hAnsi="宋体" w:cs="宋体"/>
                <w:color w:val="auto"/>
                <w:sz w:val="24"/>
                <w:szCs w:val="32"/>
              </w:rPr>
              <w:t>%）；除上述情况外，评标报价=投标报价。</w:t>
            </w:r>
          </w:p>
          <w:p w14:paraId="75C6C4D4">
            <w:pPr>
              <w:pStyle w:val="13"/>
              <w:spacing w:line="400" w:lineRule="exact"/>
              <w:ind w:firstLine="420" w:firstLineChars="175"/>
              <w:rPr>
                <w:rFonts w:hAnsi="宋体" w:cs="宋体"/>
                <w:color w:val="auto"/>
                <w:sz w:val="24"/>
                <w:szCs w:val="32"/>
              </w:rPr>
            </w:pPr>
            <w:r>
              <w:rPr>
                <w:rFonts w:hint="eastAsia" w:hAnsi="宋体" w:cs="宋体"/>
                <w:bCs/>
                <w:color w:val="auto"/>
                <w:sz w:val="24"/>
                <w:szCs w:val="32"/>
              </w:rPr>
              <w:t>①</w:t>
            </w:r>
            <w:r>
              <w:rPr>
                <w:rFonts w:hint="eastAsia" w:hAnsi="宋体" w:cs="宋体"/>
                <w:color w:val="auto"/>
                <w:sz w:val="24"/>
                <w:szCs w:val="32"/>
              </w:rPr>
              <w:t>满足磋商文件要求且最后投标报价最低的磋商报价为评标基准价，其供应商的报价分为满分10分；</w:t>
            </w:r>
          </w:p>
          <w:p w14:paraId="1C636BCC">
            <w:pPr>
              <w:snapToGrid w:val="0"/>
              <w:spacing w:line="360" w:lineRule="exact"/>
              <w:rPr>
                <w:rFonts w:ascii="宋体" w:hAnsi="宋体" w:cs="宋体"/>
                <w:bCs/>
                <w:color w:val="auto"/>
                <w:sz w:val="24"/>
              </w:rPr>
            </w:pPr>
            <w:r>
              <w:rPr>
                <w:rFonts w:hint="eastAsia" w:hAnsi="宋体" w:cs="宋体"/>
                <w:bCs/>
                <w:color w:val="auto"/>
                <w:sz w:val="24"/>
                <w:szCs w:val="32"/>
              </w:rPr>
              <w:t>②</w:t>
            </w:r>
            <w:r>
              <w:rPr>
                <w:rFonts w:hint="eastAsia" w:hAnsi="宋体" w:cs="宋体"/>
                <w:color w:val="auto"/>
                <w:sz w:val="24"/>
                <w:szCs w:val="32"/>
              </w:rPr>
              <w:t>价格分计算公式：价得分=（基准价/最后投标报价）×10分</w:t>
            </w:r>
          </w:p>
        </w:tc>
        <w:tc>
          <w:tcPr>
            <w:tcW w:w="1202" w:type="dxa"/>
            <w:vAlign w:val="center"/>
          </w:tcPr>
          <w:p w14:paraId="24545D3A">
            <w:pPr>
              <w:snapToGrid w:val="0"/>
              <w:spacing w:line="360" w:lineRule="exact"/>
              <w:jc w:val="center"/>
              <w:rPr>
                <w:rFonts w:ascii="宋体" w:hAnsi="宋体" w:cs="宋体"/>
                <w:bCs/>
                <w:color w:val="auto"/>
                <w:sz w:val="24"/>
              </w:rPr>
            </w:pPr>
            <w:r>
              <w:rPr>
                <w:rFonts w:hint="eastAsia" w:ascii="宋体" w:hAnsi="宋体" w:cs="宋体"/>
                <w:bCs/>
                <w:color w:val="auto"/>
                <w:sz w:val="24"/>
              </w:rPr>
              <w:t>0~10分</w:t>
            </w:r>
          </w:p>
        </w:tc>
      </w:tr>
      <w:tr w14:paraId="3E8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89F3602">
            <w:pPr>
              <w:widowControl/>
              <w:snapToGrid w:val="0"/>
              <w:spacing w:line="360" w:lineRule="exact"/>
              <w:jc w:val="center"/>
              <w:rPr>
                <w:rFonts w:ascii="宋体" w:hAnsi="宋体" w:cs="宋体"/>
                <w:bCs/>
                <w:color w:val="auto"/>
                <w:sz w:val="24"/>
              </w:rPr>
            </w:pPr>
            <w:r>
              <w:rPr>
                <w:rFonts w:hint="eastAsia" w:ascii="宋体" w:hAnsi="宋体" w:cs="宋体"/>
                <w:bCs/>
                <w:color w:val="auto"/>
                <w:kern w:val="0"/>
                <w:sz w:val="24"/>
              </w:rPr>
              <w:t>2</w:t>
            </w:r>
          </w:p>
        </w:tc>
        <w:tc>
          <w:tcPr>
            <w:tcW w:w="1241" w:type="dxa"/>
            <w:vAlign w:val="center"/>
          </w:tcPr>
          <w:p w14:paraId="6008048F">
            <w:pPr>
              <w:widowControl/>
              <w:snapToGrid w:val="0"/>
              <w:spacing w:line="360" w:lineRule="exact"/>
              <w:jc w:val="center"/>
              <w:rPr>
                <w:rFonts w:ascii="宋体" w:hAnsi="宋体" w:cs="宋体"/>
                <w:bCs/>
                <w:color w:val="auto"/>
                <w:sz w:val="24"/>
              </w:rPr>
            </w:pPr>
            <w:r>
              <w:rPr>
                <w:rFonts w:hint="eastAsia" w:ascii="宋体" w:hAnsi="宋体" w:cs="宋体"/>
                <w:bCs/>
                <w:color w:val="auto"/>
                <w:kern w:val="0"/>
                <w:sz w:val="24"/>
              </w:rPr>
              <w:t>技术分</w:t>
            </w:r>
          </w:p>
        </w:tc>
        <w:tc>
          <w:tcPr>
            <w:tcW w:w="7401" w:type="dxa"/>
            <w:gridSpan w:val="2"/>
          </w:tcPr>
          <w:p w14:paraId="7E236C87">
            <w:pPr>
              <w:widowControl/>
              <w:snapToGrid w:val="0"/>
              <w:spacing w:line="360" w:lineRule="exact"/>
              <w:jc w:val="center"/>
              <w:rPr>
                <w:rFonts w:ascii="宋体" w:hAnsi="宋体" w:cs="宋体"/>
                <w:bCs/>
                <w:color w:val="auto"/>
                <w:sz w:val="24"/>
              </w:rPr>
            </w:pPr>
            <w:r>
              <w:rPr>
                <w:rFonts w:hint="eastAsia" w:ascii="宋体" w:hAnsi="宋体" w:cs="宋体"/>
                <w:color w:val="auto"/>
                <w:kern w:val="0"/>
                <w:sz w:val="24"/>
              </w:rPr>
              <w:t>评审因素</w:t>
            </w:r>
          </w:p>
        </w:tc>
      </w:tr>
      <w:tr w14:paraId="36C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BE97FA5">
            <w:pPr>
              <w:snapToGrid w:val="0"/>
              <w:spacing w:line="360" w:lineRule="exact"/>
              <w:jc w:val="center"/>
              <w:rPr>
                <w:rFonts w:ascii="宋体" w:hAnsi="宋体" w:cs="宋体"/>
                <w:bCs/>
                <w:color w:val="auto"/>
                <w:sz w:val="24"/>
              </w:rPr>
            </w:pPr>
            <w:r>
              <w:rPr>
                <w:rFonts w:hint="eastAsia" w:ascii="宋体" w:hAnsi="宋体" w:cs="宋体"/>
                <w:bCs/>
                <w:color w:val="auto"/>
                <w:sz w:val="24"/>
              </w:rPr>
              <w:t>2.1</w:t>
            </w:r>
          </w:p>
        </w:tc>
        <w:tc>
          <w:tcPr>
            <w:tcW w:w="1241" w:type="dxa"/>
            <w:vAlign w:val="center"/>
          </w:tcPr>
          <w:p w14:paraId="45139403">
            <w:pPr>
              <w:spacing w:line="360" w:lineRule="auto"/>
              <w:jc w:val="center"/>
              <w:rPr>
                <w:rFonts w:ascii="宋体" w:hAnsi="宋体" w:cs="宋体"/>
                <w:bCs/>
                <w:color w:val="auto"/>
                <w:sz w:val="24"/>
              </w:rPr>
            </w:pPr>
            <w:r>
              <w:rPr>
                <w:rFonts w:hint="eastAsia" w:ascii="宋体" w:hAnsi="宋体"/>
                <w:b/>
                <w:color w:val="auto"/>
                <w:sz w:val="24"/>
              </w:rPr>
              <w:t>工作总体思路以及保障措施（满分15）</w:t>
            </w:r>
          </w:p>
        </w:tc>
        <w:tc>
          <w:tcPr>
            <w:tcW w:w="6199" w:type="dxa"/>
            <w:vAlign w:val="center"/>
          </w:tcPr>
          <w:p w14:paraId="71C7428B">
            <w:pPr>
              <w:widowControl/>
              <w:snapToGrid w:val="0"/>
              <w:spacing w:line="360" w:lineRule="exact"/>
              <w:ind w:firstLine="420" w:firstLineChars="175"/>
              <w:jc w:val="left"/>
              <w:rPr>
                <w:rFonts w:ascii="宋体" w:hAnsi="宋体" w:cs="宋体"/>
                <w:color w:val="auto"/>
                <w:kern w:val="0"/>
                <w:sz w:val="24"/>
              </w:rPr>
            </w:pPr>
            <w:r>
              <w:rPr>
                <w:rFonts w:hint="eastAsia" w:ascii="宋体" w:hAnsi="宋体" w:cs="宋体"/>
                <w:color w:val="auto"/>
                <w:kern w:val="0"/>
                <w:sz w:val="24"/>
              </w:rPr>
              <w:t>由评审专家根据供应商提供的以下内容独立打分。不提供相关内容的计0分。</w:t>
            </w:r>
          </w:p>
          <w:p w14:paraId="7E158480">
            <w:pPr>
              <w:widowControl/>
              <w:snapToGrid w:val="0"/>
              <w:spacing w:line="360" w:lineRule="exact"/>
              <w:ind w:firstLine="420" w:firstLineChars="175"/>
              <w:jc w:val="left"/>
              <w:rPr>
                <w:rFonts w:ascii="宋体" w:hAnsi="宋体" w:cs="宋体"/>
                <w:color w:val="auto"/>
                <w:sz w:val="24"/>
              </w:rPr>
            </w:pPr>
            <w:r>
              <w:rPr>
                <w:rFonts w:hint="eastAsia" w:ascii="宋体" w:hAnsi="宋体" w:cs="宋体"/>
                <w:color w:val="auto"/>
                <w:sz w:val="24"/>
              </w:rPr>
              <w:t>一档（5分）：关键思路存在明显偏差，与项目实际需求不符；计划编制漏洞较多，资源分配不合理，关键节点缺失明确控制措施，；保证措施模糊且缺乏针对性，未针对常见风险制定应对方案。。</w:t>
            </w:r>
          </w:p>
          <w:p w14:paraId="011C73F5">
            <w:pPr>
              <w:widowControl/>
              <w:snapToGrid w:val="0"/>
              <w:spacing w:line="360" w:lineRule="exact"/>
              <w:ind w:firstLine="420" w:firstLineChars="175"/>
              <w:jc w:val="left"/>
              <w:rPr>
                <w:rFonts w:ascii="宋体" w:hAnsi="宋体" w:cs="宋体"/>
                <w:color w:val="auto"/>
                <w:sz w:val="24"/>
              </w:rPr>
            </w:pPr>
            <w:r>
              <w:rPr>
                <w:rFonts w:hint="eastAsia" w:ascii="宋体" w:hAnsi="宋体" w:cs="宋体"/>
                <w:color w:val="auto"/>
                <w:sz w:val="24"/>
              </w:rPr>
              <w:t>二档（10分）：关键思路基本符合项目需求，但存在对部分法规应用理解不够深入的问题；计划编制具有一定可行性，资源分配基本合理，关键节点有控制措施，但不够精细；保证措施有一定针对性，针对部分风险有应对策略。</w:t>
            </w:r>
          </w:p>
          <w:p w14:paraId="0E5AD823">
            <w:pPr>
              <w:widowControl/>
              <w:snapToGrid w:val="0"/>
              <w:spacing w:line="360" w:lineRule="exact"/>
              <w:ind w:firstLine="420" w:firstLineChars="175"/>
              <w:jc w:val="left"/>
              <w:rPr>
                <w:rFonts w:ascii="宋体" w:hAnsi="宋体" w:cs="宋体"/>
                <w:color w:val="auto"/>
                <w:sz w:val="24"/>
              </w:rPr>
            </w:pPr>
            <w:r>
              <w:rPr>
                <w:rFonts w:hint="eastAsia" w:ascii="宋体" w:hAnsi="宋体" w:cs="宋体"/>
                <w:color w:val="auto"/>
                <w:sz w:val="24"/>
              </w:rPr>
              <w:t>三档（15分）：关键思路清晰准确，完全项目需求，能灵活应用于实际工作；计划编制合理且详细，资源分配科学，关键节点控制措施有力，明确各阶段时间、责任人及考核标准，每个月设定具体工作目标和检查机制；保证措施针对性强，全面考虑各类风险并制定完善应对方案，有定期跟踪和调整机制，对人员变动有成熟的人才储备和培训计划。</w:t>
            </w:r>
          </w:p>
        </w:tc>
        <w:tc>
          <w:tcPr>
            <w:tcW w:w="1202" w:type="dxa"/>
            <w:vAlign w:val="center"/>
          </w:tcPr>
          <w:p w14:paraId="3B1B7716">
            <w:pPr>
              <w:snapToGrid w:val="0"/>
              <w:spacing w:line="360" w:lineRule="exact"/>
              <w:jc w:val="center"/>
              <w:rPr>
                <w:rFonts w:ascii="宋体" w:hAnsi="宋体" w:cs="宋体"/>
                <w:bCs/>
                <w:color w:val="auto"/>
                <w:sz w:val="24"/>
              </w:rPr>
            </w:pPr>
            <w:r>
              <w:rPr>
                <w:rFonts w:hint="eastAsia" w:ascii="宋体" w:hAnsi="宋体" w:cs="宋体"/>
                <w:bCs/>
                <w:color w:val="auto"/>
                <w:sz w:val="24"/>
              </w:rPr>
              <w:t>0~15分</w:t>
            </w:r>
          </w:p>
        </w:tc>
      </w:tr>
      <w:tr w14:paraId="6507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D188B6">
            <w:pPr>
              <w:snapToGrid w:val="0"/>
              <w:spacing w:line="360" w:lineRule="exact"/>
              <w:jc w:val="center"/>
              <w:rPr>
                <w:rFonts w:ascii="宋体" w:hAnsi="宋体" w:cs="宋体"/>
                <w:bCs/>
                <w:color w:val="auto"/>
                <w:sz w:val="24"/>
              </w:rPr>
            </w:pPr>
            <w:r>
              <w:rPr>
                <w:rFonts w:hint="eastAsia" w:ascii="宋体" w:hAnsi="宋体" w:cs="宋体"/>
                <w:bCs/>
                <w:color w:val="auto"/>
                <w:sz w:val="24"/>
              </w:rPr>
              <w:t>2.2</w:t>
            </w:r>
          </w:p>
        </w:tc>
        <w:tc>
          <w:tcPr>
            <w:tcW w:w="1241" w:type="dxa"/>
            <w:vAlign w:val="center"/>
          </w:tcPr>
          <w:p w14:paraId="55FA3413">
            <w:pPr>
              <w:spacing w:line="360" w:lineRule="auto"/>
              <w:jc w:val="center"/>
              <w:rPr>
                <w:rFonts w:ascii="宋体" w:hAnsi="宋体" w:cs="宋体"/>
                <w:bCs/>
                <w:color w:val="auto"/>
                <w:sz w:val="24"/>
              </w:rPr>
            </w:pPr>
            <w:r>
              <w:rPr>
                <w:rFonts w:hint="eastAsia" w:ascii="宋体" w:hAnsi="宋体"/>
                <w:b/>
                <w:color w:val="auto"/>
                <w:sz w:val="24"/>
              </w:rPr>
              <w:t>法律顾问服务流程（满分15分）</w:t>
            </w:r>
          </w:p>
        </w:tc>
        <w:tc>
          <w:tcPr>
            <w:tcW w:w="6199" w:type="dxa"/>
            <w:vAlign w:val="center"/>
          </w:tcPr>
          <w:p w14:paraId="35AFA3D9">
            <w:pPr>
              <w:widowControl/>
              <w:snapToGrid w:val="0"/>
              <w:spacing w:line="360" w:lineRule="exact"/>
              <w:ind w:firstLine="420" w:firstLineChars="175"/>
              <w:jc w:val="left"/>
              <w:rPr>
                <w:rFonts w:ascii="宋体" w:hAnsi="宋体" w:cs="宋体"/>
                <w:color w:val="auto"/>
                <w:sz w:val="24"/>
              </w:rPr>
            </w:pPr>
            <w:r>
              <w:rPr>
                <w:rFonts w:hint="eastAsia" w:ascii="宋体" w:hAnsi="宋体" w:cs="宋体"/>
                <w:color w:val="auto"/>
                <w:kern w:val="0"/>
                <w:sz w:val="24"/>
              </w:rPr>
              <w:t>由评审专家根据供应商提供的以下内容独立打分。不提供相关内容的计0分。</w:t>
            </w:r>
          </w:p>
          <w:p w14:paraId="54E806D3">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一档（5分）：服务流程存在较多不合理，与党政机关法律服务要求的流程有较大出入，重要环节缺失或顺序颠倒；针对性差，未根据党政机关法律顾问服务特点设计流程，未考虑党政机关决策流程对法律服务的影响；部署不全面，遗漏关键流程节点，缺少对重大决策法律风险评估的后续跟踪流程。</w:t>
            </w:r>
          </w:p>
          <w:p w14:paraId="49206205">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二档（10分）：服务流程基本符合党政机关法律服务要求，但部分环节的操作规范不够明确；针对性一般，对党政机关法律顾问服务特点有一定考虑但不够深入，在合同审查流程中对党政机关合同特殊条款的关注不足；部署较全面，涵盖主要流程节点，但部分环节的衔接不够顺畅，法律咨询与法律意见出具之间的沟通机制不完善。​</w:t>
            </w:r>
          </w:p>
          <w:p w14:paraId="4F924916">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三档（15分）：服务流程清晰、具体且合理，严格遵循党政机关法律服务要求设计，各环节操作规范明确；有针对性，充分考虑党政机关法律顾问服务特点，在重大纠纷处理流程中，针对党政机关的社会影响和公共利益维护制定专门策略；部署全面，涵盖所有关键流程节点且衔接紧密，形成完整闭环，从法律咨询、合同审查到纠纷处理、事后评估等环节均有明确流程和标准。</w:t>
            </w:r>
          </w:p>
        </w:tc>
        <w:tc>
          <w:tcPr>
            <w:tcW w:w="1202" w:type="dxa"/>
            <w:vAlign w:val="center"/>
          </w:tcPr>
          <w:p w14:paraId="790E4564">
            <w:pPr>
              <w:snapToGrid w:val="0"/>
              <w:spacing w:line="360" w:lineRule="exact"/>
              <w:jc w:val="center"/>
              <w:rPr>
                <w:rFonts w:ascii="宋体" w:hAnsi="宋体" w:cs="宋体"/>
                <w:bCs/>
                <w:color w:val="auto"/>
                <w:sz w:val="24"/>
              </w:rPr>
            </w:pPr>
            <w:r>
              <w:rPr>
                <w:rFonts w:hint="eastAsia" w:ascii="宋体" w:hAnsi="宋体" w:cs="宋体"/>
                <w:bCs/>
                <w:color w:val="auto"/>
                <w:sz w:val="24"/>
              </w:rPr>
              <w:t>0~15分</w:t>
            </w:r>
          </w:p>
        </w:tc>
      </w:tr>
      <w:tr w14:paraId="726F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C36C0EE">
            <w:pPr>
              <w:snapToGrid w:val="0"/>
              <w:spacing w:line="360" w:lineRule="exact"/>
              <w:jc w:val="center"/>
              <w:rPr>
                <w:rFonts w:ascii="宋体" w:hAnsi="宋体" w:cs="宋体"/>
                <w:bCs/>
                <w:color w:val="auto"/>
                <w:sz w:val="24"/>
              </w:rPr>
            </w:pPr>
            <w:r>
              <w:rPr>
                <w:rFonts w:hint="eastAsia" w:ascii="宋体" w:hAnsi="宋体" w:cs="宋体"/>
                <w:bCs/>
                <w:color w:val="auto"/>
                <w:sz w:val="24"/>
              </w:rPr>
              <w:t>2.3</w:t>
            </w:r>
          </w:p>
        </w:tc>
        <w:tc>
          <w:tcPr>
            <w:tcW w:w="1241" w:type="dxa"/>
            <w:vAlign w:val="center"/>
          </w:tcPr>
          <w:p w14:paraId="0B938272">
            <w:pPr>
              <w:spacing w:line="360" w:lineRule="auto"/>
              <w:jc w:val="center"/>
              <w:rPr>
                <w:rFonts w:ascii="宋体" w:hAnsi="宋体" w:cs="宋体"/>
                <w:bCs/>
                <w:color w:val="auto"/>
                <w:sz w:val="24"/>
              </w:rPr>
            </w:pPr>
            <w:r>
              <w:rPr>
                <w:rFonts w:hint="eastAsia" w:ascii="宋体" w:hAnsi="宋体"/>
                <w:b/>
                <w:color w:val="auto"/>
                <w:sz w:val="24"/>
              </w:rPr>
              <w:t>服务完成期限及质量承诺（满分15分）</w:t>
            </w:r>
          </w:p>
        </w:tc>
        <w:tc>
          <w:tcPr>
            <w:tcW w:w="6199" w:type="dxa"/>
            <w:vAlign w:val="center"/>
          </w:tcPr>
          <w:p w14:paraId="72C6E80E">
            <w:pPr>
              <w:widowControl/>
              <w:snapToGrid w:val="0"/>
              <w:spacing w:line="360" w:lineRule="exact"/>
              <w:ind w:firstLine="420" w:firstLineChars="175"/>
              <w:jc w:val="left"/>
              <w:rPr>
                <w:rFonts w:ascii="宋体" w:hAnsi="宋体" w:cs="宋体"/>
                <w:color w:val="auto"/>
                <w:kern w:val="0"/>
                <w:sz w:val="24"/>
              </w:rPr>
            </w:pPr>
            <w:r>
              <w:rPr>
                <w:rFonts w:hint="eastAsia" w:ascii="宋体" w:hAnsi="宋体" w:cs="宋体"/>
                <w:color w:val="auto"/>
                <w:kern w:val="0"/>
                <w:sz w:val="24"/>
              </w:rPr>
              <w:t>由评审专家根据供应商提供的以下内容独立打分。不提供相关内容的计0分。</w:t>
            </w:r>
          </w:p>
          <w:p w14:paraId="725BFE75">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一档（5分）：完成期限保证体系严重不完善，无明确时间规划和责任人制度，无法确定法律意见书的出具时间；工作程序混乱，不符合政府采购法规及行业规范，法律文件的起草和审核流程不规范；安排不合理，资源配置与任务量严重不匹配，处理复杂法律事务时人员投入不足；服务完成期限及质量保证措施描述简单，未对可能影响服务期限和质量的因素进行分析和应对，未考虑律师突发疾病对工作的影响；违约责任承诺不具体或无承诺。​</w:t>
            </w:r>
          </w:p>
          <w:p w14:paraId="3AB945D8">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二档（10分）：完成期限保证体系存在一定缺陷，时间规划和责任人制度不够明确，法律意见书出具时间有较大弹性且责任人不清晰；工作程序基本符合法规和规范，但存在一些小瑕疵，法律文件格式偶尔不规范；安排基本合理，资源配置与任务量大致匹配，在高峰期可能出现资源紧张情况；服务完成期限及质量保证措施有一定内容，针对常见影响因素有初步应对方案，对律师请假有简单的人员调配方案；有违约责任承诺但不够具体，对违约行为的界定和处罚标准不够清晰。</w:t>
            </w:r>
          </w:p>
          <w:p w14:paraId="74B26996">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三档（15分）：完成期限保证体系健全，有详细的时间规划和明确的责任人制度，每个服务环节都有精确时间要求和责任人，承诺针对重大、疑难或特别复杂的问题的法律意见书在接到需求后2个工作日内出具；工作程序清晰且严格遵循政府采购法规及行业规范，法律文件起草、审核、归档等流程规范有序；安排科学，资源配置合理，能充分应对各种工作任务，针对复杂法律事务提前调配专业律师团队；服务完成期限及质量保证措施有力，全面分析影响服务期限和质量的因素并制定完善应对方案，建立律师健康监测机制以应对突发健康问题；有具体的违约责任承诺，明确界定各种违约行为及相应处罚标准。</w:t>
            </w:r>
          </w:p>
        </w:tc>
        <w:tc>
          <w:tcPr>
            <w:tcW w:w="1202" w:type="dxa"/>
            <w:vAlign w:val="center"/>
          </w:tcPr>
          <w:p w14:paraId="404FC2A6">
            <w:pPr>
              <w:snapToGrid w:val="0"/>
              <w:spacing w:line="360" w:lineRule="exact"/>
              <w:jc w:val="center"/>
              <w:rPr>
                <w:rFonts w:ascii="宋体" w:hAnsi="宋体" w:cs="宋体"/>
                <w:bCs/>
                <w:color w:val="auto"/>
                <w:sz w:val="24"/>
              </w:rPr>
            </w:pPr>
            <w:r>
              <w:rPr>
                <w:rFonts w:hint="eastAsia" w:ascii="宋体" w:hAnsi="宋体" w:cs="宋体"/>
                <w:bCs/>
                <w:color w:val="auto"/>
                <w:sz w:val="24"/>
              </w:rPr>
              <w:t>0~15分</w:t>
            </w:r>
          </w:p>
        </w:tc>
      </w:tr>
      <w:tr w14:paraId="0D93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D273EF3">
            <w:pPr>
              <w:snapToGrid w:val="0"/>
              <w:spacing w:line="360" w:lineRule="exact"/>
              <w:jc w:val="center"/>
              <w:rPr>
                <w:rFonts w:ascii="宋体" w:hAnsi="宋体" w:cs="宋体"/>
                <w:bCs/>
                <w:color w:val="auto"/>
                <w:sz w:val="24"/>
              </w:rPr>
            </w:pPr>
            <w:r>
              <w:rPr>
                <w:rFonts w:hint="eastAsia" w:ascii="宋体" w:hAnsi="宋体" w:cs="宋体"/>
                <w:bCs/>
                <w:color w:val="auto"/>
                <w:sz w:val="24"/>
              </w:rPr>
              <w:t>2.4</w:t>
            </w:r>
          </w:p>
        </w:tc>
        <w:tc>
          <w:tcPr>
            <w:tcW w:w="1241" w:type="dxa"/>
            <w:vAlign w:val="center"/>
          </w:tcPr>
          <w:p w14:paraId="4A6EC881">
            <w:pPr>
              <w:spacing w:line="360" w:lineRule="auto"/>
              <w:jc w:val="center"/>
              <w:rPr>
                <w:rFonts w:ascii="宋体" w:hAnsi="宋体" w:cs="宋体"/>
                <w:bCs/>
                <w:color w:val="auto"/>
                <w:sz w:val="24"/>
              </w:rPr>
            </w:pPr>
            <w:r>
              <w:rPr>
                <w:rFonts w:hint="eastAsia"/>
                <w:b/>
                <w:bCs/>
                <w:color w:val="auto"/>
                <w:sz w:val="24"/>
              </w:rPr>
              <w:t>团队服务及专人对接承诺（满分10分）</w:t>
            </w:r>
          </w:p>
        </w:tc>
        <w:tc>
          <w:tcPr>
            <w:tcW w:w="6199" w:type="dxa"/>
            <w:vAlign w:val="center"/>
          </w:tcPr>
          <w:p w14:paraId="4505EC9A">
            <w:pPr>
              <w:widowControl/>
              <w:snapToGrid w:val="0"/>
              <w:spacing w:line="360" w:lineRule="exact"/>
              <w:ind w:firstLine="420" w:firstLineChars="175"/>
              <w:jc w:val="left"/>
              <w:rPr>
                <w:rFonts w:ascii="宋体" w:hAnsi="宋体" w:cs="宋体"/>
                <w:color w:val="auto"/>
                <w:sz w:val="24"/>
              </w:rPr>
            </w:pPr>
            <w:r>
              <w:rPr>
                <w:rFonts w:hint="eastAsia" w:ascii="宋体" w:hAnsi="宋体" w:cs="宋体"/>
                <w:color w:val="auto"/>
                <w:kern w:val="0"/>
                <w:sz w:val="24"/>
              </w:rPr>
              <w:t>由评审专家根据供应商提供的以下内容独立打分。不提供相关内容的计0分。</w:t>
            </w:r>
          </w:p>
          <w:p w14:paraId="5FD9708D">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一档（3分）：服务团队组织构架混乱，职责分工不明确；工作流程不清晰，内部协作不畅，案件讨论和决策流程混乱；无专人对接，无法及时响应采购方需求，导致沟通严重不畅。</w:t>
            </w:r>
          </w:p>
          <w:p w14:paraId="0BF12751">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二档（6分）：服务团队组织构架基本合理，但存在一些职责交叉或空白区域，部分法律事务的负责人员界定模糊；工作流程较清晰，内部协作基本顺畅，但存在一些沟通延迟情况，信息传递不及时；有专人对接，能在一定时间内响应采购方需求，但响应速度和服务质量有待提高。</w:t>
            </w:r>
          </w:p>
          <w:p w14:paraId="16FC194C">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三档（10分）：服务团队组织构架健全，职责分工明确，每位律师都清楚自己的业务领域和职责，分为合同审查律师、诉讼律师等；工作流程清晰，内部协作高效，有完善的沟通和决策机制，定期召开团队会议讨论重大法律事务；有专人对接，能迅速响应采购方需求，提供优质服务，如在接到采购方咨询后30分钟内回复初步法律意见。</w:t>
            </w:r>
          </w:p>
        </w:tc>
        <w:tc>
          <w:tcPr>
            <w:tcW w:w="1202" w:type="dxa"/>
            <w:vAlign w:val="center"/>
          </w:tcPr>
          <w:p w14:paraId="470DF71F">
            <w:pPr>
              <w:snapToGrid w:val="0"/>
              <w:spacing w:line="360" w:lineRule="exact"/>
              <w:jc w:val="center"/>
              <w:rPr>
                <w:rFonts w:ascii="宋体" w:hAnsi="宋体" w:cs="宋体"/>
                <w:bCs/>
                <w:color w:val="auto"/>
                <w:sz w:val="24"/>
              </w:rPr>
            </w:pPr>
            <w:r>
              <w:rPr>
                <w:rFonts w:hint="eastAsia" w:ascii="宋体" w:hAnsi="宋体" w:cs="宋体"/>
                <w:bCs/>
                <w:color w:val="auto"/>
                <w:sz w:val="24"/>
              </w:rPr>
              <w:t>0~10分</w:t>
            </w:r>
          </w:p>
        </w:tc>
      </w:tr>
      <w:tr w14:paraId="6DB0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2813E6E">
            <w:pPr>
              <w:snapToGrid w:val="0"/>
              <w:spacing w:line="360" w:lineRule="exact"/>
              <w:jc w:val="center"/>
              <w:rPr>
                <w:rFonts w:ascii="宋体" w:hAnsi="宋体" w:cs="宋体"/>
                <w:bCs/>
                <w:color w:val="auto"/>
                <w:sz w:val="24"/>
              </w:rPr>
            </w:pPr>
            <w:r>
              <w:rPr>
                <w:rFonts w:hint="eastAsia" w:ascii="宋体" w:hAnsi="宋体" w:cs="宋体"/>
                <w:bCs/>
                <w:color w:val="auto"/>
                <w:sz w:val="24"/>
              </w:rPr>
              <w:t>2.5</w:t>
            </w:r>
          </w:p>
        </w:tc>
        <w:tc>
          <w:tcPr>
            <w:tcW w:w="1241" w:type="dxa"/>
            <w:vAlign w:val="center"/>
          </w:tcPr>
          <w:p w14:paraId="3302D40D">
            <w:pPr>
              <w:spacing w:line="360" w:lineRule="auto"/>
              <w:jc w:val="center"/>
              <w:rPr>
                <w:rFonts w:ascii="宋体" w:hAnsi="宋体" w:cs="宋体"/>
                <w:bCs/>
                <w:color w:val="auto"/>
                <w:sz w:val="24"/>
              </w:rPr>
            </w:pPr>
            <w:r>
              <w:rPr>
                <w:rFonts w:hint="eastAsia"/>
                <w:b/>
                <w:bCs/>
                <w:color w:val="auto"/>
                <w:sz w:val="24"/>
              </w:rPr>
              <w:t>后续服务方案（满分15分）</w:t>
            </w:r>
          </w:p>
        </w:tc>
        <w:tc>
          <w:tcPr>
            <w:tcW w:w="6199" w:type="dxa"/>
            <w:vAlign w:val="center"/>
          </w:tcPr>
          <w:p w14:paraId="2C88EB13">
            <w:pPr>
              <w:widowControl/>
              <w:snapToGrid w:val="0"/>
              <w:spacing w:line="360" w:lineRule="exact"/>
              <w:ind w:firstLine="420" w:firstLineChars="175"/>
              <w:jc w:val="left"/>
              <w:rPr>
                <w:rFonts w:ascii="宋体" w:hAnsi="宋体" w:cs="宋体"/>
                <w:color w:val="auto"/>
                <w:sz w:val="24"/>
              </w:rPr>
            </w:pPr>
            <w:r>
              <w:rPr>
                <w:rFonts w:hint="eastAsia" w:ascii="宋体" w:hAnsi="宋体" w:cs="宋体"/>
                <w:color w:val="auto"/>
                <w:kern w:val="0"/>
                <w:sz w:val="24"/>
              </w:rPr>
              <w:t>由评审专家根据供应商提供的以下内容独立打分。不提供相关内容的计0分。</w:t>
            </w:r>
          </w:p>
          <w:p w14:paraId="24BA4A59">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一档（5分）：提供的后续服务方案内容简单粗糙，对服务内容、方式等描述模糊；工作程序不清晰，无法有效执行；安排不合理，资源配置与后续服务需求不匹配，后续服务需要大量专业律师但资源投入不足；完成期限保证体系内容简单，无法确定复杂法律问题的解决时间。​</w:t>
            </w:r>
          </w:p>
          <w:p w14:paraId="129F527F">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二档（10分）：后续服务方案内容较合理，对服务内容、方式等有一定描述，但不够详细；工作程序较清晰，基本能按流程执行，后续服务的反馈处理流程不够完善；安排较合理，资源配置与后续服务需求基本匹配；服务过程的工作报告、总结、材料资料较及时提供，但内容不够详细和准确；完成期限有一定保证，针对常见情况有应对方案，如对常规法律问题能在3个工作日内回复解决方案。</w:t>
            </w:r>
          </w:p>
          <w:p w14:paraId="0661E645">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三档（15分）：提供的后续服务方案内容完整，详细描述服务内容、方式、时间、人员等，每周固定时间提供电话回访咨询服务，每月出具法律风险评估报告；工作程序清晰，有明确的操作流程和标准，后续服务的投诉处理流程明确且高效；安排合理，资源配置充足，能充分满足后续服务需求，根据不同类型的后续服务需求配备相应专业律师；服务过程的工作报告、总结、材料资料准确及时，为采购方提供全面详细的服务记录和分析；完成期限保证体系健全，全面考虑各种影响因素并制定完善应对方案，如针对复杂法律问题制定详细的解决时间表；有具体的违约责任承诺，明确后续服务中的违约行为及处罚标准。</w:t>
            </w:r>
          </w:p>
        </w:tc>
        <w:tc>
          <w:tcPr>
            <w:tcW w:w="1202" w:type="dxa"/>
            <w:vAlign w:val="center"/>
          </w:tcPr>
          <w:p w14:paraId="04556F8C">
            <w:pPr>
              <w:snapToGrid w:val="0"/>
              <w:spacing w:line="360" w:lineRule="exact"/>
              <w:jc w:val="center"/>
              <w:rPr>
                <w:rFonts w:ascii="宋体" w:hAnsi="宋体" w:cs="宋体"/>
                <w:bCs/>
                <w:color w:val="auto"/>
                <w:sz w:val="24"/>
              </w:rPr>
            </w:pPr>
            <w:r>
              <w:rPr>
                <w:rFonts w:hint="eastAsia" w:ascii="宋体" w:hAnsi="宋体" w:cs="宋体"/>
                <w:bCs/>
                <w:color w:val="auto"/>
                <w:sz w:val="24"/>
              </w:rPr>
              <w:t>0~15分</w:t>
            </w:r>
          </w:p>
        </w:tc>
      </w:tr>
      <w:tr w14:paraId="7728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B635CEA">
            <w:pPr>
              <w:widowControl/>
              <w:snapToGrid w:val="0"/>
              <w:spacing w:line="360" w:lineRule="exact"/>
              <w:jc w:val="center"/>
              <w:rPr>
                <w:rFonts w:ascii="宋体" w:hAnsi="宋体" w:cs="宋体"/>
                <w:bCs/>
                <w:color w:val="auto"/>
                <w:sz w:val="24"/>
              </w:rPr>
            </w:pPr>
            <w:r>
              <w:rPr>
                <w:rFonts w:hint="eastAsia" w:ascii="宋体" w:hAnsi="宋体" w:cs="宋体"/>
                <w:bCs/>
                <w:color w:val="auto"/>
                <w:kern w:val="0"/>
                <w:sz w:val="24"/>
              </w:rPr>
              <w:t>3</w:t>
            </w:r>
          </w:p>
        </w:tc>
        <w:tc>
          <w:tcPr>
            <w:tcW w:w="1241" w:type="dxa"/>
            <w:vAlign w:val="center"/>
          </w:tcPr>
          <w:p w14:paraId="0E0807F6">
            <w:pPr>
              <w:widowControl/>
              <w:snapToGrid w:val="0"/>
              <w:spacing w:line="360" w:lineRule="exact"/>
              <w:jc w:val="center"/>
              <w:rPr>
                <w:rFonts w:ascii="宋体" w:hAnsi="宋体" w:cs="宋体"/>
                <w:bCs/>
                <w:color w:val="auto"/>
                <w:sz w:val="24"/>
              </w:rPr>
            </w:pPr>
            <w:r>
              <w:rPr>
                <w:rFonts w:hint="eastAsia" w:ascii="宋体" w:hAnsi="宋体" w:cs="宋体"/>
                <w:bCs/>
                <w:color w:val="auto"/>
                <w:sz w:val="24"/>
              </w:rPr>
              <w:t>商务分</w:t>
            </w:r>
          </w:p>
        </w:tc>
        <w:tc>
          <w:tcPr>
            <w:tcW w:w="7401" w:type="dxa"/>
            <w:gridSpan w:val="2"/>
          </w:tcPr>
          <w:p w14:paraId="68B52A9E">
            <w:pPr>
              <w:widowControl/>
              <w:snapToGrid w:val="0"/>
              <w:spacing w:line="360" w:lineRule="exact"/>
              <w:ind w:firstLine="420" w:firstLineChars="175"/>
              <w:jc w:val="center"/>
              <w:rPr>
                <w:rFonts w:ascii="宋体" w:hAnsi="宋体" w:cs="宋体"/>
                <w:bCs/>
                <w:color w:val="auto"/>
                <w:sz w:val="24"/>
              </w:rPr>
            </w:pPr>
            <w:r>
              <w:rPr>
                <w:rFonts w:hint="eastAsia" w:ascii="宋体" w:hAnsi="宋体" w:cs="宋体"/>
                <w:color w:val="auto"/>
                <w:kern w:val="0"/>
                <w:sz w:val="24"/>
              </w:rPr>
              <w:t>评审因素</w:t>
            </w:r>
          </w:p>
        </w:tc>
      </w:tr>
      <w:tr w14:paraId="691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E337A16">
            <w:pPr>
              <w:snapToGrid w:val="0"/>
              <w:spacing w:line="360" w:lineRule="exact"/>
              <w:jc w:val="center"/>
              <w:rPr>
                <w:rFonts w:ascii="宋体" w:hAnsi="宋体" w:cs="宋体"/>
                <w:bCs/>
                <w:color w:val="auto"/>
                <w:sz w:val="24"/>
              </w:rPr>
            </w:pPr>
            <w:r>
              <w:rPr>
                <w:rFonts w:hint="eastAsia" w:ascii="宋体" w:hAnsi="宋体" w:cs="宋体"/>
                <w:bCs/>
                <w:color w:val="auto"/>
                <w:sz w:val="24"/>
              </w:rPr>
              <w:t>3.1</w:t>
            </w:r>
          </w:p>
        </w:tc>
        <w:tc>
          <w:tcPr>
            <w:tcW w:w="1241" w:type="dxa"/>
            <w:vAlign w:val="center"/>
          </w:tcPr>
          <w:p w14:paraId="6EDFE3E1">
            <w:pPr>
              <w:snapToGrid w:val="0"/>
              <w:spacing w:line="360" w:lineRule="exact"/>
              <w:jc w:val="center"/>
              <w:rPr>
                <w:rFonts w:ascii="宋体" w:hAnsi="宋体" w:cs="宋体"/>
                <w:bCs/>
                <w:color w:val="auto"/>
                <w:sz w:val="24"/>
              </w:rPr>
            </w:pPr>
            <w:r>
              <w:rPr>
                <w:rFonts w:hint="eastAsia" w:ascii="宋体" w:hAnsi="宋体" w:cs="宋体"/>
                <w:b/>
                <w:color w:val="auto"/>
                <w:sz w:val="24"/>
              </w:rPr>
              <w:t>企业信誉（满分20分）</w:t>
            </w:r>
          </w:p>
        </w:tc>
        <w:tc>
          <w:tcPr>
            <w:tcW w:w="6199" w:type="dxa"/>
          </w:tcPr>
          <w:p w14:paraId="07B40A69">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1）供应商拟投入本项目服务律师自2022年1月1日以来为政府行政、事业单位提供过年度法律顾问服务的，每个项目业绩得2分；为政府行政、事业单位提供过提供过项目法律顾问服务的，每个项目业绩得1分，满分6分。</w:t>
            </w:r>
            <w:r>
              <w:rPr>
                <w:rFonts w:hint="eastAsia" w:ascii="宋体" w:hAnsi="宋体" w:cs="宋体"/>
                <w:b/>
                <w:color w:val="auto"/>
                <w:sz w:val="24"/>
              </w:rPr>
              <w:t>（以合同、协议、聘书等原件扫描件为准，须加盖供应商CA电子章，否则不予计分。）</w:t>
            </w:r>
          </w:p>
          <w:p w14:paraId="565201AB">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（2）供应商拟投入项目团队负责人自2022年1月1日以来办理胜诉的行政案件情况，以案件列表清单</w:t>
            </w:r>
            <w:r>
              <w:rPr>
                <w:rFonts w:hint="eastAsia" w:ascii="宋体" w:hAnsi="宋体" w:cs="宋体"/>
                <w:b/>
                <w:color w:val="auto"/>
                <w:sz w:val="24"/>
              </w:rPr>
              <w:t>（格式自拟）和行政诉讼案件判决书为准（上述二者缺一不得分）</w:t>
            </w:r>
            <w:r>
              <w:rPr>
                <w:rFonts w:hint="eastAsia" w:ascii="宋体" w:hAnsi="宋体" w:cs="宋体"/>
                <w:bCs/>
                <w:color w:val="auto"/>
                <w:sz w:val="24"/>
              </w:rPr>
              <w:t>，提供每个胜诉行政案件证明得2分，满分4分。</w:t>
            </w:r>
          </w:p>
          <w:p w14:paraId="21F5585C">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（3）拟投入本项目的项目负责人近五年内获得市级政府或行业协会表彰的得2分（满分2分），获得国家级或省级政府部门或行业协会表彰的得3分（满分3分），本项满分5分。（</w:t>
            </w:r>
            <w:r>
              <w:rPr>
                <w:rFonts w:hint="eastAsia" w:ascii="宋体" w:hAnsi="宋体" w:cs="宋体"/>
                <w:b/>
                <w:color w:val="auto"/>
                <w:sz w:val="24"/>
              </w:rPr>
              <w:t>必须提供相关的证明资料并加盖供应商CA电子章，否则不计分。</w:t>
            </w:r>
            <w:r>
              <w:rPr>
                <w:rFonts w:hint="eastAsia" w:ascii="宋体" w:hAnsi="宋体" w:cs="宋体"/>
                <w:bCs/>
                <w:color w:val="auto"/>
                <w:sz w:val="24"/>
              </w:rPr>
              <w:t>）</w:t>
            </w:r>
          </w:p>
          <w:p w14:paraId="4541FE34">
            <w:pPr>
              <w:widowControl/>
              <w:snapToGrid w:val="0"/>
              <w:spacing w:line="360" w:lineRule="exact"/>
              <w:ind w:firstLine="420" w:firstLineChars="175"/>
              <w:jc w:val="left"/>
              <w:rPr>
                <w:rFonts w:ascii="宋体" w:hAnsi="宋体" w:cs="宋体"/>
                <w:bCs/>
                <w:color w:val="auto"/>
                <w:sz w:val="24"/>
              </w:rPr>
            </w:pPr>
            <w:r>
              <w:rPr>
                <w:rFonts w:hint="eastAsia" w:ascii="宋体" w:hAnsi="宋体" w:cs="宋体"/>
                <w:bCs/>
                <w:color w:val="auto"/>
                <w:sz w:val="24"/>
              </w:rPr>
              <w:t>（4）拟投入本项目律师近五年曾担任县（区）级以上（含县（区）级）人民政府法律顾问的，计3分（满分3分)。（</w:t>
            </w:r>
            <w:r>
              <w:rPr>
                <w:rFonts w:hint="eastAsia" w:ascii="宋体" w:hAnsi="宋体" w:cs="宋体"/>
                <w:b/>
                <w:color w:val="auto"/>
                <w:sz w:val="24"/>
              </w:rPr>
              <w:t>必须提供相关的证明资料并加盖供应商CA电子章，否则不计分。</w:t>
            </w:r>
            <w:r>
              <w:rPr>
                <w:rFonts w:hint="eastAsia" w:ascii="宋体" w:hAnsi="宋体" w:cs="宋体"/>
                <w:bCs/>
                <w:color w:val="auto"/>
                <w:sz w:val="24"/>
              </w:rPr>
              <w:t>）</w:t>
            </w:r>
          </w:p>
          <w:p w14:paraId="6B4DD780">
            <w:pPr>
              <w:widowControl/>
              <w:snapToGrid w:val="0"/>
              <w:spacing w:line="360" w:lineRule="exact"/>
              <w:ind w:firstLine="420" w:firstLineChars="175"/>
              <w:jc w:val="left"/>
              <w:rPr>
                <w:rFonts w:ascii="宋体" w:hAnsi="宋体" w:cs="宋体"/>
                <w:color w:val="auto"/>
                <w:kern w:val="0"/>
                <w:sz w:val="24"/>
                <w:lang w:val="zh-CN"/>
              </w:rPr>
            </w:pPr>
            <w:r>
              <w:rPr>
                <w:rFonts w:hint="eastAsia" w:ascii="宋体" w:hAnsi="宋体" w:cs="宋体"/>
                <w:bCs/>
                <w:color w:val="auto"/>
                <w:sz w:val="24"/>
              </w:rPr>
              <w:t>（5）供应商拟投入律师在担任政府法律顾问期间，在政府法律顾问工作绩效考评中，考核结果为优秀的（由采购单位考核出具意见），计2分（满分2分）。（</w:t>
            </w:r>
            <w:r>
              <w:rPr>
                <w:rFonts w:hint="eastAsia" w:ascii="宋体" w:hAnsi="宋体" w:cs="宋体"/>
                <w:b/>
                <w:color w:val="auto"/>
                <w:sz w:val="24"/>
              </w:rPr>
              <w:t>必须提供相关的证明资料并加盖供应商CA电子章，否则不计分。</w:t>
            </w:r>
            <w:r>
              <w:rPr>
                <w:rFonts w:hint="eastAsia" w:ascii="宋体" w:hAnsi="宋体" w:cs="宋体"/>
                <w:bCs/>
                <w:color w:val="auto"/>
                <w:sz w:val="24"/>
              </w:rPr>
              <w:t>）</w:t>
            </w:r>
          </w:p>
        </w:tc>
        <w:tc>
          <w:tcPr>
            <w:tcW w:w="1202" w:type="dxa"/>
            <w:vAlign w:val="center"/>
          </w:tcPr>
          <w:p w14:paraId="495F5564">
            <w:pPr>
              <w:snapToGrid w:val="0"/>
              <w:spacing w:line="360" w:lineRule="exact"/>
              <w:jc w:val="center"/>
              <w:rPr>
                <w:rFonts w:ascii="宋体" w:hAnsi="宋体" w:cs="宋体"/>
                <w:bCs/>
                <w:color w:val="auto"/>
                <w:sz w:val="24"/>
              </w:rPr>
            </w:pPr>
            <w:r>
              <w:rPr>
                <w:rFonts w:hint="eastAsia" w:ascii="宋体" w:hAnsi="宋体" w:cs="宋体"/>
                <w:bCs/>
                <w:color w:val="auto"/>
                <w:sz w:val="24"/>
              </w:rPr>
              <w:t>0~20分</w:t>
            </w:r>
          </w:p>
        </w:tc>
      </w:tr>
      <w:tr w14:paraId="61C0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8" w:type="dxa"/>
            <w:gridSpan w:val="4"/>
          </w:tcPr>
          <w:p w14:paraId="12304E69">
            <w:pPr>
              <w:snapToGrid w:val="0"/>
              <w:spacing w:line="360" w:lineRule="exact"/>
              <w:rPr>
                <w:rFonts w:ascii="宋体" w:hAnsi="宋体" w:cs="宋体"/>
                <w:bCs/>
                <w:color w:val="auto"/>
                <w:sz w:val="24"/>
              </w:rPr>
            </w:pPr>
            <w:r>
              <w:rPr>
                <w:rFonts w:hint="eastAsia" w:ascii="宋体" w:hAnsi="宋体" w:cs="宋体"/>
                <w:bCs/>
                <w:color w:val="auto"/>
                <w:sz w:val="24"/>
              </w:rPr>
              <w:t>总得分＝1＋2＋3</w:t>
            </w:r>
          </w:p>
        </w:tc>
      </w:tr>
    </w:tbl>
    <w:p w14:paraId="4BF27BF5">
      <w:pPr>
        <w:spacing w:line="430" w:lineRule="exact"/>
        <w:ind w:firstLine="480" w:firstLineChars="200"/>
        <w:rPr>
          <w:rFonts w:ascii="宋体" w:hAnsi="宋体" w:cs="宋体"/>
          <w:color w:val="auto"/>
          <w:sz w:val="24"/>
        </w:rPr>
      </w:pPr>
      <w:r>
        <w:rPr>
          <w:rFonts w:hint="eastAsia" w:ascii="宋体" w:hAnsi="宋体" w:cs="宋体"/>
          <w:color w:val="auto"/>
          <w:sz w:val="24"/>
        </w:rPr>
        <w:t>7.2.终止竞争性磋商采购活动</w:t>
      </w:r>
    </w:p>
    <w:p w14:paraId="348A1022">
      <w:pPr>
        <w:spacing w:line="430" w:lineRule="exact"/>
        <w:ind w:firstLine="480" w:firstLineChars="200"/>
        <w:rPr>
          <w:rFonts w:ascii="宋体" w:hAnsi="宋体" w:cs="宋体"/>
          <w:color w:val="auto"/>
          <w:sz w:val="24"/>
        </w:rPr>
      </w:pPr>
      <w:r>
        <w:rPr>
          <w:rFonts w:hint="eastAsia" w:ascii="宋体" w:hAnsi="宋体" w:cs="宋体"/>
          <w:color w:val="auto"/>
          <w:sz w:val="24"/>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0F937C0">
      <w:pPr>
        <w:spacing w:line="430" w:lineRule="exact"/>
        <w:rPr>
          <w:rFonts w:ascii="宋体" w:hAnsi="宋体" w:cs="宋体"/>
          <w:b/>
          <w:color w:val="auto"/>
          <w:sz w:val="24"/>
        </w:rPr>
      </w:pPr>
      <w:bookmarkStart w:id="222" w:name="_Toc80886939"/>
    </w:p>
    <w:p w14:paraId="1BBB93E3">
      <w:pPr>
        <w:pStyle w:val="5"/>
        <w:spacing w:line="430" w:lineRule="exact"/>
        <w:jc w:val="center"/>
        <w:rPr>
          <w:rFonts w:hint="default" w:cs="宋体"/>
          <w:bCs w:val="0"/>
          <w:color w:val="auto"/>
          <w:sz w:val="24"/>
          <w:szCs w:val="24"/>
        </w:rPr>
      </w:pPr>
      <w:bookmarkStart w:id="223" w:name="_Toc718"/>
      <w:bookmarkStart w:id="224" w:name="_Toc11015"/>
      <w:bookmarkStart w:id="225" w:name="_Toc10271"/>
      <w:bookmarkStart w:id="226" w:name="_Toc25197"/>
      <w:bookmarkStart w:id="227" w:name="_Toc16756"/>
      <w:bookmarkStart w:id="228" w:name="_Toc20615"/>
      <w:bookmarkStart w:id="229" w:name="_Toc11009"/>
      <w:bookmarkStart w:id="230" w:name="_Toc21390"/>
      <w:bookmarkStart w:id="231" w:name="_Toc22150"/>
      <w:bookmarkStart w:id="232" w:name="_Toc31193"/>
      <w:bookmarkStart w:id="233" w:name="_Toc3878"/>
      <w:bookmarkStart w:id="234" w:name="_Toc22227"/>
      <w:bookmarkStart w:id="235" w:name="_Toc19817"/>
      <w:bookmarkStart w:id="236" w:name="_Toc19325"/>
      <w:bookmarkStart w:id="237" w:name="_Toc21397"/>
      <w:bookmarkStart w:id="238" w:name="_Toc26994"/>
      <w:bookmarkStart w:id="239" w:name="_Toc30356"/>
      <w:bookmarkStart w:id="240" w:name="_Toc9096"/>
      <w:bookmarkStart w:id="241" w:name="_Toc11674"/>
      <w:bookmarkStart w:id="242" w:name="_Toc29223"/>
      <w:r>
        <w:rPr>
          <w:rFonts w:cs="宋体"/>
          <w:bCs w:val="0"/>
          <w:color w:val="auto"/>
          <w:sz w:val="24"/>
          <w:szCs w:val="24"/>
        </w:rPr>
        <w:t>第二节 评标报告</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CA81AE4">
      <w:pPr>
        <w:spacing w:line="430" w:lineRule="exact"/>
        <w:ind w:firstLine="480" w:firstLineChars="200"/>
        <w:rPr>
          <w:rFonts w:ascii="宋体" w:hAnsi="宋体" w:cs="宋体"/>
          <w:color w:val="auto"/>
          <w:sz w:val="24"/>
        </w:rPr>
      </w:pPr>
      <w:r>
        <w:rPr>
          <w:rFonts w:hint="eastAsia" w:ascii="宋体" w:hAnsi="宋体" w:cs="宋体"/>
          <w:color w:val="auto"/>
          <w:sz w:val="24"/>
        </w:rPr>
        <w:t>1.成交标准</w:t>
      </w:r>
    </w:p>
    <w:p w14:paraId="6D95FD23">
      <w:pPr>
        <w:spacing w:line="360" w:lineRule="auto"/>
        <w:ind w:firstLine="422" w:firstLineChars="175"/>
        <w:rPr>
          <w:rFonts w:ascii="宋体" w:hAnsi="宋体" w:cs="宋体"/>
          <w:bCs/>
          <w:color w:val="auto"/>
          <w:sz w:val="24"/>
        </w:rPr>
      </w:pPr>
      <w:r>
        <w:rPr>
          <w:rFonts w:hint="eastAsia" w:ascii="宋体" w:hAnsi="宋体" w:cs="宋体"/>
          <w:b/>
          <w:color w:val="auto"/>
          <w:sz w:val="24"/>
        </w:rPr>
        <w:t>供应商可以投一个分标也可以投多个分标，一个供应商只能成为一个分标的成交供应商，评审顺序：01分标→02分标。第一成交候选供应商的响应文件可以参与其它分标的评审，但不能成为成交候选供应商，依此类推。</w:t>
      </w:r>
    </w:p>
    <w:p w14:paraId="24DC3E33">
      <w:pPr>
        <w:spacing w:line="430" w:lineRule="exact"/>
        <w:ind w:firstLine="480" w:firstLineChars="200"/>
        <w:rPr>
          <w:rFonts w:ascii="宋体" w:hAnsi="宋体" w:cs="宋体"/>
          <w:color w:val="auto"/>
          <w:sz w:val="24"/>
        </w:rPr>
      </w:pPr>
      <w:r>
        <w:rPr>
          <w:rFonts w:hint="eastAsia" w:ascii="宋体" w:hAnsi="宋体" w:cs="宋体"/>
          <w:bCs/>
          <w:color w:val="auto"/>
          <w:sz w:val="24"/>
        </w:rPr>
        <w:t>由磋商小组根据综合评分情况，按照评审得分由高到低顺序推荐3名以上成交候选供应商，</w:t>
      </w:r>
      <w:r>
        <w:rPr>
          <w:rFonts w:hint="eastAsia" w:ascii="宋体" w:hAnsi="宋体" w:cs="宋体"/>
          <w:color w:val="auto"/>
          <w:sz w:val="24"/>
        </w:rPr>
        <w:t>并在线编写电子评审报告</w:t>
      </w:r>
      <w:r>
        <w:rPr>
          <w:rFonts w:hint="eastAsia" w:ascii="宋体" w:hAnsi="宋体" w:cs="宋体"/>
          <w:bCs/>
          <w:color w:val="auto"/>
          <w:sz w:val="24"/>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6D1859F">
      <w:pPr>
        <w:spacing w:line="430" w:lineRule="exact"/>
        <w:ind w:firstLine="480" w:firstLineChars="200"/>
        <w:rPr>
          <w:rFonts w:ascii="宋体" w:hAnsi="宋体" w:cs="宋体"/>
          <w:color w:val="auto"/>
          <w:sz w:val="24"/>
        </w:rPr>
      </w:pPr>
      <w:r>
        <w:rPr>
          <w:rFonts w:hint="eastAsia" w:ascii="宋体" w:hAnsi="宋体" w:cs="宋体"/>
          <w:color w:val="auto"/>
          <w:sz w:val="24"/>
        </w:rPr>
        <w:t>2.评标争议事项处理</w:t>
      </w:r>
    </w:p>
    <w:p w14:paraId="0FCF3771">
      <w:pPr>
        <w:pStyle w:val="33"/>
        <w:spacing w:before="0" w:line="430" w:lineRule="exact"/>
        <w:ind w:firstLine="480"/>
        <w:rPr>
          <w:rFonts w:ascii="宋体" w:hAnsi="宋体" w:cs="宋体"/>
          <w:color w:val="auto"/>
          <w:kern w:val="2"/>
          <w:szCs w:val="24"/>
        </w:rPr>
      </w:pPr>
      <w:r>
        <w:rPr>
          <w:rFonts w:hint="eastAsia" w:ascii="宋体" w:hAnsi="宋体" w:cs="宋体"/>
          <w:color w:val="auto"/>
          <w:kern w:val="2"/>
          <w:szCs w:val="24"/>
        </w:rPr>
        <w:t>磋商小组成员对需要共同认定的事项存在争议的，应当按照少数服从多数的原则作出结论。持不同意见的磋商小组成员应当在评标报告上签署不同意见及理由，否则视为同意评标报告。</w:t>
      </w:r>
    </w:p>
    <w:p w14:paraId="522B3021">
      <w:pPr>
        <w:pStyle w:val="5"/>
        <w:spacing w:line="430" w:lineRule="exact"/>
        <w:ind w:firstLine="482" w:firstLineChars="200"/>
        <w:jc w:val="center"/>
        <w:rPr>
          <w:rFonts w:hint="default" w:cs="宋体"/>
          <w:bCs w:val="0"/>
          <w:color w:val="auto"/>
          <w:sz w:val="24"/>
          <w:szCs w:val="24"/>
        </w:rPr>
      </w:pPr>
      <w:bookmarkStart w:id="243" w:name="_Toc15124"/>
      <w:bookmarkStart w:id="244" w:name="_Toc7850"/>
      <w:bookmarkStart w:id="245" w:name="_Toc18655"/>
      <w:bookmarkStart w:id="246" w:name="_Toc12279"/>
      <w:bookmarkStart w:id="247" w:name="_Toc29513"/>
      <w:bookmarkStart w:id="248" w:name="_Toc17147"/>
      <w:bookmarkStart w:id="249" w:name="_Toc3202"/>
      <w:bookmarkStart w:id="250" w:name="_Toc27814"/>
      <w:bookmarkStart w:id="251" w:name="_Toc19205"/>
      <w:bookmarkStart w:id="252" w:name="_Toc7975"/>
      <w:bookmarkStart w:id="253" w:name="_Toc31637"/>
      <w:bookmarkStart w:id="254" w:name="_Toc24133"/>
      <w:bookmarkStart w:id="255" w:name="_Toc22512"/>
      <w:bookmarkStart w:id="256" w:name="_Toc32749"/>
      <w:bookmarkStart w:id="257" w:name="_Toc669"/>
      <w:bookmarkStart w:id="258" w:name="_Toc32318"/>
      <w:bookmarkStart w:id="259" w:name="_Toc80886940"/>
      <w:bookmarkStart w:id="260" w:name="_Toc11193"/>
      <w:bookmarkStart w:id="261" w:name="_Toc80205936"/>
      <w:bookmarkStart w:id="262" w:name="_Toc11804"/>
      <w:bookmarkStart w:id="263" w:name="_Toc20188"/>
      <w:bookmarkStart w:id="264" w:name="_Toc3961"/>
      <w:r>
        <w:rPr>
          <w:rFonts w:cs="宋体"/>
          <w:bCs w:val="0"/>
          <w:color w:val="auto"/>
          <w:sz w:val="24"/>
          <w:szCs w:val="24"/>
        </w:rPr>
        <w:t>第三节 评审过程的保密与录像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63D34AC">
      <w:pPr>
        <w:spacing w:line="430" w:lineRule="exact"/>
        <w:ind w:firstLine="480" w:firstLineChars="200"/>
        <w:rPr>
          <w:rFonts w:ascii="宋体" w:hAnsi="宋体" w:cs="宋体"/>
          <w:color w:val="auto"/>
          <w:sz w:val="24"/>
        </w:rPr>
      </w:pPr>
      <w:r>
        <w:rPr>
          <w:rFonts w:hint="eastAsia" w:ascii="宋体" w:hAnsi="宋体" w:cs="宋体"/>
          <w:color w:val="auto"/>
          <w:sz w:val="24"/>
        </w:rPr>
        <w:t>1.保密。</w:t>
      </w:r>
    </w:p>
    <w:p w14:paraId="4EC92E03">
      <w:pPr>
        <w:widowControl/>
        <w:spacing w:line="430" w:lineRule="exact"/>
        <w:ind w:firstLine="480" w:firstLineChars="200"/>
        <w:rPr>
          <w:rFonts w:ascii="宋体" w:hAnsi="宋体" w:cs="宋体"/>
          <w:color w:val="auto"/>
          <w:sz w:val="24"/>
        </w:rPr>
      </w:pPr>
      <w:r>
        <w:rPr>
          <w:rFonts w:hint="eastAsia" w:ascii="宋体" w:hAnsi="宋体" w:cs="宋体"/>
          <w:color w:val="auto"/>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3595328">
      <w:pPr>
        <w:widowControl/>
        <w:spacing w:line="430" w:lineRule="exact"/>
        <w:ind w:firstLine="480" w:firstLineChars="200"/>
        <w:rPr>
          <w:rFonts w:ascii="宋体" w:hAnsi="宋体" w:cs="宋体"/>
          <w:color w:val="auto"/>
          <w:sz w:val="24"/>
        </w:rPr>
      </w:pPr>
      <w:r>
        <w:rPr>
          <w:rFonts w:hint="eastAsia" w:ascii="宋体" w:hAnsi="宋体" w:cs="宋体"/>
          <w:color w:val="auto"/>
          <w:sz w:val="24"/>
        </w:rPr>
        <w:t>2.录音录像。</w:t>
      </w:r>
    </w:p>
    <w:p w14:paraId="455A6587">
      <w:pPr>
        <w:spacing w:line="430" w:lineRule="exact"/>
        <w:ind w:firstLine="480" w:firstLineChars="200"/>
        <w:rPr>
          <w:rFonts w:ascii="宋体" w:hAnsi="宋体" w:cs="宋体"/>
          <w:color w:val="auto"/>
          <w:sz w:val="24"/>
        </w:rPr>
      </w:pPr>
      <w:r>
        <w:rPr>
          <w:rFonts w:hint="eastAsia" w:ascii="宋体" w:hAnsi="宋体" w:cs="宋体"/>
          <w:color w:val="auto"/>
          <w:sz w:val="24"/>
        </w:rPr>
        <w:t>评审工作现场及操作屏幕进行全过程录音录像，录音录像资料作为采购项目文件随其他文件一并存档。</w:t>
      </w:r>
    </w:p>
    <w:p w14:paraId="5C290E37">
      <w:pPr>
        <w:jc w:val="center"/>
        <w:outlineLvl w:val="0"/>
        <w:rPr>
          <w:rFonts w:ascii="宋体" w:hAnsi="宋体" w:cs="宋体"/>
          <w:b/>
          <w:bCs/>
          <w:color w:val="auto"/>
        </w:rPr>
      </w:pPr>
      <w:r>
        <w:rPr>
          <w:rFonts w:hint="eastAsia" w:ascii="宋体" w:hAnsi="宋体" w:cs="宋体"/>
          <w:b/>
          <w:color w:val="auto"/>
          <w:sz w:val="24"/>
        </w:rPr>
        <w:br w:type="page"/>
      </w:r>
      <w:bookmarkStart w:id="265" w:name="_Toc255"/>
      <w:bookmarkStart w:id="266" w:name="_Toc2929"/>
      <w:bookmarkStart w:id="267" w:name="_Toc5413"/>
      <w:bookmarkStart w:id="268" w:name="_Toc21308"/>
      <w:bookmarkStart w:id="269" w:name="_Toc13171"/>
      <w:bookmarkStart w:id="270" w:name="_Toc9512"/>
      <w:bookmarkStart w:id="271" w:name="_Toc27306"/>
      <w:bookmarkStart w:id="272" w:name="_Toc6714"/>
      <w:bookmarkStart w:id="273" w:name="_Toc9184"/>
      <w:bookmarkStart w:id="274" w:name="_Toc21616"/>
      <w:bookmarkStart w:id="275" w:name="_Toc10711"/>
      <w:bookmarkStart w:id="276" w:name="_Toc7728"/>
      <w:bookmarkStart w:id="277" w:name="_Toc26678"/>
      <w:bookmarkStart w:id="278" w:name="_Toc12295"/>
      <w:bookmarkStart w:id="279" w:name="_Toc5832"/>
      <w:bookmarkStart w:id="280" w:name="_Toc10609"/>
      <w:bookmarkStart w:id="281" w:name="_Toc23010"/>
      <w:bookmarkStart w:id="282" w:name="_Toc23029"/>
      <w:bookmarkStart w:id="283" w:name="_Toc22567"/>
      <w:bookmarkStart w:id="284" w:name="_Toc15116"/>
      <w:bookmarkStart w:id="285" w:name="_Toc10932"/>
      <w:bookmarkStart w:id="286" w:name="_Toc25989"/>
      <w:r>
        <w:rPr>
          <w:rFonts w:hint="eastAsia" w:ascii="宋体" w:hAnsi="宋体" w:cs="宋体"/>
          <w:b/>
          <w:bCs/>
          <w:color w:val="auto"/>
          <w:sz w:val="32"/>
          <w:szCs w:val="32"/>
        </w:rPr>
        <w:t>第五章  合同条款及格式</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FA3D480">
      <w:pPr>
        <w:tabs>
          <w:tab w:val="center" w:pos="4410"/>
          <w:tab w:val="left" w:pos="6735"/>
        </w:tabs>
        <w:spacing w:line="480" w:lineRule="auto"/>
        <w:jc w:val="center"/>
        <w:rPr>
          <w:rFonts w:ascii="宋体" w:hAnsi="宋体" w:cs="宋体"/>
          <w:b/>
          <w:color w:val="auto"/>
          <w:sz w:val="24"/>
        </w:rPr>
      </w:pPr>
    </w:p>
    <w:p w14:paraId="4901228C">
      <w:pPr>
        <w:spacing w:line="520" w:lineRule="exact"/>
        <w:rPr>
          <w:rFonts w:ascii="宋体" w:hAnsi="宋体" w:cs="宋体"/>
          <w:b/>
          <w:color w:val="auto"/>
          <w:sz w:val="32"/>
          <w:szCs w:val="32"/>
        </w:rPr>
      </w:pPr>
    </w:p>
    <w:p w14:paraId="278E31BA">
      <w:pPr>
        <w:spacing w:line="360" w:lineRule="auto"/>
        <w:jc w:val="center"/>
        <w:rPr>
          <w:rFonts w:ascii="宋体" w:hAnsi="宋体" w:cs="宋体"/>
          <w:b/>
          <w:bCs/>
          <w:color w:val="auto"/>
          <w:sz w:val="44"/>
          <w:szCs w:val="21"/>
        </w:rPr>
      </w:pPr>
      <w:r>
        <w:rPr>
          <w:rFonts w:hint="eastAsia" w:ascii="宋体" w:hAnsi="宋体" w:cs="宋体"/>
          <w:b/>
          <w:bCs/>
          <w:color w:val="auto"/>
          <w:sz w:val="44"/>
          <w:szCs w:val="21"/>
        </w:rPr>
        <w:t>政府采购合同</w:t>
      </w:r>
    </w:p>
    <w:p w14:paraId="1AAC85A0">
      <w:pPr>
        <w:spacing w:line="360" w:lineRule="auto"/>
        <w:ind w:firstLine="420" w:firstLineChars="200"/>
        <w:rPr>
          <w:rFonts w:ascii="宋体" w:hAnsi="宋体" w:cs="宋体"/>
          <w:color w:val="auto"/>
        </w:rPr>
      </w:pPr>
    </w:p>
    <w:p w14:paraId="3FCE8090">
      <w:pPr>
        <w:spacing w:line="360" w:lineRule="auto"/>
        <w:ind w:firstLine="420" w:firstLineChars="200"/>
        <w:rPr>
          <w:rFonts w:ascii="宋体" w:hAnsi="宋体" w:cs="宋体"/>
          <w:color w:val="auto"/>
        </w:rPr>
      </w:pPr>
      <w:r>
        <w:rPr>
          <w:rFonts w:hint="eastAsia" w:ascii="宋体" w:hAnsi="宋体" w:cs="宋体"/>
          <w:color w:val="auto"/>
        </w:rPr>
        <w:t xml:space="preserve">                                                 </w:t>
      </w:r>
    </w:p>
    <w:p w14:paraId="03EADF7B">
      <w:pPr>
        <w:spacing w:line="360" w:lineRule="auto"/>
        <w:jc w:val="center"/>
        <w:rPr>
          <w:rFonts w:ascii="宋体" w:hAnsi="宋体" w:cs="宋体"/>
          <w:b/>
          <w:bCs/>
          <w:color w:val="auto"/>
          <w:sz w:val="44"/>
        </w:rPr>
      </w:pPr>
      <w:r>
        <w:rPr>
          <w:rFonts w:hint="eastAsia" w:ascii="宋体" w:hAnsi="宋体" w:cs="宋体"/>
          <w:b/>
          <w:bCs/>
          <w:color w:val="auto"/>
          <w:sz w:val="44"/>
          <w:u w:val="single"/>
        </w:rPr>
        <w:t xml:space="preserve"> 2025年-2028年度党政机关法律顾问服务</w:t>
      </w:r>
      <w:r>
        <w:rPr>
          <w:rFonts w:hint="eastAsia" w:ascii="宋体" w:hAnsi="宋体" w:cs="宋体"/>
          <w:b/>
          <w:bCs/>
          <w:color w:val="auto"/>
          <w:sz w:val="44"/>
        </w:rPr>
        <w:t>合同</w:t>
      </w:r>
    </w:p>
    <w:p w14:paraId="072BC3C6">
      <w:pPr>
        <w:spacing w:line="360" w:lineRule="auto"/>
        <w:jc w:val="center"/>
        <w:rPr>
          <w:rFonts w:ascii="宋体" w:hAnsi="宋体" w:cs="宋体"/>
          <w:b/>
          <w:bCs/>
          <w:color w:val="auto"/>
          <w:sz w:val="44"/>
        </w:rPr>
      </w:pPr>
    </w:p>
    <w:p w14:paraId="1A083217">
      <w:pPr>
        <w:spacing w:line="360" w:lineRule="auto"/>
        <w:ind w:firstLine="3188" w:firstLineChars="794"/>
        <w:rPr>
          <w:rFonts w:ascii="宋体" w:hAnsi="宋体" w:cs="宋体"/>
          <w:b/>
          <w:bCs/>
          <w:color w:val="auto"/>
          <w:sz w:val="40"/>
          <w:szCs w:val="22"/>
        </w:rPr>
      </w:pPr>
    </w:p>
    <w:p w14:paraId="5C1E87B1">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采购项目编号：</w:t>
      </w:r>
      <w:r>
        <w:rPr>
          <w:rFonts w:hint="eastAsia" w:ascii="宋体" w:hAnsi="宋体" w:cs="宋体"/>
          <w:b/>
          <w:color w:val="auto"/>
          <w:sz w:val="28"/>
          <w:szCs w:val="28"/>
        </w:rPr>
        <w:t xml:space="preserve">                       </w:t>
      </w:r>
    </w:p>
    <w:p w14:paraId="1B849AA7">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标项号：标项一</w:t>
      </w:r>
    </w:p>
    <w:p w14:paraId="224123CF">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采购项目名称：采购2025年-2028年度党政机关法律顾问服务</w:t>
      </w:r>
    </w:p>
    <w:p w14:paraId="27CF5ED6">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合同金额（人民币）：</w:t>
      </w:r>
    </w:p>
    <w:p w14:paraId="30286A12">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采购单位（甲方）：象州县司法局</w:t>
      </w:r>
    </w:p>
    <w:p w14:paraId="3E7BA405">
      <w:pPr>
        <w:pStyle w:val="7"/>
        <w:spacing w:line="480" w:lineRule="auto"/>
        <w:ind w:firstLine="1260" w:firstLineChars="450"/>
        <w:rPr>
          <w:rFonts w:ascii="宋体" w:hAnsi="宋体" w:cs="宋体"/>
          <w:color w:val="auto"/>
          <w:sz w:val="32"/>
          <w:szCs w:val="32"/>
        </w:rPr>
      </w:pPr>
      <w:r>
        <w:rPr>
          <w:rFonts w:hint="eastAsia" w:ascii="宋体" w:hAnsi="宋体" w:cs="宋体"/>
          <w:color w:val="auto"/>
          <w:sz w:val="28"/>
          <w:szCs w:val="28"/>
        </w:rPr>
        <w:t xml:space="preserve">成交供应商（乙方）： </w:t>
      </w:r>
    </w:p>
    <w:p w14:paraId="539A9036">
      <w:pPr>
        <w:tabs>
          <w:tab w:val="left" w:pos="7380"/>
        </w:tabs>
        <w:spacing w:line="360" w:lineRule="auto"/>
        <w:ind w:firstLine="1260" w:firstLineChars="450"/>
        <w:rPr>
          <w:rFonts w:ascii="宋体" w:hAnsi="宋体" w:cs="宋体"/>
          <w:color w:val="auto"/>
          <w:sz w:val="28"/>
          <w:szCs w:val="28"/>
        </w:rPr>
      </w:pPr>
    </w:p>
    <w:p w14:paraId="4E9230EE">
      <w:pPr>
        <w:tabs>
          <w:tab w:val="left" w:pos="7380"/>
        </w:tabs>
        <w:spacing w:line="360" w:lineRule="auto"/>
        <w:ind w:firstLine="1260" w:firstLineChars="450"/>
        <w:jc w:val="center"/>
        <w:rPr>
          <w:rFonts w:ascii="宋体" w:hAnsi="宋体" w:cs="宋体"/>
          <w:color w:val="auto"/>
          <w:sz w:val="22"/>
          <w:szCs w:val="22"/>
          <w:lang w:val="zh-CN"/>
        </w:rPr>
      </w:pPr>
      <w:r>
        <w:rPr>
          <w:rFonts w:hint="eastAsia" w:ascii="宋体" w:hAnsi="宋体" w:cs="宋体"/>
          <w:color w:val="auto"/>
          <w:sz w:val="28"/>
          <w:szCs w:val="28"/>
        </w:rPr>
        <w:t>采购日期：    年    月    日</w:t>
      </w:r>
    </w:p>
    <w:p w14:paraId="19A5B2CA">
      <w:pPr>
        <w:adjustRightInd w:val="0"/>
        <w:snapToGrid w:val="0"/>
        <w:spacing w:line="360" w:lineRule="auto"/>
        <w:ind w:firstLine="480" w:firstLineChars="200"/>
        <w:rPr>
          <w:rFonts w:ascii="宋体" w:hAnsi="宋体" w:cs="宋体"/>
          <w:color w:val="auto"/>
          <w:sz w:val="24"/>
        </w:rPr>
      </w:pPr>
    </w:p>
    <w:p w14:paraId="7FB64E4B">
      <w:pPr>
        <w:adjustRightInd w:val="0"/>
        <w:snapToGrid w:val="0"/>
        <w:spacing w:line="360" w:lineRule="auto"/>
        <w:ind w:firstLine="480" w:firstLineChars="200"/>
        <w:rPr>
          <w:rFonts w:ascii="宋体" w:hAnsi="宋体" w:cs="宋体"/>
          <w:color w:val="auto"/>
          <w:sz w:val="24"/>
        </w:rPr>
      </w:pPr>
    </w:p>
    <w:p w14:paraId="7F33AF99">
      <w:pPr>
        <w:adjustRightInd w:val="0"/>
        <w:snapToGrid w:val="0"/>
        <w:spacing w:line="360" w:lineRule="auto"/>
        <w:ind w:firstLine="480" w:firstLineChars="200"/>
        <w:rPr>
          <w:rFonts w:ascii="宋体" w:hAnsi="宋体" w:cs="宋体"/>
          <w:color w:val="auto"/>
          <w:sz w:val="24"/>
        </w:rPr>
      </w:pPr>
    </w:p>
    <w:p w14:paraId="37C822C6">
      <w:pPr>
        <w:adjustRightInd w:val="0"/>
        <w:snapToGrid w:val="0"/>
        <w:spacing w:line="360" w:lineRule="auto"/>
        <w:ind w:firstLine="480" w:firstLineChars="200"/>
        <w:rPr>
          <w:rFonts w:ascii="宋体" w:hAnsi="宋体" w:cs="宋体"/>
          <w:color w:val="auto"/>
          <w:sz w:val="24"/>
        </w:rPr>
      </w:pPr>
    </w:p>
    <w:p w14:paraId="7B4CC960">
      <w:pPr>
        <w:rPr>
          <w:rFonts w:ascii="宋体" w:hAnsi="宋体" w:cs="宋体"/>
          <w:color w:val="auto"/>
          <w:sz w:val="24"/>
        </w:rPr>
      </w:pPr>
      <w:r>
        <w:rPr>
          <w:rFonts w:hint="eastAsia" w:ascii="宋体" w:hAnsi="宋体" w:cs="宋体"/>
          <w:color w:val="auto"/>
          <w:sz w:val="24"/>
        </w:rPr>
        <w:br w:type="page"/>
      </w:r>
    </w:p>
    <w:p w14:paraId="1DE53455">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采购人（以下简称甲方）：</w:t>
      </w:r>
      <w:r>
        <w:rPr>
          <w:rFonts w:hint="eastAsia" w:ascii="宋体" w:hAnsi="宋体" w:cs="宋体"/>
          <w:color w:val="auto"/>
          <w:sz w:val="24"/>
          <w:u w:val="single"/>
        </w:rPr>
        <w:t xml:space="preserve">    象州县司法局        </w:t>
      </w:r>
    </w:p>
    <w:p w14:paraId="6FE8F6C5">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成交人（以下简称乙方）：</w:t>
      </w:r>
      <w:r>
        <w:rPr>
          <w:rFonts w:hint="eastAsia" w:ascii="宋体" w:hAnsi="宋体" w:cs="宋体"/>
          <w:color w:val="auto"/>
          <w:sz w:val="24"/>
          <w:u w:val="single"/>
        </w:rPr>
        <w:t xml:space="preserve">                        </w:t>
      </w:r>
    </w:p>
    <w:p w14:paraId="136D08ED">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顾问单位（以下简称丙方）：</w:t>
      </w:r>
      <w:r>
        <w:rPr>
          <w:rFonts w:hint="eastAsia" w:ascii="宋体" w:hAnsi="宋体" w:cs="宋体"/>
          <w:color w:val="auto"/>
          <w:sz w:val="24"/>
          <w:u w:val="single"/>
        </w:rPr>
        <w:t xml:space="preserve">                       </w:t>
      </w:r>
    </w:p>
    <w:p w14:paraId="7D9F0320">
      <w:pPr>
        <w:adjustRightInd w:val="0"/>
        <w:snapToGrid w:val="0"/>
        <w:spacing w:line="360" w:lineRule="auto"/>
        <w:ind w:firstLine="480" w:firstLineChars="200"/>
        <w:rPr>
          <w:rFonts w:ascii="宋体" w:hAnsi="宋体" w:cs="宋体"/>
          <w:color w:val="auto"/>
          <w:sz w:val="24"/>
        </w:rPr>
      </w:pPr>
    </w:p>
    <w:p w14:paraId="56F2AB5E">
      <w:pPr>
        <w:adjustRightInd w:val="0"/>
        <w:snapToGrid w:val="0"/>
        <w:spacing w:line="360" w:lineRule="auto"/>
        <w:ind w:firstLine="480" w:firstLineChars="200"/>
        <w:rPr>
          <w:rFonts w:ascii="宋体" w:hAnsi="宋体" w:cs="宋体"/>
          <w:color w:val="auto"/>
          <w:sz w:val="30"/>
          <w:szCs w:val="30"/>
        </w:rPr>
      </w:pPr>
      <w:r>
        <w:rPr>
          <w:rFonts w:hint="eastAsia" w:ascii="宋体" w:hAnsi="宋体" w:cs="宋体"/>
          <w:color w:val="auto"/>
          <w:sz w:val="24"/>
        </w:rPr>
        <w:t>甲、乙、丙三方根据《中华人民共和国民法典》《中华人民共和国政府采购法》《中华人民共和国律师法》及 采购2025年-2028年度党政机关法律顾问服务</w:t>
      </w:r>
      <w:r>
        <w:rPr>
          <w:rFonts w:hint="eastAsia" w:ascii="宋体" w:hAnsi="宋体" w:cs="宋体"/>
          <w:color w:val="auto"/>
          <w:sz w:val="24"/>
          <w:u w:val="single"/>
        </w:rPr>
        <w:t>项目（项目编号：        ）</w:t>
      </w:r>
      <w:r>
        <w:rPr>
          <w:rFonts w:hint="eastAsia" w:ascii="宋体" w:hAnsi="宋体" w:cs="宋体"/>
          <w:color w:val="auto"/>
          <w:sz w:val="24"/>
        </w:rPr>
        <w:t>竞争性磋商文件的要求和成交结果，经三方协商一致协，签订本合同。三方共同遵守如下条款（其他有关合同项目的特定信息由合同附件予以说明，合同附件为本合同不可分割的一部分）：</w:t>
      </w:r>
    </w:p>
    <w:p w14:paraId="6107D4CC">
      <w:pPr>
        <w:spacing w:line="360" w:lineRule="auto"/>
        <w:ind w:firstLine="645"/>
        <w:jc w:val="left"/>
        <w:rPr>
          <w:rFonts w:ascii="宋体" w:hAnsi="宋体" w:cs="宋体"/>
          <w:b/>
          <w:bCs/>
          <w:color w:val="auto"/>
          <w:sz w:val="24"/>
        </w:rPr>
      </w:pPr>
      <w:r>
        <w:rPr>
          <w:rFonts w:hint="eastAsia" w:ascii="宋体" w:hAnsi="宋体" w:cs="宋体"/>
          <w:b/>
          <w:bCs/>
          <w:color w:val="auto"/>
          <w:sz w:val="24"/>
        </w:rPr>
        <w:t>一、签订本政府采购合同的依据</w:t>
      </w:r>
    </w:p>
    <w:p w14:paraId="2A1AC41F">
      <w:pPr>
        <w:spacing w:line="360" w:lineRule="auto"/>
        <w:ind w:firstLine="645"/>
        <w:jc w:val="left"/>
        <w:rPr>
          <w:rFonts w:ascii="宋体" w:hAnsi="宋体" w:cs="宋体"/>
          <w:color w:val="auto"/>
          <w:sz w:val="24"/>
        </w:rPr>
      </w:pPr>
      <w:r>
        <w:rPr>
          <w:rFonts w:hint="eastAsia" w:ascii="宋体" w:hAnsi="宋体" w:cs="宋体"/>
          <w:color w:val="auto"/>
          <w:sz w:val="24"/>
        </w:rPr>
        <w:t>本政府采购合同所附下列文件是构成本政府采购合同不可分割的部分：</w:t>
      </w:r>
    </w:p>
    <w:p w14:paraId="0C69B8D0">
      <w:pPr>
        <w:spacing w:line="360" w:lineRule="auto"/>
        <w:ind w:firstLine="480" w:firstLineChars="200"/>
        <w:jc w:val="left"/>
        <w:rPr>
          <w:rFonts w:ascii="宋体" w:hAnsi="宋体" w:cs="宋体"/>
          <w:color w:val="auto"/>
          <w:sz w:val="24"/>
        </w:rPr>
      </w:pPr>
      <w:r>
        <w:rPr>
          <w:rFonts w:hint="eastAsia" w:ascii="宋体" w:hAnsi="宋体" w:cs="宋体"/>
          <w:color w:val="auto"/>
          <w:sz w:val="24"/>
        </w:rPr>
        <w:t>（一）磋商文件；</w:t>
      </w:r>
    </w:p>
    <w:p w14:paraId="2AD3DC76">
      <w:pPr>
        <w:spacing w:line="360" w:lineRule="auto"/>
        <w:ind w:firstLine="480" w:firstLineChars="200"/>
        <w:jc w:val="left"/>
        <w:rPr>
          <w:rFonts w:ascii="宋体" w:hAnsi="宋体" w:cs="宋体"/>
          <w:color w:val="auto"/>
          <w:sz w:val="24"/>
        </w:rPr>
      </w:pPr>
      <w:r>
        <w:rPr>
          <w:rFonts w:hint="eastAsia" w:ascii="宋体" w:hAnsi="宋体" w:cs="宋体"/>
          <w:color w:val="auto"/>
          <w:sz w:val="24"/>
        </w:rPr>
        <w:t>（二）磋商文件的公告；</w:t>
      </w:r>
    </w:p>
    <w:p w14:paraId="60076343">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（三）成交人提交的响应文件；</w:t>
      </w:r>
    </w:p>
    <w:p w14:paraId="6072FF73">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（四）磋商文件中规定的政府采购合同通用条款；</w:t>
      </w:r>
    </w:p>
    <w:p w14:paraId="55A3E037">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（五）成交通知书；</w:t>
      </w:r>
    </w:p>
    <w:p w14:paraId="02906DE3">
      <w:pPr>
        <w:pStyle w:val="7"/>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二、合同金额及付款方式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914"/>
        <w:gridCol w:w="1701"/>
        <w:gridCol w:w="1468"/>
        <w:gridCol w:w="884"/>
      </w:tblGrid>
      <w:tr w14:paraId="21BB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49" w:type="dxa"/>
            <w:vAlign w:val="center"/>
          </w:tcPr>
          <w:p w14:paraId="32A9152C">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序号</w:t>
            </w:r>
          </w:p>
        </w:tc>
        <w:tc>
          <w:tcPr>
            <w:tcW w:w="3914" w:type="dxa"/>
            <w:vAlign w:val="center"/>
          </w:tcPr>
          <w:p w14:paraId="084579B3">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丙方单位名称</w:t>
            </w:r>
          </w:p>
        </w:tc>
        <w:tc>
          <w:tcPr>
            <w:tcW w:w="1701" w:type="dxa"/>
            <w:vAlign w:val="center"/>
          </w:tcPr>
          <w:p w14:paraId="0B5D482B">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单价（万元）</w:t>
            </w:r>
          </w:p>
        </w:tc>
        <w:tc>
          <w:tcPr>
            <w:tcW w:w="1468" w:type="dxa"/>
            <w:vAlign w:val="center"/>
          </w:tcPr>
          <w:p w14:paraId="5CCB68B6">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总价</w:t>
            </w:r>
          </w:p>
        </w:tc>
        <w:tc>
          <w:tcPr>
            <w:tcW w:w="884" w:type="dxa"/>
            <w:vAlign w:val="center"/>
          </w:tcPr>
          <w:p w14:paraId="1FB5BC36">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备注</w:t>
            </w:r>
          </w:p>
        </w:tc>
      </w:tr>
      <w:tr w14:paraId="255C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49" w:type="dxa"/>
            <w:vAlign w:val="center"/>
          </w:tcPr>
          <w:p w14:paraId="42CFE643">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1</w:t>
            </w:r>
          </w:p>
        </w:tc>
        <w:tc>
          <w:tcPr>
            <w:tcW w:w="3914" w:type="dxa"/>
            <w:vAlign w:val="center"/>
          </w:tcPr>
          <w:p w14:paraId="2BDACBC3">
            <w:pPr>
              <w:pStyle w:val="7"/>
              <w:spacing w:line="360" w:lineRule="auto"/>
              <w:ind w:firstLine="0"/>
              <w:rPr>
                <w:rFonts w:ascii="宋体" w:hAnsi="宋体" w:cs="宋体"/>
                <w:color w:val="auto"/>
                <w:sz w:val="24"/>
                <w:szCs w:val="24"/>
              </w:rPr>
            </w:pPr>
          </w:p>
        </w:tc>
        <w:tc>
          <w:tcPr>
            <w:tcW w:w="1701" w:type="dxa"/>
            <w:vAlign w:val="center"/>
          </w:tcPr>
          <w:p w14:paraId="2DA6B943">
            <w:pPr>
              <w:pStyle w:val="7"/>
              <w:spacing w:line="360" w:lineRule="auto"/>
              <w:ind w:firstLine="0"/>
              <w:jc w:val="center"/>
              <w:rPr>
                <w:rFonts w:ascii="宋体" w:hAnsi="宋体" w:cs="宋体"/>
                <w:color w:val="auto"/>
                <w:sz w:val="24"/>
                <w:szCs w:val="24"/>
              </w:rPr>
            </w:pPr>
          </w:p>
        </w:tc>
        <w:tc>
          <w:tcPr>
            <w:tcW w:w="1468" w:type="dxa"/>
            <w:vAlign w:val="center"/>
          </w:tcPr>
          <w:p w14:paraId="61B4B142">
            <w:pPr>
              <w:pStyle w:val="7"/>
              <w:spacing w:line="360" w:lineRule="auto"/>
              <w:ind w:firstLine="0"/>
              <w:jc w:val="center"/>
              <w:rPr>
                <w:rFonts w:ascii="宋体" w:hAnsi="宋体" w:cs="宋体"/>
                <w:color w:val="auto"/>
                <w:sz w:val="24"/>
                <w:szCs w:val="24"/>
              </w:rPr>
            </w:pPr>
          </w:p>
        </w:tc>
        <w:tc>
          <w:tcPr>
            <w:tcW w:w="884" w:type="dxa"/>
            <w:vAlign w:val="center"/>
          </w:tcPr>
          <w:p w14:paraId="6D7D004B">
            <w:pPr>
              <w:pStyle w:val="7"/>
              <w:spacing w:line="360" w:lineRule="auto"/>
              <w:ind w:firstLine="0"/>
              <w:jc w:val="center"/>
              <w:rPr>
                <w:rFonts w:ascii="宋体" w:hAnsi="宋体" w:cs="宋体"/>
                <w:color w:val="auto"/>
                <w:sz w:val="24"/>
                <w:szCs w:val="24"/>
              </w:rPr>
            </w:pPr>
          </w:p>
        </w:tc>
      </w:tr>
    </w:tbl>
    <w:p w14:paraId="6AAEDD8B">
      <w:pPr>
        <w:spacing w:line="500" w:lineRule="exact"/>
        <w:ind w:firstLine="420" w:firstLineChars="175"/>
        <w:rPr>
          <w:rFonts w:ascii="宋体" w:hAnsi="宋体" w:cs="宋体"/>
          <w:color w:val="auto"/>
          <w:sz w:val="24"/>
        </w:rPr>
      </w:pPr>
      <w:r>
        <w:rPr>
          <w:rFonts w:hint="eastAsia" w:ascii="宋体" w:hAnsi="宋体" w:cs="宋体"/>
          <w:color w:val="auto"/>
          <w:sz w:val="24"/>
        </w:rPr>
        <w:t>（一）法律顾问费用中标价为三年人民币</w:t>
      </w:r>
      <w:r>
        <w:rPr>
          <w:rFonts w:hint="eastAsia" w:ascii="宋体" w:hAnsi="宋体" w:cs="宋体"/>
          <w:color w:val="auto"/>
          <w:sz w:val="24"/>
          <w:u w:val="single"/>
        </w:rPr>
        <w:t xml:space="preserve">  陆拾 </w:t>
      </w:r>
      <w:r>
        <w:rPr>
          <w:rFonts w:hint="eastAsia" w:ascii="宋体" w:hAnsi="宋体" w:cs="宋体"/>
          <w:color w:val="auto"/>
          <w:sz w:val="24"/>
        </w:rPr>
        <w:t>万元（小写：￥</w:t>
      </w:r>
      <w:r>
        <w:rPr>
          <w:rFonts w:hint="eastAsia" w:ascii="宋体" w:hAnsi="宋体" w:cs="宋体"/>
          <w:color w:val="auto"/>
          <w:sz w:val="24"/>
          <w:u w:val="single"/>
        </w:rPr>
        <w:t xml:space="preserve">600000.00 </w:t>
      </w:r>
      <w:r>
        <w:rPr>
          <w:rFonts w:hint="eastAsia" w:ascii="宋体" w:hAnsi="宋体" w:cs="宋体"/>
          <w:color w:val="auto"/>
          <w:sz w:val="24"/>
        </w:rPr>
        <w:t>元）。</w:t>
      </w:r>
    </w:p>
    <w:p w14:paraId="6E696EF8">
      <w:pPr>
        <w:spacing w:line="500" w:lineRule="exact"/>
        <w:ind w:firstLine="420" w:firstLineChars="175"/>
        <w:rPr>
          <w:rFonts w:ascii="宋体" w:hAnsi="宋体" w:cs="宋体"/>
          <w:color w:val="auto"/>
          <w:sz w:val="24"/>
        </w:rPr>
      </w:pPr>
      <w:r>
        <w:rPr>
          <w:rFonts w:hint="eastAsia" w:ascii="宋体" w:hAnsi="宋体" w:cs="宋体"/>
          <w:color w:val="auto"/>
          <w:sz w:val="24"/>
        </w:rPr>
        <w:t>（二）法律顾问服务合同签订后</w:t>
      </w:r>
      <w:r>
        <w:rPr>
          <w:rFonts w:hint="eastAsia" w:ascii="宋体" w:hAnsi="宋体" w:cs="宋体"/>
          <w:color w:val="auto"/>
          <w:sz w:val="24"/>
          <w:u w:val="single"/>
        </w:rPr>
        <w:t xml:space="preserve"> 10 </w:t>
      </w:r>
      <w:r>
        <w:rPr>
          <w:rFonts w:hint="eastAsia" w:ascii="宋体" w:hAnsi="宋体" w:cs="宋体"/>
          <w:color w:val="auto"/>
          <w:sz w:val="24"/>
        </w:rPr>
        <w:t>工作日内支付服务费10万，服务期限满12个月后30日内支付服务费10万；服务期限满24个月后30日内支付服务费20万；服务期限满36个月后30日内支付服务费20万。</w:t>
      </w:r>
    </w:p>
    <w:p w14:paraId="2C71CDD8">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乙方向甲方提供服务相关完税发票后，甲方在收到发票后一个月之内支付费用。</w:t>
      </w:r>
    </w:p>
    <w:p w14:paraId="66CD7C2D">
      <w:pPr>
        <w:spacing w:line="500" w:lineRule="exact"/>
        <w:ind w:firstLine="420" w:firstLineChars="175"/>
        <w:rPr>
          <w:rFonts w:ascii="宋体" w:hAnsi="宋体" w:cs="宋体"/>
          <w:color w:val="auto"/>
          <w:sz w:val="24"/>
        </w:rPr>
      </w:pPr>
      <w:r>
        <w:rPr>
          <w:rFonts w:hint="eastAsia" w:ascii="宋体" w:hAnsi="宋体" w:cs="宋体"/>
          <w:color w:val="auto"/>
          <w:sz w:val="24"/>
        </w:rPr>
        <w:t>（三）对于外聘法律顾问办理诉讼、仲裁案件等合同未尽专项服务事宜，由乙方和丙方根据《广西壮族自治区律师服务收费管理实施办法》规定的收费标准按50%收取或在50%以下自行协商确定。</w:t>
      </w:r>
    </w:p>
    <w:p w14:paraId="555A7D6F">
      <w:pPr>
        <w:pStyle w:val="7"/>
        <w:spacing w:line="500" w:lineRule="exact"/>
        <w:ind w:firstLine="422" w:firstLineChars="175"/>
        <w:rPr>
          <w:rFonts w:ascii="宋体" w:hAnsi="宋体" w:cs="宋体"/>
          <w:b/>
          <w:bCs/>
          <w:color w:val="auto"/>
          <w:sz w:val="24"/>
          <w:szCs w:val="24"/>
        </w:rPr>
      </w:pPr>
      <w:r>
        <w:rPr>
          <w:rFonts w:hint="eastAsia" w:ascii="宋体" w:hAnsi="宋体" w:cs="宋体"/>
          <w:b/>
          <w:bCs/>
          <w:color w:val="auto"/>
          <w:sz w:val="24"/>
          <w:szCs w:val="24"/>
        </w:rPr>
        <w:t>三、合同期限</w:t>
      </w:r>
    </w:p>
    <w:p w14:paraId="432E2CD4">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本合同为2025年至2028年法律顾问服务合同，自2025年</w:t>
      </w:r>
      <w:r>
        <w:rPr>
          <w:rFonts w:hint="eastAsia" w:ascii="宋体" w:hAnsi="宋体" w:cs="宋体"/>
          <w:color w:val="auto"/>
          <w:sz w:val="24"/>
          <w:szCs w:val="24"/>
          <w:u w:val="single"/>
        </w:rPr>
        <w:t xml:space="preserve">  5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日起至2028年5月  日止。</w:t>
      </w:r>
    </w:p>
    <w:p w14:paraId="729DA973">
      <w:pPr>
        <w:pStyle w:val="7"/>
        <w:spacing w:line="500" w:lineRule="exact"/>
        <w:ind w:firstLine="422" w:firstLineChars="175"/>
        <w:rPr>
          <w:rFonts w:ascii="宋体" w:hAnsi="宋体" w:cs="宋体"/>
          <w:b/>
          <w:bCs/>
          <w:color w:val="auto"/>
          <w:sz w:val="24"/>
          <w:szCs w:val="24"/>
        </w:rPr>
      </w:pPr>
      <w:r>
        <w:rPr>
          <w:rFonts w:hint="eastAsia" w:ascii="宋体" w:hAnsi="宋体" w:cs="宋体"/>
          <w:b/>
          <w:bCs/>
          <w:color w:val="auto"/>
          <w:sz w:val="24"/>
          <w:szCs w:val="24"/>
        </w:rPr>
        <w:t>四、丙方单位名称</w:t>
      </w:r>
    </w:p>
    <w:p w14:paraId="18CCCD52">
      <w:pPr>
        <w:pStyle w:val="7"/>
        <w:spacing w:line="500" w:lineRule="exact"/>
        <w:ind w:firstLine="720" w:firstLineChars="3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79C3D918">
      <w:pPr>
        <w:pStyle w:val="7"/>
        <w:spacing w:line="500" w:lineRule="exact"/>
        <w:ind w:firstLine="422" w:firstLineChars="175"/>
        <w:rPr>
          <w:rFonts w:ascii="宋体" w:hAnsi="宋体" w:cs="宋体"/>
          <w:b/>
          <w:bCs/>
          <w:color w:val="auto"/>
          <w:sz w:val="24"/>
          <w:szCs w:val="24"/>
        </w:rPr>
      </w:pPr>
      <w:r>
        <w:rPr>
          <w:rFonts w:hint="eastAsia" w:ascii="宋体" w:hAnsi="宋体" w:cs="宋体"/>
          <w:b/>
          <w:bCs/>
          <w:color w:val="auto"/>
          <w:sz w:val="24"/>
          <w:szCs w:val="24"/>
        </w:rPr>
        <w:t>五、甲方的权利义务</w:t>
      </w:r>
    </w:p>
    <w:p w14:paraId="4E109AF0">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（一）由县财政统一拨付专项工作经费，按照《中华人民共和国政府采购法》和政府社会购买服务的相关规定，通过政府购买服务方式，由甲、乙、丙三方签订服务协议，由乙方指派律师提供法律顾问。</w:t>
      </w:r>
    </w:p>
    <w:p w14:paraId="768FEFA2">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（二）甲方在每年度对法律顾问本年度的工作情况进行考核，并根据考核结果支付费用，乙方在甲方定期考核中评定为不合格等次的，适当核减本年度法律顾问报酬（已支付的予以退还）。</w:t>
      </w:r>
    </w:p>
    <w:p w14:paraId="699E7840">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（三）乙方在服务过程中，需要有关部门或其他组织予以配合和提供相关资料、文件等，由甲方负责协调安排。</w:t>
      </w:r>
    </w:p>
    <w:p w14:paraId="70504951">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（四）甲方应当不定期对乙方服务内容进行考核，并于服务期届满后对服务质量进行验收，逾期不验收的，乙方可视为验收合格，验收合格后，由甲乙双方签署验收单并加盖采购单位公章，甲乙双方各执一份。</w:t>
      </w:r>
    </w:p>
    <w:p w14:paraId="403AA35F">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（五）甲方在验收过程中发现乙方有违约问题，可按招、投标文件的规定要求乙方及时予以解决。</w:t>
      </w:r>
    </w:p>
    <w:p w14:paraId="77B190C6">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（六）其他需要配合协调的事项。</w:t>
      </w:r>
    </w:p>
    <w:p w14:paraId="649ED39B">
      <w:pPr>
        <w:pStyle w:val="7"/>
        <w:spacing w:line="500" w:lineRule="exact"/>
        <w:ind w:firstLine="422" w:firstLineChars="175"/>
        <w:rPr>
          <w:rFonts w:ascii="宋体" w:hAnsi="宋体" w:cs="宋体"/>
          <w:b/>
          <w:bCs/>
          <w:color w:val="auto"/>
          <w:sz w:val="24"/>
          <w:szCs w:val="24"/>
        </w:rPr>
      </w:pPr>
      <w:r>
        <w:rPr>
          <w:rFonts w:hint="eastAsia" w:ascii="宋体" w:hAnsi="宋体" w:cs="宋体"/>
          <w:b/>
          <w:bCs/>
          <w:color w:val="auto"/>
          <w:sz w:val="24"/>
          <w:szCs w:val="24"/>
        </w:rPr>
        <w:t>六、乙方的权利义务</w:t>
      </w:r>
    </w:p>
    <w:p w14:paraId="7C88112B">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（一）乙方指派</w:t>
      </w:r>
      <w:r>
        <w:rPr>
          <w:rFonts w:hint="eastAsia" w:ascii="宋体" w:hAnsi="宋体" w:cs="宋体"/>
          <w:color w:val="auto"/>
          <w:sz w:val="24"/>
          <w:szCs w:val="24"/>
          <w:u w:val="single"/>
        </w:rPr>
        <w:t xml:space="preserve">         、       </w:t>
      </w:r>
      <w:r>
        <w:rPr>
          <w:rFonts w:hint="eastAsia" w:ascii="宋体" w:hAnsi="宋体" w:cs="宋体"/>
          <w:color w:val="auto"/>
          <w:sz w:val="24"/>
          <w:szCs w:val="24"/>
        </w:rPr>
        <w:t>组成律师团队为</w:t>
      </w:r>
      <w:r>
        <w:rPr>
          <w:rFonts w:hint="eastAsia" w:ascii="宋体" w:hAnsi="宋体" w:cs="宋体"/>
          <w:color w:val="auto"/>
          <w:sz w:val="24"/>
          <w:szCs w:val="24"/>
          <w:u w:val="single"/>
        </w:rPr>
        <w:t xml:space="preserve">                 </w:t>
      </w:r>
      <w:r>
        <w:rPr>
          <w:rFonts w:hint="eastAsia" w:ascii="宋体" w:hAnsi="宋体" w:cs="宋体"/>
          <w:color w:val="auto"/>
          <w:sz w:val="24"/>
          <w:szCs w:val="24"/>
        </w:rPr>
        <w:t>提供法律服务，从2025年</w:t>
      </w:r>
      <w:r>
        <w:rPr>
          <w:rFonts w:hint="eastAsia" w:ascii="宋体" w:hAnsi="宋体" w:cs="宋体"/>
          <w:color w:val="auto"/>
          <w:sz w:val="24"/>
          <w:szCs w:val="24"/>
          <w:u w:val="single"/>
        </w:rPr>
        <w:t xml:space="preserve"> 5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日至2028年12月31日，在合同规定的职责范围及工作方式内为本合同第四条约定的丙方提供法律服务，乙方保证指派的律师符合下列条件：</w:t>
      </w:r>
    </w:p>
    <w:p w14:paraId="19AC74C5">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1.政治素质高，拥护中国共产党的领导、拥护党的理论和路线方针政策。担任党委法律顾问应具备中共正式党员资格；</w:t>
      </w:r>
    </w:p>
    <w:p w14:paraId="7AB2BC45">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2.具有良好的职业道德和较强的社会责任感；</w:t>
      </w:r>
    </w:p>
    <w:p w14:paraId="00A52D72">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3.专家应有较强专业能力并在所从事领域具有一定影响力；律师应具有3年以上连续执业经历和较强的专业能力；</w:t>
      </w:r>
    </w:p>
    <w:p w14:paraId="4D201AC3">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4.严格遵纪守法，未受过重大行政处罚、党纪政纪处分、行业处分等；</w:t>
      </w:r>
    </w:p>
    <w:p w14:paraId="1DDB4B28">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5.身体健康，责任心强，有时间和精力履行法律顾问职责；</w:t>
      </w:r>
    </w:p>
    <w:p w14:paraId="2E67A329">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6.能够保障承担法律顾问工作的其他必要条件。</w:t>
      </w:r>
    </w:p>
    <w:p w14:paraId="5FB623D7">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（二）乙方指派法律顾问工作范围</w:t>
      </w:r>
    </w:p>
    <w:p w14:paraId="069B780C">
      <w:pPr>
        <w:spacing w:line="500" w:lineRule="exact"/>
        <w:ind w:firstLine="420" w:firstLineChars="175"/>
        <w:rPr>
          <w:rFonts w:ascii="宋体" w:hAnsi="宋体" w:cs="宋体"/>
          <w:color w:val="auto"/>
          <w:sz w:val="24"/>
        </w:rPr>
      </w:pPr>
      <w:r>
        <w:rPr>
          <w:rFonts w:hint="eastAsia" w:ascii="宋体" w:hAnsi="宋体" w:cs="宋体"/>
          <w:color w:val="auto"/>
          <w:sz w:val="24"/>
        </w:rPr>
        <w:t>1.日常法律咨询服务，特别是国家最新的政策、法规解读等法律咨询；</w:t>
      </w:r>
    </w:p>
    <w:p w14:paraId="54DE0A47">
      <w:pPr>
        <w:spacing w:line="500" w:lineRule="exact"/>
        <w:ind w:firstLine="420" w:firstLineChars="175"/>
        <w:rPr>
          <w:rFonts w:ascii="宋体" w:hAnsi="宋体" w:cs="宋体"/>
          <w:color w:val="auto"/>
          <w:sz w:val="24"/>
        </w:rPr>
      </w:pPr>
      <w:r>
        <w:rPr>
          <w:rFonts w:hint="eastAsia" w:ascii="宋体" w:hAnsi="宋体" w:cs="宋体"/>
          <w:color w:val="auto"/>
          <w:sz w:val="24"/>
        </w:rPr>
        <w:t>2.负责对丙方所制定或作出的规范性文件、重大决策、具体行为提供法律咨询或建议，出具法律意见书、合法性审查意见及实施后评估工作；</w:t>
      </w:r>
    </w:p>
    <w:p w14:paraId="2D798225">
      <w:pPr>
        <w:spacing w:line="500" w:lineRule="exact"/>
        <w:ind w:firstLine="420" w:firstLineChars="175"/>
        <w:rPr>
          <w:rFonts w:ascii="宋体" w:hAnsi="宋体" w:cs="宋体"/>
          <w:color w:val="auto"/>
          <w:sz w:val="24"/>
        </w:rPr>
      </w:pPr>
      <w:r>
        <w:rPr>
          <w:rFonts w:hint="eastAsia" w:ascii="宋体" w:hAnsi="宋体" w:cs="宋体"/>
          <w:color w:val="auto"/>
          <w:sz w:val="24"/>
        </w:rPr>
        <w:t>3.草拟、审查或修改重大合同文本或其他法律事务，根据丙方实际工作要求，参与涉及重要合同谈判活动；</w:t>
      </w:r>
    </w:p>
    <w:p w14:paraId="0A2F59DF">
      <w:pPr>
        <w:spacing w:line="500" w:lineRule="exact"/>
        <w:ind w:firstLine="420" w:firstLineChars="175"/>
        <w:rPr>
          <w:rFonts w:ascii="宋体" w:hAnsi="宋体" w:cs="宋体"/>
          <w:color w:val="auto"/>
          <w:sz w:val="24"/>
        </w:rPr>
      </w:pPr>
      <w:r>
        <w:rPr>
          <w:rFonts w:hint="eastAsia" w:ascii="宋体" w:hAnsi="宋体" w:cs="宋体"/>
          <w:color w:val="auto"/>
          <w:sz w:val="24"/>
        </w:rPr>
        <w:t>4.参与处理涉及丙方尚未进入诉讼程序的民事纠纷、行政纠纷和其他重大纠纷；</w:t>
      </w:r>
    </w:p>
    <w:p w14:paraId="28717445">
      <w:pPr>
        <w:spacing w:line="500" w:lineRule="exact"/>
        <w:ind w:firstLine="420" w:firstLineChars="175"/>
        <w:rPr>
          <w:rFonts w:ascii="宋体" w:hAnsi="宋体" w:cs="宋体"/>
          <w:color w:val="auto"/>
          <w:sz w:val="24"/>
        </w:rPr>
      </w:pPr>
      <w:r>
        <w:rPr>
          <w:rFonts w:hint="eastAsia" w:ascii="宋体" w:hAnsi="宋体" w:cs="宋体"/>
          <w:color w:val="auto"/>
          <w:sz w:val="24"/>
        </w:rPr>
        <w:t>5.参与涉及丙方的重大案件、法律事务的研究讨论，提供法律意见，出具相关的法律分析意见书及出具律师函，为涉及丙方有关的调解、仲裁、诉讼、执行等法律事务提供法律意见；</w:t>
      </w:r>
    </w:p>
    <w:p w14:paraId="36B21B0D">
      <w:pPr>
        <w:spacing w:line="500" w:lineRule="exact"/>
        <w:ind w:firstLine="420" w:firstLineChars="175"/>
        <w:rPr>
          <w:rFonts w:ascii="宋体" w:hAnsi="宋体" w:cs="宋体"/>
          <w:color w:val="auto"/>
          <w:sz w:val="24"/>
        </w:rPr>
      </w:pPr>
      <w:r>
        <w:rPr>
          <w:rFonts w:hint="eastAsia" w:ascii="宋体" w:hAnsi="宋体" w:cs="宋体"/>
          <w:color w:val="auto"/>
          <w:sz w:val="24"/>
        </w:rPr>
        <w:t>6.接受委托代理参加行政复议、案件诉讼以及重大民事诉讼，维护丙方依法履行职权和维护其合法权益；</w:t>
      </w:r>
    </w:p>
    <w:p w14:paraId="54498C22">
      <w:pPr>
        <w:spacing w:line="500" w:lineRule="exact"/>
        <w:ind w:firstLine="420" w:firstLineChars="175"/>
        <w:rPr>
          <w:rFonts w:ascii="宋体" w:hAnsi="宋体" w:cs="宋体"/>
          <w:color w:val="auto"/>
          <w:sz w:val="24"/>
        </w:rPr>
      </w:pPr>
      <w:r>
        <w:rPr>
          <w:rFonts w:hint="eastAsia" w:ascii="宋体" w:hAnsi="宋体" w:cs="宋体"/>
          <w:color w:val="auto"/>
          <w:sz w:val="24"/>
        </w:rPr>
        <w:t>7.接受委托，代理丙方申请强制执行；</w:t>
      </w:r>
    </w:p>
    <w:p w14:paraId="3EBF0F89">
      <w:pPr>
        <w:spacing w:line="500" w:lineRule="exact"/>
        <w:ind w:firstLine="420" w:firstLineChars="175"/>
        <w:rPr>
          <w:rFonts w:ascii="宋体" w:hAnsi="宋体" w:cs="宋体"/>
          <w:color w:val="auto"/>
          <w:sz w:val="24"/>
        </w:rPr>
      </w:pPr>
      <w:r>
        <w:rPr>
          <w:rFonts w:hint="eastAsia" w:ascii="宋体" w:hAnsi="宋体" w:cs="宋体"/>
          <w:color w:val="auto"/>
          <w:sz w:val="24"/>
        </w:rPr>
        <w:t>8.出席甲方法律顾问室召集的法律顾问会议并提供相关法律意见；</w:t>
      </w:r>
    </w:p>
    <w:p w14:paraId="5D8FBE03">
      <w:pPr>
        <w:spacing w:line="500" w:lineRule="exact"/>
        <w:ind w:firstLine="420" w:firstLineChars="175"/>
        <w:rPr>
          <w:rFonts w:ascii="宋体" w:hAnsi="宋体" w:cs="宋体"/>
          <w:color w:val="auto"/>
          <w:sz w:val="24"/>
        </w:rPr>
      </w:pPr>
      <w:r>
        <w:rPr>
          <w:rFonts w:hint="eastAsia" w:ascii="宋体" w:hAnsi="宋体" w:cs="宋体"/>
          <w:color w:val="auto"/>
          <w:sz w:val="24"/>
        </w:rPr>
        <w:t>9.每年至少完成2-3次丙方包括但不限于行政执法人员的法律知识培训工作，丙方可视情况组织县委、县人大常委会、县人民政府、县政协及县直单位等领导参加。</w:t>
      </w:r>
    </w:p>
    <w:p w14:paraId="4BB2E56A">
      <w:pPr>
        <w:spacing w:line="500" w:lineRule="exact"/>
        <w:ind w:firstLine="480" w:firstLineChars="200"/>
        <w:rPr>
          <w:rFonts w:ascii="宋体" w:hAnsi="宋体" w:cs="宋体"/>
          <w:color w:val="auto"/>
          <w:sz w:val="24"/>
        </w:rPr>
      </w:pPr>
      <w:r>
        <w:rPr>
          <w:rFonts w:hint="eastAsia" w:ascii="宋体" w:hAnsi="宋体" w:cs="宋体"/>
          <w:color w:val="auto"/>
          <w:sz w:val="24"/>
        </w:rPr>
        <w:t>10.经指派，以丙方法律顾问身份对特定事项进行调查、协调，反映社情民意，并提出相关的法律意见；</w:t>
      </w:r>
    </w:p>
    <w:p w14:paraId="765E6F2E">
      <w:pPr>
        <w:spacing w:line="500" w:lineRule="exact"/>
        <w:ind w:firstLine="420" w:firstLineChars="175"/>
        <w:rPr>
          <w:rFonts w:ascii="宋体" w:hAnsi="宋体" w:cs="宋体"/>
          <w:color w:val="auto"/>
          <w:sz w:val="24"/>
        </w:rPr>
      </w:pPr>
      <w:r>
        <w:rPr>
          <w:rFonts w:hint="eastAsia" w:ascii="宋体" w:hAnsi="宋体" w:cs="宋体"/>
          <w:color w:val="auto"/>
          <w:sz w:val="24"/>
        </w:rPr>
        <w:t>11.办理丙方委托的其他事项。</w:t>
      </w:r>
    </w:p>
    <w:p w14:paraId="78854F6A">
      <w:pPr>
        <w:pStyle w:val="7"/>
        <w:spacing w:line="500" w:lineRule="exact"/>
        <w:ind w:firstLineChars="175"/>
        <w:rPr>
          <w:rFonts w:ascii="宋体" w:hAnsi="宋体" w:cs="宋体"/>
          <w:color w:val="auto"/>
          <w:sz w:val="24"/>
          <w:szCs w:val="24"/>
        </w:rPr>
      </w:pPr>
      <w:r>
        <w:rPr>
          <w:rFonts w:hint="eastAsia" w:ascii="宋体" w:hAnsi="宋体" w:cs="宋体"/>
          <w:color w:val="auto"/>
          <w:sz w:val="24"/>
          <w:szCs w:val="24"/>
        </w:rPr>
        <w:t>（三）乙方服务方式</w:t>
      </w:r>
    </w:p>
    <w:p w14:paraId="6E14E401">
      <w:pPr>
        <w:pStyle w:val="13"/>
        <w:spacing w:line="500" w:lineRule="exact"/>
        <w:ind w:firstLine="420" w:firstLineChars="175"/>
        <w:rPr>
          <w:rFonts w:hAnsi="宋体" w:cs="宋体"/>
          <w:color w:val="auto"/>
          <w:sz w:val="24"/>
          <w:szCs w:val="24"/>
        </w:rPr>
      </w:pPr>
      <w:r>
        <w:rPr>
          <w:rFonts w:hint="eastAsia" w:hAnsi="宋体" w:cs="宋体"/>
          <w:color w:val="auto"/>
          <w:sz w:val="24"/>
          <w:szCs w:val="24"/>
        </w:rPr>
        <w:t>1.参加法律顾问团会议，就有关法律问题进行研究讨论，提出意见；</w:t>
      </w:r>
    </w:p>
    <w:p w14:paraId="7F258217">
      <w:pPr>
        <w:pStyle w:val="13"/>
        <w:spacing w:line="500" w:lineRule="exact"/>
        <w:ind w:firstLine="420" w:firstLineChars="175"/>
        <w:rPr>
          <w:rFonts w:hAnsi="宋体" w:cs="宋体"/>
          <w:color w:val="auto"/>
          <w:sz w:val="24"/>
          <w:szCs w:val="24"/>
        </w:rPr>
      </w:pPr>
      <w:r>
        <w:rPr>
          <w:rFonts w:hint="eastAsia" w:hAnsi="宋体" w:cs="宋体"/>
          <w:color w:val="auto"/>
          <w:sz w:val="24"/>
          <w:szCs w:val="24"/>
        </w:rPr>
        <w:t>2.就丙方的有关重大法律问题进行考察、论证，提出评估意见；</w:t>
      </w:r>
    </w:p>
    <w:p w14:paraId="00A611E4">
      <w:pPr>
        <w:pStyle w:val="13"/>
        <w:spacing w:line="500" w:lineRule="exact"/>
        <w:ind w:firstLine="420" w:firstLineChars="175"/>
        <w:rPr>
          <w:rFonts w:hAnsi="宋体" w:cs="宋体"/>
          <w:color w:val="auto"/>
          <w:sz w:val="24"/>
          <w:szCs w:val="24"/>
        </w:rPr>
      </w:pPr>
      <w:r>
        <w:rPr>
          <w:rFonts w:hint="eastAsia" w:hAnsi="宋体" w:cs="宋体"/>
          <w:color w:val="auto"/>
          <w:sz w:val="24"/>
          <w:szCs w:val="24"/>
        </w:rPr>
        <w:t>3.就丙方的有关重大事项提出法律意见和建议；</w:t>
      </w:r>
    </w:p>
    <w:p w14:paraId="608CD6A0">
      <w:pPr>
        <w:pStyle w:val="13"/>
        <w:spacing w:line="500" w:lineRule="exact"/>
        <w:ind w:firstLine="420" w:firstLineChars="175"/>
        <w:rPr>
          <w:rFonts w:hAnsi="宋体" w:cs="宋体"/>
          <w:color w:val="auto"/>
          <w:sz w:val="24"/>
          <w:szCs w:val="24"/>
        </w:rPr>
      </w:pPr>
      <w:r>
        <w:rPr>
          <w:rFonts w:hint="eastAsia" w:hAnsi="宋体" w:cs="宋体"/>
          <w:color w:val="auto"/>
          <w:sz w:val="24"/>
          <w:szCs w:val="24"/>
        </w:rPr>
        <w:t>4.适时为丙方讲授法律知识；</w:t>
      </w:r>
    </w:p>
    <w:p w14:paraId="5554DE37">
      <w:pPr>
        <w:pStyle w:val="13"/>
        <w:spacing w:line="500" w:lineRule="exact"/>
        <w:ind w:firstLine="420" w:firstLineChars="175"/>
        <w:rPr>
          <w:rFonts w:hAnsi="宋体" w:cs="宋体"/>
          <w:color w:val="auto"/>
          <w:sz w:val="24"/>
          <w:szCs w:val="24"/>
        </w:rPr>
      </w:pPr>
      <w:r>
        <w:rPr>
          <w:rFonts w:hint="eastAsia" w:hAnsi="宋体" w:cs="宋体"/>
          <w:color w:val="auto"/>
          <w:sz w:val="24"/>
          <w:szCs w:val="24"/>
        </w:rPr>
        <w:t>5.保证每周与丙方不少于一次的联系（联系方式可采用面谈、电话、传真、电子邮件或微信等方式）；</w:t>
      </w:r>
    </w:p>
    <w:p w14:paraId="1CA4E090">
      <w:pPr>
        <w:pStyle w:val="13"/>
        <w:spacing w:line="500" w:lineRule="exact"/>
        <w:ind w:firstLine="420" w:firstLineChars="175"/>
        <w:rPr>
          <w:rFonts w:hAnsi="宋体" w:cs="宋体"/>
          <w:color w:val="auto"/>
          <w:sz w:val="24"/>
          <w:szCs w:val="24"/>
        </w:rPr>
      </w:pPr>
      <w:r>
        <w:rPr>
          <w:rFonts w:hint="eastAsia" w:hAnsi="宋体" w:cs="宋体"/>
          <w:color w:val="auto"/>
          <w:sz w:val="24"/>
          <w:szCs w:val="24"/>
        </w:rPr>
        <w:t>6.根据工作安排，以其他方式开展工作。</w:t>
      </w:r>
    </w:p>
    <w:p w14:paraId="45363C78">
      <w:pPr>
        <w:pStyle w:val="13"/>
        <w:spacing w:line="500" w:lineRule="exact"/>
        <w:ind w:firstLine="420" w:firstLineChars="175"/>
        <w:rPr>
          <w:rFonts w:hAnsi="宋体" w:cs="宋体"/>
          <w:color w:val="auto"/>
          <w:sz w:val="24"/>
          <w:szCs w:val="24"/>
        </w:rPr>
      </w:pPr>
      <w:r>
        <w:rPr>
          <w:rFonts w:hint="eastAsia" w:hAnsi="宋体" w:cs="宋体"/>
          <w:color w:val="auto"/>
          <w:sz w:val="24"/>
          <w:szCs w:val="24"/>
        </w:rPr>
        <w:t>（四）乙方应当承担下列义务</w:t>
      </w:r>
    </w:p>
    <w:p w14:paraId="3706A83F">
      <w:pPr>
        <w:pStyle w:val="13"/>
        <w:spacing w:line="500" w:lineRule="exact"/>
        <w:ind w:firstLine="420" w:firstLineChars="175"/>
        <w:rPr>
          <w:rFonts w:hAnsi="宋体" w:cs="宋体"/>
          <w:color w:val="auto"/>
          <w:sz w:val="24"/>
          <w:szCs w:val="24"/>
        </w:rPr>
      </w:pPr>
      <w:r>
        <w:rPr>
          <w:rFonts w:hint="eastAsia" w:hAnsi="宋体" w:cs="宋体"/>
          <w:color w:val="auto"/>
          <w:sz w:val="24"/>
          <w:szCs w:val="24"/>
        </w:rPr>
        <w:t>1.遵守国家法律法规，维护社会公平正义，维护丙方合法权益；</w:t>
      </w:r>
    </w:p>
    <w:p w14:paraId="0E61D6BF">
      <w:pPr>
        <w:pStyle w:val="13"/>
        <w:spacing w:line="500" w:lineRule="exact"/>
        <w:ind w:firstLine="420" w:firstLineChars="175"/>
        <w:rPr>
          <w:rFonts w:hAnsi="宋体" w:cs="宋体"/>
          <w:color w:val="auto"/>
          <w:sz w:val="24"/>
          <w:szCs w:val="24"/>
        </w:rPr>
      </w:pPr>
      <w:r>
        <w:rPr>
          <w:rFonts w:hint="eastAsia" w:hAnsi="宋体" w:cs="宋体"/>
          <w:color w:val="auto"/>
          <w:sz w:val="24"/>
          <w:szCs w:val="24"/>
        </w:rPr>
        <w:t>2.严格遵守保密制度，不得泄漏工作中接触到的党和国家秘密、工作秘密、商业秘密以及其他不应当公开的信息，不得擅自对外透露所承担的工作内容，不能将工作中获悉的尚未公开或者不宜公开的信息用于教学授课、撰写论文或者案例分析等；</w:t>
      </w:r>
    </w:p>
    <w:p w14:paraId="43ED2F28">
      <w:pPr>
        <w:pStyle w:val="13"/>
        <w:spacing w:line="500" w:lineRule="exact"/>
        <w:ind w:firstLine="420" w:firstLineChars="175"/>
        <w:rPr>
          <w:rFonts w:hAnsi="宋体" w:cs="宋体"/>
          <w:color w:val="auto"/>
          <w:sz w:val="24"/>
          <w:szCs w:val="24"/>
        </w:rPr>
      </w:pPr>
      <w:r>
        <w:rPr>
          <w:rFonts w:hint="eastAsia" w:hAnsi="宋体" w:cs="宋体"/>
          <w:color w:val="auto"/>
          <w:sz w:val="24"/>
          <w:szCs w:val="24"/>
        </w:rPr>
        <w:t>3.遵守职业道德和行业规范，不得利用所获得的非公开信息或者便利条件为本人及所有单位或他人牟取利益，不得以法律顾问身份从事商业活动或与法律顾问职责无关的活动；</w:t>
      </w:r>
    </w:p>
    <w:p w14:paraId="6D5F705E">
      <w:pPr>
        <w:pStyle w:val="13"/>
        <w:spacing w:line="500" w:lineRule="exact"/>
        <w:ind w:firstLine="420" w:firstLineChars="175"/>
        <w:rPr>
          <w:rFonts w:hAnsi="宋体" w:cs="宋体"/>
          <w:color w:val="auto"/>
          <w:sz w:val="24"/>
          <w:szCs w:val="24"/>
        </w:rPr>
      </w:pPr>
      <w:r>
        <w:rPr>
          <w:rFonts w:hint="eastAsia" w:hAnsi="宋体" w:cs="宋体"/>
          <w:color w:val="auto"/>
          <w:sz w:val="24"/>
          <w:szCs w:val="24"/>
        </w:rPr>
        <w:t>4.不得办理与丙方有利益冲突的法律事务，不得以党政机关常年法律顾问名义招揽或开展相关业务；</w:t>
      </w:r>
    </w:p>
    <w:p w14:paraId="0B3A7958">
      <w:pPr>
        <w:pStyle w:val="13"/>
        <w:spacing w:line="500" w:lineRule="exact"/>
        <w:ind w:firstLine="420" w:firstLineChars="175"/>
        <w:rPr>
          <w:rFonts w:hAnsi="宋体" w:cs="宋体"/>
          <w:color w:val="auto"/>
          <w:sz w:val="24"/>
          <w:szCs w:val="24"/>
        </w:rPr>
      </w:pPr>
      <w:r>
        <w:rPr>
          <w:rFonts w:hint="eastAsia" w:hAnsi="宋体" w:cs="宋体"/>
          <w:color w:val="auto"/>
          <w:sz w:val="24"/>
          <w:szCs w:val="24"/>
        </w:rPr>
        <w:t>5.法律顾问与所承办的业务有利害关系、可能影响公正履行职责的，或者有法律规定的其他应当回避情形的，应当主动申请回避；</w:t>
      </w:r>
    </w:p>
    <w:p w14:paraId="2966C02C">
      <w:pPr>
        <w:pStyle w:val="13"/>
        <w:spacing w:line="500" w:lineRule="exact"/>
        <w:ind w:firstLine="420" w:firstLineChars="175"/>
        <w:rPr>
          <w:rFonts w:hAnsi="宋体" w:cs="宋体"/>
          <w:color w:val="auto"/>
          <w:sz w:val="24"/>
          <w:szCs w:val="24"/>
        </w:rPr>
      </w:pPr>
      <w:r>
        <w:rPr>
          <w:rFonts w:hint="eastAsia" w:hAnsi="宋体" w:cs="宋体"/>
          <w:color w:val="auto"/>
          <w:sz w:val="24"/>
          <w:szCs w:val="24"/>
        </w:rPr>
        <w:t>6.不得发表、散布有损党和政府声誉或者形象的言论；不得从事有损于丙方利益的活动；</w:t>
      </w:r>
    </w:p>
    <w:p w14:paraId="2AACDF9E">
      <w:pPr>
        <w:pStyle w:val="13"/>
        <w:spacing w:line="500" w:lineRule="exact"/>
        <w:ind w:firstLine="420" w:firstLineChars="175"/>
        <w:rPr>
          <w:rFonts w:hAnsi="宋体" w:cs="宋体"/>
          <w:color w:val="auto"/>
          <w:sz w:val="24"/>
          <w:szCs w:val="24"/>
        </w:rPr>
      </w:pPr>
      <w:r>
        <w:rPr>
          <w:rFonts w:hint="eastAsia" w:hAnsi="宋体" w:cs="宋体"/>
          <w:color w:val="auto"/>
          <w:sz w:val="24"/>
          <w:szCs w:val="24"/>
        </w:rPr>
        <w:t>7.提供法律服务应当出具由本人签名或盖章及所在律师事务所盖章的书面法律意见，并对其出具的法律意见和建议负责。</w:t>
      </w:r>
    </w:p>
    <w:p w14:paraId="6A1517C4">
      <w:pPr>
        <w:pStyle w:val="13"/>
        <w:spacing w:line="500" w:lineRule="exact"/>
        <w:ind w:firstLine="422" w:firstLineChars="175"/>
        <w:rPr>
          <w:rFonts w:hAnsi="宋体" w:cs="宋体"/>
          <w:b/>
          <w:color w:val="auto"/>
          <w:sz w:val="24"/>
          <w:szCs w:val="24"/>
        </w:rPr>
      </w:pPr>
      <w:r>
        <w:rPr>
          <w:rFonts w:hint="eastAsia" w:hAnsi="宋体" w:cs="宋体"/>
          <w:b/>
          <w:color w:val="auto"/>
          <w:sz w:val="24"/>
          <w:szCs w:val="24"/>
        </w:rPr>
        <w:t>七、甲方、丙方权利和义务</w:t>
      </w:r>
    </w:p>
    <w:p w14:paraId="36C4CEE7">
      <w:pPr>
        <w:pStyle w:val="13"/>
        <w:spacing w:line="500" w:lineRule="exact"/>
        <w:ind w:firstLine="420" w:firstLineChars="175"/>
        <w:rPr>
          <w:rFonts w:hAnsi="宋体" w:cs="宋体"/>
          <w:color w:val="auto"/>
          <w:sz w:val="24"/>
          <w:szCs w:val="24"/>
        </w:rPr>
      </w:pPr>
      <w:r>
        <w:rPr>
          <w:rFonts w:hint="eastAsia" w:hAnsi="宋体" w:cs="宋体"/>
          <w:color w:val="auto"/>
          <w:sz w:val="24"/>
          <w:szCs w:val="24"/>
        </w:rPr>
        <w:t>（一）甲方、丙方对于乙方的工作享有知情权，有权向乙方询问工作进展。</w:t>
      </w:r>
    </w:p>
    <w:p w14:paraId="08D1F7DC">
      <w:pPr>
        <w:pStyle w:val="13"/>
        <w:spacing w:line="500" w:lineRule="exact"/>
        <w:ind w:firstLine="420" w:firstLineChars="175"/>
        <w:rPr>
          <w:rFonts w:hAnsi="宋体" w:cs="宋体"/>
          <w:color w:val="auto"/>
          <w:sz w:val="24"/>
          <w:szCs w:val="24"/>
        </w:rPr>
      </w:pPr>
      <w:r>
        <w:rPr>
          <w:rFonts w:hint="eastAsia" w:hAnsi="宋体" w:cs="宋体"/>
          <w:color w:val="auto"/>
          <w:sz w:val="24"/>
          <w:szCs w:val="24"/>
        </w:rPr>
        <w:t>（二）丙方有权根据实际需要另行聘请其他法律服务机构为其提供法律服务。</w:t>
      </w:r>
    </w:p>
    <w:p w14:paraId="463D56D9">
      <w:pPr>
        <w:pStyle w:val="13"/>
        <w:spacing w:line="500" w:lineRule="exact"/>
        <w:ind w:firstLine="420" w:firstLineChars="175"/>
        <w:rPr>
          <w:rFonts w:hAnsi="宋体" w:cs="宋体"/>
          <w:color w:val="auto"/>
          <w:sz w:val="24"/>
          <w:szCs w:val="24"/>
        </w:rPr>
      </w:pPr>
      <w:r>
        <w:rPr>
          <w:rFonts w:hint="eastAsia" w:hAnsi="宋体" w:cs="宋体"/>
          <w:color w:val="auto"/>
          <w:sz w:val="24"/>
          <w:szCs w:val="24"/>
        </w:rPr>
        <w:t>（三）甲方或丙方应当向乙方充分披露与委托事项有关的背景信息，并向乙方提供必要协助，提交乙方办理任何法律事务所必需的资料、文件、权证、证照等文件、资料。除非另有书面指示，甲方、丙方提供给乙方的资料、文件、证据均应为复印件或复制品，原件应由甲方、丙方妥善保管。</w:t>
      </w:r>
    </w:p>
    <w:p w14:paraId="2091723A">
      <w:pPr>
        <w:pStyle w:val="13"/>
        <w:spacing w:line="500" w:lineRule="exact"/>
        <w:ind w:firstLine="420" w:firstLineChars="175"/>
        <w:rPr>
          <w:rFonts w:hAnsi="宋体" w:cs="宋体"/>
          <w:color w:val="auto"/>
          <w:sz w:val="24"/>
          <w:szCs w:val="24"/>
        </w:rPr>
      </w:pPr>
      <w:r>
        <w:rPr>
          <w:rFonts w:hint="eastAsia" w:hAnsi="宋体" w:cs="宋体"/>
          <w:color w:val="auto"/>
          <w:sz w:val="24"/>
          <w:szCs w:val="24"/>
        </w:rPr>
        <w:t>（四）甲方应当按照本合同约定的时间、数额支付法律服务费。</w:t>
      </w:r>
    </w:p>
    <w:p w14:paraId="7F1706FA">
      <w:pPr>
        <w:pStyle w:val="13"/>
        <w:spacing w:line="500" w:lineRule="exact"/>
        <w:ind w:firstLine="420" w:firstLineChars="175"/>
        <w:rPr>
          <w:rFonts w:hAnsi="宋体" w:cs="宋体"/>
          <w:color w:val="auto"/>
          <w:sz w:val="24"/>
          <w:szCs w:val="24"/>
        </w:rPr>
      </w:pPr>
      <w:r>
        <w:rPr>
          <w:rFonts w:hint="eastAsia" w:hAnsi="宋体" w:cs="宋体"/>
          <w:color w:val="auto"/>
          <w:sz w:val="24"/>
          <w:szCs w:val="24"/>
        </w:rPr>
        <w:t>（五）甲方或丙方应为乙方提供法律服务提供一切必要的配合和条件。</w:t>
      </w:r>
    </w:p>
    <w:p w14:paraId="570B0CEE">
      <w:pPr>
        <w:pStyle w:val="13"/>
        <w:spacing w:line="500" w:lineRule="exact"/>
        <w:ind w:firstLine="420" w:firstLineChars="175"/>
        <w:rPr>
          <w:rFonts w:hAnsi="宋体" w:cs="宋体"/>
          <w:color w:val="auto"/>
          <w:sz w:val="24"/>
          <w:szCs w:val="24"/>
        </w:rPr>
      </w:pPr>
      <w:r>
        <w:rPr>
          <w:rFonts w:hint="eastAsia" w:hAnsi="宋体" w:cs="宋体"/>
          <w:color w:val="auto"/>
          <w:sz w:val="24"/>
          <w:szCs w:val="24"/>
        </w:rPr>
        <w:t>（六）任何需要乙方出席的会议、座谈、访谈、谈判，甲方或丙方应当提前一天通知乙方并提交前述活动必要的书面文件，告知前述活动内容、背景、联系人、时间、地点、出席人员名单等。</w:t>
      </w:r>
    </w:p>
    <w:p w14:paraId="10F1FA8E">
      <w:pPr>
        <w:pStyle w:val="13"/>
        <w:spacing w:line="500" w:lineRule="exact"/>
        <w:ind w:firstLine="420" w:firstLineChars="175"/>
        <w:rPr>
          <w:rFonts w:hAnsi="宋体" w:cs="宋体"/>
          <w:color w:val="auto"/>
          <w:sz w:val="24"/>
          <w:szCs w:val="24"/>
        </w:rPr>
      </w:pPr>
      <w:r>
        <w:rPr>
          <w:rFonts w:hint="eastAsia" w:hAnsi="宋体" w:cs="宋体"/>
          <w:color w:val="auto"/>
          <w:sz w:val="24"/>
          <w:szCs w:val="24"/>
        </w:rPr>
        <w:t>（七）甲方有权随时要求乙方提供第六条第（二）项规定的服务工作范围，乙方必须做到尽职尽责。</w:t>
      </w:r>
    </w:p>
    <w:p w14:paraId="0736ACE2">
      <w:pPr>
        <w:pStyle w:val="13"/>
        <w:spacing w:line="500" w:lineRule="exact"/>
        <w:ind w:firstLine="420" w:firstLineChars="175"/>
        <w:rPr>
          <w:rFonts w:hAnsi="宋体" w:cs="宋体"/>
          <w:color w:val="auto"/>
          <w:sz w:val="24"/>
          <w:szCs w:val="24"/>
        </w:rPr>
      </w:pPr>
      <w:r>
        <w:rPr>
          <w:rFonts w:hint="eastAsia" w:hAnsi="宋体" w:cs="宋体"/>
          <w:color w:val="auto"/>
          <w:sz w:val="24"/>
          <w:szCs w:val="24"/>
        </w:rPr>
        <w:t>（八）乙方向甲方和丙方交付的法律意见和其他有关文件归甲方和丙方所有，甲方和丙方享有使用、收益等处置权能。</w:t>
      </w:r>
    </w:p>
    <w:p w14:paraId="493337CB">
      <w:pPr>
        <w:spacing w:line="500" w:lineRule="exact"/>
        <w:ind w:firstLine="420" w:firstLineChars="175"/>
        <w:rPr>
          <w:rFonts w:ascii="宋体" w:hAnsi="宋体" w:cs="宋体"/>
          <w:color w:val="auto"/>
          <w:sz w:val="24"/>
        </w:rPr>
      </w:pPr>
      <w:r>
        <w:rPr>
          <w:rFonts w:hint="eastAsia" w:ascii="宋体" w:hAnsi="宋体" w:cs="宋体"/>
          <w:color w:val="auto"/>
          <w:sz w:val="24"/>
        </w:rPr>
        <w:t>（九）乙方应在本合同签订之日起，每三个月向甲方和丙方提交该季度法律顾问工作总结，在本合同届满十五日内，向甲方和丙方提交年度工作总结。甲方有权对乙方工作进行考核，若乙方违反了勤勉、尽责、及时的工作要求或违反本合同约定导致丙方工作受到延误或损失的，甲方有权要求调换律师或提出终止合同，因此造成损失的均由乙方承担，甲方将保留追究乙方责任的权利。</w:t>
      </w:r>
    </w:p>
    <w:p w14:paraId="65F9C267">
      <w:pPr>
        <w:spacing w:line="500" w:lineRule="exact"/>
        <w:ind w:firstLine="420" w:firstLineChars="175"/>
        <w:rPr>
          <w:rFonts w:ascii="宋体" w:hAnsi="宋体" w:cs="宋体"/>
          <w:color w:val="auto"/>
          <w:sz w:val="24"/>
        </w:rPr>
      </w:pPr>
      <w:r>
        <w:rPr>
          <w:rFonts w:hint="eastAsia" w:ascii="宋体" w:hAnsi="宋体" w:cs="宋体"/>
          <w:color w:val="auto"/>
          <w:sz w:val="24"/>
        </w:rPr>
        <w:t>（十）丙方根据乙方律师出具的法律意见、建议、方案所作出的决定而导致损失，若是因乙方指派律师违反了律师职业道德、执业纪律造成的，由此造成损失的均由乙方承担，甲方或丙方将保留追究乙方责任的权利。</w:t>
      </w:r>
    </w:p>
    <w:p w14:paraId="167A5960">
      <w:pPr>
        <w:spacing w:line="500" w:lineRule="exact"/>
        <w:ind w:firstLine="420" w:firstLineChars="175"/>
        <w:rPr>
          <w:rFonts w:ascii="宋体" w:hAnsi="宋体" w:cs="宋体"/>
          <w:color w:val="auto"/>
          <w:sz w:val="24"/>
        </w:rPr>
      </w:pPr>
      <w:r>
        <w:rPr>
          <w:rFonts w:hint="eastAsia" w:ascii="宋体" w:hAnsi="宋体" w:cs="宋体"/>
          <w:color w:val="auto"/>
          <w:sz w:val="24"/>
        </w:rPr>
        <w:t>（十一）除本合同另有约定外，甲方或丙方无故提前终止合同的，已经支付的法律服务费不予退还。乙方拒绝为甲方提供服务的，甲方有权解除合同，根据剩余服务期限退还相应费用，因此造成损失的均由乙方承担。</w:t>
      </w:r>
    </w:p>
    <w:p w14:paraId="05B76187">
      <w:pPr>
        <w:spacing w:line="500" w:lineRule="exact"/>
        <w:ind w:firstLine="420" w:firstLineChars="175"/>
        <w:rPr>
          <w:rFonts w:ascii="宋体" w:hAnsi="宋体" w:cs="宋体"/>
          <w:color w:val="auto"/>
          <w:sz w:val="24"/>
        </w:rPr>
      </w:pPr>
      <w:r>
        <w:rPr>
          <w:rFonts w:hint="eastAsia" w:ascii="宋体" w:hAnsi="宋体" w:cs="宋体"/>
          <w:color w:val="auto"/>
          <w:sz w:val="24"/>
        </w:rPr>
        <w:t>（十二）本合同因期满终止或因其他原因提前终止的，乙方律师应尽最大的善意处理尚未完毕的法律事务，并与甲方共同协商妥善安排好法律事务交接等相关事项。</w:t>
      </w:r>
    </w:p>
    <w:p w14:paraId="28691502">
      <w:pPr>
        <w:spacing w:line="500" w:lineRule="exact"/>
        <w:ind w:firstLine="420" w:firstLineChars="175"/>
        <w:rPr>
          <w:rFonts w:ascii="宋体" w:hAnsi="宋体" w:cs="宋体"/>
          <w:color w:val="auto"/>
          <w:sz w:val="24"/>
        </w:rPr>
      </w:pPr>
      <w:r>
        <w:rPr>
          <w:rFonts w:hint="eastAsia" w:ascii="宋体" w:hAnsi="宋体" w:cs="宋体"/>
          <w:color w:val="auto"/>
          <w:sz w:val="24"/>
        </w:rPr>
        <w:t>（十三）甲方或丙方认为乙方提供的法律服务不符合本合同约定的，则有权要求乙方在期限内完成整改。逾期整改或整改不符合甲方或丙方要求的，则甲方有权解除本合同，并要求退还已付但未按要求履行合同的剩余服务期的费用，因乙方原因造成损失的均由乙方承担，甲方或丙方将保留追究乙方责任的权利。</w:t>
      </w:r>
    </w:p>
    <w:p w14:paraId="3224FB56">
      <w:pPr>
        <w:pStyle w:val="13"/>
        <w:kinsoku w:val="0"/>
        <w:autoSpaceDE w:val="0"/>
        <w:autoSpaceDN w:val="0"/>
        <w:spacing w:line="500" w:lineRule="exact"/>
        <w:ind w:firstLine="422" w:firstLineChars="175"/>
        <w:rPr>
          <w:rFonts w:hAnsi="宋体" w:cs="宋体"/>
          <w:color w:val="auto"/>
          <w:sz w:val="24"/>
          <w:szCs w:val="24"/>
        </w:rPr>
      </w:pPr>
      <w:r>
        <w:rPr>
          <w:rFonts w:hint="eastAsia" w:hAnsi="宋体" w:cs="宋体"/>
          <w:b/>
          <w:bCs/>
          <w:color w:val="auto"/>
          <w:sz w:val="24"/>
          <w:szCs w:val="24"/>
        </w:rPr>
        <w:t>八、乙方的收款银行账户信息及甲方开票信息：</w:t>
      </w:r>
      <w:r>
        <w:rPr>
          <w:rFonts w:hint="eastAsia" w:hAnsi="宋体" w:cs="宋体"/>
          <w:color w:val="auto"/>
          <w:sz w:val="24"/>
          <w:szCs w:val="24"/>
        </w:rPr>
        <w:tab/>
      </w:r>
    </w:p>
    <w:p w14:paraId="4AE73E0F">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1、乙方收款信息如下：</w:t>
      </w:r>
    </w:p>
    <w:p w14:paraId="0DF9B326">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 xml:space="preserve">户  名：      </w:t>
      </w:r>
    </w:p>
    <w:p w14:paraId="042EFE82">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 xml:space="preserve">账  号：      </w:t>
      </w:r>
    </w:p>
    <w:p w14:paraId="2EDE34BD">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 xml:space="preserve">开户行：   </w:t>
      </w:r>
    </w:p>
    <w:p w14:paraId="4C53F857">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2、甲方开票信息如下：</w:t>
      </w:r>
    </w:p>
    <w:p w14:paraId="1BE01028">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名称： 象州县司法局</w:t>
      </w:r>
    </w:p>
    <w:p w14:paraId="58736151">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纳税人识别号：114513220077992140</w:t>
      </w:r>
    </w:p>
    <w:p w14:paraId="63D66611">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开户银行：广西象州农村合作银行经营部</w:t>
      </w:r>
    </w:p>
    <w:p w14:paraId="388BF865">
      <w:pPr>
        <w:pStyle w:val="13"/>
        <w:kinsoku w:val="0"/>
        <w:autoSpaceDE w:val="0"/>
        <w:autoSpaceDN w:val="0"/>
        <w:spacing w:line="500" w:lineRule="exact"/>
        <w:ind w:firstLine="420" w:firstLineChars="175"/>
        <w:rPr>
          <w:rFonts w:hAnsi="宋体" w:cs="宋体"/>
          <w:color w:val="auto"/>
          <w:sz w:val="24"/>
          <w:szCs w:val="24"/>
        </w:rPr>
      </w:pPr>
      <w:r>
        <w:rPr>
          <w:rFonts w:hint="eastAsia" w:hAnsi="宋体" w:cs="宋体"/>
          <w:color w:val="auto"/>
          <w:sz w:val="24"/>
          <w:szCs w:val="24"/>
        </w:rPr>
        <w:t>银行账户：2084 0120 4000 1416</w:t>
      </w:r>
    </w:p>
    <w:p w14:paraId="28240C58">
      <w:pPr>
        <w:pStyle w:val="13"/>
        <w:kinsoku w:val="0"/>
        <w:autoSpaceDE w:val="0"/>
        <w:autoSpaceDN w:val="0"/>
        <w:spacing w:line="500" w:lineRule="exact"/>
        <w:ind w:firstLine="420" w:firstLineChars="175"/>
        <w:rPr>
          <w:rFonts w:hAnsi="宋体" w:cs="宋体"/>
          <w:color w:val="auto"/>
          <w:sz w:val="24"/>
          <w:szCs w:val="24"/>
        </w:rPr>
      </w:pPr>
    </w:p>
    <w:p w14:paraId="597BC272">
      <w:pPr>
        <w:adjustRightInd w:val="0"/>
        <w:snapToGrid w:val="0"/>
        <w:spacing w:line="500" w:lineRule="exact"/>
        <w:ind w:firstLine="422" w:firstLineChars="175"/>
        <w:rPr>
          <w:rFonts w:ascii="宋体" w:hAnsi="宋体" w:cs="宋体"/>
          <w:b/>
          <w:bCs/>
          <w:color w:val="auto"/>
          <w:sz w:val="24"/>
        </w:rPr>
      </w:pPr>
      <w:r>
        <w:rPr>
          <w:rFonts w:hint="eastAsia" w:ascii="宋体" w:hAnsi="宋体" w:cs="宋体"/>
          <w:b/>
          <w:bCs/>
          <w:color w:val="auto"/>
          <w:sz w:val="24"/>
        </w:rPr>
        <w:t>九、三方联系及送达方式：</w:t>
      </w:r>
    </w:p>
    <w:p w14:paraId="349F3A34">
      <w:pPr>
        <w:adjustRightInd w:val="0"/>
        <w:snapToGrid w:val="0"/>
        <w:spacing w:line="500" w:lineRule="exact"/>
        <w:ind w:firstLine="420" w:firstLineChars="175"/>
        <w:rPr>
          <w:rFonts w:ascii="宋体" w:hAnsi="宋体" w:cs="宋体"/>
          <w:color w:val="auto"/>
          <w:sz w:val="24"/>
        </w:rPr>
      </w:pPr>
      <w:r>
        <w:rPr>
          <w:rFonts w:hint="eastAsia" w:ascii="宋体" w:hAnsi="宋体" w:cs="宋体"/>
          <w:color w:val="auto"/>
          <w:sz w:val="24"/>
        </w:rPr>
        <w:t>甲方联系人：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，邮箱：</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象州县象州镇银象路尾  </w:t>
      </w:r>
      <w:r>
        <w:rPr>
          <w:rFonts w:hint="eastAsia" w:ascii="宋体" w:hAnsi="宋体" w:cs="宋体"/>
          <w:color w:val="auto"/>
          <w:sz w:val="24"/>
        </w:rPr>
        <w:t>。</w:t>
      </w:r>
    </w:p>
    <w:p w14:paraId="72C5C29B">
      <w:pPr>
        <w:adjustRightInd w:val="0"/>
        <w:snapToGrid w:val="0"/>
        <w:spacing w:line="500" w:lineRule="exact"/>
        <w:ind w:firstLine="420" w:firstLineChars="175"/>
        <w:rPr>
          <w:rFonts w:ascii="宋体" w:hAnsi="宋体" w:cs="宋体"/>
          <w:color w:val="auto"/>
          <w:sz w:val="24"/>
        </w:rPr>
      </w:pPr>
      <w:r>
        <w:rPr>
          <w:rFonts w:hint="eastAsia" w:ascii="宋体" w:hAnsi="宋体" w:cs="宋体"/>
          <w:color w:val="auto"/>
          <w:sz w:val="24"/>
        </w:rPr>
        <w:t>乙方联系人：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，邮箱：</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w:t>
      </w:r>
    </w:p>
    <w:p w14:paraId="135F00FC">
      <w:pPr>
        <w:adjustRightInd w:val="0"/>
        <w:snapToGrid w:val="0"/>
        <w:spacing w:line="500" w:lineRule="exact"/>
        <w:ind w:firstLine="420" w:firstLineChars="175"/>
        <w:rPr>
          <w:rFonts w:ascii="宋体" w:hAnsi="宋体" w:cs="宋体"/>
          <w:color w:val="auto"/>
          <w:sz w:val="24"/>
        </w:rPr>
      </w:pPr>
      <w:r>
        <w:rPr>
          <w:rFonts w:hint="eastAsia" w:ascii="宋体" w:hAnsi="宋体" w:cs="宋体"/>
          <w:color w:val="auto"/>
          <w:sz w:val="24"/>
        </w:rPr>
        <w:t>丙方联系人：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，邮箱：</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w:t>
      </w:r>
    </w:p>
    <w:p w14:paraId="2F4BCA90">
      <w:pPr>
        <w:adjustRightInd w:val="0"/>
        <w:snapToGrid w:val="0"/>
        <w:spacing w:line="500" w:lineRule="exact"/>
        <w:ind w:firstLine="420" w:firstLineChars="175"/>
        <w:rPr>
          <w:rFonts w:ascii="宋体" w:hAnsi="宋体" w:cs="宋体"/>
          <w:color w:val="auto"/>
          <w:sz w:val="24"/>
        </w:rPr>
      </w:pPr>
      <w:r>
        <w:rPr>
          <w:rFonts w:hint="eastAsia" w:ascii="宋体" w:hAnsi="宋体" w:cs="宋体"/>
          <w:color w:val="auto"/>
          <w:sz w:val="24"/>
        </w:rPr>
        <w:t>任何一方通过上述联系方式发出的通知一经发送均视为已送达。任意一方变更联系方式的，需提前五个工作日以书面形式以及电话联系方式通知对方，否则视为未变更。</w:t>
      </w:r>
    </w:p>
    <w:p w14:paraId="2C1D0236">
      <w:pPr>
        <w:adjustRightInd w:val="0"/>
        <w:snapToGrid w:val="0"/>
        <w:spacing w:line="500" w:lineRule="exact"/>
        <w:ind w:firstLine="422" w:firstLineChars="175"/>
        <w:rPr>
          <w:rFonts w:ascii="宋体" w:hAnsi="宋体" w:cs="宋体"/>
          <w:color w:val="auto"/>
          <w:sz w:val="24"/>
        </w:rPr>
      </w:pPr>
      <w:r>
        <w:rPr>
          <w:rFonts w:hint="eastAsia" w:ascii="宋体" w:hAnsi="宋体" w:cs="宋体"/>
          <w:b/>
          <w:bCs/>
          <w:color w:val="auto"/>
          <w:sz w:val="24"/>
        </w:rPr>
        <w:t>十、</w:t>
      </w:r>
      <w:r>
        <w:rPr>
          <w:rFonts w:hint="eastAsia" w:ascii="宋体" w:hAnsi="宋体" w:cs="宋体"/>
          <w:color w:val="auto"/>
          <w:sz w:val="24"/>
        </w:rPr>
        <w:t>本合同未尽事宜，经双方协商达成补充协议，补充协议与该协议具有同等法律效力。</w:t>
      </w:r>
    </w:p>
    <w:p w14:paraId="03B26D50">
      <w:pPr>
        <w:adjustRightInd w:val="0"/>
        <w:snapToGrid w:val="0"/>
        <w:spacing w:line="500" w:lineRule="exact"/>
        <w:ind w:firstLine="422" w:firstLineChars="175"/>
        <w:rPr>
          <w:rFonts w:ascii="宋体" w:hAnsi="宋体" w:cs="宋体"/>
          <w:color w:val="auto"/>
          <w:sz w:val="24"/>
        </w:rPr>
      </w:pPr>
      <w:r>
        <w:rPr>
          <w:rFonts w:hint="eastAsia" w:ascii="宋体" w:hAnsi="宋体" w:cs="宋体"/>
          <w:b/>
          <w:bCs/>
          <w:color w:val="auto"/>
          <w:sz w:val="24"/>
        </w:rPr>
        <w:t>十一、</w:t>
      </w:r>
      <w:r>
        <w:rPr>
          <w:rFonts w:hint="eastAsia" w:ascii="宋体" w:hAnsi="宋体" w:cs="宋体"/>
          <w:color w:val="auto"/>
          <w:sz w:val="24"/>
        </w:rPr>
        <w:t>本合同履行发生争议的，三方协商解决，如协商不成，任何一方均有权向象州县人民法院起诉。</w:t>
      </w:r>
    </w:p>
    <w:p w14:paraId="10018862">
      <w:pPr>
        <w:adjustRightInd w:val="0"/>
        <w:snapToGrid w:val="0"/>
        <w:spacing w:line="500" w:lineRule="exact"/>
        <w:ind w:firstLine="422" w:firstLineChars="175"/>
        <w:rPr>
          <w:rFonts w:ascii="宋体" w:hAnsi="宋体" w:cs="宋体"/>
          <w:color w:val="auto"/>
          <w:sz w:val="24"/>
        </w:rPr>
      </w:pPr>
      <w:r>
        <w:rPr>
          <w:rFonts w:hint="eastAsia" w:ascii="宋体" w:hAnsi="宋体" w:cs="宋体"/>
          <w:b/>
          <w:bCs/>
          <w:color w:val="auto"/>
          <w:sz w:val="24"/>
        </w:rPr>
        <w:t>十二、</w:t>
      </w:r>
      <w:r>
        <w:rPr>
          <w:rFonts w:hint="eastAsia" w:ascii="宋体" w:hAnsi="宋体" w:cs="宋体"/>
          <w:color w:val="auto"/>
          <w:sz w:val="24"/>
        </w:rPr>
        <w:t>本合同</w:t>
      </w:r>
      <w:r>
        <w:rPr>
          <w:rFonts w:hint="eastAsia" w:ascii="宋体" w:hAnsi="宋体" w:cs="宋体"/>
          <w:color w:val="auto"/>
          <w:sz w:val="24"/>
          <w:u w:val="single"/>
        </w:rPr>
        <w:t xml:space="preserve"> 壹式 </w:t>
      </w:r>
      <w:r>
        <w:rPr>
          <w:rFonts w:hint="eastAsia" w:ascii="宋体" w:hAnsi="宋体" w:cs="宋体"/>
          <w:color w:val="auto"/>
          <w:sz w:val="24"/>
        </w:rPr>
        <w:t>肆 份，甲方执</w:t>
      </w:r>
      <w:r>
        <w:rPr>
          <w:rFonts w:hint="eastAsia" w:ascii="宋体" w:hAnsi="宋体" w:cs="宋体"/>
          <w:color w:val="auto"/>
          <w:sz w:val="24"/>
          <w:u w:val="single"/>
        </w:rPr>
        <w:t xml:space="preserve">  壹 </w:t>
      </w:r>
      <w:r>
        <w:rPr>
          <w:rFonts w:hint="eastAsia" w:ascii="宋体" w:hAnsi="宋体" w:cs="宋体"/>
          <w:color w:val="auto"/>
          <w:sz w:val="24"/>
        </w:rPr>
        <w:t xml:space="preserve">份，乙方执 </w:t>
      </w:r>
      <w:r>
        <w:rPr>
          <w:rFonts w:hint="eastAsia" w:ascii="宋体" w:hAnsi="宋体" w:cs="宋体"/>
          <w:color w:val="auto"/>
          <w:sz w:val="24"/>
          <w:u w:val="single"/>
        </w:rPr>
        <w:t xml:space="preserve"> 壹 </w:t>
      </w:r>
      <w:r>
        <w:rPr>
          <w:rFonts w:hint="eastAsia" w:ascii="宋体" w:hAnsi="宋体" w:cs="宋体"/>
          <w:color w:val="auto"/>
          <w:sz w:val="24"/>
        </w:rPr>
        <w:t>份，丙方执</w:t>
      </w:r>
      <w:r>
        <w:rPr>
          <w:rFonts w:hint="eastAsia" w:ascii="宋体" w:hAnsi="宋体" w:cs="宋体"/>
          <w:color w:val="auto"/>
          <w:sz w:val="24"/>
          <w:u w:val="single"/>
        </w:rPr>
        <w:t xml:space="preserve">  壹  </w:t>
      </w:r>
      <w:r>
        <w:rPr>
          <w:rFonts w:hint="eastAsia" w:ascii="宋体" w:hAnsi="宋体" w:cs="宋体"/>
          <w:color w:val="auto"/>
          <w:sz w:val="24"/>
        </w:rPr>
        <w:t>份，代理机构</w:t>
      </w:r>
      <w:r>
        <w:rPr>
          <w:rFonts w:hint="eastAsia" w:ascii="宋体" w:hAnsi="宋体" w:cs="宋体"/>
          <w:color w:val="auto"/>
          <w:sz w:val="24"/>
          <w:u w:val="single"/>
        </w:rPr>
        <w:t xml:space="preserve">  壹 </w:t>
      </w:r>
      <w:r>
        <w:rPr>
          <w:rFonts w:hint="eastAsia" w:ascii="宋体" w:hAnsi="宋体" w:cs="宋体"/>
          <w:color w:val="auto"/>
          <w:sz w:val="24"/>
        </w:rPr>
        <w:t>份。均具有同等法律效力。。</w:t>
      </w:r>
    </w:p>
    <w:p w14:paraId="76D2963D">
      <w:pPr>
        <w:spacing w:line="500" w:lineRule="exact"/>
        <w:ind w:firstLine="422" w:firstLineChars="175"/>
        <w:rPr>
          <w:rFonts w:ascii="宋体" w:hAnsi="宋体" w:cs="宋体"/>
          <w:color w:val="auto"/>
          <w:sz w:val="24"/>
        </w:rPr>
      </w:pPr>
      <w:r>
        <w:rPr>
          <w:rFonts w:hint="eastAsia" w:ascii="宋体" w:hAnsi="宋体" w:cs="宋体"/>
          <w:b/>
          <w:bCs/>
          <w:color w:val="auto"/>
          <w:sz w:val="24"/>
        </w:rPr>
        <w:t>十三、</w:t>
      </w:r>
      <w:r>
        <w:rPr>
          <w:rFonts w:hint="eastAsia" w:ascii="宋体" w:hAnsi="宋体" w:cs="宋体"/>
          <w:color w:val="auto"/>
          <w:sz w:val="24"/>
        </w:rPr>
        <w:t>本合同自双方法定代表人或授权代表签字盖章之日起生效。</w:t>
      </w:r>
    </w:p>
    <w:p w14:paraId="7A01A76C">
      <w:pPr>
        <w:spacing w:line="500" w:lineRule="exact"/>
        <w:ind w:firstLine="422" w:firstLineChars="175"/>
        <w:rPr>
          <w:rFonts w:ascii="宋体" w:hAnsi="宋体" w:cs="宋体"/>
          <w:b/>
          <w:bCs/>
          <w:color w:val="auto"/>
          <w:sz w:val="24"/>
        </w:rPr>
      </w:pPr>
      <w:r>
        <w:rPr>
          <w:rFonts w:hint="eastAsia" w:ascii="宋体" w:hAnsi="宋体" w:cs="宋体"/>
          <w:b/>
          <w:bCs/>
          <w:color w:val="auto"/>
          <w:sz w:val="24"/>
        </w:rPr>
        <w:t>十四、本合同附件：</w:t>
      </w:r>
    </w:p>
    <w:p w14:paraId="55810B55">
      <w:pPr>
        <w:spacing w:line="500" w:lineRule="exact"/>
        <w:ind w:firstLine="420" w:firstLineChars="175"/>
        <w:rPr>
          <w:rFonts w:ascii="宋体" w:hAnsi="宋体" w:cs="宋体"/>
          <w:color w:val="auto"/>
          <w:sz w:val="24"/>
        </w:rPr>
      </w:pPr>
      <w:r>
        <w:rPr>
          <w:rFonts w:hint="eastAsia" w:ascii="宋体" w:hAnsi="宋体" w:cs="宋体"/>
          <w:color w:val="auto"/>
          <w:sz w:val="24"/>
        </w:rPr>
        <w:t>附件1-甲方的开票资料</w:t>
      </w:r>
    </w:p>
    <w:p w14:paraId="4F1EBDF9">
      <w:pPr>
        <w:spacing w:line="500" w:lineRule="exact"/>
        <w:ind w:firstLine="420" w:firstLineChars="175"/>
        <w:rPr>
          <w:rFonts w:ascii="宋体" w:hAnsi="宋体" w:cs="宋体"/>
          <w:color w:val="auto"/>
          <w:sz w:val="24"/>
        </w:rPr>
      </w:pPr>
      <w:r>
        <w:rPr>
          <w:rFonts w:hint="eastAsia" w:ascii="宋体" w:hAnsi="宋体" w:cs="宋体"/>
          <w:color w:val="auto"/>
          <w:sz w:val="24"/>
        </w:rPr>
        <w:t>附件2-乙方执业许可证复印件</w:t>
      </w:r>
    </w:p>
    <w:p w14:paraId="2559C45E">
      <w:pPr>
        <w:pStyle w:val="13"/>
        <w:spacing w:line="500" w:lineRule="exact"/>
        <w:ind w:firstLine="420" w:firstLineChars="175"/>
        <w:rPr>
          <w:rFonts w:hAnsi="宋体" w:cs="宋体"/>
          <w:color w:val="auto"/>
          <w:sz w:val="24"/>
          <w:szCs w:val="24"/>
        </w:rPr>
      </w:pPr>
      <w:r>
        <w:rPr>
          <w:rFonts w:hint="eastAsia" w:hAnsi="宋体" w:cs="宋体"/>
          <w:color w:val="auto"/>
          <w:sz w:val="24"/>
          <w:szCs w:val="24"/>
        </w:rPr>
        <w:t xml:space="preserve">附件3-乙方收款银行开户许可证     </w:t>
      </w:r>
    </w:p>
    <w:p w14:paraId="55FA4A6E">
      <w:pPr>
        <w:pStyle w:val="13"/>
        <w:spacing w:line="360" w:lineRule="auto"/>
        <w:rPr>
          <w:rFonts w:hAnsi="宋体" w:cs="宋体"/>
          <w:b/>
          <w:bCs/>
          <w:color w:val="auto"/>
          <w:sz w:val="24"/>
          <w:szCs w:val="24"/>
        </w:rPr>
      </w:pPr>
      <w:r>
        <w:rPr>
          <w:rFonts w:hint="eastAsia" w:hAnsi="宋体" w:cs="宋体"/>
          <w:color w:val="auto"/>
          <w:sz w:val="24"/>
          <w:szCs w:val="24"/>
        </w:rPr>
        <w:t xml:space="preserve">   </w:t>
      </w:r>
    </w:p>
    <w:p w14:paraId="0835918A">
      <w:pPr>
        <w:pStyle w:val="13"/>
        <w:spacing w:line="360" w:lineRule="auto"/>
        <w:ind w:firstLine="843" w:firstLineChars="350"/>
        <w:rPr>
          <w:rFonts w:hAnsi="宋体" w:cs="宋体"/>
          <w:color w:val="auto"/>
          <w:sz w:val="24"/>
          <w:szCs w:val="24"/>
        </w:rPr>
      </w:pPr>
      <w:r>
        <w:rPr>
          <w:rFonts w:hint="eastAsia" w:hAnsi="宋体" w:cs="宋体"/>
          <w:b/>
          <w:bCs/>
          <w:color w:val="auto"/>
          <w:sz w:val="24"/>
          <w:szCs w:val="24"/>
        </w:rPr>
        <w:t>甲  方：</w:t>
      </w:r>
      <w:r>
        <w:rPr>
          <w:rFonts w:hint="eastAsia" w:hAnsi="宋体" w:cs="宋体"/>
          <w:color w:val="auto"/>
          <w:sz w:val="24"/>
          <w:szCs w:val="24"/>
        </w:rPr>
        <w:t xml:space="preserve">                 </w:t>
      </w:r>
    </w:p>
    <w:p w14:paraId="0D3F6A1B">
      <w:pPr>
        <w:pStyle w:val="13"/>
        <w:spacing w:line="360" w:lineRule="auto"/>
        <w:ind w:firstLine="840" w:firstLineChars="350"/>
        <w:rPr>
          <w:rFonts w:hAnsi="宋体" w:cs="宋体"/>
          <w:color w:val="auto"/>
          <w:sz w:val="24"/>
          <w:szCs w:val="24"/>
        </w:rPr>
      </w:pPr>
      <w:r>
        <w:rPr>
          <w:rFonts w:hint="eastAsia" w:hAnsi="宋体" w:cs="宋体"/>
          <w:color w:val="auto"/>
          <w:sz w:val="24"/>
          <w:szCs w:val="24"/>
        </w:rPr>
        <w:t xml:space="preserve">法定代表人：                                年  月  日  </w:t>
      </w:r>
    </w:p>
    <w:p w14:paraId="1F33574A">
      <w:pPr>
        <w:pStyle w:val="13"/>
        <w:spacing w:line="360" w:lineRule="auto"/>
        <w:ind w:firstLine="840" w:firstLineChars="350"/>
        <w:rPr>
          <w:rFonts w:hAnsi="宋体" w:cs="宋体"/>
          <w:color w:val="auto"/>
          <w:sz w:val="24"/>
          <w:szCs w:val="24"/>
        </w:rPr>
      </w:pPr>
    </w:p>
    <w:p w14:paraId="67C3C013">
      <w:pPr>
        <w:pStyle w:val="13"/>
        <w:spacing w:line="360" w:lineRule="auto"/>
        <w:ind w:firstLine="843" w:firstLineChars="350"/>
        <w:rPr>
          <w:rFonts w:hAnsi="宋体" w:cs="宋体"/>
          <w:b/>
          <w:bCs/>
          <w:color w:val="auto"/>
          <w:sz w:val="24"/>
          <w:szCs w:val="24"/>
        </w:rPr>
      </w:pPr>
      <w:r>
        <w:rPr>
          <w:rFonts w:hint="eastAsia" w:hAnsi="宋体" w:cs="宋体"/>
          <w:b/>
          <w:bCs/>
          <w:color w:val="auto"/>
          <w:sz w:val="24"/>
          <w:szCs w:val="24"/>
        </w:rPr>
        <w:t>乙  方：</w:t>
      </w:r>
    </w:p>
    <w:p w14:paraId="39F2D82A">
      <w:pPr>
        <w:pStyle w:val="13"/>
        <w:spacing w:line="360" w:lineRule="auto"/>
        <w:ind w:firstLine="840" w:firstLineChars="350"/>
        <w:rPr>
          <w:rFonts w:hAnsi="宋体" w:cs="宋体"/>
          <w:color w:val="auto"/>
          <w:sz w:val="24"/>
          <w:szCs w:val="24"/>
        </w:rPr>
      </w:pPr>
      <w:r>
        <w:rPr>
          <w:rFonts w:hint="eastAsia" w:hAnsi="宋体" w:cs="宋体"/>
          <w:color w:val="auto"/>
          <w:sz w:val="24"/>
          <w:szCs w:val="24"/>
        </w:rPr>
        <w:t xml:space="preserve">负责人：                                    年  月  日 </w:t>
      </w:r>
    </w:p>
    <w:p w14:paraId="4EE3C0A2">
      <w:pPr>
        <w:pStyle w:val="13"/>
        <w:spacing w:line="360" w:lineRule="auto"/>
        <w:ind w:firstLine="843" w:firstLineChars="350"/>
        <w:rPr>
          <w:rFonts w:hAnsi="宋体" w:cs="宋体"/>
          <w:b/>
          <w:bCs/>
          <w:color w:val="auto"/>
          <w:sz w:val="24"/>
          <w:szCs w:val="24"/>
        </w:rPr>
      </w:pPr>
    </w:p>
    <w:p w14:paraId="3434F457">
      <w:pPr>
        <w:pStyle w:val="13"/>
        <w:spacing w:line="360" w:lineRule="auto"/>
        <w:ind w:firstLine="843" w:firstLineChars="350"/>
        <w:rPr>
          <w:rFonts w:hAnsi="宋体" w:cs="宋体"/>
          <w:color w:val="auto"/>
          <w:sz w:val="24"/>
          <w:szCs w:val="24"/>
        </w:rPr>
      </w:pPr>
      <w:r>
        <w:rPr>
          <w:rFonts w:hint="eastAsia" w:hAnsi="宋体" w:cs="宋体"/>
          <w:b/>
          <w:bCs/>
          <w:color w:val="auto"/>
          <w:sz w:val="24"/>
          <w:szCs w:val="24"/>
        </w:rPr>
        <w:t>丙  方：</w:t>
      </w:r>
      <w:r>
        <w:rPr>
          <w:rFonts w:hint="eastAsia" w:hAnsi="宋体" w:cs="宋体"/>
          <w:color w:val="auto"/>
          <w:sz w:val="24"/>
          <w:szCs w:val="24"/>
        </w:rPr>
        <w:t xml:space="preserve">                 </w:t>
      </w:r>
    </w:p>
    <w:p w14:paraId="43E9FCF9">
      <w:pPr>
        <w:snapToGrid w:val="0"/>
        <w:spacing w:line="360" w:lineRule="exact"/>
        <w:ind w:firstLine="840" w:firstLineChars="350"/>
        <w:rPr>
          <w:rFonts w:ascii="宋体" w:hAnsi="宋体" w:cs="宋体"/>
          <w:b/>
          <w:color w:val="auto"/>
          <w:sz w:val="32"/>
          <w:szCs w:val="32"/>
        </w:rPr>
      </w:pPr>
      <w:r>
        <w:rPr>
          <w:rFonts w:hint="eastAsia" w:ascii="宋体" w:hAnsi="宋体" w:cs="宋体"/>
          <w:color w:val="auto"/>
          <w:sz w:val="24"/>
        </w:rPr>
        <w:t>法定代表人：                                年  月  日</w:t>
      </w:r>
    </w:p>
    <w:p w14:paraId="437A2F4B">
      <w:pPr>
        <w:rPr>
          <w:color w:val="auto"/>
        </w:rPr>
      </w:pPr>
    </w:p>
    <w:p w14:paraId="3BF93402">
      <w:pPr>
        <w:rPr>
          <w:rFonts w:ascii="宋体" w:hAnsi="宋体" w:cs="宋体"/>
          <w:b/>
          <w:color w:val="auto"/>
          <w:sz w:val="32"/>
          <w:szCs w:val="32"/>
        </w:rPr>
      </w:pPr>
    </w:p>
    <w:p w14:paraId="15D31E58">
      <w:pPr>
        <w:rPr>
          <w:color w:val="auto"/>
        </w:rPr>
      </w:pPr>
    </w:p>
    <w:p w14:paraId="1716ED35">
      <w:pPr>
        <w:rPr>
          <w:rFonts w:ascii="宋体" w:hAnsi="宋体" w:cs="宋体"/>
          <w:b/>
          <w:color w:val="auto"/>
          <w:sz w:val="24"/>
        </w:rPr>
      </w:pPr>
      <w:r>
        <w:rPr>
          <w:rFonts w:hint="eastAsia" w:ascii="宋体" w:hAnsi="宋体" w:cs="宋体"/>
          <w:b/>
          <w:color w:val="auto"/>
          <w:sz w:val="24"/>
        </w:rPr>
        <w:br w:type="page"/>
      </w:r>
    </w:p>
    <w:p w14:paraId="30232AC3">
      <w:pPr>
        <w:spacing w:line="360" w:lineRule="auto"/>
        <w:jc w:val="center"/>
        <w:rPr>
          <w:rFonts w:ascii="宋体" w:hAnsi="宋体" w:cs="宋体"/>
          <w:b/>
          <w:bCs/>
          <w:color w:val="auto"/>
          <w:sz w:val="44"/>
          <w:szCs w:val="21"/>
        </w:rPr>
      </w:pPr>
      <w:r>
        <w:rPr>
          <w:rFonts w:hint="eastAsia" w:ascii="宋体" w:hAnsi="宋体" w:cs="宋体"/>
          <w:b/>
          <w:bCs/>
          <w:color w:val="auto"/>
          <w:sz w:val="44"/>
          <w:szCs w:val="21"/>
        </w:rPr>
        <w:t>政府采购合同</w:t>
      </w:r>
    </w:p>
    <w:p w14:paraId="06A97843">
      <w:pPr>
        <w:spacing w:line="360" w:lineRule="auto"/>
        <w:ind w:firstLine="420" w:firstLineChars="200"/>
        <w:rPr>
          <w:rFonts w:ascii="宋体" w:hAnsi="宋体" w:cs="宋体"/>
          <w:color w:val="auto"/>
        </w:rPr>
      </w:pPr>
    </w:p>
    <w:p w14:paraId="669ECB2D">
      <w:pPr>
        <w:spacing w:line="360" w:lineRule="auto"/>
        <w:ind w:firstLine="420" w:firstLineChars="200"/>
        <w:rPr>
          <w:rFonts w:ascii="宋体" w:hAnsi="宋体" w:cs="宋体"/>
          <w:color w:val="auto"/>
        </w:rPr>
      </w:pPr>
      <w:r>
        <w:rPr>
          <w:rFonts w:hint="eastAsia" w:ascii="宋体" w:hAnsi="宋体" w:cs="宋体"/>
          <w:color w:val="auto"/>
        </w:rPr>
        <w:t xml:space="preserve">                                                 </w:t>
      </w:r>
    </w:p>
    <w:p w14:paraId="39C14DB8">
      <w:pPr>
        <w:spacing w:line="360" w:lineRule="auto"/>
        <w:jc w:val="center"/>
        <w:rPr>
          <w:rFonts w:ascii="宋体" w:hAnsi="宋体" w:cs="宋体"/>
          <w:b/>
          <w:bCs/>
          <w:color w:val="auto"/>
          <w:sz w:val="44"/>
        </w:rPr>
      </w:pPr>
      <w:r>
        <w:rPr>
          <w:rFonts w:hint="eastAsia" w:ascii="宋体" w:hAnsi="宋体" w:cs="宋体"/>
          <w:b/>
          <w:bCs/>
          <w:color w:val="auto"/>
          <w:sz w:val="44"/>
          <w:u w:val="single"/>
        </w:rPr>
        <w:t xml:space="preserve"> 2025年-2028年度党政机关法律顾问服务</w:t>
      </w:r>
      <w:r>
        <w:rPr>
          <w:rFonts w:hint="eastAsia" w:ascii="宋体" w:hAnsi="宋体" w:cs="宋体"/>
          <w:b/>
          <w:bCs/>
          <w:color w:val="auto"/>
          <w:sz w:val="44"/>
        </w:rPr>
        <w:t>合同</w:t>
      </w:r>
    </w:p>
    <w:p w14:paraId="588F5A24">
      <w:pPr>
        <w:spacing w:line="360" w:lineRule="auto"/>
        <w:jc w:val="center"/>
        <w:rPr>
          <w:rFonts w:ascii="宋体" w:hAnsi="宋体" w:cs="宋体"/>
          <w:b/>
          <w:bCs/>
          <w:color w:val="auto"/>
          <w:sz w:val="44"/>
        </w:rPr>
      </w:pPr>
    </w:p>
    <w:p w14:paraId="69109166">
      <w:pPr>
        <w:spacing w:line="360" w:lineRule="auto"/>
        <w:ind w:firstLine="3188" w:firstLineChars="794"/>
        <w:rPr>
          <w:rFonts w:ascii="宋体" w:hAnsi="宋体" w:cs="宋体"/>
          <w:b/>
          <w:bCs/>
          <w:color w:val="auto"/>
          <w:sz w:val="40"/>
          <w:szCs w:val="22"/>
        </w:rPr>
      </w:pPr>
    </w:p>
    <w:p w14:paraId="48756497">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采购项目编号：</w:t>
      </w:r>
      <w:r>
        <w:rPr>
          <w:rFonts w:hint="eastAsia" w:ascii="宋体" w:hAnsi="宋体" w:cs="宋体"/>
          <w:b/>
          <w:color w:val="auto"/>
          <w:sz w:val="28"/>
          <w:szCs w:val="28"/>
        </w:rPr>
        <w:t xml:space="preserve">                      </w:t>
      </w:r>
    </w:p>
    <w:p w14:paraId="03B0EF77">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标项号：标项二</w:t>
      </w:r>
    </w:p>
    <w:p w14:paraId="1D7E39C7">
      <w:pPr>
        <w:pStyle w:val="7"/>
        <w:spacing w:line="480" w:lineRule="auto"/>
        <w:ind w:firstLine="1260" w:firstLineChars="450"/>
        <w:rPr>
          <w:rFonts w:hint="eastAsia" w:ascii="宋体" w:hAnsi="宋体" w:eastAsia="宋体" w:cs="宋体"/>
          <w:color w:val="auto"/>
          <w:sz w:val="28"/>
          <w:szCs w:val="28"/>
          <w:lang w:eastAsia="zh-CN"/>
        </w:rPr>
      </w:pPr>
      <w:r>
        <w:rPr>
          <w:rFonts w:hint="eastAsia" w:ascii="宋体" w:hAnsi="宋体" w:cs="宋体"/>
          <w:color w:val="auto"/>
          <w:sz w:val="28"/>
          <w:szCs w:val="28"/>
        </w:rPr>
        <w:t>采购项目名称：</w:t>
      </w:r>
      <w:r>
        <w:rPr>
          <w:rFonts w:hint="eastAsia" w:ascii="宋体" w:hAnsi="宋体" w:cs="宋体"/>
          <w:color w:val="auto"/>
          <w:sz w:val="28"/>
          <w:szCs w:val="28"/>
          <w:lang w:eastAsia="zh-CN"/>
        </w:rPr>
        <w:t>采购2025年-2028年度党政机关法律顾问服务</w:t>
      </w:r>
    </w:p>
    <w:p w14:paraId="722EC372">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合同金额（人民币）：</w:t>
      </w:r>
    </w:p>
    <w:p w14:paraId="2A6A7993">
      <w:pPr>
        <w:pStyle w:val="7"/>
        <w:spacing w:line="480" w:lineRule="auto"/>
        <w:ind w:firstLine="1260" w:firstLineChars="450"/>
        <w:rPr>
          <w:rFonts w:ascii="宋体" w:hAnsi="宋体" w:cs="宋体"/>
          <w:color w:val="auto"/>
          <w:sz w:val="28"/>
          <w:szCs w:val="28"/>
        </w:rPr>
      </w:pPr>
      <w:r>
        <w:rPr>
          <w:rFonts w:hint="eastAsia" w:ascii="宋体" w:hAnsi="宋体" w:cs="宋体"/>
          <w:color w:val="auto"/>
          <w:sz w:val="28"/>
          <w:szCs w:val="28"/>
        </w:rPr>
        <w:t>采购单位（甲方）：象州县司法局</w:t>
      </w:r>
    </w:p>
    <w:p w14:paraId="5A072FF4">
      <w:pPr>
        <w:pStyle w:val="7"/>
        <w:spacing w:line="480" w:lineRule="auto"/>
        <w:ind w:firstLine="1260" w:firstLineChars="450"/>
        <w:rPr>
          <w:rFonts w:ascii="宋体" w:hAnsi="宋体" w:cs="宋体"/>
          <w:color w:val="auto"/>
          <w:sz w:val="32"/>
          <w:szCs w:val="32"/>
        </w:rPr>
      </w:pPr>
      <w:r>
        <w:rPr>
          <w:rFonts w:hint="eastAsia" w:ascii="宋体" w:hAnsi="宋体" w:cs="宋体"/>
          <w:color w:val="auto"/>
          <w:sz w:val="28"/>
          <w:szCs w:val="28"/>
        </w:rPr>
        <w:t xml:space="preserve">成交供应商（乙方）： </w:t>
      </w:r>
    </w:p>
    <w:p w14:paraId="2BBE729D">
      <w:pPr>
        <w:tabs>
          <w:tab w:val="left" w:pos="7380"/>
        </w:tabs>
        <w:spacing w:line="360" w:lineRule="auto"/>
        <w:ind w:firstLine="1260" w:firstLineChars="450"/>
        <w:rPr>
          <w:rFonts w:ascii="宋体" w:hAnsi="宋体" w:cs="宋体"/>
          <w:color w:val="auto"/>
          <w:sz w:val="28"/>
          <w:szCs w:val="28"/>
        </w:rPr>
      </w:pPr>
    </w:p>
    <w:p w14:paraId="6BA68965">
      <w:pPr>
        <w:tabs>
          <w:tab w:val="left" w:pos="7380"/>
        </w:tabs>
        <w:spacing w:line="360" w:lineRule="auto"/>
        <w:ind w:firstLine="1260" w:firstLineChars="450"/>
        <w:jc w:val="center"/>
        <w:rPr>
          <w:rFonts w:ascii="宋体" w:hAnsi="宋体" w:cs="宋体"/>
          <w:color w:val="auto"/>
          <w:sz w:val="22"/>
          <w:szCs w:val="22"/>
          <w:lang w:val="zh-CN"/>
        </w:rPr>
      </w:pPr>
      <w:r>
        <w:rPr>
          <w:rFonts w:hint="eastAsia" w:ascii="宋体" w:hAnsi="宋体" w:cs="宋体"/>
          <w:color w:val="auto"/>
          <w:sz w:val="28"/>
          <w:szCs w:val="28"/>
        </w:rPr>
        <w:t>采购日期：    年    月    日</w:t>
      </w:r>
    </w:p>
    <w:p w14:paraId="215178B8">
      <w:pPr>
        <w:adjustRightInd w:val="0"/>
        <w:snapToGrid w:val="0"/>
        <w:spacing w:line="360" w:lineRule="auto"/>
        <w:ind w:firstLine="480" w:firstLineChars="200"/>
        <w:rPr>
          <w:rFonts w:ascii="宋体" w:hAnsi="宋体" w:cs="宋体"/>
          <w:color w:val="auto"/>
          <w:sz w:val="24"/>
        </w:rPr>
      </w:pPr>
    </w:p>
    <w:p w14:paraId="5CE13EC4">
      <w:pPr>
        <w:adjustRightInd w:val="0"/>
        <w:snapToGrid w:val="0"/>
        <w:spacing w:line="360" w:lineRule="auto"/>
        <w:ind w:firstLine="480" w:firstLineChars="200"/>
        <w:rPr>
          <w:rFonts w:ascii="宋体" w:hAnsi="宋体" w:cs="宋体"/>
          <w:color w:val="auto"/>
          <w:sz w:val="24"/>
        </w:rPr>
      </w:pPr>
    </w:p>
    <w:p w14:paraId="66F73ED0">
      <w:pPr>
        <w:adjustRightInd w:val="0"/>
        <w:snapToGrid w:val="0"/>
        <w:spacing w:line="360" w:lineRule="auto"/>
        <w:ind w:firstLine="480" w:firstLineChars="200"/>
        <w:rPr>
          <w:rFonts w:ascii="宋体" w:hAnsi="宋体" w:cs="宋体"/>
          <w:color w:val="auto"/>
          <w:sz w:val="24"/>
        </w:rPr>
      </w:pPr>
    </w:p>
    <w:p w14:paraId="32B8FD60">
      <w:pPr>
        <w:adjustRightInd w:val="0"/>
        <w:snapToGrid w:val="0"/>
        <w:spacing w:line="360" w:lineRule="auto"/>
        <w:ind w:firstLine="480" w:firstLineChars="200"/>
        <w:rPr>
          <w:rFonts w:ascii="宋体" w:hAnsi="宋体" w:cs="宋体"/>
          <w:color w:val="auto"/>
          <w:sz w:val="24"/>
        </w:rPr>
      </w:pPr>
    </w:p>
    <w:p w14:paraId="5D4761A5">
      <w:pPr>
        <w:rPr>
          <w:rFonts w:ascii="宋体" w:hAnsi="宋体" w:cs="宋体"/>
          <w:color w:val="auto"/>
          <w:sz w:val="24"/>
        </w:rPr>
      </w:pPr>
      <w:r>
        <w:rPr>
          <w:rFonts w:hint="eastAsia" w:ascii="宋体" w:hAnsi="宋体" w:cs="宋体"/>
          <w:color w:val="auto"/>
          <w:sz w:val="24"/>
        </w:rPr>
        <w:br w:type="page"/>
      </w:r>
    </w:p>
    <w:p w14:paraId="5865EB88">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采购人（以下简称甲方）：</w:t>
      </w:r>
      <w:r>
        <w:rPr>
          <w:rFonts w:hint="eastAsia" w:ascii="宋体" w:hAnsi="宋体" w:cs="宋体"/>
          <w:color w:val="auto"/>
          <w:sz w:val="24"/>
          <w:u w:val="single"/>
        </w:rPr>
        <w:t xml:space="preserve">    象州县司法局        </w:t>
      </w:r>
    </w:p>
    <w:p w14:paraId="6B2A9E8C">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成交人（以下简称乙方）：</w:t>
      </w:r>
      <w:r>
        <w:rPr>
          <w:rFonts w:hint="eastAsia" w:ascii="宋体" w:hAnsi="宋体" w:cs="宋体"/>
          <w:color w:val="auto"/>
          <w:sz w:val="24"/>
          <w:u w:val="single"/>
        </w:rPr>
        <w:t xml:space="preserve">                        </w:t>
      </w:r>
    </w:p>
    <w:p w14:paraId="034A4F25">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顾问单位（以下简称丙方）：</w:t>
      </w:r>
      <w:r>
        <w:rPr>
          <w:rFonts w:hint="eastAsia" w:ascii="宋体" w:hAnsi="宋体" w:cs="宋体"/>
          <w:color w:val="auto"/>
          <w:sz w:val="24"/>
          <w:u w:val="single"/>
        </w:rPr>
        <w:t xml:space="preserve">                      </w:t>
      </w:r>
    </w:p>
    <w:p w14:paraId="2B1C047F">
      <w:pPr>
        <w:adjustRightInd w:val="0"/>
        <w:snapToGrid w:val="0"/>
        <w:spacing w:line="360" w:lineRule="auto"/>
        <w:ind w:firstLine="480" w:firstLineChars="200"/>
        <w:rPr>
          <w:rFonts w:ascii="宋体" w:hAnsi="宋体" w:cs="宋体"/>
          <w:color w:val="auto"/>
          <w:sz w:val="24"/>
        </w:rPr>
      </w:pPr>
    </w:p>
    <w:p w14:paraId="339EC7CC">
      <w:pPr>
        <w:adjustRightInd w:val="0"/>
        <w:snapToGrid w:val="0"/>
        <w:spacing w:line="360" w:lineRule="auto"/>
        <w:ind w:firstLine="480" w:firstLineChars="200"/>
        <w:rPr>
          <w:rFonts w:ascii="宋体" w:hAnsi="宋体" w:cs="宋体"/>
          <w:color w:val="auto"/>
          <w:sz w:val="30"/>
          <w:szCs w:val="30"/>
        </w:rPr>
      </w:pPr>
      <w:r>
        <w:rPr>
          <w:rFonts w:hint="eastAsia" w:ascii="宋体" w:hAnsi="宋体" w:cs="宋体"/>
          <w:color w:val="auto"/>
          <w:sz w:val="24"/>
        </w:rPr>
        <w:t xml:space="preserve">甲、乙、丙三方根据《中华人民共和国民法典》《中华人民共和国政府采购法》《中华人民共和国律师法》及 </w:t>
      </w:r>
      <w:r>
        <w:rPr>
          <w:rFonts w:hint="eastAsia" w:ascii="宋体" w:hAnsi="宋体" w:cs="宋体"/>
          <w:color w:val="auto"/>
          <w:sz w:val="24"/>
          <w:u w:val="single"/>
          <w:lang w:eastAsia="zh-CN"/>
        </w:rPr>
        <w:t>采购2025年-2028年度党政机关法律顾问服务</w:t>
      </w:r>
      <w:r>
        <w:rPr>
          <w:rFonts w:hint="eastAsia" w:ascii="宋体" w:hAnsi="宋体" w:cs="宋体"/>
          <w:color w:val="auto"/>
          <w:sz w:val="24"/>
          <w:u w:val="single"/>
        </w:rPr>
        <w:t>项目（项目编号：        ）</w:t>
      </w:r>
      <w:r>
        <w:rPr>
          <w:rFonts w:hint="eastAsia" w:ascii="宋体" w:hAnsi="宋体" w:cs="宋体"/>
          <w:color w:val="auto"/>
          <w:sz w:val="24"/>
        </w:rPr>
        <w:t>竞争性磋商文件的要求和成交结果，经三方协商一致协，签订本合同。三方共同遵守如下条款（其他有关合同项目的特定信息由合同附件予以说明，合同附件为本合同不可分割的一部分）：</w:t>
      </w:r>
    </w:p>
    <w:p w14:paraId="65FEBA69">
      <w:pPr>
        <w:spacing w:line="360" w:lineRule="auto"/>
        <w:ind w:firstLine="645"/>
        <w:jc w:val="left"/>
        <w:rPr>
          <w:rFonts w:ascii="宋体" w:hAnsi="宋体" w:cs="宋体"/>
          <w:b/>
          <w:bCs/>
          <w:color w:val="auto"/>
          <w:sz w:val="24"/>
        </w:rPr>
      </w:pPr>
      <w:r>
        <w:rPr>
          <w:rFonts w:hint="eastAsia" w:ascii="宋体" w:hAnsi="宋体" w:cs="宋体"/>
          <w:b/>
          <w:bCs/>
          <w:color w:val="auto"/>
          <w:sz w:val="24"/>
        </w:rPr>
        <w:t>一、签订本政府采购合同的依据</w:t>
      </w:r>
    </w:p>
    <w:p w14:paraId="1B6374B9">
      <w:pPr>
        <w:spacing w:line="360" w:lineRule="auto"/>
        <w:ind w:firstLine="645"/>
        <w:jc w:val="left"/>
        <w:rPr>
          <w:rFonts w:ascii="宋体" w:hAnsi="宋体" w:cs="宋体"/>
          <w:color w:val="auto"/>
          <w:sz w:val="24"/>
        </w:rPr>
      </w:pPr>
      <w:r>
        <w:rPr>
          <w:rFonts w:hint="eastAsia" w:ascii="宋体" w:hAnsi="宋体" w:cs="宋体"/>
          <w:color w:val="auto"/>
          <w:sz w:val="24"/>
        </w:rPr>
        <w:t>本政府采购合同所附下列文件是构成本政府采购合同不可分割的部分：</w:t>
      </w:r>
    </w:p>
    <w:p w14:paraId="5F1EB240">
      <w:pPr>
        <w:spacing w:line="360" w:lineRule="auto"/>
        <w:ind w:firstLine="480" w:firstLineChars="200"/>
        <w:jc w:val="left"/>
        <w:rPr>
          <w:rFonts w:ascii="宋体" w:hAnsi="宋体" w:cs="宋体"/>
          <w:color w:val="auto"/>
          <w:sz w:val="24"/>
        </w:rPr>
      </w:pPr>
      <w:r>
        <w:rPr>
          <w:rFonts w:hint="eastAsia" w:ascii="宋体" w:hAnsi="宋体" w:cs="宋体"/>
          <w:color w:val="auto"/>
          <w:sz w:val="24"/>
        </w:rPr>
        <w:t>（一）磋商文件；</w:t>
      </w:r>
    </w:p>
    <w:p w14:paraId="77B9028D">
      <w:pPr>
        <w:spacing w:line="360" w:lineRule="auto"/>
        <w:ind w:firstLine="480" w:firstLineChars="200"/>
        <w:jc w:val="left"/>
        <w:rPr>
          <w:rFonts w:ascii="宋体" w:hAnsi="宋体" w:cs="宋体"/>
          <w:color w:val="auto"/>
          <w:sz w:val="24"/>
        </w:rPr>
      </w:pPr>
      <w:r>
        <w:rPr>
          <w:rFonts w:hint="eastAsia" w:ascii="宋体" w:hAnsi="宋体" w:cs="宋体"/>
          <w:color w:val="auto"/>
          <w:sz w:val="24"/>
        </w:rPr>
        <w:t>（二）磋商文件的公告；</w:t>
      </w:r>
    </w:p>
    <w:p w14:paraId="3B57D67D">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（三）成交人提交的响应文件；</w:t>
      </w:r>
    </w:p>
    <w:p w14:paraId="34F84BB5">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（四）磋商文件中规定的政府采购合同通用条款；</w:t>
      </w:r>
    </w:p>
    <w:p w14:paraId="6B5FF56B">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（五）成交通知书；</w:t>
      </w:r>
    </w:p>
    <w:p w14:paraId="32DFA2E4">
      <w:pPr>
        <w:pStyle w:val="7"/>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二、合同金额及付款方式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914"/>
        <w:gridCol w:w="1701"/>
        <w:gridCol w:w="1468"/>
        <w:gridCol w:w="884"/>
      </w:tblGrid>
      <w:tr w14:paraId="3E32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49" w:type="dxa"/>
            <w:vAlign w:val="center"/>
          </w:tcPr>
          <w:p w14:paraId="01A18D44">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序号</w:t>
            </w:r>
          </w:p>
        </w:tc>
        <w:tc>
          <w:tcPr>
            <w:tcW w:w="3914" w:type="dxa"/>
            <w:vAlign w:val="center"/>
          </w:tcPr>
          <w:p w14:paraId="155808F7">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丙方单位名称</w:t>
            </w:r>
          </w:p>
        </w:tc>
        <w:tc>
          <w:tcPr>
            <w:tcW w:w="1701" w:type="dxa"/>
            <w:vAlign w:val="center"/>
          </w:tcPr>
          <w:p w14:paraId="154E4AAD">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单价（万元）</w:t>
            </w:r>
          </w:p>
        </w:tc>
        <w:tc>
          <w:tcPr>
            <w:tcW w:w="1468" w:type="dxa"/>
            <w:vAlign w:val="center"/>
          </w:tcPr>
          <w:p w14:paraId="6726C397">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总价</w:t>
            </w:r>
          </w:p>
        </w:tc>
        <w:tc>
          <w:tcPr>
            <w:tcW w:w="884" w:type="dxa"/>
            <w:vAlign w:val="center"/>
          </w:tcPr>
          <w:p w14:paraId="5FC65FA6">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备注</w:t>
            </w:r>
          </w:p>
        </w:tc>
      </w:tr>
      <w:tr w14:paraId="5FCD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49" w:type="dxa"/>
            <w:vAlign w:val="center"/>
          </w:tcPr>
          <w:p w14:paraId="314E85EB">
            <w:pPr>
              <w:pStyle w:val="7"/>
              <w:spacing w:line="360" w:lineRule="auto"/>
              <w:ind w:firstLine="0"/>
              <w:jc w:val="center"/>
              <w:rPr>
                <w:rFonts w:ascii="宋体" w:hAnsi="宋体" w:cs="宋体"/>
                <w:color w:val="auto"/>
                <w:sz w:val="24"/>
                <w:szCs w:val="24"/>
              </w:rPr>
            </w:pPr>
            <w:r>
              <w:rPr>
                <w:rFonts w:hint="eastAsia" w:ascii="宋体" w:hAnsi="宋体" w:cs="宋体"/>
                <w:color w:val="auto"/>
                <w:sz w:val="24"/>
                <w:szCs w:val="24"/>
              </w:rPr>
              <w:t>1</w:t>
            </w:r>
          </w:p>
        </w:tc>
        <w:tc>
          <w:tcPr>
            <w:tcW w:w="3914" w:type="dxa"/>
            <w:vAlign w:val="center"/>
          </w:tcPr>
          <w:p w14:paraId="4DF2160F">
            <w:pPr>
              <w:pStyle w:val="7"/>
              <w:spacing w:line="360" w:lineRule="auto"/>
              <w:ind w:firstLine="0"/>
              <w:rPr>
                <w:rFonts w:ascii="宋体" w:hAnsi="宋体" w:cs="宋体"/>
                <w:color w:val="auto"/>
                <w:sz w:val="24"/>
                <w:szCs w:val="24"/>
              </w:rPr>
            </w:pPr>
          </w:p>
        </w:tc>
        <w:tc>
          <w:tcPr>
            <w:tcW w:w="1701" w:type="dxa"/>
            <w:vAlign w:val="center"/>
          </w:tcPr>
          <w:p w14:paraId="4B99A87E">
            <w:pPr>
              <w:pStyle w:val="7"/>
              <w:spacing w:line="360" w:lineRule="auto"/>
              <w:ind w:firstLine="0"/>
              <w:jc w:val="center"/>
              <w:rPr>
                <w:rFonts w:ascii="宋体" w:hAnsi="宋体" w:cs="宋体"/>
                <w:color w:val="auto"/>
                <w:sz w:val="24"/>
                <w:szCs w:val="24"/>
              </w:rPr>
            </w:pPr>
          </w:p>
        </w:tc>
        <w:tc>
          <w:tcPr>
            <w:tcW w:w="1468" w:type="dxa"/>
            <w:vAlign w:val="center"/>
          </w:tcPr>
          <w:p w14:paraId="597E45C9">
            <w:pPr>
              <w:pStyle w:val="7"/>
              <w:spacing w:line="360" w:lineRule="auto"/>
              <w:ind w:firstLine="0"/>
              <w:jc w:val="center"/>
              <w:rPr>
                <w:rFonts w:ascii="宋体" w:hAnsi="宋体" w:cs="宋体"/>
                <w:color w:val="auto"/>
                <w:sz w:val="24"/>
                <w:szCs w:val="24"/>
              </w:rPr>
            </w:pPr>
          </w:p>
        </w:tc>
        <w:tc>
          <w:tcPr>
            <w:tcW w:w="884" w:type="dxa"/>
            <w:vAlign w:val="center"/>
          </w:tcPr>
          <w:p w14:paraId="0A771C37">
            <w:pPr>
              <w:pStyle w:val="7"/>
              <w:spacing w:line="360" w:lineRule="auto"/>
              <w:ind w:firstLine="0"/>
              <w:jc w:val="center"/>
              <w:rPr>
                <w:rFonts w:ascii="宋体" w:hAnsi="宋体" w:cs="宋体"/>
                <w:color w:val="auto"/>
                <w:sz w:val="24"/>
                <w:szCs w:val="24"/>
              </w:rPr>
            </w:pPr>
          </w:p>
        </w:tc>
      </w:tr>
    </w:tbl>
    <w:p w14:paraId="3C8D3443">
      <w:pPr>
        <w:spacing w:line="360" w:lineRule="auto"/>
        <w:ind w:firstLine="420" w:firstLineChars="175"/>
        <w:rPr>
          <w:rFonts w:ascii="宋体" w:hAnsi="宋体" w:cs="宋体"/>
          <w:color w:val="auto"/>
          <w:sz w:val="24"/>
        </w:rPr>
      </w:pPr>
      <w:r>
        <w:rPr>
          <w:rFonts w:hint="eastAsia" w:ascii="宋体" w:hAnsi="宋体" w:cs="宋体"/>
          <w:color w:val="auto"/>
          <w:sz w:val="24"/>
        </w:rPr>
        <w:t>（一）法律顾问费用中标价为三年人民币</w:t>
      </w:r>
      <w:r>
        <w:rPr>
          <w:rFonts w:hint="eastAsia" w:ascii="宋体" w:hAnsi="宋体" w:cs="宋体"/>
          <w:color w:val="auto"/>
          <w:sz w:val="24"/>
          <w:u w:val="single"/>
        </w:rPr>
        <w:t xml:space="preserve"> 壹佰玖拾 </w:t>
      </w:r>
      <w:r>
        <w:rPr>
          <w:rFonts w:hint="eastAsia" w:ascii="宋体" w:hAnsi="宋体" w:cs="宋体"/>
          <w:color w:val="auto"/>
          <w:sz w:val="24"/>
        </w:rPr>
        <w:t>万元（小写：￥</w:t>
      </w:r>
      <w:r>
        <w:rPr>
          <w:rFonts w:hint="eastAsia" w:ascii="宋体" w:hAnsi="宋体" w:cs="宋体"/>
          <w:color w:val="auto"/>
          <w:sz w:val="24"/>
          <w:u w:val="single"/>
        </w:rPr>
        <w:t>1900000.00</w:t>
      </w:r>
      <w:r>
        <w:rPr>
          <w:rFonts w:hint="eastAsia" w:ascii="宋体" w:hAnsi="宋体" w:cs="宋体"/>
          <w:color w:val="auto"/>
          <w:sz w:val="24"/>
        </w:rPr>
        <w:t>元）。</w:t>
      </w:r>
    </w:p>
    <w:p w14:paraId="0DC613A6">
      <w:pPr>
        <w:spacing w:line="360" w:lineRule="auto"/>
        <w:ind w:firstLine="420" w:firstLineChars="175"/>
        <w:rPr>
          <w:rFonts w:ascii="宋体" w:hAnsi="宋体" w:cs="宋体"/>
          <w:color w:val="auto"/>
          <w:sz w:val="24"/>
        </w:rPr>
      </w:pPr>
      <w:r>
        <w:rPr>
          <w:rFonts w:hint="eastAsia" w:ascii="宋体" w:hAnsi="宋体" w:cs="宋体"/>
          <w:color w:val="auto"/>
          <w:sz w:val="24"/>
        </w:rPr>
        <w:t>（二）法律顾问服务合同签订后 10 工作日内支付服务费20万，服务期限满6个月后30日内支付服务费20万；服务期限满12个月后30日内支付服务费20万；服务期限满18个月后30日内支付服务费30万，服务期限满24个月后30日内支付服务费30万；服务期限满30个月后30日内支付服务费30万，服务期限满36个月后30日内支付服务费40万。</w:t>
      </w:r>
    </w:p>
    <w:p w14:paraId="7C8BB209">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乙方向甲方提供服务相关完税发票后，甲方在收到发票后一个月之内支付费用。</w:t>
      </w:r>
    </w:p>
    <w:p w14:paraId="38C1B5AA">
      <w:pPr>
        <w:spacing w:line="360" w:lineRule="auto"/>
        <w:ind w:firstLine="420" w:firstLineChars="175"/>
        <w:rPr>
          <w:rFonts w:ascii="宋体" w:hAnsi="宋体" w:cs="宋体"/>
          <w:color w:val="auto"/>
          <w:sz w:val="24"/>
        </w:rPr>
      </w:pPr>
      <w:r>
        <w:rPr>
          <w:rFonts w:hint="eastAsia" w:ascii="宋体" w:hAnsi="宋体" w:cs="宋体"/>
          <w:color w:val="auto"/>
          <w:sz w:val="24"/>
        </w:rPr>
        <w:t>（三）对于外聘法律顾问办理诉讼、仲裁案件等合同未尽专项服务事宜，由乙方和丙方根据《广西壮族自治区律师服务收费管理实施办法》规定的收费标准按50%收取或在50%以下自行协商确定。</w:t>
      </w:r>
    </w:p>
    <w:p w14:paraId="0A1AC57F">
      <w:pPr>
        <w:pStyle w:val="7"/>
        <w:spacing w:line="360" w:lineRule="auto"/>
        <w:ind w:firstLine="422" w:firstLineChars="175"/>
        <w:rPr>
          <w:rFonts w:ascii="宋体" w:hAnsi="宋体" w:cs="宋体"/>
          <w:b/>
          <w:bCs/>
          <w:color w:val="auto"/>
          <w:sz w:val="24"/>
          <w:szCs w:val="24"/>
        </w:rPr>
      </w:pPr>
      <w:r>
        <w:rPr>
          <w:rFonts w:hint="eastAsia" w:ascii="宋体" w:hAnsi="宋体" w:cs="宋体"/>
          <w:b/>
          <w:bCs/>
          <w:color w:val="auto"/>
          <w:sz w:val="24"/>
          <w:szCs w:val="24"/>
        </w:rPr>
        <w:t>三、合同期限</w:t>
      </w:r>
    </w:p>
    <w:p w14:paraId="3EFD8432">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本合同为2025年至2028年法律顾问服务合同，自2025年</w:t>
      </w:r>
      <w:r>
        <w:rPr>
          <w:rFonts w:hint="eastAsia" w:ascii="宋体" w:hAnsi="宋体" w:cs="宋体"/>
          <w:color w:val="auto"/>
          <w:sz w:val="24"/>
          <w:szCs w:val="24"/>
          <w:u w:val="single"/>
        </w:rPr>
        <w:t xml:space="preserve">  5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日起至2028年12月31日止。</w:t>
      </w:r>
    </w:p>
    <w:p w14:paraId="067CADC9">
      <w:pPr>
        <w:pStyle w:val="7"/>
        <w:spacing w:line="360" w:lineRule="auto"/>
        <w:ind w:firstLine="422" w:firstLineChars="175"/>
        <w:rPr>
          <w:rFonts w:ascii="宋体" w:hAnsi="宋体" w:cs="宋体"/>
          <w:b/>
          <w:bCs/>
          <w:color w:val="auto"/>
          <w:sz w:val="24"/>
          <w:szCs w:val="24"/>
        </w:rPr>
      </w:pPr>
      <w:r>
        <w:rPr>
          <w:rFonts w:hint="eastAsia" w:ascii="宋体" w:hAnsi="宋体" w:cs="宋体"/>
          <w:b/>
          <w:bCs/>
          <w:color w:val="auto"/>
          <w:sz w:val="24"/>
          <w:szCs w:val="24"/>
        </w:rPr>
        <w:t>四、丙方单位名称</w:t>
      </w:r>
    </w:p>
    <w:p w14:paraId="7FBD73B8">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2E1DAAC9">
      <w:pPr>
        <w:pStyle w:val="7"/>
        <w:spacing w:line="360" w:lineRule="auto"/>
        <w:ind w:firstLine="422" w:firstLineChars="175"/>
        <w:rPr>
          <w:rFonts w:ascii="宋体" w:hAnsi="宋体" w:cs="宋体"/>
          <w:b/>
          <w:bCs/>
          <w:color w:val="auto"/>
          <w:sz w:val="24"/>
          <w:szCs w:val="24"/>
        </w:rPr>
      </w:pPr>
      <w:r>
        <w:rPr>
          <w:rFonts w:hint="eastAsia" w:ascii="宋体" w:hAnsi="宋体" w:cs="宋体"/>
          <w:b/>
          <w:bCs/>
          <w:color w:val="auto"/>
          <w:sz w:val="24"/>
          <w:szCs w:val="24"/>
        </w:rPr>
        <w:t>五、甲方的权利义务</w:t>
      </w:r>
    </w:p>
    <w:p w14:paraId="76D50778">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（一）由县财政统一拨付专项工作经费，按照《中华人民共和国政府采购法》和政府社会购买服务的相关规定，通过政府购买服务方式，由甲、乙、丙三方签订服务协议，由乙方指派律师提供法律顾问。</w:t>
      </w:r>
    </w:p>
    <w:p w14:paraId="093380E9">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（二）甲方在每年度对法律顾问本年度的工作情况进行考核，并根据考核结果支付费用，乙方在甲方定期考核中评定为不合格等次的，适当核减本年度法律顾问报酬（已支付的予以退还）。</w:t>
      </w:r>
    </w:p>
    <w:p w14:paraId="48E7C639">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（三）乙方在服务过程中，需要有关部门或其他组织予以配合和提供相关资料、文件等，由甲方负责协调安排。</w:t>
      </w:r>
    </w:p>
    <w:p w14:paraId="639DB85B">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（四）甲方应当不定期对乙方服务内容进行考核，并于服务期届满后对服务质量进行验收，逾期不验收的，乙方可视为验收合格，验收合格后，由甲乙双方签署验收单并加盖采购单位公章，甲乙双方各执一份。</w:t>
      </w:r>
    </w:p>
    <w:p w14:paraId="6082557C">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（五）甲方在验收过程中发现乙方有违约问题，可按招、投标文件的规定要求乙方及时予以解决。</w:t>
      </w:r>
    </w:p>
    <w:p w14:paraId="4FD2D555">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（六）其他需要配合协调的事项。</w:t>
      </w:r>
    </w:p>
    <w:p w14:paraId="29F3E54F">
      <w:pPr>
        <w:pStyle w:val="7"/>
        <w:spacing w:line="360" w:lineRule="auto"/>
        <w:ind w:firstLine="422" w:firstLineChars="175"/>
        <w:rPr>
          <w:rFonts w:ascii="宋体" w:hAnsi="宋体" w:cs="宋体"/>
          <w:b/>
          <w:bCs/>
          <w:color w:val="auto"/>
          <w:sz w:val="24"/>
          <w:szCs w:val="24"/>
        </w:rPr>
      </w:pPr>
      <w:r>
        <w:rPr>
          <w:rFonts w:hint="eastAsia" w:ascii="宋体" w:hAnsi="宋体" w:cs="宋体"/>
          <w:b/>
          <w:bCs/>
          <w:color w:val="auto"/>
          <w:sz w:val="24"/>
          <w:szCs w:val="24"/>
        </w:rPr>
        <w:t>六、乙方的权利义务</w:t>
      </w:r>
    </w:p>
    <w:p w14:paraId="0CCF6740">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（一）乙方指派</w:t>
      </w:r>
      <w:r>
        <w:rPr>
          <w:rFonts w:hint="eastAsia" w:ascii="宋体" w:hAnsi="宋体" w:cs="宋体"/>
          <w:color w:val="auto"/>
          <w:sz w:val="24"/>
          <w:szCs w:val="24"/>
          <w:u w:val="single"/>
        </w:rPr>
        <w:t xml:space="preserve">         、       </w:t>
      </w:r>
      <w:r>
        <w:rPr>
          <w:rFonts w:hint="eastAsia" w:ascii="宋体" w:hAnsi="宋体" w:cs="宋体"/>
          <w:color w:val="auto"/>
          <w:sz w:val="24"/>
          <w:szCs w:val="24"/>
        </w:rPr>
        <w:t>组成律师团队为</w:t>
      </w:r>
      <w:r>
        <w:rPr>
          <w:rFonts w:hint="eastAsia" w:ascii="宋体" w:hAnsi="宋体" w:cs="宋体"/>
          <w:color w:val="auto"/>
          <w:sz w:val="24"/>
          <w:szCs w:val="24"/>
          <w:u w:val="single"/>
        </w:rPr>
        <w:t xml:space="preserve">                </w:t>
      </w:r>
      <w:r>
        <w:rPr>
          <w:rFonts w:hint="eastAsia" w:ascii="宋体" w:hAnsi="宋体" w:cs="宋体"/>
          <w:color w:val="auto"/>
          <w:sz w:val="24"/>
          <w:szCs w:val="24"/>
        </w:rPr>
        <w:t>提供法律服务，从2025年</w:t>
      </w:r>
      <w:r>
        <w:rPr>
          <w:rFonts w:hint="eastAsia" w:ascii="宋体" w:hAnsi="宋体" w:cs="宋体"/>
          <w:color w:val="auto"/>
          <w:sz w:val="24"/>
          <w:szCs w:val="24"/>
          <w:u w:val="single"/>
        </w:rPr>
        <w:t xml:space="preserve"> 5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日至2028年12月31日，在合同规定的职责范围及工作方式内为本合同第四条约定的丙方提供法律服务，乙方保证指派的律师符合下列条件：</w:t>
      </w:r>
    </w:p>
    <w:p w14:paraId="0A98D4C7">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1.政治素质高，拥护中国共产党的领导、拥护党的理论和路线方针政策。担任党委法律顾问应具备中共正式党员资格；</w:t>
      </w:r>
    </w:p>
    <w:p w14:paraId="2D643984">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2.具有良好的职业道德和较强的社会责任感；</w:t>
      </w:r>
    </w:p>
    <w:p w14:paraId="7D18B14B">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3.专家应有较强专业能力并在所从事领域具有一定影响力；律师应具有3年以上连续执业经历和较强的专业能力；</w:t>
      </w:r>
    </w:p>
    <w:p w14:paraId="1C2D0CF7">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4.严格遵纪守法，未受过重大行政处罚、党纪政纪处分、行业处分等；</w:t>
      </w:r>
    </w:p>
    <w:p w14:paraId="6DFC483C">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5.身体健康，责任心强，有时间和精力履行法律顾问职责；</w:t>
      </w:r>
    </w:p>
    <w:p w14:paraId="4EFE1AB2">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6.能够保障承担法律顾问工作的其他必要条件。</w:t>
      </w:r>
    </w:p>
    <w:p w14:paraId="3913E4E9">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（二）乙方指派法律顾问工作范围</w:t>
      </w:r>
    </w:p>
    <w:p w14:paraId="1695AD0F">
      <w:pPr>
        <w:spacing w:line="360" w:lineRule="auto"/>
        <w:ind w:firstLine="420" w:firstLineChars="175"/>
        <w:rPr>
          <w:rFonts w:ascii="宋体" w:hAnsi="宋体" w:cs="宋体"/>
          <w:color w:val="auto"/>
          <w:sz w:val="24"/>
        </w:rPr>
      </w:pPr>
      <w:r>
        <w:rPr>
          <w:rFonts w:hint="eastAsia" w:ascii="宋体" w:hAnsi="宋体" w:cs="宋体"/>
          <w:color w:val="auto"/>
          <w:sz w:val="24"/>
        </w:rPr>
        <w:t>1.日常法律咨询服务，特别是国家最新的政策、法规解读等法律咨询；</w:t>
      </w:r>
    </w:p>
    <w:p w14:paraId="020D6576">
      <w:pPr>
        <w:spacing w:line="360" w:lineRule="auto"/>
        <w:ind w:firstLine="420" w:firstLineChars="175"/>
        <w:rPr>
          <w:rFonts w:ascii="宋体" w:hAnsi="宋体" w:cs="宋体"/>
          <w:color w:val="auto"/>
          <w:sz w:val="24"/>
        </w:rPr>
      </w:pPr>
      <w:r>
        <w:rPr>
          <w:rFonts w:hint="eastAsia" w:ascii="宋体" w:hAnsi="宋体" w:cs="宋体"/>
          <w:color w:val="auto"/>
          <w:sz w:val="24"/>
        </w:rPr>
        <w:t>2.负责对丙方所制定或作出的规范性文件、重大决策、具体行为提供法律咨询或建议，出具法律意见书、合法性审查意见及实施后评估工作；</w:t>
      </w:r>
    </w:p>
    <w:p w14:paraId="23BC1262">
      <w:pPr>
        <w:spacing w:line="360" w:lineRule="auto"/>
        <w:ind w:firstLine="420" w:firstLineChars="175"/>
        <w:rPr>
          <w:rFonts w:ascii="宋体" w:hAnsi="宋体" w:cs="宋体"/>
          <w:color w:val="auto"/>
          <w:sz w:val="24"/>
        </w:rPr>
      </w:pPr>
      <w:r>
        <w:rPr>
          <w:rFonts w:hint="eastAsia" w:ascii="宋体" w:hAnsi="宋体" w:cs="宋体"/>
          <w:color w:val="auto"/>
          <w:sz w:val="24"/>
        </w:rPr>
        <w:t>3.草拟、审查或修改重大合同文本或其他法律事务，根据丙方实际工作要求，参与涉及重要合同谈判活动；</w:t>
      </w:r>
    </w:p>
    <w:p w14:paraId="04C281FE">
      <w:pPr>
        <w:spacing w:line="360" w:lineRule="auto"/>
        <w:ind w:firstLine="420" w:firstLineChars="175"/>
        <w:rPr>
          <w:rFonts w:ascii="宋体" w:hAnsi="宋体" w:cs="宋体"/>
          <w:color w:val="auto"/>
          <w:sz w:val="24"/>
        </w:rPr>
      </w:pPr>
      <w:r>
        <w:rPr>
          <w:rFonts w:hint="eastAsia" w:ascii="宋体" w:hAnsi="宋体" w:cs="宋体"/>
          <w:color w:val="auto"/>
          <w:sz w:val="24"/>
        </w:rPr>
        <w:t>4.参与处理涉及丙方尚未进入诉讼程序的民事纠纷、行政纠纷和其他重大纠纷；</w:t>
      </w:r>
    </w:p>
    <w:p w14:paraId="7FDBE647">
      <w:pPr>
        <w:spacing w:line="360" w:lineRule="auto"/>
        <w:ind w:firstLine="420" w:firstLineChars="175"/>
        <w:rPr>
          <w:rFonts w:ascii="宋体" w:hAnsi="宋体" w:cs="宋体"/>
          <w:color w:val="auto"/>
          <w:sz w:val="24"/>
        </w:rPr>
      </w:pPr>
      <w:r>
        <w:rPr>
          <w:rFonts w:hint="eastAsia" w:ascii="宋体" w:hAnsi="宋体" w:cs="宋体"/>
          <w:color w:val="auto"/>
          <w:sz w:val="24"/>
        </w:rPr>
        <w:t>5.参与涉及丙方的重大案件、法律事务的研究讨论，提供法律意见，出具相关的法律分析意见书及出具律师函，为涉及丙方有关的调解、仲裁、诉讼、执行等法律事务提供法律意见；</w:t>
      </w:r>
    </w:p>
    <w:p w14:paraId="52AD16A3">
      <w:pPr>
        <w:spacing w:line="360" w:lineRule="auto"/>
        <w:ind w:firstLine="420" w:firstLineChars="175"/>
        <w:rPr>
          <w:rFonts w:ascii="宋体" w:hAnsi="宋体" w:cs="宋体"/>
          <w:color w:val="auto"/>
          <w:sz w:val="24"/>
        </w:rPr>
      </w:pPr>
      <w:r>
        <w:rPr>
          <w:rFonts w:hint="eastAsia" w:ascii="宋体" w:hAnsi="宋体" w:cs="宋体"/>
          <w:color w:val="auto"/>
          <w:sz w:val="24"/>
        </w:rPr>
        <w:t>6.接受委托代理参加行政复议、案件诉讼以及重大民事诉讼，维护丙方依法履行职权和维护其合法权益；</w:t>
      </w:r>
    </w:p>
    <w:p w14:paraId="1E7AE7B8">
      <w:pPr>
        <w:spacing w:line="360" w:lineRule="auto"/>
        <w:ind w:firstLine="420" w:firstLineChars="175"/>
        <w:rPr>
          <w:rFonts w:ascii="宋体" w:hAnsi="宋体" w:cs="宋体"/>
          <w:color w:val="auto"/>
          <w:sz w:val="24"/>
        </w:rPr>
      </w:pPr>
      <w:r>
        <w:rPr>
          <w:rFonts w:hint="eastAsia" w:ascii="宋体" w:hAnsi="宋体" w:cs="宋体"/>
          <w:color w:val="auto"/>
          <w:sz w:val="24"/>
        </w:rPr>
        <w:t>7.接受委托，代理丙方申请强制执行；</w:t>
      </w:r>
    </w:p>
    <w:p w14:paraId="3C956321">
      <w:pPr>
        <w:spacing w:line="360" w:lineRule="auto"/>
        <w:ind w:firstLine="420" w:firstLineChars="175"/>
        <w:rPr>
          <w:rFonts w:ascii="宋体" w:hAnsi="宋体" w:cs="宋体"/>
          <w:color w:val="auto"/>
          <w:sz w:val="24"/>
        </w:rPr>
      </w:pPr>
      <w:r>
        <w:rPr>
          <w:rFonts w:hint="eastAsia" w:ascii="宋体" w:hAnsi="宋体" w:cs="宋体"/>
          <w:color w:val="auto"/>
          <w:sz w:val="24"/>
        </w:rPr>
        <w:t>8.出席甲方法律顾问室召集的法律顾问会议并提供相关法律意见；</w:t>
      </w:r>
    </w:p>
    <w:p w14:paraId="3352DED4">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9.每年至少完成2-3次丙方包括但不限于行政执法人员的法律知识培训工作；</w:t>
      </w:r>
    </w:p>
    <w:p w14:paraId="17C5A8CC">
      <w:pPr>
        <w:spacing w:line="360" w:lineRule="auto"/>
        <w:ind w:firstLine="420" w:firstLineChars="175"/>
        <w:rPr>
          <w:rFonts w:ascii="宋体" w:hAnsi="宋体" w:cs="宋体"/>
          <w:color w:val="auto"/>
          <w:sz w:val="24"/>
        </w:rPr>
      </w:pPr>
      <w:r>
        <w:rPr>
          <w:rFonts w:hint="eastAsia" w:ascii="宋体" w:hAnsi="宋体" w:cs="宋体"/>
          <w:color w:val="auto"/>
          <w:sz w:val="24"/>
        </w:rPr>
        <w:t>10.经指派，以丙方法律顾问身份对特定事项进行调查、协调，反映社情民意，并提出相关的法律意见；</w:t>
      </w:r>
    </w:p>
    <w:p w14:paraId="795E430C">
      <w:pPr>
        <w:spacing w:line="360" w:lineRule="auto"/>
        <w:ind w:firstLine="420" w:firstLineChars="175"/>
        <w:rPr>
          <w:rFonts w:ascii="宋体" w:hAnsi="宋体" w:cs="宋体"/>
          <w:color w:val="auto"/>
          <w:sz w:val="24"/>
        </w:rPr>
      </w:pPr>
      <w:r>
        <w:rPr>
          <w:rFonts w:hint="eastAsia" w:ascii="宋体" w:hAnsi="宋体" w:cs="宋体"/>
          <w:color w:val="auto"/>
          <w:sz w:val="24"/>
        </w:rPr>
        <w:t>11.办理丙方委托的其他事项。</w:t>
      </w:r>
    </w:p>
    <w:p w14:paraId="746D0DFF">
      <w:pPr>
        <w:pStyle w:val="7"/>
        <w:spacing w:line="360" w:lineRule="auto"/>
        <w:ind w:firstLineChars="175"/>
        <w:rPr>
          <w:rFonts w:ascii="宋体" w:hAnsi="宋体" w:cs="宋体"/>
          <w:color w:val="auto"/>
          <w:sz w:val="24"/>
          <w:szCs w:val="24"/>
        </w:rPr>
      </w:pPr>
      <w:r>
        <w:rPr>
          <w:rFonts w:hint="eastAsia" w:ascii="宋体" w:hAnsi="宋体" w:cs="宋体"/>
          <w:color w:val="auto"/>
          <w:sz w:val="24"/>
          <w:szCs w:val="24"/>
        </w:rPr>
        <w:t>（三）乙方服务方式</w:t>
      </w:r>
    </w:p>
    <w:p w14:paraId="5DD93DF3">
      <w:pPr>
        <w:pStyle w:val="13"/>
        <w:spacing w:line="360" w:lineRule="auto"/>
        <w:ind w:firstLine="420" w:firstLineChars="175"/>
        <w:rPr>
          <w:rFonts w:hAnsi="宋体" w:cs="宋体"/>
          <w:color w:val="auto"/>
          <w:sz w:val="24"/>
          <w:szCs w:val="24"/>
        </w:rPr>
      </w:pPr>
      <w:r>
        <w:rPr>
          <w:rFonts w:hint="eastAsia" w:hAnsi="宋体" w:cs="宋体"/>
          <w:color w:val="auto"/>
          <w:sz w:val="24"/>
          <w:szCs w:val="24"/>
        </w:rPr>
        <w:t>1.参加法律顾问团会议，就有关法律问题进行研究讨论，提出意见；</w:t>
      </w:r>
    </w:p>
    <w:p w14:paraId="01626D53">
      <w:pPr>
        <w:pStyle w:val="13"/>
        <w:spacing w:line="360" w:lineRule="auto"/>
        <w:ind w:firstLine="420" w:firstLineChars="175"/>
        <w:rPr>
          <w:rFonts w:hAnsi="宋体" w:cs="宋体"/>
          <w:color w:val="auto"/>
          <w:sz w:val="24"/>
          <w:szCs w:val="24"/>
        </w:rPr>
      </w:pPr>
      <w:r>
        <w:rPr>
          <w:rFonts w:hint="eastAsia" w:hAnsi="宋体" w:cs="宋体"/>
          <w:color w:val="auto"/>
          <w:sz w:val="24"/>
          <w:szCs w:val="24"/>
        </w:rPr>
        <w:t>2.就丙方的有关重大法律问题进行考察、论证，提出评估意见；</w:t>
      </w:r>
    </w:p>
    <w:p w14:paraId="3073F221">
      <w:pPr>
        <w:pStyle w:val="13"/>
        <w:spacing w:line="360" w:lineRule="auto"/>
        <w:ind w:firstLine="420" w:firstLineChars="175"/>
        <w:rPr>
          <w:rFonts w:hAnsi="宋体" w:cs="宋体"/>
          <w:color w:val="auto"/>
          <w:sz w:val="24"/>
          <w:szCs w:val="24"/>
        </w:rPr>
      </w:pPr>
      <w:r>
        <w:rPr>
          <w:rFonts w:hint="eastAsia" w:hAnsi="宋体" w:cs="宋体"/>
          <w:color w:val="auto"/>
          <w:sz w:val="24"/>
          <w:szCs w:val="24"/>
        </w:rPr>
        <w:t>3.就丙方的有关重大事项提出法律意见和建议；</w:t>
      </w:r>
    </w:p>
    <w:p w14:paraId="11226168">
      <w:pPr>
        <w:pStyle w:val="13"/>
        <w:spacing w:line="360" w:lineRule="auto"/>
        <w:ind w:firstLine="420" w:firstLineChars="175"/>
        <w:rPr>
          <w:rFonts w:hAnsi="宋体" w:cs="宋体"/>
          <w:color w:val="auto"/>
          <w:sz w:val="24"/>
          <w:szCs w:val="24"/>
        </w:rPr>
      </w:pPr>
      <w:r>
        <w:rPr>
          <w:rFonts w:hint="eastAsia" w:hAnsi="宋体" w:cs="宋体"/>
          <w:color w:val="auto"/>
          <w:sz w:val="24"/>
          <w:szCs w:val="24"/>
        </w:rPr>
        <w:t>4.适时为丙方讲授法律知识；</w:t>
      </w:r>
    </w:p>
    <w:p w14:paraId="79FF2E1D">
      <w:pPr>
        <w:pStyle w:val="13"/>
        <w:spacing w:line="360" w:lineRule="auto"/>
        <w:ind w:firstLine="420" w:firstLineChars="175"/>
        <w:rPr>
          <w:rFonts w:hAnsi="宋体" w:cs="宋体"/>
          <w:color w:val="auto"/>
          <w:sz w:val="24"/>
          <w:szCs w:val="24"/>
        </w:rPr>
      </w:pPr>
      <w:r>
        <w:rPr>
          <w:rFonts w:hint="eastAsia" w:hAnsi="宋体" w:cs="宋体"/>
          <w:color w:val="auto"/>
          <w:sz w:val="24"/>
          <w:szCs w:val="24"/>
        </w:rPr>
        <w:t>5.保证每周与丙方不少于一次的联系（联系方式可采用面谈、电话、传真、电子邮件或微信等方式）；</w:t>
      </w:r>
    </w:p>
    <w:p w14:paraId="20B3DF33">
      <w:pPr>
        <w:pStyle w:val="13"/>
        <w:spacing w:line="360" w:lineRule="auto"/>
        <w:ind w:firstLine="420" w:firstLineChars="175"/>
        <w:rPr>
          <w:rFonts w:hAnsi="宋体" w:cs="宋体"/>
          <w:color w:val="auto"/>
          <w:sz w:val="24"/>
          <w:szCs w:val="24"/>
        </w:rPr>
      </w:pPr>
      <w:r>
        <w:rPr>
          <w:rFonts w:hint="eastAsia" w:hAnsi="宋体" w:cs="宋体"/>
          <w:color w:val="auto"/>
          <w:sz w:val="24"/>
          <w:szCs w:val="24"/>
        </w:rPr>
        <w:t>6.根据工作安排，以其他方式开展工作。</w:t>
      </w:r>
    </w:p>
    <w:p w14:paraId="70EE44CE">
      <w:pPr>
        <w:pStyle w:val="13"/>
        <w:spacing w:line="360" w:lineRule="auto"/>
        <w:ind w:firstLine="420" w:firstLineChars="175"/>
        <w:rPr>
          <w:rFonts w:hAnsi="宋体" w:cs="宋体"/>
          <w:color w:val="auto"/>
          <w:sz w:val="24"/>
          <w:szCs w:val="24"/>
        </w:rPr>
      </w:pPr>
      <w:r>
        <w:rPr>
          <w:rFonts w:hint="eastAsia" w:hAnsi="宋体" w:cs="宋体"/>
          <w:color w:val="auto"/>
          <w:sz w:val="24"/>
          <w:szCs w:val="24"/>
        </w:rPr>
        <w:t>（四）乙方应当承担下列义务</w:t>
      </w:r>
    </w:p>
    <w:p w14:paraId="62F5709D">
      <w:pPr>
        <w:pStyle w:val="13"/>
        <w:spacing w:line="360" w:lineRule="auto"/>
        <w:ind w:firstLine="420" w:firstLineChars="175"/>
        <w:rPr>
          <w:rFonts w:hAnsi="宋体" w:cs="宋体"/>
          <w:color w:val="auto"/>
          <w:sz w:val="24"/>
          <w:szCs w:val="24"/>
        </w:rPr>
      </w:pPr>
      <w:r>
        <w:rPr>
          <w:rFonts w:hint="eastAsia" w:hAnsi="宋体" w:cs="宋体"/>
          <w:color w:val="auto"/>
          <w:sz w:val="24"/>
          <w:szCs w:val="24"/>
        </w:rPr>
        <w:t>1.遵守国家法律法规，维护社会公平正义，维护丙方合法权益；</w:t>
      </w:r>
    </w:p>
    <w:p w14:paraId="795B03BD">
      <w:pPr>
        <w:pStyle w:val="13"/>
        <w:spacing w:line="360" w:lineRule="auto"/>
        <w:ind w:firstLine="420" w:firstLineChars="175"/>
        <w:rPr>
          <w:rFonts w:hAnsi="宋体" w:cs="宋体"/>
          <w:color w:val="auto"/>
          <w:sz w:val="24"/>
          <w:szCs w:val="24"/>
        </w:rPr>
      </w:pPr>
      <w:r>
        <w:rPr>
          <w:rFonts w:hint="eastAsia" w:hAnsi="宋体" w:cs="宋体"/>
          <w:color w:val="auto"/>
          <w:sz w:val="24"/>
          <w:szCs w:val="24"/>
        </w:rPr>
        <w:t>2.严格遵守保密制度，不得泄漏工作中接触到的党和国家秘密、工作秘密、商业秘密以及其他不应当公开的信息，不得擅自对外透露所承担的工作内容，不能将工作中获悉的尚未公开或者不宜公开的信息用于教学授课、撰写论文或者案例分析等；</w:t>
      </w:r>
    </w:p>
    <w:p w14:paraId="6947766F">
      <w:pPr>
        <w:pStyle w:val="13"/>
        <w:spacing w:line="360" w:lineRule="auto"/>
        <w:ind w:firstLine="420" w:firstLineChars="175"/>
        <w:rPr>
          <w:rFonts w:hAnsi="宋体" w:cs="宋体"/>
          <w:color w:val="auto"/>
          <w:sz w:val="24"/>
          <w:szCs w:val="24"/>
        </w:rPr>
      </w:pPr>
      <w:r>
        <w:rPr>
          <w:rFonts w:hint="eastAsia" w:hAnsi="宋体" w:cs="宋体"/>
          <w:color w:val="auto"/>
          <w:sz w:val="24"/>
          <w:szCs w:val="24"/>
        </w:rPr>
        <w:t>3.遵守职业道德和行业规范，不得利用所获得的非公开信息或者便利条件为本人及所有单位或他人牟取利益，不得以法律顾问身份从事商业活动或与法律顾问职责无关的活动；</w:t>
      </w:r>
    </w:p>
    <w:p w14:paraId="095BE37E">
      <w:pPr>
        <w:pStyle w:val="13"/>
        <w:spacing w:line="360" w:lineRule="auto"/>
        <w:ind w:firstLine="420" w:firstLineChars="175"/>
        <w:rPr>
          <w:rFonts w:hAnsi="宋体" w:cs="宋体"/>
          <w:color w:val="auto"/>
          <w:sz w:val="24"/>
          <w:szCs w:val="24"/>
        </w:rPr>
      </w:pPr>
      <w:r>
        <w:rPr>
          <w:rFonts w:hint="eastAsia" w:hAnsi="宋体" w:cs="宋体"/>
          <w:color w:val="auto"/>
          <w:sz w:val="24"/>
          <w:szCs w:val="24"/>
        </w:rPr>
        <w:t>4.不得办理与丙方有利益冲突的法律事务，不得以党政机关常年法律顾问名义招揽或开展相关业务；</w:t>
      </w:r>
    </w:p>
    <w:p w14:paraId="6D5A5A00">
      <w:pPr>
        <w:pStyle w:val="13"/>
        <w:spacing w:line="360" w:lineRule="auto"/>
        <w:ind w:firstLine="420" w:firstLineChars="175"/>
        <w:rPr>
          <w:rFonts w:hAnsi="宋体" w:cs="宋体"/>
          <w:color w:val="auto"/>
          <w:sz w:val="24"/>
          <w:szCs w:val="24"/>
        </w:rPr>
      </w:pPr>
      <w:r>
        <w:rPr>
          <w:rFonts w:hint="eastAsia" w:hAnsi="宋体" w:cs="宋体"/>
          <w:color w:val="auto"/>
          <w:sz w:val="24"/>
          <w:szCs w:val="24"/>
        </w:rPr>
        <w:t>5.法律顾问与所承办的业务有利害关系、可能影响公正履行职责的，或者有法律规定的其他应当回避情形的，应当主动申请回避；</w:t>
      </w:r>
    </w:p>
    <w:p w14:paraId="31E78C20">
      <w:pPr>
        <w:pStyle w:val="13"/>
        <w:spacing w:line="360" w:lineRule="auto"/>
        <w:ind w:firstLine="420" w:firstLineChars="175"/>
        <w:rPr>
          <w:rFonts w:hAnsi="宋体" w:cs="宋体"/>
          <w:color w:val="auto"/>
          <w:sz w:val="24"/>
          <w:szCs w:val="24"/>
        </w:rPr>
      </w:pPr>
      <w:r>
        <w:rPr>
          <w:rFonts w:hint="eastAsia" w:hAnsi="宋体" w:cs="宋体"/>
          <w:color w:val="auto"/>
          <w:sz w:val="24"/>
          <w:szCs w:val="24"/>
        </w:rPr>
        <w:t>6.不得发表、散布有损党和政府声誉或者形象的言论；不得从事有损于丙方利益的活动；</w:t>
      </w:r>
    </w:p>
    <w:p w14:paraId="33A81416">
      <w:pPr>
        <w:pStyle w:val="13"/>
        <w:spacing w:line="360" w:lineRule="auto"/>
        <w:ind w:firstLine="420" w:firstLineChars="175"/>
        <w:rPr>
          <w:rFonts w:hAnsi="宋体" w:cs="宋体"/>
          <w:color w:val="auto"/>
          <w:sz w:val="24"/>
          <w:szCs w:val="24"/>
        </w:rPr>
      </w:pPr>
      <w:r>
        <w:rPr>
          <w:rFonts w:hint="eastAsia" w:hAnsi="宋体" w:cs="宋体"/>
          <w:color w:val="auto"/>
          <w:sz w:val="24"/>
          <w:szCs w:val="24"/>
        </w:rPr>
        <w:t>7.提供法律服务应当出具由本人签名或盖章及所在律师事务所盖章的书面法律意见，并对其出具的法律意见和建议负责。</w:t>
      </w:r>
    </w:p>
    <w:p w14:paraId="1513EDDA">
      <w:pPr>
        <w:pStyle w:val="13"/>
        <w:spacing w:line="360" w:lineRule="auto"/>
        <w:ind w:firstLine="422" w:firstLineChars="175"/>
        <w:rPr>
          <w:rFonts w:hAnsi="宋体" w:cs="宋体"/>
          <w:b/>
          <w:color w:val="auto"/>
          <w:sz w:val="24"/>
          <w:szCs w:val="24"/>
        </w:rPr>
      </w:pPr>
      <w:r>
        <w:rPr>
          <w:rFonts w:hint="eastAsia" w:hAnsi="宋体" w:cs="宋体"/>
          <w:b/>
          <w:color w:val="auto"/>
          <w:sz w:val="24"/>
          <w:szCs w:val="24"/>
        </w:rPr>
        <w:t>七、甲方、丙方权利和义务</w:t>
      </w:r>
    </w:p>
    <w:p w14:paraId="7F7DC969">
      <w:pPr>
        <w:pStyle w:val="13"/>
        <w:spacing w:line="360" w:lineRule="auto"/>
        <w:ind w:firstLine="420" w:firstLineChars="175"/>
        <w:rPr>
          <w:rFonts w:hAnsi="宋体" w:cs="宋体"/>
          <w:color w:val="auto"/>
          <w:sz w:val="24"/>
          <w:szCs w:val="24"/>
        </w:rPr>
      </w:pPr>
      <w:r>
        <w:rPr>
          <w:rFonts w:hint="eastAsia" w:hAnsi="宋体" w:cs="宋体"/>
          <w:color w:val="auto"/>
          <w:sz w:val="24"/>
          <w:szCs w:val="24"/>
        </w:rPr>
        <w:t>（一）甲方、丙方对于乙方的工作享有知情权，有权向乙方询问工作进展。</w:t>
      </w:r>
    </w:p>
    <w:p w14:paraId="4FA449A8">
      <w:pPr>
        <w:pStyle w:val="13"/>
        <w:spacing w:line="360" w:lineRule="auto"/>
        <w:ind w:firstLine="420" w:firstLineChars="175"/>
        <w:rPr>
          <w:rFonts w:hAnsi="宋体" w:cs="宋体"/>
          <w:color w:val="auto"/>
          <w:sz w:val="24"/>
          <w:szCs w:val="24"/>
        </w:rPr>
      </w:pPr>
      <w:r>
        <w:rPr>
          <w:rFonts w:hint="eastAsia" w:hAnsi="宋体" w:cs="宋体"/>
          <w:color w:val="auto"/>
          <w:sz w:val="24"/>
          <w:szCs w:val="24"/>
        </w:rPr>
        <w:t>（二）丙方有权根据实际需要另行聘请其他法律服务机构为其提供法律服务。</w:t>
      </w:r>
    </w:p>
    <w:p w14:paraId="0B701047">
      <w:pPr>
        <w:pStyle w:val="13"/>
        <w:spacing w:line="360" w:lineRule="auto"/>
        <w:ind w:firstLine="420" w:firstLineChars="175"/>
        <w:rPr>
          <w:rFonts w:hAnsi="宋体" w:cs="宋体"/>
          <w:color w:val="auto"/>
          <w:sz w:val="24"/>
          <w:szCs w:val="24"/>
        </w:rPr>
      </w:pPr>
      <w:r>
        <w:rPr>
          <w:rFonts w:hint="eastAsia" w:hAnsi="宋体" w:cs="宋体"/>
          <w:color w:val="auto"/>
          <w:sz w:val="24"/>
          <w:szCs w:val="24"/>
        </w:rPr>
        <w:t>（三）甲方或丙方应当向乙方充分披露与委托事项有关的背景信息，并向乙方提供必要协助，提交乙方办理任何法律事务所必需的资料、文件、权证、证照等文件、资料。除非另有书面指示，甲方、丙方提供给乙方的资料、文件、证据均应为复印件或复制品，原件应由甲方、丙方妥善保管。</w:t>
      </w:r>
    </w:p>
    <w:p w14:paraId="4BD95737">
      <w:pPr>
        <w:pStyle w:val="13"/>
        <w:spacing w:line="360" w:lineRule="auto"/>
        <w:ind w:firstLine="420" w:firstLineChars="175"/>
        <w:rPr>
          <w:rFonts w:hAnsi="宋体" w:cs="宋体"/>
          <w:color w:val="auto"/>
          <w:sz w:val="24"/>
          <w:szCs w:val="24"/>
        </w:rPr>
      </w:pPr>
      <w:r>
        <w:rPr>
          <w:rFonts w:hint="eastAsia" w:hAnsi="宋体" w:cs="宋体"/>
          <w:color w:val="auto"/>
          <w:sz w:val="24"/>
          <w:szCs w:val="24"/>
        </w:rPr>
        <w:t>（四）甲方应当按照本合同约定的时间、数额支付法律服务费。</w:t>
      </w:r>
    </w:p>
    <w:p w14:paraId="3DD12DA7">
      <w:pPr>
        <w:pStyle w:val="13"/>
        <w:spacing w:line="360" w:lineRule="auto"/>
        <w:ind w:firstLine="420" w:firstLineChars="175"/>
        <w:rPr>
          <w:rFonts w:hAnsi="宋体" w:cs="宋体"/>
          <w:color w:val="auto"/>
          <w:sz w:val="24"/>
          <w:szCs w:val="24"/>
        </w:rPr>
      </w:pPr>
      <w:r>
        <w:rPr>
          <w:rFonts w:hint="eastAsia" w:hAnsi="宋体" w:cs="宋体"/>
          <w:color w:val="auto"/>
          <w:sz w:val="24"/>
          <w:szCs w:val="24"/>
        </w:rPr>
        <w:t>（五）甲方或丙方应为乙方提供法律服务提供一切必要的配合和条件。</w:t>
      </w:r>
    </w:p>
    <w:p w14:paraId="6978DB9A">
      <w:pPr>
        <w:pStyle w:val="13"/>
        <w:spacing w:line="360" w:lineRule="auto"/>
        <w:ind w:firstLine="420" w:firstLineChars="175"/>
        <w:rPr>
          <w:rFonts w:hAnsi="宋体" w:cs="宋体"/>
          <w:color w:val="auto"/>
          <w:sz w:val="24"/>
          <w:szCs w:val="24"/>
        </w:rPr>
      </w:pPr>
      <w:r>
        <w:rPr>
          <w:rFonts w:hint="eastAsia" w:hAnsi="宋体" w:cs="宋体"/>
          <w:color w:val="auto"/>
          <w:sz w:val="24"/>
          <w:szCs w:val="24"/>
        </w:rPr>
        <w:t>（六）任何需要乙方出席的会议、座谈、访谈、谈判，甲方或丙方应当提前一天通知乙方并提交前述活动必要的书面文件，告知前述活动内容、背景、联系人、时间、地点、出席人员名单等。</w:t>
      </w:r>
    </w:p>
    <w:p w14:paraId="3A8498F0">
      <w:pPr>
        <w:pStyle w:val="13"/>
        <w:spacing w:line="360" w:lineRule="auto"/>
        <w:ind w:firstLine="420" w:firstLineChars="175"/>
        <w:rPr>
          <w:rFonts w:hAnsi="宋体" w:cs="宋体"/>
          <w:color w:val="auto"/>
          <w:sz w:val="24"/>
          <w:szCs w:val="24"/>
        </w:rPr>
      </w:pPr>
      <w:r>
        <w:rPr>
          <w:rFonts w:hint="eastAsia" w:hAnsi="宋体" w:cs="宋体"/>
          <w:color w:val="auto"/>
          <w:sz w:val="24"/>
          <w:szCs w:val="24"/>
        </w:rPr>
        <w:t>（七）甲方有权随时要求乙方提供第六条第（二）项规定的服务工作范围，乙方必须做到尽职尽责。</w:t>
      </w:r>
    </w:p>
    <w:p w14:paraId="6835CDB2">
      <w:pPr>
        <w:pStyle w:val="13"/>
        <w:spacing w:line="360" w:lineRule="auto"/>
        <w:ind w:firstLine="420" w:firstLineChars="175"/>
        <w:rPr>
          <w:rFonts w:hAnsi="宋体" w:cs="宋体"/>
          <w:color w:val="auto"/>
          <w:sz w:val="24"/>
          <w:szCs w:val="24"/>
        </w:rPr>
      </w:pPr>
      <w:r>
        <w:rPr>
          <w:rFonts w:hint="eastAsia" w:hAnsi="宋体" w:cs="宋体"/>
          <w:color w:val="auto"/>
          <w:sz w:val="24"/>
          <w:szCs w:val="24"/>
        </w:rPr>
        <w:t>（八）乙方向甲方和丙方交付的法律意见和其他有关文件归甲方和丙方所有，甲方和丙方享有使用、收益等处置权能。</w:t>
      </w:r>
    </w:p>
    <w:p w14:paraId="67DF72D8">
      <w:pPr>
        <w:spacing w:line="360" w:lineRule="auto"/>
        <w:ind w:firstLine="420" w:firstLineChars="175"/>
        <w:rPr>
          <w:rFonts w:ascii="宋体" w:hAnsi="宋体" w:cs="宋体"/>
          <w:color w:val="auto"/>
          <w:sz w:val="24"/>
        </w:rPr>
      </w:pPr>
      <w:r>
        <w:rPr>
          <w:rFonts w:hint="eastAsia" w:ascii="宋体" w:hAnsi="宋体" w:cs="宋体"/>
          <w:color w:val="auto"/>
          <w:sz w:val="24"/>
        </w:rPr>
        <w:t>（九）乙方应在本合同签订之日起，每三个月向甲方和丙方提交该季度法律顾问工作总结，在本合同届满十五日内，向甲方和丙方提交年度工作总结。甲方有权对乙方工作进行考核，若乙方违反了勤勉、尽责、及时的工作要求或违反本合同约定导致丙方工作受到延误或损失的，甲方有权要求调换律师或提出终止合同，因此造成损失的均由乙方承担，甲方将保留追究乙方责任的权利。</w:t>
      </w:r>
    </w:p>
    <w:p w14:paraId="39D3D46E">
      <w:pPr>
        <w:spacing w:line="360" w:lineRule="auto"/>
        <w:ind w:firstLine="420" w:firstLineChars="175"/>
        <w:rPr>
          <w:rFonts w:ascii="宋体" w:hAnsi="宋体" w:cs="宋体"/>
          <w:color w:val="auto"/>
          <w:sz w:val="24"/>
        </w:rPr>
      </w:pPr>
      <w:r>
        <w:rPr>
          <w:rFonts w:hint="eastAsia" w:ascii="宋体" w:hAnsi="宋体" w:cs="宋体"/>
          <w:color w:val="auto"/>
          <w:sz w:val="24"/>
        </w:rPr>
        <w:t>（十）丙方根据乙方律师出具的法律意见、建议、方案所作出的决定而导致损失，若是因乙方指派律师违反了律师职业道德、执业纪律造成的，由此造成损失的均由乙方承担，甲方或丙方将保留追究乙方责任的权利。</w:t>
      </w:r>
    </w:p>
    <w:p w14:paraId="69F5202D">
      <w:pPr>
        <w:spacing w:line="360" w:lineRule="auto"/>
        <w:ind w:firstLine="420" w:firstLineChars="175"/>
        <w:rPr>
          <w:rFonts w:ascii="宋体" w:hAnsi="宋体" w:cs="宋体"/>
          <w:color w:val="auto"/>
          <w:sz w:val="24"/>
        </w:rPr>
      </w:pPr>
      <w:r>
        <w:rPr>
          <w:rFonts w:hint="eastAsia" w:ascii="宋体" w:hAnsi="宋体" w:cs="宋体"/>
          <w:color w:val="auto"/>
          <w:sz w:val="24"/>
        </w:rPr>
        <w:t>（十一）除本合同另有约定外，甲方或丙方无故提前终止合同的，已经支付的法律服务费不予退还。乙方拒绝为甲方提供服务的，甲方有权解除合同，根据剩余服务期限退还相应费用，因此造成损失的均由乙方承担。</w:t>
      </w:r>
    </w:p>
    <w:p w14:paraId="49726E86">
      <w:pPr>
        <w:spacing w:line="360" w:lineRule="auto"/>
        <w:ind w:firstLine="420" w:firstLineChars="175"/>
        <w:rPr>
          <w:rFonts w:ascii="宋体" w:hAnsi="宋体" w:cs="宋体"/>
          <w:color w:val="auto"/>
          <w:sz w:val="24"/>
        </w:rPr>
      </w:pPr>
      <w:r>
        <w:rPr>
          <w:rFonts w:hint="eastAsia" w:ascii="宋体" w:hAnsi="宋体" w:cs="宋体"/>
          <w:color w:val="auto"/>
          <w:sz w:val="24"/>
        </w:rPr>
        <w:t>（十二）本合同因期满终止或因其他原因提前终止的，乙方律师应尽最大的善意处理尚未完毕的法律事务，并与甲方共同协商妥善安排好法律事务交接等相关事项。</w:t>
      </w:r>
    </w:p>
    <w:p w14:paraId="72DBC379">
      <w:pPr>
        <w:spacing w:line="360" w:lineRule="auto"/>
        <w:ind w:firstLine="420" w:firstLineChars="175"/>
        <w:rPr>
          <w:rFonts w:ascii="宋体" w:hAnsi="宋体" w:cs="宋体"/>
          <w:color w:val="auto"/>
          <w:sz w:val="24"/>
        </w:rPr>
      </w:pPr>
      <w:r>
        <w:rPr>
          <w:rFonts w:hint="eastAsia" w:ascii="宋体" w:hAnsi="宋体" w:cs="宋体"/>
          <w:color w:val="auto"/>
          <w:sz w:val="24"/>
        </w:rPr>
        <w:t>（十三）甲方或丙方认为乙方提供的法律服务不符合本合同约定的，则有权要求乙方在期限内完成整改。逾期整改或整改不符合甲方或丙方要求的，则甲方有权解除本合同，并要求退还已付但未按要求履行合同的剩余服务期的费用，因乙方原因造成损失的均由乙方承担，甲方或丙方将保留追究乙方责任的权利。</w:t>
      </w:r>
    </w:p>
    <w:p w14:paraId="6BB99E4B">
      <w:pPr>
        <w:pStyle w:val="13"/>
        <w:kinsoku w:val="0"/>
        <w:autoSpaceDE w:val="0"/>
        <w:autoSpaceDN w:val="0"/>
        <w:spacing w:line="360" w:lineRule="auto"/>
        <w:ind w:firstLine="422" w:firstLineChars="175"/>
        <w:rPr>
          <w:rFonts w:hAnsi="宋体" w:cs="宋体"/>
          <w:color w:val="auto"/>
          <w:sz w:val="24"/>
          <w:szCs w:val="24"/>
        </w:rPr>
      </w:pPr>
      <w:r>
        <w:rPr>
          <w:rFonts w:hint="eastAsia" w:hAnsi="宋体" w:cs="宋体"/>
          <w:b/>
          <w:bCs/>
          <w:color w:val="auto"/>
          <w:sz w:val="24"/>
          <w:szCs w:val="24"/>
        </w:rPr>
        <w:t>八、乙方的收款银行账户信息及甲方开票信息：</w:t>
      </w:r>
      <w:r>
        <w:rPr>
          <w:rFonts w:hint="eastAsia" w:hAnsi="宋体" w:cs="宋体"/>
          <w:color w:val="auto"/>
          <w:sz w:val="24"/>
          <w:szCs w:val="24"/>
        </w:rPr>
        <w:tab/>
      </w:r>
    </w:p>
    <w:p w14:paraId="044FA12B">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1、乙方收款信息如下：</w:t>
      </w:r>
    </w:p>
    <w:p w14:paraId="66AA5249">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 xml:space="preserve">户  名：      </w:t>
      </w:r>
    </w:p>
    <w:p w14:paraId="79C851B6">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 xml:space="preserve">账  号：      </w:t>
      </w:r>
    </w:p>
    <w:p w14:paraId="55F30C14">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 xml:space="preserve">开户行：   </w:t>
      </w:r>
    </w:p>
    <w:p w14:paraId="5CA4BBF3">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2、甲方开票信息如下：</w:t>
      </w:r>
    </w:p>
    <w:p w14:paraId="3FA8D638">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名称： 象州县司法局</w:t>
      </w:r>
    </w:p>
    <w:p w14:paraId="761E3781">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纳税人识别号：114513220077992140</w:t>
      </w:r>
    </w:p>
    <w:p w14:paraId="52188426">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开户银行：广西象州农村合作银行经营部</w:t>
      </w:r>
    </w:p>
    <w:p w14:paraId="1B8C35B9">
      <w:pPr>
        <w:pStyle w:val="13"/>
        <w:kinsoku w:val="0"/>
        <w:autoSpaceDE w:val="0"/>
        <w:autoSpaceDN w:val="0"/>
        <w:spacing w:line="360" w:lineRule="auto"/>
        <w:ind w:firstLine="420" w:firstLineChars="175"/>
        <w:rPr>
          <w:rFonts w:hAnsi="宋体" w:cs="宋体"/>
          <w:color w:val="auto"/>
          <w:sz w:val="24"/>
          <w:szCs w:val="24"/>
        </w:rPr>
      </w:pPr>
      <w:r>
        <w:rPr>
          <w:rFonts w:hint="eastAsia" w:hAnsi="宋体" w:cs="宋体"/>
          <w:color w:val="auto"/>
          <w:sz w:val="24"/>
          <w:szCs w:val="24"/>
        </w:rPr>
        <w:t>银行账户：2084 0120 4000 1416</w:t>
      </w:r>
    </w:p>
    <w:p w14:paraId="78AF213D">
      <w:pPr>
        <w:pStyle w:val="13"/>
        <w:kinsoku w:val="0"/>
        <w:autoSpaceDE w:val="0"/>
        <w:autoSpaceDN w:val="0"/>
        <w:spacing w:line="360" w:lineRule="auto"/>
        <w:ind w:firstLine="420" w:firstLineChars="175"/>
        <w:rPr>
          <w:rFonts w:hAnsi="宋体" w:cs="宋体"/>
          <w:color w:val="auto"/>
          <w:sz w:val="24"/>
          <w:szCs w:val="24"/>
        </w:rPr>
      </w:pPr>
    </w:p>
    <w:p w14:paraId="65DD896E">
      <w:pPr>
        <w:adjustRightInd w:val="0"/>
        <w:snapToGrid w:val="0"/>
        <w:spacing w:line="360" w:lineRule="auto"/>
        <w:ind w:firstLine="422" w:firstLineChars="175"/>
        <w:rPr>
          <w:rFonts w:ascii="宋体" w:hAnsi="宋体" w:cs="宋体"/>
          <w:b/>
          <w:bCs/>
          <w:color w:val="auto"/>
          <w:sz w:val="24"/>
        </w:rPr>
      </w:pPr>
      <w:r>
        <w:rPr>
          <w:rFonts w:hint="eastAsia" w:ascii="宋体" w:hAnsi="宋体" w:cs="宋体"/>
          <w:b/>
          <w:bCs/>
          <w:color w:val="auto"/>
          <w:sz w:val="24"/>
        </w:rPr>
        <w:t>九、三方联系及送达方式：</w:t>
      </w:r>
    </w:p>
    <w:p w14:paraId="684492FF">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甲方联系人：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，邮箱：</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象州县象州镇银象路尾  </w:t>
      </w:r>
      <w:r>
        <w:rPr>
          <w:rFonts w:hint="eastAsia" w:ascii="宋体" w:hAnsi="宋体" w:cs="宋体"/>
          <w:color w:val="auto"/>
          <w:sz w:val="24"/>
        </w:rPr>
        <w:t>。</w:t>
      </w:r>
    </w:p>
    <w:p w14:paraId="49BC10CD">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乙方联系人：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，邮箱：</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w:t>
      </w:r>
    </w:p>
    <w:p w14:paraId="5AF89863">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丙方联系人：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，邮箱：</w:t>
      </w:r>
      <w:r>
        <w:rPr>
          <w:rFonts w:hint="eastAsia" w:ascii="宋体" w:hAnsi="宋体" w:cs="宋体"/>
          <w:color w:val="auto"/>
          <w:sz w:val="24"/>
          <w:u w:val="single"/>
        </w:rPr>
        <w:t xml:space="preserve">          </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w:t>
      </w:r>
    </w:p>
    <w:p w14:paraId="4E05F262">
      <w:pPr>
        <w:adjustRightInd w:val="0"/>
        <w:snapToGrid w:val="0"/>
        <w:spacing w:line="360" w:lineRule="auto"/>
        <w:ind w:firstLine="420" w:firstLineChars="175"/>
        <w:rPr>
          <w:rFonts w:ascii="宋体" w:hAnsi="宋体" w:cs="宋体"/>
          <w:color w:val="auto"/>
          <w:sz w:val="24"/>
        </w:rPr>
      </w:pPr>
      <w:r>
        <w:rPr>
          <w:rFonts w:hint="eastAsia" w:ascii="宋体" w:hAnsi="宋体" w:cs="宋体"/>
          <w:color w:val="auto"/>
          <w:sz w:val="24"/>
        </w:rPr>
        <w:t>任何一方通过上述联系方式发出的通知一经发送均视为已送达。任意一方变更联系方式的，需提前五个工作日以书面形式以及电话联系方式通知对方，否则视为未变更。</w:t>
      </w:r>
    </w:p>
    <w:p w14:paraId="7A1B3E2A">
      <w:pPr>
        <w:adjustRightInd w:val="0"/>
        <w:snapToGrid w:val="0"/>
        <w:spacing w:line="360" w:lineRule="auto"/>
        <w:ind w:firstLine="422" w:firstLineChars="175"/>
        <w:rPr>
          <w:rFonts w:ascii="宋体" w:hAnsi="宋体" w:cs="宋体"/>
          <w:color w:val="auto"/>
          <w:sz w:val="24"/>
        </w:rPr>
      </w:pPr>
      <w:r>
        <w:rPr>
          <w:rFonts w:hint="eastAsia" w:ascii="宋体" w:hAnsi="宋体" w:cs="宋体"/>
          <w:b/>
          <w:bCs/>
          <w:color w:val="auto"/>
          <w:sz w:val="24"/>
        </w:rPr>
        <w:t>十、</w:t>
      </w:r>
      <w:r>
        <w:rPr>
          <w:rFonts w:hint="eastAsia" w:ascii="宋体" w:hAnsi="宋体" w:cs="宋体"/>
          <w:color w:val="auto"/>
          <w:sz w:val="24"/>
        </w:rPr>
        <w:t>本合同未尽事宜，经双方协商达成补充协议，补充协议与该协议具有同等法律效力。</w:t>
      </w:r>
    </w:p>
    <w:p w14:paraId="7442D82F">
      <w:pPr>
        <w:adjustRightInd w:val="0"/>
        <w:snapToGrid w:val="0"/>
        <w:spacing w:line="360" w:lineRule="auto"/>
        <w:ind w:firstLine="422" w:firstLineChars="175"/>
        <w:rPr>
          <w:rFonts w:ascii="宋体" w:hAnsi="宋体" w:cs="宋体"/>
          <w:color w:val="auto"/>
          <w:sz w:val="24"/>
        </w:rPr>
      </w:pPr>
      <w:r>
        <w:rPr>
          <w:rFonts w:hint="eastAsia" w:ascii="宋体" w:hAnsi="宋体" w:cs="宋体"/>
          <w:b/>
          <w:bCs/>
          <w:color w:val="auto"/>
          <w:sz w:val="24"/>
        </w:rPr>
        <w:t>十一、</w:t>
      </w:r>
      <w:r>
        <w:rPr>
          <w:rFonts w:hint="eastAsia" w:ascii="宋体" w:hAnsi="宋体" w:cs="宋体"/>
          <w:color w:val="auto"/>
          <w:sz w:val="24"/>
        </w:rPr>
        <w:t>本合同履行发生争议的，三方协商解决，如协商不成，任何一方均有权向象州县人民法院起诉。</w:t>
      </w:r>
    </w:p>
    <w:p w14:paraId="3F1854ED">
      <w:pPr>
        <w:adjustRightInd w:val="0"/>
        <w:snapToGrid w:val="0"/>
        <w:spacing w:line="360" w:lineRule="auto"/>
        <w:ind w:firstLine="422" w:firstLineChars="175"/>
        <w:rPr>
          <w:rFonts w:ascii="宋体" w:hAnsi="宋体" w:cs="宋体"/>
          <w:color w:val="auto"/>
          <w:sz w:val="24"/>
        </w:rPr>
      </w:pPr>
      <w:r>
        <w:rPr>
          <w:rFonts w:hint="eastAsia" w:ascii="宋体" w:hAnsi="宋体" w:cs="宋体"/>
          <w:b/>
          <w:bCs/>
          <w:color w:val="auto"/>
          <w:sz w:val="24"/>
        </w:rPr>
        <w:t>十二、</w:t>
      </w:r>
      <w:r>
        <w:rPr>
          <w:rFonts w:hint="eastAsia" w:ascii="宋体" w:hAnsi="宋体" w:cs="宋体"/>
          <w:color w:val="auto"/>
          <w:sz w:val="24"/>
        </w:rPr>
        <w:t>本合同</w:t>
      </w:r>
      <w:r>
        <w:rPr>
          <w:rFonts w:hint="eastAsia" w:ascii="宋体" w:hAnsi="宋体" w:cs="宋体"/>
          <w:color w:val="auto"/>
          <w:sz w:val="24"/>
          <w:u w:val="single"/>
        </w:rPr>
        <w:t xml:space="preserve"> 壹式 </w:t>
      </w:r>
      <w:r>
        <w:rPr>
          <w:rFonts w:hint="eastAsia" w:ascii="宋体" w:hAnsi="宋体" w:cs="宋体"/>
          <w:color w:val="auto"/>
          <w:sz w:val="24"/>
        </w:rPr>
        <w:t>肆 份，甲方执</w:t>
      </w:r>
      <w:r>
        <w:rPr>
          <w:rFonts w:hint="eastAsia" w:ascii="宋体" w:hAnsi="宋体" w:cs="宋体"/>
          <w:color w:val="auto"/>
          <w:sz w:val="24"/>
          <w:u w:val="single"/>
        </w:rPr>
        <w:t xml:space="preserve">  壹 </w:t>
      </w:r>
      <w:r>
        <w:rPr>
          <w:rFonts w:hint="eastAsia" w:ascii="宋体" w:hAnsi="宋体" w:cs="宋体"/>
          <w:color w:val="auto"/>
          <w:sz w:val="24"/>
        </w:rPr>
        <w:t xml:space="preserve">份，乙方执 </w:t>
      </w:r>
      <w:r>
        <w:rPr>
          <w:rFonts w:hint="eastAsia" w:ascii="宋体" w:hAnsi="宋体" w:cs="宋体"/>
          <w:color w:val="auto"/>
          <w:sz w:val="24"/>
          <w:u w:val="single"/>
        </w:rPr>
        <w:t xml:space="preserve"> 壹 </w:t>
      </w:r>
      <w:r>
        <w:rPr>
          <w:rFonts w:hint="eastAsia" w:ascii="宋体" w:hAnsi="宋体" w:cs="宋体"/>
          <w:color w:val="auto"/>
          <w:sz w:val="24"/>
        </w:rPr>
        <w:t>份，丙方执</w:t>
      </w:r>
      <w:r>
        <w:rPr>
          <w:rFonts w:hint="eastAsia" w:ascii="宋体" w:hAnsi="宋体" w:cs="宋体"/>
          <w:color w:val="auto"/>
          <w:sz w:val="24"/>
          <w:u w:val="single"/>
        </w:rPr>
        <w:t xml:space="preserve">  壹  </w:t>
      </w:r>
      <w:r>
        <w:rPr>
          <w:rFonts w:hint="eastAsia" w:ascii="宋体" w:hAnsi="宋体" w:cs="宋体"/>
          <w:color w:val="auto"/>
          <w:sz w:val="24"/>
        </w:rPr>
        <w:t>份，代理机构</w:t>
      </w:r>
      <w:r>
        <w:rPr>
          <w:rFonts w:hint="eastAsia" w:ascii="宋体" w:hAnsi="宋体" w:cs="宋体"/>
          <w:color w:val="auto"/>
          <w:sz w:val="24"/>
          <w:u w:val="single"/>
        </w:rPr>
        <w:t xml:space="preserve">  壹 </w:t>
      </w:r>
      <w:r>
        <w:rPr>
          <w:rFonts w:hint="eastAsia" w:ascii="宋体" w:hAnsi="宋体" w:cs="宋体"/>
          <w:color w:val="auto"/>
          <w:sz w:val="24"/>
        </w:rPr>
        <w:t>份。均具有同等法律效力。</w:t>
      </w:r>
    </w:p>
    <w:p w14:paraId="505B5006">
      <w:pPr>
        <w:spacing w:line="360" w:lineRule="auto"/>
        <w:ind w:firstLine="422" w:firstLineChars="175"/>
        <w:rPr>
          <w:rFonts w:ascii="宋体" w:hAnsi="宋体" w:cs="宋体"/>
          <w:color w:val="auto"/>
          <w:sz w:val="24"/>
        </w:rPr>
      </w:pPr>
      <w:r>
        <w:rPr>
          <w:rFonts w:hint="eastAsia" w:ascii="宋体" w:hAnsi="宋体" w:cs="宋体"/>
          <w:b/>
          <w:bCs/>
          <w:color w:val="auto"/>
          <w:sz w:val="24"/>
        </w:rPr>
        <w:t>十三、</w:t>
      </w:r>
      <w:r>
        <w:rPr>
          <w:rFonts w:hint="eastAsia" w:ascii="宋体" w:hAnsi="宋体" w:cs="宋体"/>
          <w:color w:val="auto"/>
          <w:sz w:val="24"/>
        </w:rPr>
        <w:t>本合同自双方法定代表人或授权代表签字盖章之日起生效。</w:t>
      </w:r>
    </w:p>
    <w:p w14:paraId="67224048">
      <w:pPr>
        <w:spacing w:line="360" w:lineRule="auto"/>
        <w:ind w:firstLine="422" w:firstLineChars="175"/>
        <w:rPr>
          <w:rFonts w:ascii="宋体" w:hAnsi="宋体" w:cs="宋体"/>
          <w:b/>
          <w:bCs/>
          <w:color w:val="auto"/>
          <w:sz w:val="24"/>
        </w:rPr>
      </w:pPr>
      <w:r>
        <w:rPr>
          <w:rFonts w:hint="eastAsia" w:ascii="宋体" w:hAnsi="宋体" w:cs="宋体"/>
          <w:b/>
          <w:bCs/>
          <w:color w:val="auto"/>
          <w:sz w:val="24"/>
        </w:rPr>
        <w:t>十四、本合同附件：</w:t>
      </w:r>
    </w:p>
    <w:p w14:paraId="471597BC">
      <w:pPr>
        <w:spacing w:line="360" w:lineRule="auto"/>
        <w:ind w:firstLine="420" w:firstLineChars="175"/>
        <w:rPr>
          <w:rFonts w:ascii="宋体" w:hAnsi="宋体" w:cs="宋体"/>
          <w:color w:val="auto"/>
          <w:sz w:val="24"/>
        </w:rPr>
      </w:pPr>
      <w:r>
        <w:rPr>
          <w:rFonts w:hint="eastAsia" w:ascii="宋体" w:hAnsi="宋体" w:cs="宋体"/>
          <w:color w:val="auto"/>
          <w:sz w:val="24"/>
        </w:rPr>
        <w:t>附件1-甲方的开票资料</w:t>
      </w:r>
    </w:p>
    <w:p w14:paraId="3A628C07">
      <w:pPr>
        <w:spacing w:line="360" w:lineRule="auto"/>
        <w:ind w:firstLine="420" w:firstLineChars="175"/>
        <w:rPr>
          <w:rFonts w:ascii="宋体" w:hAnsi="宋体" w:cs="宋体"/>
          <w:color w:val="auto"/>
          <w:sz w:val="24"/>
        </w:rPr>
      </w:pPr>
      <w:r>
        <w:rPr>
          <w:rFonts w:hint="eastAsia" w:ascii="宋体" w:hAnsi="宋体" w:cs="宋体"/>
          <w:color w:val="auto"/>
          <w:sz w:val="24"/>
        </w:rPr>
        <w:t>附件2-乙方执业许可证复印件</w:t>
      </w:r>
    </w:p>
    <w:p w14:paraId="397F5B7C">
      <w:pPr>
        <w:pStyle w:val="13"/>
        <w:spacing w:line="360" w:lineRule="auto"/>
        <w:ind w:firstLine="420" w:firstLineChars="175"/>
        <w:rPr>
          <w:rFonts w:hAnsi="宋体" w:cs="宋体"/>
          <w:color w:val="auto"/>
          <w:sz w:val="24"/>
          <w:szCs w:val="24"/>
        </w:rPr>
      </w:pPr>
      <w:r>
        <w:rPr>
          <w:rFonts w:hint="eastAsia" w:hAnsi="宋体" w:cs="宋体"/>
          <w:color w:val="auto"/>
          <w:sz w:val="24"/>
          <w:szCs w:val="24"/>
        </w:rPr>
        <w:t xml:space="preserve">附件3-乙方收款银行开户许可证     </w:t>
      </w:r>
    </w:p>
    <w:p w14:paraId="79E5D978">
      <w:pPr>
        <w:pStyle w:val="13"/>
        <w:spacing w:line="360" w:lineRule="auto"/>
        <w:rPr>
          <w:rFonts w:hAnsi="宋体" w:cs="宋体"/>
          <w:b/>
          <w:bCs/>
          <w:color w:val="auto"/>
          <w:sz w:val="24"/>
          <w:szCs w:val="24"/>
        </w:rPr>
      </w:pPr>
      <w:r>
        <w:rPr>
          <w:rFonts w:hint="eastAsia" w:hAnsi="宋体" w:cs="宋体"/>
          <w:color w:val="auto"/>
          <w:sz w:val="24"/>
          <w:szCs w:val="24"/>
        </w:rPr>
        <w:t xml:space="preserve">   </w:t>
      </w:r>
    </w:p>
    <w:p w14:paraId="1F46CD53">
      <w:pPr>
        <w:pStyle w:val="13"/>
        <w:spacing w:line="360" w:lineRule="auto"/>
        <w:ind w:firstLine="843" w:firstLineChars="350"/>
        <w:rPr>
          <w:rFonts w:hAnsi="宋体" w:cs="宋体"/>
          <w:color w:val="auto"/>
          <w:sz w:val="24"/>
          <w:szCs w:val="24"/>
        </w:rPr>
      </w:pPr>
      <w:r>
        <w:rPr>
          <w:rFonts w:hint="eastAsia" w:hAnsi="宋体" w:cs="宋体"/>
          <w:b/>
          <w:bCs/>
          <w:color w:val="auto"/>
          <w:sz w:val="24"/>
          <w:szCs w:val="24"/>
        </w:rPr>
        <w:t>甲  方：</w:t>
      </w:r>
      <w:r>
        <w:rPr>
          <w:rFonts w:hint="eastAsia" w:hAnsi="宋体" w:cs="宋体"/>
          <w:color w:val="auto"/>
          <w:sz w:val="24"/>
          <w:szCs w:val="24"/>
        </w:rPr>
        <w:t xml:space="preserve">                 </w:t>
      </w:r>
    </w:p>
    <w:p w14:paraId="5ABF07BF">
      <w:pPr>
        <w:pStyle w:val="13"/>
        <w:spacing w:line="360" w:lineRule="auto"/>
        <w:ind w:firstLine="840" w:firstLineChars="350"/>
        <w:rPr>
          <w:rFonts w:hAnsi="宋体" w:cs="宋体"/>
          <w:color w:val="auto"/>
          <w:sz w:val="24"/>
          <w:szCs w:val="24"/>
        </w:rPr>
      </w:pPr>
      <w:r>
        <w:rPr>
          <w:rFonts w:hint="eastAsia" w:hAnsi="宋体" w:cs="宋体"/>
          <w:color w:val="auto"/>
          <w:sz w:val="24"/>
          <w:szCs w:val="24"/>
        </w:rPr>
        <w:t xml:space="preserve">法定代表人：                                年  月  日  </w:t>
      </w:r>
    </w:p>
    <w:p w14:paraId="4A15F209">
      <w:pPr>
        <w:pStyle w:val="13"/>
        <w:spacing w:line="360" w:lineRule="auto"/>
        <w:ind w:firstLine="840" w:firstLineChars="350"/>
        <w:rPr>
          <w:rFonts w:hAnsi="宋体" w:cs="宋体"/>
          <w:color w:val="auto"/>
          <w:sz w:val="24"/>
          <w:szCs w:val="24"/>
        </w:rPr>
      </w:pPr>
    </w:p>
    <w:p w14:paraId="6D37C28E">
      <w:pPr>
        <w:pStyle w:val="13"/>
        <w:spacing w:line="360" w:lineRule="auto"/>
        <w:ind w:firstLine="843" w:firstLineChars="350"/>
        <w:rPr>
          <w:rFonts w:hAnsi="宋体" w:cs="宋体"/>
          <w:b/>
          <w:bCs/>
          <w:color w:val="auto"/>
          <w:sz w:val="24"/>
          <w:szCs w:val="24"/>
        </w:rPr>
      </w:pPr>
      <w:r>
        <w:rPr>
          <w:rFonts w:hint="eastAsia" w:hAnsi="宋体" w:cs="宋体"/>
          <w:b/>
          <w:bCs/>
          <w:color w:val="auto"/>
          <w:sz w:val="24"/>
          <w:szCs w:val="24"/>
        </w:rPr>
        <w:t>乙  方：</w:t>
      </w:r>
    </w:p>
    <w:p w14:paraId="04C28A56">
      <w:pPr>
        <w:pStyle w:val="13"/>
        <w:spacing w:line="360" w:lineRule="auto"/>
        <w:ind w:firstLine="840" w:firstLineChars="350"/>
        <w:rPr>
          <w:rFonts w:hAnsi="宋体" w:cs="宋体"/>
          <w:color w:val="auto"/>
          <w:sz w:val="24"/>
          <w:szCs w:val="24"/>
        </w:rPr>
      </w:pPr>
      <w:r>
        <w:rPr>
          <w:rFonts w:hint="eastAsia" w:hAnsi="宋体" w:cs="宋体"/>
          <w:color w:val="auto"/>
          <w:sz w:val="24"/>
          <w:szCs w:val="24"/>
        </w:rPr>
        <w:t xml:space="preserve">负责人：                                    年  月  日 </w:t>
      </w:r>
    </w:p>
    <w:p w14:paraId="251FC608">
      <w:pPr>
        <w:pStyle w:val="13"/>
        <w:spacing w:line="360" w:lineRule="auto"/>
        <w:ind w:firstLine="843" w:firstLineChars="350"/>
        <w:rPr>
          <w:rFonts w:hAnsi="宋体" w:cs="宋体"/>
          <w:b/>
          <w:bCs/>
          <w:color w:val="auto"/>
          <w:sz w:val="24"/>
          <w:szCs w:val="24"/>
        </w:rPr>
      </w:pPr>
    </w:p>
    <w:p w14:paraId="6045E5DB">
      <w:pPr>
        <w:pStyle w:val="13"/>
        <w:spacing w:line="360" w:lineRule="auto"/>
        <w:ind w:firstLine="843" w:firstLineChars="350"/>
        <w:rPr>
          <w:rFonts w:hAnsi="宋体" w:cs="宋体"/>
          <w:color w:val="auto"/>
          <w:sz w:val="24"/>
          <w:szCs w:val="24"/>
        </w:rPr>
      </w:pPr>
      <w:r>
        <w:rPr>
          <w:rFonts w:hint="eastAsia" w:hAnsi="宋体" w:cs="宋体"/>
          <w:b/>
          <w:bCs/>
          <w:color w:val="auto"/>
          <w:sz w:val="24"/>
          <w:szCs w:val="24"/>
        </w:rPr>
        <w:t>丙  方：</w:t>
      </w:r>
      <w:r>
        <w:rPr>
          <w:rFonts w:hint="eastAsia" w:hAnsi="宋体" w:cs="宋体"/>
          <w:color w:val="auto"/>
          <w:sz w:val="24"/>
          <w:szCs w:val="24"/>
        </w:rPr>
        <w:t xml:space="preserve">                 </w:t>
      </w:r>
    </w:p>
    <w:p w14:paraId="3D0AA869">
      <w:pPr>
        <w:snapToGrid w:val="0"/>
        <w:spacing w:line="360" w:lineRule="exact"/>
        <w:ind w:firstLine="840" w:firstLineChars="350"/>
        <w:rPr>
          <w:rFonts w:ascii="宋体" w:hAnsi="宋体" w:cs="宋体"/>
          <w:b/>
          <w:color w:val="auto"/>
          <w:sz w:val="32"/>
          <w:szCs w:val="32"/>
        </w:rPr>
      </w:pPr>
      <w:r>
        <w:rPr>
          <w:rFonts w:hint="eastAsia" w:ascii="宋体" w:hAnsi="宋体" w:cs="宋体"/>
          <w:color w:val="auto"/>
          <w:sz w:val="24"/>
        </w:rPr>
        <w:t>法定代表人：                                年  月  日</w:t>
      </w:r>
    </w:p>
    <w:p w14:paraId="200AA374">
      <w:pPr>
        <w:pStyle w:val="7"/>
        <w:rPr>
          <w:color w:val="auto"/>
        </w:rPr>
      </w:pPr>
    </w:p>
    <w:p w14:paraId="4E3E11AE">
      <w:pPr>
        <w:tabs>
          <w:tab w:val="center" w:pos="4410"/>
          <w:tab w:val="left" w:pos="6735"/>
        </w:tabs>
        <w:spacing w:line="480" w:lineRule="auto"/>
        <w:jc w:val="center"/>
        <w:outlineLvl w:val="0"/>
        <w:rPr>
          <w:rFonts w:ascii="宋体" w:hAnsi="宋体" w:cs="宋体"/>
          <w:b/>
          <w:bCs/>
          <w:color w:val="auto"/>
          <w:kern w:val="44"/>
          <w:sz w:val="44"/>
          <w:szCs w:val="44"/>
        </w:rPr>
      </w:pPr>
      <w:bookmarkStart w:id="287" w:name="_Toc26748"/>
      <w:bookmarkStart w:id="288" w:name="_Toc27895"/>
      <w:bookmarkStart w:id="289" w:name="_Toc15534"/>
      <w:bookmarkStart w:id="290" w:name="_Toc5254"/>
      <w:bookmarkStart w:id="291" w:name="_Toc5657"/>
      <w:bookmarkStart w:id="292" w:name="_Toc24591"/>
      <w:bookmarkStart w:id="293" w:name="_Toc10840"/>
      <w:bookmarkStart w:id="294" w:name="_Toc14516"/>
      <w:bookmarkStart w:id="295" w:name="_Toc2846"/>
      <w:bookmarkStart w:id="296" w:name="_Toc28190"/>
      <w:bookmarkStart w:id="297" w:name="_Toc7614"/>
      <w:bookmarkStart w:id="298" w:name="_Toc21183"/>
      <w:bookmarkStart w:id="299" w:name="_Toc15080"/>
      <w:bookmarkStart w:id="300" w:name="_Toc23566"/>
      <w:bookmarkStart w:id="301" w:name="_Toc811"/>
      <w:bookmarkStart w:id="302" w:name="_Toc7188"/>
      <w:bookmarkStart w:id="303" w:name="_Toc24771"/>
      <w:bookmarkStart w:id="304" w:name="_Toc26303"/>
      <w:bookmarkStart w:id="305" w:name="_Toc19512"/>
      <w:bookmarkStart w:id="306" w:name="_Toc21752"/>
      <w:bookmarkStart w:id="307" w:name="_Toc14332"/>
      <w:bookmarkStart w:id="308" w:name="_Toc452364072"/>
      <w:r>
        <w:rPr>
          <w:rFonts w:hint="eastAsia" w:ascii="宋体" w:hAnsi="宋体" w:cs="宋体"/>
          <w:b/>
          <w:bCs/>
          <w:color w:val="auto"/>
          <w:kern w:val="44"/>
          <w:sz w:val="32"/>
          <w:szCs w:val="32"/>
        </w:rPr>
        <w:br w:type="page"/>
      </w:r>
      <w:bookmarkStart w:id="309" w:name="_Toc6464"/>
      <w:r>
        <w:rPr>
          <w:rFonts w:hint="eastAsia" w:ascii="宋体" w:hAnsi="宋体" w:cs="宋体"/>
          <w:b/>
          <w:bCs/>
          <w:color w:val="auto"/>
          <w:kern w:val="44"/>
          <w:sz w:val="32"/>
          <w:szCs w:val="32"/>
        </w:rPr>
        <w:t>第六章  响应文件（格式）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9"/>
    </w:p>
    <w:bookmarkEnd w:id="308"/>
    <w:p w14:paraId="76F2ECEB">
      <w:pPr>
        <w:snapToGrid w:val="0"/>
        <w:spacing w:beforeLines="50" w:after="50" w:line="280" w:lineRule="exact"/>
        <w:ind w:firstLine="9" w:firstLineChars="3"/>
        <w:jc w:val="center"/>
        <w:rPr>
          <w:rFonts w:ascii="宋体" w:hAnsi="宋体" w:cs="宋体"/>
          <w:bCs/>
          <w:color w:val="auto"/>
          <w:sz w:val="32"/>
          <w:szCs w:val="32"/>
        </w:rPr>
      </w:pPr>
    </w:p>
    <w:p w14:paraId="2AB87E75">
      <w:pPr>
        <w:pStyle w:val="5"/>
        <w:spacing w:line="360" w:lineRule="auto"/>
        <w:jc w:val="center"/>
        <w:rPr>
          <w:rFonts w:hint="default" w:cs="宋体"/>
          <w:bCs w:val="0"/>
          <w:color w:val="auto"/>
        </w:rPr>
      </w:pPr>
      <w:bookmarkStart w:id="310" w:name="_Toc20750"/>
      <w:bookmarkStart w:id="311" w:name="_Toc8627"/>
      <w:bookmarkStart w:id="312" w:name="_Toc20529"/>
      <w:bookmarkStart w:id="313" w:name="_Toc24873"/>
      <w:bookmarkStart w:id="314" w:name="_Toc2304"/>
      <w:bookmarkStart w:id="315" w:name="_Toc80886942"/>
      <w:bookmarkStart w:id="316" w:name="_Toc8874"/>
      <w:bookmarkStart w:id="317" w:name="_Toc17937"/>
      <w:bookmarkStart w:id="318" w:name="_Toc4370"/>
      <w:bookmarkStart w:id="319" w:name="_Toc4567"/>
      <w:bookmarkStart w:id="320" w:name="_Toc22510"/>
      <w:bookmarkStart w:id="321" w:name="_Toc15"/>
      <w:bookmarkStart w:id="322" w:name="_Toc24961"/>
      <w:bookmarkStart w:id="323" w:name="_Toc5226"/>
      <w:bookmarkStart w:id="324" w:name="_Toc80205938"/>
      <w:bookmarkStart w:id="325" w:name="_Toc24333"/>
      <w:bookmarkStart w:id="326" w:name="_Toc21626"/>
      <w:bookmarkStart w:id="327" w:name="_Toc16247"/>
      <w:bookmarkStart w:id="328" w:name="_Toc13651"/>
      <w:bookmarkStart w:id="329" w:name="_Toc12259"/>
      <w:bookmarkStart w:id="330" w:name="_Toc13864"/>
      <w:bookmarkStart w:id="331" w:name="_Toc27816"/>
      <w:r>
        <w:rPr>
          <w:rFonts w:cs="宋体"/>
          <w:bCs w:val="0"/>
          <w:color w:val="auto"/>
        </w:rPr>
        <w:t>封面格式</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BD60EBC">
      <w:pPr>
        <w:snapToGrid w:val="0"/>
        <w:spacing w:beforeLines="50" w:after="50" w:line="360" w:lineRule="auto"/>
        <w:rPr>
          <w:rFonts w:ascii="宋体" w:hAnsi="宋体" w:cs="宋体"/>
          <w:color w:val="auto"/>
          <w:szCs w:val="21"/>
        </w:rPr>
      </w:pPr>
    </w:p>
    <w:p w14:paraId="5484FC2E">
      <w:pPr>
        <w:snapToGrid w:val="0"/>
        <w:spacing w:beforeLines="50" w:after="50" w:line="360" w:lineRule="auto"/>
        <w:jc w:val="center"/>
        <w:rPr>
          <w:rFonts w:ascii="宋体" w:hAnsi="宋体" w:cs="宋体"/>
          <w:bCs/>
          <w:color w:val="auto"/>
          <w:szCs w:val="21"/>
        </w:rPr>
      </w:pPr>
    </w:p>
    <w:p w14:paraId="2CC54F5E">
      <w:pPr>
        <w:snapToGrid w:val="0"/>
        <w:spacing w:beforeLines="50" w:after="50" w:line="360" w:lineRule="auto"/>
        <w:jc w:val="center"/>
        <w:rPr>
          <w:rFonts w:ascii="宋体" w:hAnsi="宋体" w:cs="宋体"/>
          <w:b/>
          <w:color w:val="auto"/>
          <w:sz w:val="44"/>
          <w:szCs w:val="44"/>
        </w:rPr>
      </w:pPr>
      <w:r>
        <w:rPr>
          <w:rFonts w:hint="eastAsia" w:ascii="宋体" w:hAnsi="宋体" w:cs="宋体"/>
          <w:b/>
          <w:color w:val="auto"/>
          <w:sz w:val="44"/>
          <w:szCs w:val="44"/>
        </w:rPr>
        <w:t>响  应  文  件</w:t>
      </w:r>
    </w:p>
    <w:p w14:paraId="0712B4ED">
      <w:pPr>
        <w:snapToGrid w:val="0"/>
        <w:spacing w:beforeLines="50" w:after="50" w:line="360" w:lineRule="auto"/>
        <w:rPr>
          <w:rFonts w:ascii="宋体" w:hAnsi="宋体" w:cs="宋体"/>
          <w:bCs/>
          <w:color w:val="auto"/>
          <w:szCs w:val="21"/>
        </w:rPr>
      </w:pPr>
    </w:p>
    <w:p w14:paraId="49D5A141">
      <w:pPr>
        <w:snapToGrid w:val="0"/>
        <w:spacing w:beforeLines="50" w:after="50" w:line="360" w:lineRule="auto"/>
        <w:rPr>
          <w:rFonts w:ascii="宋体" w:hAnsi="宋体" w:cs="宋体"/>
          <w:bCs/>
          <w:color w:val="auto"/>
          <w:szCs w:val="21"/>
        </w:rPr>
      </w:pPr>
    </w:p>
    <w:p w14:paraId="6163DD52">
      <w:pPr>
        <w:snapToGrid w:val="0"/>
        <w:spacing w:beforeLines="50" w:after="50" w:line="360" w:lineRule="auto"/>
        <w:rPr>
          <w:rFonts w:ascii="宋体" w:hAnsi="宋体" w:cs="宋体"/>
          <w:bCs/>
          <w:color w:val="auto"/>
          <w:szCs w:val="21"/>
        </w:rPr>
      </w:pPr>
    </w:p>
    <w:p w14:paraId="26B0F0AF">
      <w:pPr>
        <w:snapToGrid w:val="0"/>
        <w:spacing w:beforeLines="50" w:after="50" w:line="480" w:lineRule="auto"/>
        <w:ind w:firstLine="560" w:firstLineChars="200"/>
        <w:rPr>
          <w:rFonts w:ascii="宋体" w:hAnsi="宋体" w:cs="宋体"/>
          <w:bCs/>
          <w:color w:val="auto"/>
          <w:sz w:val="28"/>
          <w:szCs w:val="28"/>
        </w:rPr>
      </w:pPr>
      <w:r>
        <w:rPr>
          <w:rFonts w:hint="eastAsia" w:ascii="宋体" w:hAnsi="宋体" w:cs="宋体"/>
          <w:bCs/>
          <w:color w:val="auto"/>
          <w:sz w:val="28"/>
          <w:szCs w:val="28"/>
        </w:rPr>
        <w:t>项目名称：</w:t>
      </w:r>
    </w:p>
    <w:p w14:paraId="46EC3FAD">
      <w:pPr>
        <w:snapToGrid w:val="0"/>
        <w:spacing w:beforeLines="50" w:after="50" w:line="480" w:lineRule="auto"/>
        <w:ind w:firstLine="560" w:firstLineChars="200"/>
        <w:rPr>
          <w:rFonts w:ascii="宋体" w:hAnsi="宋体" w:cs="宋体"/>
          <w:bCs/>
          <w:color w:val="auto"/>
          <w:sz w:val="28"/>
          <w:szCs w:val="28"/>
        </w:rPr>
      </w:pPr>
      <w:r>
        <w:rPr>
          <w:rFonts w:hint="eastAsia" w:ascii="宋体" w:hAnsi="宋体" w:cs="宋体"/>
          <w:bCs/>
          <w:color w:val="auto"/>
          <w:sz w:val="28"/>
          <w:szCs w:val="28"/>
        </w:rPr>
        <w:t>项目编号：</w:t>
      </w:r>
    </w:p>
    <w:p w14:paraId="1A3AE3A7">
      <w:pPr>
        <w:snapToGrid w:val="0"/>
        <w:spacing w:beforeLines="50" w:after="50" w:line="480" w:lineRule="auto"/>
        <w:ind w:firstLine="560" w:firstLineChars="200"/>
        <w:rPr>
          <w:rFonts w:ascii="宋体" w:hAnsi="宋体" w:cs="宋体"/>
          <w:bCs/>
          <w:color w:val="auto"/>
          <w:sz w:val="28"/>
          <w:szCs w:val="28"/>
        </w:rPr>
      </w:pPr>
      <w:r>
        <w:rPr>
          <w:rFonts w:hint="eastAsia" w:ascii="宋体" w:hAnsi="宋体" w:cs="宋体"/>
          <w:bCs/>
          <w:color w:val="auto"/>
          <w:sz w:val="28"/>
          <w:szCs w:val="28"/>
        </w:rPr>
        <w:t>所竞分标（如有则填写，无分标时填写“无”或者留空）：</w:t>
      </w:r>
    </w:p>
    <w:p w14:paraId="455A22F9">
      <w:pPr>
        <w:snapToGrid w:val="0"/>
        <w:spacing w:beforeLines="50" w:after="50" w:line="480" w:lineRule="auto"/>
        <w:ind w:firstLine="560" w:firstLineChars="200"/>
        <w:rPr>
          <w:rFonts w:ascii="宋体" w:hAnsi="宋体" w:cs="宋体"/>
          <w:bCs/>
          <w:color w:val="auto"/>
          <w:sz w:val="28"/>
          <w:szCs w:val="28"/>
        </w:rPr>
      </w:pPr>
      <w:r>
        <w:rPr>
          <w:rFonts w:hint="eastAsia" w:ascii="宋体" w:hAnsi="宋体" w:cs="宋体"/>
          <w:bCs/>
          <w:color w:val="auto"/>
          <w:sz w:val="28"/>
          <w:szCs w:val="28"/>
        </w:rPr>
        <w:t>供应商名称：</w:t>
      </w:r>
    </w:p>
    <w:p w14:paraId="205ED6CC">
      <w:pPr>
        <w:snapToGrid w:val="0"/>
        <w:spacing w:beforeLines="50" w:after="50" w:line="480" w:lineRule="auto"/>
        <w:rPr>
          <w:rFonts w:ascii="宋体" w:hAnsi="宋体" w:cs="宋体"/>
          <w:bCs/>
          <w:color w:val="auto"/>
          <w:sz w:val="28"/>
          <w:szCs w:val="28"/>
        </w:rPr>
      </w:pPr>
    </w:p>
    <w:p w14:paraId="259F179D">
      <w:pPr>
        <w:snapToGrid w:val="0"/>
        <w:spacing w:beforeLines="50" w:after="50" w:line="480" w:lineRule="auto"/>
        <w:jc w:val="center"/>
        <w:rPr>
          <w:rFonts w:ascii="宋体" w:hAnsi="宋体" w:cs="宋体"/>
          <w:bCs/>
          <w:color w:val="auto"/>
          <w:sz w:val="28"/>
          <w:szCs w:val="28"/>
        </w:rPr>
      </w:pPr>
      <w:r>
        <w:rPr>
          <w:rFonts w:hint="eastAsia" w:ascii="宋体" w:hAnsi="宋体" w:cs="宋体"/>
          <w:bCs/>
          <w:color w:val="auto"/>
          <w:sz w:val="28"/>
          <w:szCs w:val="28"/>
        </w:rPr>
        <w:t>首次响应文件提交截止时间前不得解密</w:t>
      </w:r>
    </w:p>
    <w:p w14:paraId="04605245">
      <w:pPr>
        <w:snapToGrid w:val="0"/>
        <w:spacing w:beforeLines="50" w:after="50" w:line="360" w:lineRule="auto"/>
        <w:ind w:firstLine="4760" w:firstLineChars="1700"/>
        <w:jc w:val="center"/>
        <w:rPr>
          <w:rFonts w:ascii="宋体" w:hAnsi="宋体" w:cs="宋体"/>
          <w:bCs/>
          <w:color w:val="auto"/>
          <w:sz w:val="28"/>
          <w:szCs w:val="28"/>
        </w:rPr>
      </w:pPr>
    </w:p>
    <w:p w14:paraId="0128C7E4">
      <w:pPr>
        <w:snapToGrid w:val="0"/>
        <w:spacing w:beforeLines="50" w:after="50" w:line="360" w:lineRule="auto"/>
        <w:ind w:firstLine="645"/>
        <w:jc w:val="center"/>
        <w:rPr>
          <w:rFonts w:ascii="宋体" w:hAnsi="宋体" w:cs="宋体"/>
          <w:bCs/>
          <w:color w:val="auto"/>
          <w:sz w:val="28"/>
          <w:szCs w:val="28"/>
        </w:rPr>
      </w:pPr>
      <w:r>
        <w:rPr>
          <w:rFonts w:hint="eastAsia" w:ascii="宋体" w:hAnsi="宋体" w:cs="宋体"/>
          <w:bCs/>
          <w:color w:val="auto"/>
          <w:sz w:val="28"/>
          <w:szCs w:val="28"/>
        </w:rPr>
        <w:t>年    月    日</w:t>
      </w:r>
    </w:p>
    <w:p w14:paraId="2DED59B4">
      <w:pPr>
        <w:spacing w:line="360" w:lineRule="auto"/>
        <w:rPr>
          <w:rFonts w:ascii="宋体" w:hAnsi="宋体" w:cs="宋体"/>
          <w:color w:val="auto"/>
          <w:szCs w:val="21"/>
        </w:rPr>
        <w:sectPr>
          <w:footerReference r:id="rId6" w:type="default"/>
          <w:pgSz w:w="11910" w:h="16840"/>
          <w:pgMar w:top="1440" w:right="1080" w:bottom="1440" w:left="1080" w:header="720" w:footer="720" w:gutter="0"/>
          <w:cols w:space="720" w:num="1"/>
        </w:sectPr>
      </w:pPr>
    </w:p>
    <w:p w14:paraId="701A5A52">
      <w:pPr>
        <w:pStyle w:val="5"/>
        <w:spacing w:line="360" w:lineRule="auto"/>
        <w:jc w:val="center"/>
        <w:rPr>
          <w:rFonts w:hint="default" w:cs="宋体"/>
          <w:bCs w:val="0"/>
          <w:color w:val="auto"/>
        </w:rPr>
      </w:pPr>
      <w:bookmarkStart w:id="332" w:name="_Toc17204"/>
      <w:bookmarkStart w:id="333" w:name="_Toc6102"/>
      <w:bookmarkStart w:id="334" w:name="_Toc24677"/>
      <w:bookmarkStart w:id="335" w:name="_Toc15366"/>
      <w:bookmarkStart w:id="336" w:name="_Toc7726"/>
      <w:bookmarkStart w:id="337" w:name="_Toc26659"/>
      <w:bookmarkStart w:id="338" w:name="_Toc15995"/>
      <w:bookmarkStart w:id="339" w:name="_Toc7550"/>
      <w:bookmarkStart w:id="340" w:name="_Toc27423"/>
      <w:bookmarkStart w:id="341" w:name="_Toc32493"/>
      <w:bookmarkStart w:id="342" w:name="_Toc80205939"/>
      <w:bookmarkStart w:id="343" w:name="_Toc80886943"/>
      <w:bookmarkStart w:id="344" w:name="_Toc13074"/>
      <w:bookmarkStart w:id="345" w:name="_Toc24713"/>
      <w:bookmarkStart w:id="346" w:name="_Toc15265"/>
      <w:bookmarkStart w:id="347" w:name="_Toc18040"/>
      <w:bookmarkStart w:id="348" w:name="_Toc16404"/>
      <w:bookmarkStart w:id="349" w:name="_Toc1434"/>
      <w:bookmarkStart w:id="350" w:name="_Toc14122"/>
      <w:bookmarkStart w:id="351" w:name="_Toc28987"/>
      <w:bookmarkStart w:id="352" w:name="_Toc22544"/>
      <w:bookmarkStart w:id="353" w:name="_Toc16398"/>
      <w:r>
        <w:rPr>
          <w:rFonts w:cs="宋体"/>
          <w:bCs w:val="0"/>
          <w:color w:val="auto"/>
        </w:rPr>
        <w:t>第一节 资格证明文件格式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7901359">
      <w:pPr>
        <w:snapToGrid w:val="0"/>
        <w:spacing w:beforeLines="50" w:after="50" w:line="360" w:lineRule="auto"/>
        <w:rPr>
          <w:rFonts w:ascii="宋体" w:hAnsi="宋体" w:cs="宋体"/>
          <w:bCs/>
          <w:color w:val="auto"/>
          <w:szCs w:val="21"/>
        </w:rPr>
      </w:pPr>
      <w:r>
        <w:rPr>
          <w:rFonts w:hint="eastAsia" w:ascii="宋体" w:hAnsi="宋体" w:cs="宋体"/>
          <w:color w:val="auto"/>
          <w:szCs w:val="21"/>
        </w:rPr>
        <w:t xml:space="preserve">                                           </w:t>
      </w:r>
      <w:r>
        <w:rPr>
          <w:rFonts w:hint="eastAsia" w:ascii="宋体" w:hAnsi="宋体" w:cs="宋体"/>
          <w:bCs/>
          <w:color w:val="auto"/>
          <w:szCs w:val="21"/>
        </w:rPr>
        <w:t>全流程电子文件</w:t>
      </w:r>
    </w:p>
    <w:p w14:paraId="2CDFBC42">
      <w:pPr>
        <w:snapToGrid w:val="0"/>
        <w:spacing w:beforeLines="50" w:after="50" w:line="360" w:lineRule="auto"/>
        <w:rPr>
          <w:rFonts w:ascii="宋体" w:hAnsi="宋体" w:cs="宋体"/>
          <w:color w:val="auto"/>
          <w:szCs w:val="21"/>
        </w:rPr>
      </w:pPr>
    </w:p>
    <w:p w14:paraId="39617089">
      <w:pPr>
        <w:snapToGrid w:val="0"/>
        <w:spacing w:beforeLines="50" w:after="50" w:line="360" w:lineRule="auto"/>
        <w:rPr>
          <w:rFonts w:ascii="宋体" w:hAnsi="宋体" w:cs="宋体"/>
          <w:color w:val="auto"/>
          <w:szCs w:val="21"/>
        </w:rPr>
      </w:pPr>
    </w:p>
    <w:p w14:paraId="1279E952">
      <w:pPr>
        <w:snapToGrid w:val="0"/>
        <w:spacing w:beforeLines="50" w:after="50" w:line="360" w:lineRule="auto"/>
        <w:jc w:val="center"/>
        <w:rPr>
          <w:rFonts w:ascii="宋体" w:hAnsi="宋体" w:cs="宋体"/>
          <w:b/>
          <w:color w:val="auto"/>
          <w:sz w:val="40"/>
          <w:szCs w:val="40"/>
        </w:rPr>
      </w:pPr>
      <w:r>
        <w:rPr>
          <w:rFonts w:hint="eastAsia" w:ascii="宋体" w:hAnsi="宋体" w:cs="宋体"/>
          <w:b/>
          <w:color w:val="auto"/>
          <w:sz w:val="40"/>
          <w:szCs w:val="40"/>
        </w:rPr>
        <w:t>资  格  证  明  文  件（封面）</w:t>
      </w:r>
    </w:p>
    <w:p w14:paraId="269C1DAA">
      <w:pPr>
        <w:snapToGrid w:val="0"/>
        <w:spacing w:beforeLines="50" w:after="50" w:line="360" w:lineRule="auto"/>
        <w:rPr>
          <w:rFonts w:ascii="宋体" w:hAnsi="宋体" w:cs="宋体"/>
          <w:bCs/>
          <w:color w:val="auto"/>
          <w:szCs w:val="21"/>
        </w:rPr>
      </w:pPr>
    </w:p>
    <w:p w14:paraId="542F40D1">
      <w:pPr>
        <w:snapToGrid w:val="0"/>
        <w:spacing w:beforeLines="50" w:after="50" w:line="360" w:lineRule="auto"/>
        <w:rPr>
          <w:rFonts w:ascii="宋体" w:hAnsi="宋体" w:cs="宋体"/>
          <w:bCs/>
          <w:color w:val="auto"/>
          <w:szCs w:val="21"/>
        </w:rPr>
      </w:pPr>
    </w:p>
    <w:p w14:paraId="0EE95F23">
      <w:pPr>
        <w:snapToGrid w:val="0"/>
        <w:spacing w:beforeLines="50" w:after="50" w:line="360" w:lineRule="auto"/>
        <w:rPr>
          <w:rFonts w:ascii="宋体" w:hAnsi="宋体" w:cs="宋体"/>
          <w:bCs/>
          <w:color w:val="auto"/>
          <w:szCs w:val="21"/>
        </w:rPr>
      </w:pPr>
    </w:p>
    <w:p w14:paraId="0FE2C16F">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项目名称：</w:t>
      </w:r>
    </w:p>
    <w:p w14:paraId="30A18D32">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项目编号：</w:t>
      </w:r>
    </w:p>
    <w:p w14:paraId="11AFBDB0">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所竞分标（如有则填写，无分标时填写“无”或者留空）：</w:t>
      </w:r>
    </w:p>
    <w:p w14:paraId="6E421C3A">
      <w:pPr>
        <w:pStyle w:val="7"/>
        <w:snapToGrid w:val="0"/>
        <w:spacing w:before="50" w:after="50" w:line="480" w:lineRule="auto"/>
        <w:ind w:firstLineChars="150"/>
        <w:rPr>
          <w:rFonts w:ascii="宋体" w:hAnsi="宋体" w:cs="宋体"/>
          <w:bCs/>
          <w:color w:val="auto"/>
          <w:sz w:val="28"/>
          <w:szCs w:val="28"/>
        </w:rPr>
      </w:pPr>
      <w:r>
        <w:rPr>
          <w:rFonts w:hint="eastAsia" w:ascii="宋体" w:hAnsi="宋体" w:cs="宋体"/>
          <w:bCs/>
          <w:color w:val="auto"/>
          <w:sz w:val="28"/>
          <w:szCs w:val="28"/>
        </w:rPr>
        <w:t>供应商名称：</w:t>
      </w:r>
    </w:p>
    <w:p w14:paraId="2EF1700B">
      <w:pPr>
        <w:pStyle w:val="7"/>
        <w:snapToGrid w:val="0"/>
        <w:spacing w:before="50" w:after="50" w:line="360" w:lineRule="auto"/>
        <w:ind w:firstLine="0"/>
        <w:rPr>
          <w:rFonts w:ascii="宋体" w:hAnsi="宋体" w:cs="宋体"/>
          <w:bCs/>
          <w:color w:val="auto"/>
          <w:szCs w:val="21"/>
        </w:rPr>
      </w:pPr>
    </w:p>
    <w:p w14:paraId="4C44DCFC">
      <w:pPr>
        <w:pStyle w:val="7"/>
        <w:snapToGrid w:val="0"/>
        <w:spacing w:before="50" w:after="50" w:line="360" w:lineRule="auto"/>
        <w:ind w:firstLine="840" w:firstLineChars="400"/>
        <w:rPr>
          <w:rFonts w:ascii="宋体" w:hAnsi="宋体" w:cs="宋体"/>
          <w:bCs/>
          <w:color w:val="auto"/>
          <w:szCs w:val="21"/>
        </w:rPr>
      </w:pPr>
    </w:p>
    <w:p w14:paraId="144E67B4">
      <w:pPr>
        <w:snapToGrid w:val="0"/>
        <w:spacing w:beforeLines="50" w:after="50" w:line="360" w:lineRule="auto"/>
        <w:jc w:val="center"/>
        <w:rPr>
          <w:rFonts w:ascii="宋体" w:hAnsi="宋体" w:cs="宋体"/>
          <w:color w:val="auto"/>
          <w:sz w:val="28"/>
          <w:szCs w:val="28"/>
        </w:rPr>
      </w:pPr>
      <w:r>
        <w:rPr>
          <w:rFonts w:hint="eastAsia" w:ascii="宋体" w:hAnsi="宋体" w:cs="宋体"/>
          <w:color w:val="auto"/>
          <w:sz w:val="28"/>
          <w:szCs w:val="28"/>
        </w:rPr>
        <w:t>年    月    日</w:t>
      </w:r>
    </w:p>
    <w:p w14:paraId="6043EFAF">
      <w:pPr>
        <w:snapToGrid w:val="0"/>
        <w:spacing w:beforeLines="50" w:after="50" w:line="360" w:lineRule="auto"/>
        <w:jc w:val="center"/>
        <w:rPr>
          <w:rFonts w:ascii="宋体" w:hAnsi="宋体" w:cs="宋体"/>
          <w:b/>
          <w:color w:val="auto"/>
          <w:kern w:val="0"/>
          <w:sz w:val="28"/>
          <w:szCs w:val="28"/>
        </w:rPr>
      </w:pPr>
      <w:r>
        <w:rPr>
          <w:rFonts w:hint="eastAsia" w:ascii="宋体" w:hAnsi="宋体" w:cs="宋体"/>
          <w:color w:val="auto"/>
          <w:szCs w:val="21"/>
        </w:rPr>
        <w:br w:type="page"/>
      </w:r>
      <w:r>
        <w:rPr>
          <w:rFonts w:hint="eastAsia" w:ascii="宋体" w:hAnsi="宋体" w:cs="宋体"/>
          <w:b/>
          <w:bCs/>
          <w:color w:val="auto"/>
          <w:szCs w:val="21"/>
        </w:rPr>
        <w:t xml:space="preserve"> </w:t>
      </w:r>
      <w:r>
        <w:rPr>
          <w:rFonts w:hint="eastAsia" w:ascii="宋体" w:hAnsi="宋体" w:cs="宋体"/>
          <w:b/>
          <w:color w:val="auto"/>
          <w:kern w:val="0"/>
          <w:sz w:val="28"/>
          <w:szCs w:val="28"/>
        </w:rPr>
        <w:t>资格证明文件目录</w:t>
      </w:r>
    </w:p>
    <w:p w14:paraId="53FF8F6E">
      <w:pPr>
        <w:pStyle w:val="18"/>
        <w:tabs>
          <w:tab w:val="right" w:leader="dot" w:pos="8730"/>
          <w:tab w:val="clear" w:pos="9476"/>
        </w:tabs>
        <w:ind w:left="0" w:leftChars="0"/>
        <w:rPr>
          <w:color w:val="auto"/>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TOC \o "1-3" \t "标题 6,6,标题 7,7,标题 8,8,标题 9,9" \h \u </w:instrText>
      </w:r>
      <w:r>
        <w:rPr>
          <w:rFonts w:hint="eastAsia" w:ascii="宋体" w:hAnsi="宋体" w:cs="宋体"/>
          <w:color w:val="auto"/>
          <w:kern w:val="0"/>
          <w:szCs w:val="21"/>
        </w:rPr>
        <w:fldChar w:fldCharType="separate"/>
      </w:r>
    </w:p>
    <w:p w14:paraId="7D664F95">
      <w:pPr>
        <w:tabs>
          <w:tab w:val="left" w:pos="3870"/>
          <w:tab w:val="left" w:pos="4085"/>
        </w:tabs>
        <w:snapToGrid w:val="0"/>
        <w:spacing w:line="420" w:lineRule="exact"/>
        <w:ind w:firstLine="420" w:firstLineChars="200"/>
        <w:jc w:val="left"/>
        <w:rPr>
          <w:rFonts w:ascii="宋体" w:hAnsi="宋体" w:cs="宋体"/>
          <w:color w:val="auto"/>
          <w:sz w:val="24"/>
        </w:rPr>
      </w:pPr>
      <w:r>
        <w:rPr>
          <w:rFonts w:hint="eastAsia" w:ascii="宋体" w:hAnsi="宋体" w:cs="宋体"/>
          <w:color w:val="auto"/>
          <w:kern w:val="0"/>
          <w:szCs w:val="21"/>
        </w:rPr>
        <w:fldChar w:fldCharType="end"/>
      </w:r>
      <w:r>
        <w:rPr>
          <w:rFonts w:hint="eastAsia" w:ascii="宋体" w:hAnsi="宋体" w:cs="宋体"/>
          <w:color w:val="auto"/>
          <w:sz w:val="24"/>
        </w:rPr>
        <w:t>（1）磋商声明书；（必须提供）</w:t>
      </w:r>
    </w:p>
    <w:p w14:paraId="48DF535E">
      <w:pPr>
        <w:spacing w:line="420" w:lineRule="exact"/>
        <w:ind w:firstLine="420" w:firstLineChars="175"/>
        <w:rPr>
          <w:rFonts w:ascii="宋体" w:hAnsi="宋体" w:cs="宋体"/>
          <w:color w:val="auto"/>
          <w:sz w:val="24"/>
        </w:rPr>
      </w:pPr>
      <w:r>
        <w:rPr>
          <w:rFonts w:hint="eastAsia" w:ascii="宋体" w:hAnsi="宋体" w:cs="宋体"/>
          <w:color w:val="auto"/>
          <w:sz w:val="24"/>
        </w:rPr>
        <w:t>（2）营业执照(或事业法人登记证或其他工商等登记证明材料)复印件（供应商为自然人的，提供自然人的身份证明）；（必须提供）</w:t>
      </w:r>
    </w:p>
    <w:p w14:paraId="20B39E08">
      <w:pPr>
        <w:spacing w:line="400" w:lineRule="exact"/>
        <w:ind w:firstLine="420" w:firstLineChars="175"/>
        <w:rPr>
          <w:rFonts w:ascii="宋体" w:hAnsi="宋体" w:cs="宋体"/>
          <w:color w:val="auto"/>
          <w:sz w:val="24"/>
        </w:rPr>
      </w:pPr>
      <w:r>
        <w:rPr>
          <w:rFonts w:hint="eastAsia" w:ascii="宋体" w:hAnsi="宋体" w:cs="宋体"/>
          <w:color w:val="auto"/>
          <w:sz w:val="24"/>
        </w:rPr>
        <w:t>（3）供应商根据竞争性磋商公告对应的特定资格要求及特定条件设置须提供的资格证明材料：</w:t>
      </w:r>
    </w:p>
    <w:p w14:paraId="2318E764">
      <w:pPr>
        <w:numPr>
          <w:ilvl w:val="0"/>
          <w:numId w:val="6"/>
        </w:numPr>
        <w:spacing w:line="400" w:lineRule="exact"/>
        <w:ind w:firstLine="420" w:firstLineChars="175"/>
        <w:rPr>
          <w:rFonts w:ascii="宋体" w:hAnsi="宋体" w:cs="宋体"/>
          <w:color w:val="auto"/>
          <w:sz w:val="24"/>
        </w:rPr>
      </w:pPr>
      <w:r>
        <w:rPr>
          <w:rFonts w:hint="eastAsia" w:ascii="宋体" w:hAnsi="宋体" w:cs="宋体"/>
          <w:color w:val="auto"/>
          <w:sz w:val="24"/>
        </w:rPr>
        <w:t>具有有效的律师事务所执业许可证；</w:t>
      </w:r>
    </w:p>
    <w:p w14:paraId="6A7AE0C3">
      <w:pPr>
        <w:numPr>
          <w:ilvl w:val="0"/>
          <w:numId w:val="6"/>
        </w:numPr>
        <w:spacing w:line="400" w:lineRule="exact"/>
        <w:ind w:firstLine="420" w:firstLineChars="175"/>
        <w:rPr>
          <w:rFonts w:ascii="宋体" w:hAnsi="宋体" w:cs="宋体"/>
          <w:color w:val="auto"/>
          <w:sz w:val="24"/>
        </w:rPr>
      </w:pPr>
      <w:r>
        <w:rPr>
          <w:rFonts w:hint="eastAsia" w:ascii="宋体" w:hAnsi="宋体" w:cs="宋体"/>
          <w:color w:val="auto"/>
          <w:sz w:val="24"/>
        </w:rPr>
        <w:t>拟投入本服务项目的负责人具有律师执业证；</w:t>
      </w:r>
    </w:p>
    <w:p w14:paraId="02401653">
      <w:pPr>
        <w:numPr>
          <w:ilvl w:val="0"/>
          <w:numId w:val="6"/>
        </w:numPr>
        <w:spacing w:line="400" w:lineRule="exact"/>
        <w:ind w:firstLine="420" w:firstLineChars="175"/>
        <w:rPr>
          <w:rFonts w:ascii="宋体" w:hAnsi="宋体" w:cs="宋体"/>
          <w:color w:val="auto"/>
          <w:sz w:val="24"/>
        </w:rPr>
      </w:pPr>
      <w:r>
        <w:rPr>
          <w:rFonts w:hint="eastAsia" w:ascii="宋体" w:hAnsi="宋体" w:cs="宋体"/>
          <w:color w:val="auto"/>
          <w:sz w:val="24"/>
        </w:rPr>
        <w:t>近三年内未收到司法行政主管部门的行政处罚或律师行业协会的处分；（</w:t>
      </w:r>
      <w:r>
        <w:rPr>
          <w:rFonts w:hint="eastAsia" w:ascii="宋体" w:hAnsi="宋体" w:cs="宋体"/>
          <w:b/>
          <w:bCs/>
          <w:color w:val="auto"/>
          <w:sz w:val="24"/>
        </w:rPr>
        <w:t>①、②必须提供真实有效证明文件，③无证明文件的须提供承诺函，否则响应文件按无效响应处理。</w:t>
      </w:r>
      <w:r>
        <w:rPr>
          <w:rFonts w:hint="eastAsia" w:ascii="宋体" w:hAnsi="宋体" w:cs="宋体"/>
          <w:color w:val="auto"/>
          <w:sz w:val="24"/>
        </w:rPr>
        <w:t>）</w:t>
      </w:r>
    </w:p>
    <w:p w14:paraId="0F620C9F">
      <w:pPr>
        <w:tabs>
          <w:tab w:val="left" w:pos="3870"/>
          <w:tab w:val="left" w:pos="4085"/>
        </w:tabs>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（4）政府采购供应商资格信用承诺函；（必须提供）</w:t>
      </w:r>
    </w:p>
    <w:p w14:paraId="0B73845B">
      <w:pPr>
        <w:tabs>
          <w:tab w:val="left" w:pos="3870"/>
          <w:tab w:val="left" w:pos="4085"/>
        </w:tabs>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（5）供应商控股及管理关系情况申报表；（必须提供）</w:t>
      </w:r>
    </w:p>
    <w:p w14:paraId="6B781856">
      <w:pPr>
        <w:tabs>
          <w:tab w:val="left" w:pos="3870"/>
          <w:tab w:val="left" w:pos="4085"/>
        </w:tabs>
        <w:snapToGrid w:val="0"/>
        <w:spacing w:line="420" w:lineRule="exact"/>
        <w:ind w:firstLine="420" w:firstLineChars="175"/>
        <w:jc w:val="left"/>
        <w:rPr>
          <w:rFonts w:ascii="宋体" w:hAnsi="宋体" w:cs="宋体"/>
          <w:color w:val="auto"/>
          <w:sz w:val="24"/>
        </w:rPr>
      </w:pPr>
      <w:r>
        <w:rPr>
          <w:rFonts w:hint="eastAsia" w:ascii="宋体" w:hAnsi="宋体" w:cs="宋体"/>
          <w:color w:val="auto"/>
          <w:sz w:val="24"/>
        </w:rPr>
        <w:t>（6）供应商如为分支机构投标的，须提供其总公司“营业执照”副本复印件和总公司对供应商的授权书复印件。（如有，请提供）</w:t>
      </w:r>
    </w:p>
    <w:p w14:paraId="04A3B9BF">
      <w:pPr>
        <w:tabs>
          <w:tab w:val="right" w:leader="dot" w:pos="9750"/>
        </w:tabs>
        <w:snapToGrid w:val="0"/>
        <w:spacing w:line="360" w:lineRule="auto"/>
        <w:ind w:firstLine="420" w:firstLineChars="200"/>
        <w:rPr>
          <w:color w:val="auto"/>
        </w:rPr>
      </w:pPr>
    </w:p>
    <w:p w14:paraId="34B533CE">
      <w:pPr>
        <w:snapToGrid w:val="0"/>
        <w:spacing w:line="360" w:lineRule="auto"/>
        <w:rPr>
          <w:rFonts w:ascii="宋体" w:hAnsi="宋体" w:cs="宋体"/>
          <w:b/>
          <w:bCs/>
          <w:color w:val="auto"/>
          <w:szCs w:val="21"/>
        </w:rPr>
      </w:pPr>
    </w:p>
    <w:p w14:paraId="08F5E8EC">
      <w:pPr>
        <w:rPr>
          <w:color w:val="auto"/>
        </w:rPr>
      </w:pPr>
    </w:p>
    <w:p w14:paraId="04227844">
      <w:pPr>
        <w:spacing w:line="360" w:lineRule="auto"/>
        <w:rPr>
          <w:rFonts w:ascii="宋体" w:hAnsi="宋体" w:cs="宋体"/>
          <w:b/>
          <w:bCs/>
          <w:color w:val="auto"/>
          <w:szCs w:val="21"/>
        </w:rPr>
      </w:pPr>
      <w:r>
        <w:rPr>
          <w:rFonts w:hint="eastAsia" w:ascii="宋体" w:hAnsi="宋体" w:cs="宋体"/>
          <w:b/>
          <w:bCs/>
          <w:color w:val="auto"/>
          <w:szCs w:val="21"/>
        </w:rPr>
        <w:t>注：以上目录是编制供应商响应文件的基本格式要求，各供应商可根据自身情况进一步细化。</w:t>
      </w:r>
    </w:p>
    <w:p w14:paraId="51E3AC59">
      <w:pPr>
        <w:spacing w:line="360" w:lineRule="auto"/>
        <w:jc w:val="left"/>
        <w:outlineLvl w:val="2"/>
        <w:rPr>
          <w:rFonts w:ascii="宋体" w:hAnsi="宋体" w:cs="宋体"/>
          <w:color w:val="auto"/>
          <w:szCs w:val="21"/>
        </w:rPr>
      </w:pPr>
      <w:r>
        <w:rPr>
          <w:rFonts w:hint="eastAsia" w:ascii="宋体" w:hAnsi="宋体" w:cs="宋体"/>
          <w:color w:val="auto"/>
          <w:szCs w:val="21"/>
        </w:rPr>
        <w:br w:type="page"/>
      </w:r>
      <w:bookmarkStart w:id="354" w:name="_Toc11071"/>
      <w:bookmarkStart w:id="355" w:name="_Toc27842"/>
      <w:bookmarkStart w:id="356" w:name="_Toc6349"/>
      <w:bookmarkStart w:id="357" w:name="_Toc5901"/>
      <w:bookmarkStart w:id="358" w:name="_Toc14319"/>
      <w:bookmarkStart w:id="359" w:name="_Toc4382"/>
      <w:bookmarkStart w:id="360" w:name="_Toc19522"/>
      <w:bookmarkStart w:id="361" w:name="_Toc6623"/>
      <w:bookmarkStart w:id="362" w:name="_Toc18189"/>
      <w:bookmarkStart w:id="363" w:name="_Toc8557"/>
      <w:bookmarkStart w:id="364" w:name="_Toc13721"/>
      <w:bookmarkStart w:id="365" w:name="_Toc28250"/>
      <w:bookmarkStart w:id="366" w:name="_Toc19943"/>
      <w:bookmarkStart w:id="367" w:name="_Toc10676"/>
      <w:bookmarkStart w:id="368" w:name="_Toc12626"/>
      <w:bookmarkStart w:id="369" w:name="_Toc8703"/>
      <w:bookmarkStart w:id="370" w:name="_Toc11121"/>
      <w:bookmarkStart w:id="371" w:name="_Toc5909"/>
      <w:bookmarkStart w:id="372" w:name="_Toc28366"/>
      <w:bookmarkStart w:id="373" w:name="_Toc23426"/>
      <w:bookmarkStart w:id="374" w:name="_Toc30555"/>
      <w:r>
        <w:rPr>
          <w:rFonts w:hint="eastAsia" w:ascii="宋体" w:hAnsi="宋体" w:cs="宋体"/>
          <w:color w:val="auto"/>
          <w:szCs w:val="21"/>
        </w:rPr>
        <w:t>一</w:t>
      </w:r>
      <w:r>
        <w:rPr>
          <w:rFonts w:hint="eastAsia" w:ascii="宋体" w:hAnsi="宋体" w:cs="宋体"/>
          <w:b/>
          <w:color w:val="auto"/>
          <w:kern w:val="0"/>
          <w:szCs w:val="21"/>
        </w:rPr>
        <w:t>、</w:t>
      </w:r>
      <w:bookmarkEnd w:id="354"/>
      <w:bookmarkEnd w:id="355"/>
      <w:bookmarkEnd w:id="356"/>
      <w:r>
        <w:rPr>
          <w:rFonts w:hint="eastAsia" w:ascii="宋体" w:hAnsi="宋体" w:cs="宋体"/>
          <w:b/>
          <w:color w:val="auto"/>
          <w:kern w:val="0"/>
          <w:szCs w:val="21"/>
        </w:rPr>
        <w:t>磋商声明书</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F2360C4">
      <w:pPr>
        <w:spacing w:line="360" w:lineRule="auto"/>
        <w:jc w:val="center"/>
        <w:rPr>
          <w:rFonts w:ascii="宋体" w:hAnsi="宋体" w:cs="宋体"/>
          <w:b/>
          <w:color w:val="auto"/>
          <w:szCs w:val="21"/>
        </w:rPr>
      </w:pPr>
    </w:p>
    <w:p w14:paraId="32976EA6">
      <w:pPr>
        <w:spacing w:line="360" w:lineRule="auto"/>
        <w:jc w:val="center"/>
        <w:rPr>
          <w:rFonts w:ascii="宋体" w:hAnsi="宋体" w:cs="宋体"/>
          <w:color w:val="auto"/>
          <w:szCs w:val="21"/>
        </w:rPr>
      </w:pPr>
      <w:r>
        <w:rPr>
          <w:rFonts w:hint="eastAsia" w:ascii="宋体" w:hAnsi="宋体" w:cs="宋体"/>
          <w:b/>
          <w:color w:val="auto"/>
          <w:sz w:val="28"/>
          <w:szCs w:val="28"/>
        </w:rPr>
        <w:t>磋商声明书</w:t>
      </w:r>
    </w:p>
    <w:p w14:paraId="12918729">
      <w:pPr>
        <w:spacing w:line="460" w:lineRule="exact"/>
        <w:contextualSpacing/>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广西信和招标代理有限公司</w:t>
      </w:r>
      <w:r>
        <w:rPr>
          <w:rFonts w:hint="eastAsia" w:ascii="宋体" w:hAnsi="宋体" w:cs="宋体"/>
          <w:color w:val="auto"/>
          <w:szCs w:val="21"/>
        </w:rPr>
        <w:t>：</w:t>
      </w:r>
    </w:p>
    <w:p w14:paraId="66B03101">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u w:val="single"/>
        </w:rPr>
        <w:t>（供应商名称）</w:t>
      </w:r>
      <w:r>
        <w:rPr>
          <w:rFonts w:hint="eastAsia" w:ascii="宋体" w:hAnsi="宋体" w:cs="宋体"/>
          <w:color w:val="auto"/>
          <w:szCs w:val="21"/>
        </w:rPr>
        <w:t>系中华人民共和国合法供应商，经营地址</w:t>
      </w:r>
      <w:r>
        <w:rPr>
          <w:rFonts w:hint="eastAsia" w:ascii="宋体" w:hAnsi="宋体" w:cs="宋体"/>
          <w:color w:val="auto"/>
          <w:szCs w:val="21"/>
          <w:u w:val="single"/>
        </w:rPr>
        <w:t xml:space="preserve">                              </w:t>
      </w:r>
      <w:r>
        <w:rPr>
          <w:rFonts w:hint="eastAsia" w:ascii="宋体" w:hAnsi="宋体" w:cs="宋体"/>
          <w:color w:val="auto"/>
          <w:szCs w:val="21"/>
        </w:rPr>
        <w:t>。</w:t>
      </w:r>
    </w:p>
    <w:p w14:paraId="16701B40">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我方愿意参加贵方组织的</w:t>
      </w:r>
      <w:r>
        <w:rPr>
          <w:rFonts w:hint="eastAsia" w:ascii="宋体" w:hAnsi="宋体" w:cs="宋体"/>
          <w:color w:val="auto"/>
          <w:szCs w:val="21"/>
          <w:u w:val="single"/>
          <w:lang w:eastAsia="zh-CN"/>
        </w:rPr>
        <w:t>采购2025年度党政机关法律顾问服务</w:t>
      </w:r>
      <w:r>
        <w:rPr>
          <w:rFonts w:hint="eastAsia" w:ascii="宋体" w:hAnsi="宋体" w:cs="宋体"/>
          <w:color w:val="auto"/>
          <w:szCs w:val="21"/>
        </w:rPr>
        <w:t>的竞标，为便于贵方公正、择优地确定成交供应商及其竞标产品和服务，我方就本次竞标有关事项郑重声明如下：</w:t>
      </w:r>
    </w:p>
    <w:p w14:paraId="108C16C1">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1.我方向贵方提交的所有响应文件、资料都是准确的和真实的。</w:t>
      </w:r>
    </w:p>
    <w:p w14:paraId="58E02E7E">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B1592B1">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3.在此，我方宣布同意如下：</w:t>
      </w:r>
    </w:p>
    <w:p w14:paraId="50BBC165">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（1）将按磋商文件的约定履行合同责任和义务；</w:t>
      </w:r>
    </w:p>
    <w:p w14:paraId="2752E497">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（2）已详细审查全部磋商文件，包括澄清或者更正公告（如有）；</w:t>
      </w:r>
    </w:p>
    <w:p w14:paraId="6CE6B433">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（3）同意提供按照贵方可能要求的与谈判有关的一切数据或者资料；</w:t>
      </w:r>
    </w:p>
    <w:p w14:paraId="21D6693F">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（4）响应磋商文件规定的竞标有效期。</w:t>
      </w:r>
    </w:p>
    <w:p w14:paraId="6003F7E7">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4.我方承诺已经具备《中华人民共和国政府采购法》第二十二条中规定的参加政府采购活动的供应商应当具备的条件并按本项目响应文件“第二章  供应商须知”中“资格证明文件组成”完整提供证明材料。</w:t>
      </w:r>
    </w:p>
    <w:p w14:paraId="6177C63F">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8B9F4B">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56E8347">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400ED78F">
      <w:pPr>
        <w:spacing w:line="460" w:lineRule="exact"/>
        <w:ind w:firstLine="420" w:firstLineChars="200"/>
        <w:contextualSpacing/>
        <w:rPr>
          <w:rFonts w:ascii="宋体" w:hAnsi="宋体" w:cs="宋体"/>
          <w:color w:val="auto"/>
          <w:szCs w:val="21"/>
        </w:rPr>
      </w:pPr>
      <w:r>
        <w:rPr>
          <w:rFonts w:hint="eastAsia" w:ascii="宋体" w:hAnsi="宋体" w:cs="宋体"/>
          <w:color w:val="auto"/>
          <w:szCs w:val="21"/>
        </w:rPr>
        <w:t>□我方本次响应文件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52EB12F6">
      <w:pPr>
        <w:pStyle w:val="13"/>
        <w:spacing w:line="460" w:lineRule="exact"/>
        <w:ind w:firstLine="420" w:firstLineChars="200"/>
        <w:contextualSpacing/>
        <w:rPr>
          <w:rFonts w:hAnsi="宋体" w:cs="宋体"/>
          <w:color w:val="auto"/>
          <w:szCs w:val="21"/>
          <w:u w:val="single"/>
        </w:rPr>
      </w:pPr>
      <w:r>
        <w:rPr>
          <w:rFonts w:hint="eastAsia" w:hAnsi="宋体" w:cs="宋体"/>
          <w:color w:val="auto"/>
          <w:szCs w:val="21"/>
        </w:rPr>
        <w:t>7.与本磋商有关的一切正式往来信函请寄：</w:t>
      </w:r>
      <w:r>
        <w:rPr>
          <w:rFonts w:hint="eastAsia" w:hAnsi="宋体" w:cs="宋体"/>
          <w:color w:val="auto"/>
          <w:szCs w:val="21"/>
          <w:u w:val="single"/>
        </w:rPr>
        <w:t xml:space="preserve">                  </w:t>
      </w:r>
      <w:r>
        <w:rPr>
          <w:rFonts w:hint="eastAsia" w:hAnsi="宋体" w:cs="宋体"/>
          <w:color w:val="auto"/>
          <w:szCs w:val="21"/>
        </w:rPr>
        <w:t>邮政编号：</w:t>
      </w:r>
      <w:r>
        <w:rPr>
          <w:rFonts w:hint="eastAsia" w:hAnsi="宋体" w:cs="宋体"/>
          <w:color w:val="auto"/>
          <w:szCs w:val="21"/>
          <w:u w:val="single"/>
        </w:rPr>
        <w:t xml:space="preserve">        </w:t>
      </w:r>
    </w:p>
    <w:p w14:paraId="2FABDCB4">
      <w:pPr>
        <w:pStyle w:val="13"/>
        <w:spacing w:line="460" w:lineRule="exact"/>
        <w:ind w:firstLine="420" w:firstLineChars="200"/>
        <w:contextualSpacing/>
        <w:rPr>
          <w:rFonts w:hAnsi="宋体" w:cs="宋体"/>
          <w:color w:val="auto"/>
          <w:szCs w:val="21"/>
        </w:rPr>
      </w:pPr>
      <w:r>
        <w:rPr>
          <w:rFonts w:hint="eastAsia" w:hAnsi="宋体" w:cs="宋体"/>
          <w:color w:val="auto"/>
          <w:szCs w:val="21"/>
        </w:rPr>
        <w:t>电话/传真：</w:t>
      </w:r>
      <w:r>
        <w:rPr>
          <w:rFonts w:hint="eastAsia" w:hAnsi="宋体" w:cs="宋体"/>
          <w:color w:val="auto"/>
          <w:szCs w:val="21"/>
          <w:u w:val="single"/>
        </w:rPr>
        <w:t xml:space="preserve">                        </w:t>
      </w:r>
      <w:r>
        <w:rPr>
          <w:rFonts w:hint="eastAsia" w:hAnsi="宋体" w:cs="宋体"/>
          <w:color w:val="auto"/>
          <w:szCs w:val="21"/>
        </w:rPr>
        <w:t xml:space="preserve"> 电子函件：</w:t>
      </w:r>
      <w:r>
        <w:rPr>
          <w:rFonts w:hint="eastAsia" w:hAnsi="宋体" w:cs="宋体"/>
          <w:color w:val="auto"/>
          <w:szCs w:val="21"/>
          <w:u w:val="single"/>
        </w:rPr>
        <w:t xml:space="preserve">                            </w:t>
      </w:r>
      <w:r>
        <w:rPr>
          <w:rFonts w:hint="eastAsia" w:hAnsi="宋体" w:cs="宋体"/>
          <w:color w:val="auto"/>
          <w:szCs w:val="21"/>
        </w:rPr>
        <w:t xml:space="preserve">    </w:t>
      </w:r>
    </w:p>
    <w:p w14:paraId="7215B7E4">
      <w:pPr>
        <w:pStyle w:val="11"/>
        <w:tabs>
          <w:tab w:val="left" w:pos="939"/>
        </w:tabs>
        <w:spacing w:line="460" w:lineRule="exact"/>
        <w:ind w:left="0" w:leftChars="0" w:firstLine="420" w:firstLineChars="200"/>
        <w:rPr>
          <w:rFonts w:ascii="宋体" w:hAnsi="宋体" w:cs="宋体"/>
          <w:color w:val="auto"/>
          <w:sz w:val="21"/>
          <w:szCs w:val="21"/>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账号：</w:t>
      </w:r>
      <w:r>
        <w:rPr>
          <w:rFonts w:hint="eastAsia" w:ascii="宋体" w:hAnsi="宋体" w:cs="宋体"/>
          <w:color w:val="auto"/>
          <w:sz w:val="21"/>
          <w:szCs w:val="21"/>
          <w:u w:val="single"/>
        </w:rPr>
        <w:t xml:space="preserve">                               </w:t>
      </w:r>
    </w:p>
    <w:p w14:paraId="5C48530F">
      <w:pPr>
        <w:pStyle w:val="11"/>
        <w:tabs>
          <w:tab w:val="left" w:pos="939"/>
        </w:tabs>
        <w:spacing w:line="460" w:lineRule="exact"/>
        <w:ind w:left="0" w:leftChars="0" w:firstLine="420" w:firstLineChars="200"/>
        <w:rPr>
          <w:rFonts w:ascii="宋体" w:hAnsi="宋体" w:cs="宋体"/>
          <w:color w:val="auto"/>
          <w:sz w:val="21"/>
          <w:szCs w:val="21"/>
        </w:rPr>
      </w:pPr>
      <w:r>
        <w:rPr>
          <w:rFonts w:hint="eastAsia" w:ascii="宋体" w:hAnsi="宋体" w:cs="宋体"/>
          <w:color w:val="auto"/>
          <w:sz w:val="21"/>
          <w:szCs w:val="21"/>
        </w:rPr>
        <w:t>8.以上事项如有虚假或者隐瞒，我方愿意承担一切后果，并不再寻求任何旨在减轻或者免除法律责任的辩解。</w:t>
      </w:r>
    </w:p>
    <w:p w14:paraId="68526606">
      <w:pPr>
        <w:pStyle w:val="11"/>
        <w:tabs>
          <w:tab w:val="left" w:pos="939"/>
        </w:tabs>
        <w:spacing w:line="460" w:lineRule="exact"/>
        <w:ind w:left="0" w:leftChars="0" w:firstLine="420" w:firstLineChars="200"/>
        <w:rPr>
          <w:rFonts w:ascii="宋体" w:hAnsi="宋体" w:cs="宋体"/>
          <w:color w:val="auto"/>
          <w:sz w:val="21"/>
          <w:szCs w:val="21"/>
        </w:rPr>
      </w:pPr>
      <w:r>
        <w:rPr>
          <w:rFonts w:hint="eastAsia" w:ascii="宋体" w:hAnsi="宋体" w:cs="宋体"/>
          <w:color w:val="auto"/>
          <w:sz w:val="21"/>
          <w:szCs w:val="21"/>
        </w:rPr>
        <w:t>特此承诺。</w:t>
      </w:r>
    </w:p>
    <w:p w14:paraId="3A10104C">
      <w:pPr>
        <w:pStyle w:val="11"/>
        <w:tabs>
          <w:tab w:val="left" w:pos="939"/>
        </w:tabs>
        <w:spacing w:line="360" w:lineRule="auto"/>
        <w:ind w:left="0" w:leftChars="0" w:firstLine="420" w:firstLineChars="200"/>
        <w:jc w:val="right"/>
        <w:rPr>
          <w:rFonts w:ascii="宋体" w:hAnsi="宋体" w:cs="宋体"/>
          <w:color w:val="auto"/>
          <w:sz w:val="21"/>
          <w:szCs w:val="21"/>
        </w:rPr>
      </w:pPr>
    </w:p>
    <w:p w14:paraId="5224A71D">
      <w:pPr>
        <w:spacing w:line="500" w:lineRule="exact"/>
        <w:ind w:firstLine="5170" w:firstLineChars="23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13E63BC0">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67F0AEB4">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2CD559FF">
      <w:pPr>
        <w:pStyle w:val="13"/>
        <w:spacing w:line="360" w:lineRule="auto"/>
        <w:outlineLvl w:val="2"/>
        <w:rPr>
          <w:rFonts w:hAnsi="宋体" w:cs="宋体"/>
          <w:b/>
          <w:color w:val="auto"/>
          <w:szCs w:val="21"/>
        </w:rPr>
      </w:pPr>
      <w:r>
        <w:rPr>
          <w:rFonts w:hint="eastAsia" w:hAnsi="宋体" w:cs="宋体"/>
          <w:b/>
          <w:color w:val="auto"/>
          <w:szCs w:val="21"/>
        </w:rPr>
        <w:br w:type="page"/>
      </w:r>
      <w:bookmarkStart w:id="375" w:name="_Toc24539"/>
      <w:bookmarkStart w:id="376" w:name="_Toc32204"/>
      <w:bookmarkStart w:id="377" w:name="_Toc30462"/>
      <w:bookmarkStart w:id="378" w:name="_Toc22837"/>
      <w:bookmarkStart w:id="379" w:name="_Toc31916"/>
      <w:bookmarkStart w:id="380" w:name="_Toc25074"/>
      <w:bookmarkStart w:id="381" w:name="_Toc4849"/>
      <w:bookmarkStart w:id="382" w:name="_Toc22740"/>
      <w:bookmarkStart w:id="383" w:name="_Toc23433"/>
      <w:bookmarkStart w:id="384" w:name="_Toc12689"/>
      <w:bookmarkStart w:id="385" w:name="_Toc10173"/>
      <w:bookmarkStart w:id="386" w:name="_Toc28859"/>
      <w:bookmarkStart w:id="387" w:name="_Toc8199"/>
      <w:bookmarkStart w:id="388" w:name="_Toc15367"/>
      <w:bookmarkStart w:id="389" w:name="_Toc21664"/>
      <w:r>
        <w:rPr>
          <w:rFonts w:hint="eastAsia" w:hAnsi="宋体" w:cs="宋体"/>
          <w:b/>
          <w:color w:val="auto"/>
          <w:szCs w:val="21"/>
        </w:rPr>
        <w:t>二、营业执照(或事业法人登记证或其他工商等登记证明材料)复印件（供应商为自然人的，提供自然人的身份证明）</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3726EB2">
      <w:pPr>
        <w:pStyle w:val="13"/>
        <w:spacing w:line="360" w:lineRule="auto"/>
        <w:ind w:firstLine="422" w:firstLineChars="200"/>
        <w:rPr>
          <w:rFonts w:hAnsi="宋体" w:cs="宋体"/>
          <w:b/>
          <w:color w:val="auto"/>
          <w:szCs w:val="21"/>
        </w:rPr>
      </w:pPr>
    </w:p>
    <w:p w14:paraId="64EA144C">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2D4A3403">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w:t>
      </w:r>
    </w:p>
    <w:p w14:paraId="63555EF1">
      <w:pPr>
        <w:snapToGrid w:val="0"/>
        <w:spacing w:beforeLines="50" w:after="50" w:line="360" w:lineRule="auto"/>
        <w:rPr>
          <w:rFonts w:ascii="宋体" w:hAnsi="宋体" w:cs="宋体"/>
          <w:color w:val="auto"/>
          <w:szCs w:val="21"/>
        </w:rPr>
      </w:pPr>
    </w:p>
    <w:p w14:paraId="5FAF239C">
      <w:pPr>
        <w:snapToGrid w:val="0"/>
        <w:spacing w:before="50" w:afterLines="50" w:line="360" w:lineRule="auto"/>
        <w:outlineLvl w:val="2"/>
        <w:rPr>
          <w:rFonts w:ascii="宋体" w:hAnsi="宋体" w:cs="宋体"/>
          <w:color w:val="auto"/>
          <w:sz w:val="24"/>
        </w:rPr>
      </w:pPr>
      <w:bookmarkStart w:id="390" w:name="_Toc29334"/>
      <w:bookmarkStart w:id="391" w:name="_Toc10331"/>
      <w:bookmarkStart w:id="392" w:name="_Toc17969"/>
      <w:r>
        <w:rPr>
          <w:rFonts w:hint="eastAsia" w:hAnsi="宋体" w:cs="宋体"/>
          <w:b/>
          <w:color w:val="auto"/>
          <w:szCs w:val="21"/>
        </w:rPr>
        <w:br w:type="page"/>
      </w:r>
      <w:bookmarkEnd w:id="390"/>
      <w:bookmarkEnd w:id="391"/>
      <w:bookmarkEnd w:id="392"/>
      <w:bookmarkStart w:id="393" w:name="_Toc4755"/>
      <w:bookmarkStart w:id="394" w:name="_Toc15964"/>
      <w:bookmarkStart w:id="395" w:name="_Toc6226"/>
      <w:bookmarkStart w:id="396" w:name="_Toc26218"/>
      <w:bookmarkStart w:id="397" w:name="_Toc25949"/>
      <w:bookmarkStart w:id="398" w:name="_Toc24162"/>
      <w:bookmarkStart w:id="399" w:name="_Toc2533"/>
      <w:bookmarkStart w:id="400" w:name="_Toc1362"/>
      <w:bookmarkStart w:id="401" w:name="_Toc20356"/>
      <w:bookmarkStart w:id="402" w:name="_Toc18572"/>
      <w:bookmarkStart w:id="403" w:name="_Toc13985"/>
      <w:bookmarkStart w:id="404" w:name="_Toc28022"/>
      <w:bookmarkStart w:id="405" w:name="_Toc9236"/>
      <w:bookmarkStart w:id="406" w:name="_Toc327"/>
      <w:r>
        <w:rPr>
          <w:rFonts w:hint="eastAsia" w:ascii="宋体" w:hAnsi="宋体" w:cs="宋体"/>
          <w:b/>
          <w:color w:val="auto"/>
          <w:kern w:val="0"/>
          <w:szCs w:val="21"/>
        </w:rPr>
        <w:t>三、</w:t>
      </w:r>
      <w:r>
        <w:rPr>
          <w:rFonts w:hint="eastAsia" w:ascii="宋体" w:hAnsi="宋体" w:cs="宋体"/>
          <w:color w:val="auto"/>
          <w:sz w:val="24"/>
        </w:rPr>
        <w:t>供应商根据竞争性磋商公告对应的特定资格要求及特定条件设置须提供的资格证明材料：</w:t>
      </w:r>
    </w:p>
    <w:p w14:paraId="17EFD2CE">
      <w:pPr>
        <w:numPr>
          <w:ilvl w:val="0"/>
          <w:numId w:val="7"/>
        </w:numPr>
        <w:spacing w:line="400" w:lineRule="exact"/>
        <w:ind w:firstLine="420" w:firstLineChars="175"/>
        <w:rPr>
          <w:rFonts w:ascii="宋体" w:hAnsi="宋体" w:cs="宋体"/>
          <w:color w:val="auto"/>
          <w:sz w:val="24"/>
        </w:rPr>
      </w:pPr>
      <w:r>
        <w:rPr>
          <w:rFonts w:hint="eastAsia" w:ascii="宋体" w:hAnsi="宋体" w:cs="宋体"/>
          <w:color w:val="auto"/>
          <w:sz w:val="24"/>
        </w:rPr>
        <w:t>具有有效的律师事务所执业许可证；</w:t>
      </w:r>
    </w:p>
    <w:p w14:paraId="1AC0532F">
      <w:pPr>
        <w:numPr>
          <w:ilvl w:val="0"/>
          <w:numId w:val="7"/>
        </w:numPr>
        <w:spacing w:line="400" w:lineRule="exact"/>
        <w:ind w:firstLine="420" w:firstLineChars="175"/>
        <w:rPr>
          <w:rFonts w:ascii="宋体" w:hAnsi="宋体" w:cs="宋体"/>
          <w:color w:val="auto"/>
          <w:sz w:val="24"/>
        </w:rPr>
      </w:pPr>
      <w:r>
        <w:rPr>
          <w:rFonts w:hint="eastAsia" w:ascii="宋体" w:hAnsi="宋体" w:cs="宋体"/>
          <w:color w:val="auto"/>
          <w:sz w:val="24"/>
        </w:rPr>
        <w:t>拟投入本服务项目的负责人具有律师执业证；</w:t>
      </w:r>
    </w:p>
    <w:p w14:paraId="5BADBE58">
      <w:pPr>
        <w:numPr>
          <w:ilvl w:val="0"/>
          <w:numId w:val="7"/>
        </w:numPr>
        <w:spacing w:line="400" w:lineRule="exact"/>
        <w:ind w:firstLine="420" w:firstLineChars="175"/>
        <w:rPr>
          <w:color w:val="auto"/>
          <w:sz w:val="24"/>
        </w:rPr>
      </w:pPr>
      <w:r>
        <w:rPr>
          <w:rFonts w:hint="eastAsia" w:ascii="宋体" w:hAnsi="宋体" w:cs="宋体"/>
          <w:color w:val="auto"/>
          <w:sz w:val="24"/>
        </w:rPr>
        <w:t>近三年内未受到司法行政主管部门的行政处罚或律师行业协会的处分；（</w:t>
      </w:r>
      <w:r>
        <w:rPr>
          <w:rFonts w:hint="eastAsia" w:ascii="宋体" w:hAnsi="宋体" w:cs="宋体"/>
          <w:b/>
          <w:bCs/>
          <w:color w:val="auto"/>
          <w:sz w:val="24"/>
        </w:rPr>
        <w:t>①、②必须提供真实有效证明文件，③无证明文件的须提供承诺函，否则响应文件按无效响应处理。</w:t>
      </w:r>
      <w:r>
        <w:rPr>
          <w:rFonts w:hint="eastAsia" w:ascii="宋体" w:hAnsi="宋体" w:cs="宋体"/>
          <w:color w:val="auto"/>
          <w:sz w:val="24"/>
        </w:rPr>
        <w:t>）</w:t>
      </w:r>
    </w:p>
    <w:p w14:paraId="520C013E">
      <w:pPr>
        <w:rPr>
          <w:rFonts w:ascii="宋体" w:hAnsi="宋体" w:cs="宋体"/>
          <w:b/>
          <w:color w:val="auto"/>
          <w:kern w:val="0"/>
          <w:szCs w:val="21"/>
        </w:rPr>
      </w:pPr>
    </w:p>
    <w:p w14:paraId="56BFE725">
      <w:pPr>
        <w:rPr>
          <w:rFonts w:ascii="宋体" w:hAnsi="宋体" w:cs="宋体"/>
          <w:b/>
          <w:color w:val="auto"/>
          <w:kern w:val="0"/>
          <w:szCs w:val="21"/>
        </w:rPr>
      </w:pPr>
      <w:r>
        <w:rPr>
          <w:rFonts w:hint="eastAsia" w:ascii="宋体" w:hAnsi="宋体" w:cs="宋体"/>
          <w:b/>
          <w:color w:val="auto"/>
          <w:kern w:val="0"/>
          <w:szCs w:val="21"/>
        </w:rPr>
        <w:br w:type="page"/>
      </w:r>
    </w:p>
    <w:p w14:paraId="35F06531">
      <w:pPr>
        <w:snapToGrid w:val="0"/>
        <w:spacing w:before="50" w:afterLines="50" w:line="360" w:lineRule="auto"/>
        <w:outlineLvl w:val="2"/>
        <w:rPr>
          <w:color w:val="auto"/>
          <w:sz w:val="32"/>
          <w:szCs w:val="32"/>
        </w:rPr>
      </w:pPr>
      <w:r>
        <w:rPr>
          <w:rFonts w:hint="eastAsia" w:ascii="宋体" w:hAnsi="宋体" w:cs="宋体"/>
          <w:b/>
          <w:color w:val="auto"/>
          <w:kern w:val="0"/>
          <w:szCs w:val="21"/>
        </w:rPr>
        <w:t>四、政府采购供应商资格信用承诺函</w:t>
      </w:r>
      <w:bookmarkEnd w:id="393"/>
      <w:bookmarkEnd w:id="394"/>
      <w:bookmarkEnd w:id="395"/>
      <w:bookmarkEnd w:id="396"/>
      <w:bookmarkEnd w:id="397"/>
      <w:bookmarkEnd w:id="398"/>
      <w:bookmarkEnd w:id="399"/>
    </w:p>
    <w:p w14:paraId="0A09F977">
      <w:pPr>
        <w:autoSpaceDE w:val="0"/>
        <w:autoSpaceDN w:val="0"/>
        <w:adjustRightInd w:val="0"/>
        <w:spacing w:line="360" w:lineRule="auto"/>
        <w:rPr>
          <w:rFonts w:ascii="宋体" w:hAnsi="宋体" w:cs="宋体"/>
          <w:color w:val="auto"/>
          <w:spacing w:val="6"/>
          <w:sz w:val="24"/>
        </w:rPr>
      </w:pPr>
    </w:p>
    <w:p w14:paraId="73B1D6E3">
      <w:pPr>
        <w:pStyle w:val="12"/>
        <w:ind w:left="0"/>
        <w:jc w:val="center"/>
        <w:rPr>
          <w:color w:val="auto"/>
          <w:sz w:val="28"/>
          <w:szCs w:val="36"/>
        </w:rPr>
      </w:pPr>
      <w:r>
        <w:rPr>
          <w:rFonts w:hint="eastAsia" w:ascii="宋体" w:hAnsi="宋体" w:cs="宋体"/>
          <w:b/>
          <w:color w:val="auto"/>
          <w:kern w:val="0"/>
          <w:sz w:val="28"/>
          <w:szCs w:val="28"/>
        </w:rPr>
        <w:t>政府采购供应商资格信用承诺函</w:t>
      </w:r>
    </w:p>
    <w:p w14:paraId="4F14D6FA">
      <w:pPr>
        <w:autoSpaceDE w:val="0"/>
        <w:autoSpaceDN w:val="0"/>
        <w:adjustRightInd w:val="0"/>
        <w:spacing w:line="360" w:lineRule="auto"/>
        <w:rPr>
          <w:rFonts w:ascii="宋体" w:hAnsi="宋体" w:cs="宋体"/>
          <w:color w:val="auto"/>
          <w:spacing w:val="6"/>
          <w:sz w:val="24"/>
        </w:rPr>
      </w:pPr>
    </w:p>
    <w:p w14:paraId="6A272C00">
      <w:pPr>
        <w:autoSpaceDE w:val="0"/>
        <w:autoSpaceDN w:val="0"/>
        <w:adjustRightInd w:val="0"/>
        <w:spacing w:line="360" w:lineRule="auto"/>
        <w:rPr>
          <w:rFonts w:ascii="宋体" w:hAnsi="宋体" w:cs="宋体"/>
          <w:color w:val="auto"/>
          <w:spacing w:val="6"/>
          <w:szCs w:val="21"/>
        </w:rPr>
      </w:pPr>
      <w:r>
        <w:rPr>
          <w:rFonts w:hint="eastAsia" w:ascii="宋体" w:hAnsi="宋体" w:cs="宋体"/>
          <w:color w:val="auto"/>
          <w:spacing w:val="6"/>
          <w:szCs w:val="21"/>
        </w:rPr>
        <w:t>致：</w:t>
      </w:r>
      <w:r>
        <w:rPr>
          <w:rFonts w:hint="eastAsia" w:ascii="宋体" w:hAnsi="宋体" w:cs="宋体"/>
          <w:color w:val="auto"/>
          <w:spacing w:val="6"/>
          <w:szCs w:val="21"/>
          <w:u w:val="single"/>
        </w:rPr>
        <w:t>（采购人名称）、（代理机构名称）</w:t>
      </w:r>
      <w:r>
        <w:rPr>
          <w:rFonts w:hint="eastAsia" w:ascii="宋体" w:hAnsi="宋体" w:cs="宋体"/>
          <w:color w:val="auto"/>
          <w:spacing w:val="6"/>
          <w:szCs w:val="21"/>
        </w:rPr>
        <w:t>：</w:t>
      </w:r>
    </w:p>
    <w:p w14:paraId="4785FD96">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我方自愿参加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项目（项目编号：</w:t>
      </w:r>
      <w:r>
        <w:rPr>
          <w:rFonts w:hint="eastAsia" w:ascii="宋体" w:hAnsi="宋体" w:cs="宋体"/>
          <w:color w:val="auto"/>
          <w:spacing w:val="6"/>
          <w:szCs w:val="21"/>
          <w:u w:val="single"/>
        </w:rPr>
        <w:t xml:space="preserve">         </w:t>
      </w:r>
      <w:r>
        <w:rPr>
          <w:rFonts w:hint="eastAsia" w:ascii="宋体" w:hAnsi="宋体" w:cs="宋体"/>
          <w:color w:val="auto"/>
          <w:spacing w:val="6"/>
          <w:szCs w:val="21"/>
        </w:rPr>
        <w:t xml:space="preserve">）的政府采购活动，并郑重承诺我方符合《中华人民共和国政府采购法》第二十二条规定的条件： </w:t>
      </w:r>
    </w:p>
    <w:p w14:paraId="11946844">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 xml:space="preserve">（一）具有独立承担民事责任的能力； </w:t>
      </w:r>
    </w:p>
    <w:p w14:paraId="42694274">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 xml:space="preserve">（二）具有良好的商业信誉和健全的财务会计制度； </w:t>
      </w:r>
    </w:p>
    <w:p w14:paraId="1B104010">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 xml:space="preserve">（三）具有履行合同所必需的设备和专业技术能力； </w:t>
      </w:r>
    </w:p>
    <w:p w14:paraId="633554AC">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 xml:space="preserve">（四）有依法缴纳税收和社会保障资金的良好记录； </w:t>
      </w:r>
    </w:p>
    <w:p w14:paraId="3DBB2209">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 xml:space="preserve">（五）参加政府采购活动前三年内，在经营活动中没有重大违法记录； </w:t>
      </w:r>
    </w:p>
    <w:p w14:paraId="20B391C9">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 xml:space="preserve">（六）法律、行政法规规定的其他条件。 </w:t>
      </w:r>
    </w:p>
    <w:p w14:paraId="666877C3">
      <w:pPr>
        <w:autoSpaceDE w:val="0"/>
        <w:autoSpaceDN w:val="0"/>
        <w:adjustRightInd w:val="0"/>
        <w:spacing w:line="360" w:lineRule="auto"/>
        <w:ind w:firstLine="640"/>
        <w:rPr>
          <w:rFonts w:ascii="宋体" w:hAnsi="宋体" w:cs="宋体"/>
          <w:color w:val="auto"/>
          <w:spacing w:val="6"/>
          <w:szCs w:val="21"/>
        </w:rPr>
      </w:pPr>
      <w:r>
        <w:rPr>
          <w:rFonts w:hint="eastAsia" w:ascii="宋体" w:hAnsi="宋体" w:cs="宋体"/>
          <w:color w:val="auto"/>
          <w:spacing w:val="6"/>
          <w:szCs w:val="21"/>
        </w:rPr>
        <w:t xml:space="preserve">我方保证上述承诺事项的真实性，如有弄虚作假或其他违法违规行为，愿意承担一切法律责任，并承担因此所造成的一切损失。 </w:t>
      </w:r>
    </w:p>
    <w:p w14:paraId="48F08104">
      <w:pPr>
        <w:autoSpaceDE w:val="0"/>
        <w:autoSpaceDN w:val="0"/>
        <w:adjustRightInd w:val="0"/>
        <w:spacing w:line="360" w:lineRule="auto"/>
        <w:ind w:firstLine="640"/>
        <w:rPr>
          <w:rFonts w:ascii="宋体" w:hAnsi="宋体" w:cs="宋体"/>
          <w:b/>
          <w:bCs/>
          <w:color w:val="auto"/>
          <w:spacing w:val="6"/>
          <w:szCs w:val="21"/>
        </w:rPr>
      </w:pPr>
    </w:p>
    <w:p w14:paraId="08184077">
      <w:pPr>
        <w:autoSpaceDE w:val="0"/>
        <w:autoSpaceDN w:val="0"/>
        <w:adjustRightInd w:val="0"/>
        <w:spacing w:line="360" w:lineRule="auto"/>
        <w:ind w:firstLine="640"/>
        <w:rPr>
          <w:rFonts w:ascii="宋体" w:hAnsi="宋体" w:cs="宋体"/>
          <w:color w:val="auto"/>
          <w:spacing w:val="6"/>
          <w:sz w:val="24"/>
        </w:rPr>
      </w:pPr>
      <w:r>
        <w:rPr>
          <w:rFonts w:hint="eastAsia" w:ascii="宋体" w:hAnsi="宋体" w:cs="宋体"/>
          <w:b/>
          <w:bCs/>
          <w:color w:val="auto"/>
          <w:spacing w:val="6"/>
          <w:szCs w:val="21"/>
        </w:rPr>
        <w:t>特此声明！</w:t>
      </w:r>
      <w:r>
        <w:rPr>
          <w:rFonts w:hint="eastAsia" w:ascii="宋体" w:hAnsi="宋体" w:cs="宋体"/>
          <w:color w:val="auto"/>
          <w:spacing w:val="6"/>
          <w:sz w:val="24"/>
        </w:rPr>
        <w:t xml:space="preserve"> </w:t>
      </w:r>
    </w:p>
    <w:p w14:paraId="3B482C0C">
      <w:pPr>
        <w:pStyle w:val="21"/>
        <w:tabs>
          <w:tab w:val="left" w:pos="0"/>
        </w:tabs>
        <w:spacing w:line="360" w:lineRule="auto"/>
        <w:ind w:firstLine="504"/>
        <w:rPr>
          <w:rFonts w:ascii="宋体" w:hAnsi="宋体" w:cs="宋体"/>
          <w:color w:val="auto"/>
          <w:spacing w:val="6"/>
          <w:sz w:val="24"/>
        </w:rPr>
      </w:pPr>
    </w:p>
    <w:p w14:paraId="61D4FB18">
      <w:pPr>
        <w:spacing w:line="360" w:lineRule="auto"/>
        <w:rPr>
          <w:rFonts w:ascii="宋体" w:hAnsi="宋体" w:cs="宋体"/>
          <w:color w:val="auto"/>
          <w:sz w:val="24"/>
        </w:rPr>
      </w:pPr>
    </w:p>
    <w:p w14:paraId="4D80EFF6">
      <w:pPr>
        <w:spacing w:line="500" w:lineRule="exact"/>
        <w:ind w:firstLine="3720" w:firstLineChars="1550"/>
        <w:rPr>
          <w:rFonts w:ascii="宋体" w:hAnsi="宋体" w:cs="宋体"/>
          <w:color w:val="auto"/>
          <w:sz w:val="22"/>
          <w:szCs w:val="22"/>
        </w:rPr>
      </w:pPr>
      <w:r>
        <w:rPr>
          <w:rFonts w:hint="eastAsia" w:ascii="宋体" w:hAnsi="宋体" w:cs="宋体"/>
          <w:color w:val="auto"/>
          <w:sz w:val="24"/>
        </w:rPr>
        <w:t xml:space="preserve">           </w:t>
      </w: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4912672C">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2E2E012E">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61531D28">
      <w:pPr>
        <w:pStyle w:val="13"/>
        <w:spacing w:line="360" w:lineRule="auto"/>
        <w:jc w:val="right"/>
        <w:rPr>
          <w:rFonts w:hAnsi="宋体" w:cs="宋体"/>
          <w:color w:val="auto"/>
          <w:sz w:val="24"/>
          <w:szCs w:val="24"/>
        </w:rPr>
      </w:pPr>
    </w:p>
    <w:p w14:paraId="798DF5AD">
      <w:pPr>
        <w:pStyle w:val="13"/>
        <w:spacing w:line="360" w:lineRule="auto"/>
        <w:rPr>
          <w:rFonts w:hAnsi="宋体" w:cs="宋体"/>
          <w:b/>
          <w:color w:val="auto"/>
          <w:sz w:val="24"/>
          <w:szCs w:val="24"/>
        </w:rPr>
      </w:pPr>
    </w:p>
    <w:p w14:paraId="28BA270F">
      <w:pPr>
        <w:pStyle w:val="13"/>
        <w:spacing w:line="360" w:lineRule="auto"/>
        <w:ind w:firstLine="482" w:firstLineChars="200"/>
        <w:rPr>
          <w:rFonts w:hAnsi="宋体" w:cs="宋体"/>
          <w:b/>
          <w:color w:val="auto"/>
          <w:sz w:val="24"/>
          <w:szCs w:val="24"/>
        </w:rPr>
      </w:pPr>
    </w:p>
    <w:bookmarkEnd w:id="400"/>
    <w:bookmarkEnd w:id="401"/>
    <w:bookmarkEnd w:id="402"/>
    <w:bookmarkEnd w:id="403"/>
    <w:bookmarkEnd w:id="404"/>
    <w:bookmarkEnd w:id="405"/>
    <w:bookmarkEnd w:id="406"/>
    <w:p w14:paraId="46A071FA">
      <w:pPr>
        <w:autoSpaceDE w:val="0"/>
        <w:autoSpaceDN w:val="0"/>
        <w:spacing w:line="360" w:lineRule="auto"/>
        <w:ind w:firstLine="5376" w:firstLineChars="2550"/>
        <w:rPr>
          <w:rFonts w:ascii="宋体" w:hAnsi="宋体" w:cs="宋体"/>
          <w:b/>
          <w:bCs/>
          <w:color w:val="auto"/>
          <w:szCs w:val="21"/>
        </w:rPr>
      </w:pPr>
    </w:p>
    <w:p w14:paraId="6770016B">
      <w:pPr>
        <w:spacing w:line="360" w:lineRule="auto"/>
        <w:ind w:firstLine="417" w:firstLineChars="198"/>
        <w:contextualSpacing/>
        <w:rPr>
          <w:rFonts w:ascii="宋体" w:hAnsi="宋体" w:cs="宋体"/>
          <w:b/>
          <w:color w:val="auto"/>
          <w:kern w:val="0"/>
          <w:szCs w:val="21"/>
        </w:rPr>
      </w:pPr>
    </w:p>
    <w:p w14:paraId="00728393">
      <w:pPr>
        <w:spacing w:line="360" w:lineRule="auto"/>
        <w:contextualSpacing/>
        <w:outlineLvl w:val="2"/>
        <w:rPr>
          <w:rFonts w:ascii="宋体" w:hAnsi="宋体" w:cs="宋体"/>
          <w:b/>
          <w:color w:val="auto"/>
          <w:kern w:val="0"/>
          <w:szCs w:val="21"/>
        </w:rPr>
      </w:pPr>
      <w:r>
        <w:rPr>
          <w:rFonts w:hint="eastAsia" w:ascii="宋体" w:hAnsi="宋体" w:cs="宋体"/>
          <w:b/>
          <w:color w:val="auto"/>
          <w:kern w:val="0"/>
          <w:szCs w:val="21"/>
        </w:rPr>
        <w:br w:type="page"/>
      </w:r>
      <w:bookmarkStart w:id="407" w:name="_Toc29743"/>
      <w:bookmarkStart w:id="408" w:name="_Toc2405"/>
      <w:bookmarkStart w:id="409" w:name="_Toc28266"/>
      <w:bookmarkStart w:id="410" w:name="_Toc5297"/>
      <w:bookmarkStart w:id="411" w:name="_Toc9208"/>
      <w:bookmarkStart w:id="412" w:name="_Toc32394"/>
      <w:bookmarkStart w:id="413" w:name="_Toc26294"/>
      <w:bookmarkStart w:id="414" w:name="_Toc20861"/>
      <w:bookmarkStart w:id="415" w:name="_Toc390"/>
      <w:bookmarkStart w:id="416" w:name="_Toc16696"/>
      <w:bookmarkStart w:id="417" w:name="_Toc27961"/>
      <w:bookmarkStart w:id="418" w:name="_Toc14762"/>
      <w:bookmarkStart w:id="419" w:name="_Toc14238"/>
      <w:bookmarkStart w:id="420" w:name="_Toc9306"/>
      <w:bookmarkStart w:id="421" w:name="_Toc18787"/>
      <w:bookmarkStart w:id="422" w:name="_Toc21166"/>
      <w:bookmarkStart w:id="423" w:name="_Toc17580"/>
      <w:bookmarkStart w:id="424" w:name="_Toc6591"/>
      <w:r>
        <w:rPr>
          <w:rFonts w:hint="eastAsia" w:ascii="宋体" w:hAnsi="宋体" w:cs="宋体"/>
          <w:b/>
          <w:color w:val="auto"/>
          <w:kern w:val="0"/>
          <w:szCs w:val="21"/>
        </w:rPr>
        <w:t>五、</w:t>
      </w:r>
      <w:bookmarkEnd w:id="407"/>
      <w:bookmarkEnd w:id="408"/>
      <w:bookmarkEnd w:id="409"/>
      <w:r>
        <w:rPr>
          <w:rFonts w:hint="eastAsia" w:ascii="宋体" w:hAnsi="宋体" w:cs="宋体"/>
          <w:b/>
          <w:color w:val="auto"/>
          <w:kern w:val="0"/>
          <w:szCs w:val="21"/>
        </w:rPr>
        <w:t>供应商控股及管理关系情况申报表</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AB488F7">
      <w:pPr>
        <w:spacing w:line="360" w:lineRule="auto"/>
        <w:contextualSpacing/>
        <w:jc w:val="center"/>
        <w:rPr>
          <w:rFonts w:ascii="宋体" w:hAnsi="宋体" w:cs="宋体"/>
          <w:b/>
          <w:color w:val="auto"/>
          <w:szCs w:val="21"/>
        </w:rPr>
      </w:pPr>
    </w:p>
    <w:p w14:paraId="74617E7C">
      <w:pPr>
        <w:spacing w:line="440" w:lineRule="exac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 w:val="22"/>
          <w:szCs w:val="22"/>
          <w:u w:val="single"/>
        </w:rPr>
        <w:t xml:space="preserve"> </w:t>
      </w:r>
      <w:r>
        <w:rPr>
          <w:rFonts w:hint="eastAsia" w:hAnsi="宋体" w:cs="宋体"/>
          <w:color w:val="auto"/>
          <w:u w:val="single"/>
        </w:rPr>
        <w:t>象州县司法局、广西信和招标代理有限公司</w:t>
      </w:r>
    </w:p>
    <w:p w14:paraId="16C21421">
      <w:pPr>
        <w:spacing w:line="440" w:lineRule="exact"/>
        <w:ind w:firstLine="420" w:firstLineChars="200"/>
        <w:rPr>
          <w:rFonts w:ascii="宋体" w:hAnsi="宋体" w:cs="宋体"/>
          <w:color w:val="auto"/>
          <w:szCs w:val="21"/>
        </w:rPr>
      </w:pPr>
      <w:r>
        <w:rPr>
          <w:rFonts w:hint="eastAsia" w:ascii="宋体" w:hAnsi="宋体" w:cs="宋体"/>
          <w:color w:val="auto"/>
          <w:szCs w:val="21"/>
        </w:rPr>
        <w:t>我单位参加</w:t>
      </w:r>
      <w:r>
        <w:rPr>
          <w:rFonts w:hint="eastAsia" w:ascii="宋体" w:hAnsi="宋体" w:cs="宋体"/>
          <w:color w:val="auto"/>
          <w:szCs w:val="21"/>
          <w:u w:val="single"/>
        </w:rPr>
        <w:t xml:space="preserve">   （项目名称）      </w:t>
      </w:r>
      <w:r>
        <w:rPr>
          <w:rFonts w:hint="eastAsia" w:ascii="宋体" w:hAnsi="宋体" w:cs="宋体"/>
          <w:color w:val="auto"/>
          <w:szCs w:val="21"/>
        </w:rPr>
        <w:t>的竞争性磋商，根据《中华人民共和国政府采购法》及相关规定，特就本单位控股及管理关系情况申报如下，并承担申报不实的责任。</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14:paraId="4C41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14:paraId="5F2DC748">
            <w:pPr>
              <w:spacing w:line="440" w:lineRule="exact"/>
              <w:rPr>
                <w:rFonts w:ascii="宋体" w:hAnsi="宋体" w:cs="宋体"/>
                <w:color w:val="auto"/>
                <w:szCs w:val="21"/>
              </w:rPr>
            </w:pPr>
            <w:r>
              <w:rPr>
                <w:rFonts w:hint="eastAsia" w:ascii="宋体" w:hAnsi="宋体" w:cs="宋体"/>
                <w:color w:val="auto"/>
                <w:szCs w:val="21"/>
              </w:rPr>
              <w:t>供应商名称</w:t>
            </w:r>
          </w:p>
        </w:tc>
        <w:tc>
          <w:tcPr>
            <w:tcW w:w="6455" w:type="dxa"/>
            <w:gridSpan w:val="2"/>
            <w:vAlign w:val="center"/>
          </w:tcPr>
          <w:p w14:paraId="3919D583">
            <w:pPr>
              <w:spacing w:line="440" w:lineRule="exact"/>
              <w:rPr>
                <w:rFonts w:ascii="宋体" w:hAnsi="宋体" w:cs="宋体"/>
                <w:color w:val="auto"/>
                <w:szCs w:val="21"/>
              </w:rPr>
            </w:pPr>
          </w:p>
        </w:tc>
      </w:tr>
      <w:tr w14:paraId="4E96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14:paraId="464D8DB7">
            <w:pPr>
              <w:spacing w:line="360" w:lineRule="exact"/>
              <w:rPr>
                <w:rFonts w:ascii="宋体" w:hAnsi="宋体" w:cs="宋体"/>
                <w:color w:val="auto"/>
                <w:szCs w:val="21"/>
              </w:rPr>
            </w:pPr>
            <w:r>
              <w:rPr>
                <w:rFonts w:hint="eastAsia" w:ascii="宋体" w:hAnsi="宋体" w:cs="宋体"/>
                <w:color w:val="auto"/>
                <w:szCs w:val="21"/>
              </w:rPr>
              <w:t>法定代表人/单位负责人</w:t>
            </w:r>
          </w:p>
        </w:tc>
        <w:tc>
          <w:tcPr>
            <w:tcW w:w="2627" w:type="dxa"/>
            <w:vAlign w:val="center"/>
          </w:tcPr>
          <w:p w14:paraId="541E9EB2">
            <w:pPr>
              <w:spacing w:line="360" w:lineRule="exact"/>
              <w:rPr>
                <w:rFonts w:ascii="宋体" w:hAnsi="宋体" w:cs="宋体"/>
                <w:color w:val="auto"/>
                <w:szCs w:val="21"/>
              </w:rPr>
            </w:pPr>
            <w:r>
              <w:rPr>
                <w:rFonts w:hint="eastAsia" w:ascii="宋体" w:hAnsi="宋体" w:cs="宋体"/>
                <w:color w:val="auto"/>
                <w:szCs w:val="21"/>
              </w:rPr>
              <w:t>姓    名</w:t>
            </w:r>
          </w:p>
        </w:tc>
        <w:tc>
          <w:tcPr>
            <w:tcW w:w="3828" w:type="dxa"/>
            <w:vAlign w:val="center"/>
          </w:tcPr>
          <w:p w14:paraId="7D39D739">
            <w:pPr>
              <w:spacing w:line="440" w:lineRule="exact"/>
              <w:rPr>
                <w:rFonts w:ascii="宋体" w:hAnsi="宋体" w:cs="宋体"/>
                <w:color w:val="auto"/>
                <w:szCs w:val="21"/>
              </w:rPr>
            </w:pPr>
          </w:p>
        </w:tc>
      </w:tr>
      <w:tr w14:paraId="6FE1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14:paraId="0D86D9F3">
            <w:pPr>
              <w:spacing w:line="360" w:lineRule="exact"/>
              <w:rPr>
                <w:rFonts w:ascii="宋体" w:hAnsi="宋体" w:cs="宋体"/>
                <w:color w:val="auto"/>
                <w:szCs w:val="21"/>
              </w:rPr>
            </w:pPr>
          </w:p>
        </w:tc>
        <w:tc>
          <w:tcPr>
            <w:tcW w:w="2627" w:type="dxa"/>
            <w:vAlign w:val="center"/>
          </w:tcPr>
          <w:p w14:paraId="638D78C4">
            <w:pPr>
              <w:spacing w:line="360" w:lineRule="exact"/>
              <w:rPr>
                <w:rFonts w:ascii="宋体" w:hAnsi="宋体" w:cs="宋体"/>
                <w:color w:val="auto"/>
                <w:szCs w:val="21"/>
              </w:rPr>
            </w:pPr>
            <w:r>
              <w:rPr>
                <w:rFonts w:hint="eastAsia" w:ascii="宋体" w:hAnsi="宋体" w:cs="宋体"/>
                <w:color w:val="auto"/>
                <w:szCs w:val="21"/>
              </w:rPr>
              <w:t>身份证号</w:t>
            </w:r>
          </w:p>
        </w:tc>
        <w:tc>
          <w:tcPr>
            <w:tcW w:w="3828" w:type="dxa"/>
            <w:vAlign w:val="center"/>
          </w:tcPr>
          <w:p w14:paraId="24A64FEA">
            <w:pPr>
              <w:spacing w:line="440" w:lineRule="exact"/>
              <w:rPr>
                <w:rFonts w:ascii="宋体" w:hAnsi="宋体" w:cs="宋体"/>
                <w:color w:val="auto"/>
                <w:szCs w:val="21"/>
              </w:rPr>
            </w:pPr>
          </w:p>
        </w:tc>
      </w:tr>
      <w:tr w14:paraId="1487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14:paraId="30A46D7D">
            <w:pPr>
              <w:spacing w:line="360" w:lineRule="exact"/>
              <w:rPr>
                <w:rFonts w:ascii="宋体" w:hAnsi="宋体" w:cs="宋体"/>
                <w:color w:val="auto"/>
                <w:szCs w:val="21"/>
              </w:rPr>
            </w:pPr>
            <w:r>
              <w:rPr>
                <w:rFonts w:hint="eastAsia" w:ascii="宋体" w:hAnsi="宋体" w:cs="宋体"/>
                <w:color w:val="auto"/>
                <w:szCs w:val="21"/>
              </w:rPr>
              <w:t>控股股东/投资人名称及出资比例</w:t>
            </w:r>
          </w:p>
        </w:tc>
        <w:tc>
          <w:tcPr>
            <w:tcW w:w="6455" w:type="dxa"/>
            <w:gridSpan w:val="2"/>
            <w:vAlign w:val="center"/>
          </w:tcPr>
          <w:p w14:paraId="17A99761">
            <w:pPr>
              <w:spacing w:line="360" w:lineRule="exact"/>
              <w:rPr>
                <w:rFonts w:ascii="宋体" w:hAnsi="宋体" w:cs="宋体"/>
                <w:color w:val="auto"/>
                <w:szCs w:val="21"/>
              </w:rPr>
            </w:pPr>
          </w:p>
        </w:tc>
      </w:tr>
      <w:tr w14:paraId="2A80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14:paraId="21614898">
            <w:pPr>
              <w:spacing w:line="360" w:lineRule="exact"/>
              <w:rPr>
                <w:rFonts w:ascii="宋体" w:hAnsi="宋体" w:cs="宋体"/>
                <w:color w:val="auto"/>
                <w:szCs w:val="21"/>
              </w:rPr>
            </w:pPr>
            <w:r>
              <w:rPr>
                <w:rFonts w:hint="eastAsia" w:ascii="宋体" w:hAnsi="宋体" w:cs="宋体"/>
                <w:color w:val="auto"/>
                <w:szCs w:val="21"/>
              </w:rPr>
              <w:t>非控股股东/投资人名称及出资比例</w:t>
            </w:r>
          </w:p>
        </w:tc>
        <w:tc>
          <w:tcPr>
            <w:tcW w:w="6455" w:type="dxa"/>
            <w:gridSpan w:val="2"/>
            <w:vAlign w:val="center"/>
          </w:tcPr>
          <w:p w14:paraId="783CB796">
            <w:pPr>
              <w:spacing w:line="360" w:lineRule="exact"/>
              <w:rPr>
                <w:rFonts w:ascii="宋体" w:hAnsi="宋体" w:cs="宋体"/>
                <w:color w:val="auto"/>
                <w:szCs w:val="21"/>
              </w:rPr>
            </w:pPr>
          </w:p>
        </w:tc>
      </w:tr>
      <w:tr w14:paraId="6A47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14:paraId="371552C2">
            <w:pPr>
              <w:spacing w:line="360" w:lineRule="exact"/>
              <w:rPr>
                <w:rFonts w:ascii="宋体" w:hAnsi="宋体" w:cs="宋体"/>
                <w:color w:val="auto"/>
                <w:szCs w:val="21"/>
              </w:rPr>
            </w:pPr>
            <w:r>
              <w:rPr>
                <w:rFonts w:hint="eastAsia" w:ascii="宋体" w:hAnsi="宋体" w:cs="宋体"/>
                <w:color w:val="auto"/>
                <w:szCs w:val="21"/>
              </w:rPr>
              <w:t>管理关系单位名称</w:t>
            </w:r>
          </w:p>
        </w:tc>
        <w:tc>
          <w:tcPr>
            <w:tcW w:w="2627" w:type="dxa"/>
            <w:vAlign w:val="center"/>
          </w:tcPr>
          <w:p w14:paraId="6DA74041">
            <w:pPr>
              <w:spacing w:line="360" w:lineRule="exact"/>
              <w:rPr>
                <w:rFonts w:ascii="宋体" w:hAnsi="宋体" w:cs="宋体"/>
                <w:color w:val="auto"/>
                <w:szCs w:val="21"/>
              </w:rPr>
            </w:pPr>
            <w:r>
              <w:rPr>
                <w:rFonts w:hint="eastAsia" w:ascii="宋体" w:hAnsi="宋体" w:cs="宋体"/>
                <w:color w:val="auto"/>
                <w:szCs w:val="21"/>
              </w:rPr>
              <w:t>管理关系单位名称</w:t>
            </w:r>
          </w:p>
        </w:tc>
        <w:tc>
          <w:tcPr>
            <w:tcW w:w="3828" w:type="dxa"/>
            <w:vAlign w:val="center"/>
          </w:tcPr>
          <w:p w14:paraId="1344FD9B">
            <w:pPr>
              <w:spacing w:line="440" w:lineRule="exact"/>
              <w:rPr>
                <w:rFonts w:ascii="宋体" w:hAnsi="宋体" w:cs="宋体"/>
                <w:color w:val="auto"/>
                <w:szCs w:val="21"/>
              </w:rPr>
            </w:pPr>
          </w:p>
        </w:tc>
      </w:tr>
      <w:tr w14:paraId="487A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14:paraId="68B3C325">
            <w:pPr>
              <w:spacing w:line="360" w:lineRule="exact"/>
              <w:rPr>
                <w:rFonts w:ascii="宋体" w:hAnsi="宋体" w:cs="宋体"/>
                <w:color w:val="auto"/>
                <w:szCs w:val="21"/>
              </w:rPr>
            </w:pPr>
          </w:p>
        </w:tc>
        <w:tc>
          <w:tcPr>
            <w:tcW w:w="2627" w:type="dxa"/>
            <w:vAlign w:val="center"/>
          </w:tcPr>
          <w:p w14:paraId="6FF8E013">
            <w:pPr>
              <w:spacing w:line="360" w:lineRule="exact"/>
              <w:rPr>
                <w:rFonts w:ascii="宋体" w:hAnsi="宋体" w:cs="宋体"/>
                <w:color w:val="auto"/>
                <w:szCs w:val="21"/>
              </w:rPr>
            </w:pPr>
            <w:r>
              <w:rPr>
                <w:rFonts w:hint="eastAsia" w:ascii="宋体" w:hAnsi="宋体" w:cs="宋体"/>
                <w:color w:val="auto"/>
                <w:szCs w:val="21"/>
              </w:rPr>
              <w:t>被管理关系单位名称</w:t>
            </w:r>
          </w:p>
        </w:tc>
        <w:tc>
          <w:tcPr>
            <w:tcW w:w="3828" w:type="dxa"/>
            <w:vAlign w:val="center"/>
          </w:tcPr>
          <w:p w14:paraId="2653840C">
            <w:pPr>
              <w:spacing w:line="440" w:lineRule="exact"/>
              <w:rPr>
                <w:rFonts w:ascii="宋体" w:hAnsi="宋体" w:cs="宋体"/>
                <w:color w:val="auto"/>
                <w:szCs w:val="21"/>
              </w:rPr>
            </w:pPr>
          </w:p>
        </w:tc>
      </w:tr>
      <w:tr w14:paraId="5CDE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14:paraId="3DE141A5">
            <w:pPr>
              <w:spacing w:line="440" w:lineRule="exact"/>
              <w:rPr>
                <w:rFonts w:ascii="宋体" w:hAnsi="宋体" w:cs="宋体"/>
                <w:color w:val="auto"/>
                <w:szCs w:val="21"/>
              </w:rPr>
            </w:pPr>
            <w:r>
              <w:rPr>
                <w:rFonts w:hint="eastAsia" w:ascii="宋体" w:hAnsi="宋体" w:cs="宋体"/>
                <w:color w:val="auto"/>
                <w:szCs w:val="21"/>
              </w:rPr>
              <w:t>备注：</w:t>
            </w:r>
          </w:p>
        </w:tc>
      </w:tr>
    </w:tbl>
    <w:p w14:paraId="0A666FE2">
      <w:pPr>
        <w:spacing w:line="340" w:lineRule="exact"/>
        <w:rPr>
          <w:rFonts w:ascii="宋体" w:hAnsi="宋体" w:cs="宋体"/>
          <w:color w:val="auto"/>
          <w:szCs w:val="21"/>
        </w:rPr>
      </w:pPr>
      <w:r>
        <w:rPr>
          <w:rFonts w:hint="eastAsia" w:ascii="宋体" w:hAnsi="宋体" w:cs="宋体"/>
          <w:color w:val="auto"/>
          <w:szCs w:val="21"/>
        </w:rPr>
        <w:t>注：</w:t>
      </w:r>
    </w:p>
    <w:p w14:paraId="61B7F76A">
      <w:pPr>
        <w:pStyle w:val="34"/>
        <w:numPr>
          <w:ilvl w:val="0"/>
          <w:numId w:val="8"/>
        </w:numPr>
        <w:adjustRightInd w:val="0"/>
        <w:snapToGrid w:val="0"/>
        <w:spacing w:line="340" w:lineRule="exact"/>
        <w:ind w:firstLineChars="0"/>
        <w:rPr>
          <w:rFonts w:ascii="宋体" w:hAnsi="宋体" w:cs="宋体"/>
          <w:color w:val="auto"/>
          <w:szCs w:val="21"/>
        </w:rPr>
      </w:pPr>
      <w:r>
        <w:rPr>
          <w:rFonts w:hint="eastAsia" w:ascii="宋体" w:hAnsi="宋体" w:cs="宋体"/>
          <w:color w:val="auto"/>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r>
        <w:rPr>
          <w:rFonts w:hint="eastAsia" w:ascii="宋体" w:hAnsi="宋体" w:cs="宋体"/>
          <w:color w:val="auto"/>
          <w:szCs w:val="21"/>
        </w:rPr>
        <w:t>控股股东/投资人是指出资比例在50%以上，或者出资比例不足50%，但享有公司股东会/董事会控制权的投资方（含单位或者个人）；</w:t>
      </w:r>
    </w:p>
    <w:p w14:paraId="41FC6188">
      <w:pPr>
        <w:pStyle w:val="34"/>
        <w:numPr>
          <w:ilvl w:val="0"/>
          <w:numId w:val="8"/>
        </w:numPr>
        <w:adjustRightInd w:val="0"/>
        <w:snapToGrid w:val="0"/>
        <w:spacing w:line="340" w:lineRule="exact"/>
        <w:ind w:firstLineChars="0"/>
        <w:rPr>
          <w:rFonts w:ascii="宋体" w:hAnsi="宋体" w:cs="宋体"/>
          <w:color w:val="auto"/>
          <w:szCs w:val="21"/>
        </w:rPr>
      </w:pPr>
      <w:r>
        <w:rPr>
          <w:rFonts w:hint="eastAsia" w:ascii="宋体" w:hAnsi="宋体" w:cs="宋体"/>
          <w:color w:val="auto"/>
          <w:szCs w:val="21"/>
        </w:rPr>
        <w:t xml:space="preserve">管理关系单位是指与不具有出资持股关系的其他单位之间存在管理与被管理关系的单位； </w:t>
      </w:r>
    </w:p>
    <w:p w14:paraId="025732A9">
      <w:pPr>
        <w:pStyle w:val="34"/>
        <w:numPr>
          <w:ilvl w:val="0"/>
          <w:numId w:val="8"/>
        </w:numPr>
        <w:adjustRightInd w:val="0"/>
        <w:snapToGrid w:val="0"/>
        <w:spacing w:line="340" w:lineRule="exact"/>
        <w:ind w:firstLineChars="0"/>
        <w:rPr>
          <w:rFonts w:ascii="宋体" w:hAnsi="宋体" w:cs="宋体"/>
          <w:color w:val="auto"/>
          <w:szCs w:val="21"/>
        </w:rPr>
      </w:pPr>
      <w:r>
        <w:rPr>
          <w:rFonts w:hint="eastAsia" w:ascii="宋体" w:hAnsi="宋体" w:cs="宋体"/>
          <w:color w:val="auto"/>
          <w:szCs w:val="21"/>
        </w:rPr>
        <w:t>如未有相关情况，请在相应栏填写“无”。</w:t>
      </w:r>
    </w:p>
    <w:p w14:paraId="6031342F">
      <w:pPr>
        <w:snapToGrid w:val="0"/>
        <w:spacing w:line="360" w:lineRule="auto"/>
        <w:jc w:val="left"/>
        <w:rPr>
          <w:rFonts w:ascii="宋体" w:hAnsi="宋体" w:cs="宋体"/>
          <w:color w:val="auto"/>
          <w:szCs w:val="21"/>
        </w:rPr>
      </w:pPr>
    </w:p>
    <w:p w14:paraId="7D81F389">
      <w:pPr>
        <w:spacing w:line="500" w:lineRule="exact"/>
        <w:ind w:firstLine="4950" w:firstLineChars="22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62002F95">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076B07D2">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575DFA20">
      <w:pPr>
        <w:snapToGrid w:val="0"/>
        <w:spacing w:line="360" w:lineRule="auto"/>
        <w:rPr>
          <w:rFonts w:ascii="宋体" w:hAnsi="宋体" w:cs="宋体"/>
          <w:b/>
          <w:color w:val="auto"/>
          <w:kern w:val="0"/>
          <w:szCs w:val="21"/>
        </w:rPr>
      </w:pPr>
    </w:p>
    <w:p w14:paraId="2C805078">
      <w:pPr>
        <w:spacing w:line="360" w:lineRule="auto"/>
        <w:outlineLvl w:val="2"/>
        <w:rPr>
          <w:rFonts w:ascii="宋体" w:hAnsi="宋体" w:cs="宋体"/>
          <w:b/>
          <w:bCs/>
          <w:color w:val="auto"/>
          <w:szCs w:val="21"/>
        </w:rPr>
      </w:pPr>
      <w:r>
        <w:rPr>
          <w:rFonts w:hint="eastAsia" w:hAnsi="宋体" w:cs="宋体"/>
          <w:color w:val="auto"/>
          <w:kern w:val="0"/>
          <w:szCs w:val="21"/>
        </w:rPr>
        <w:br w:type="page"/>
      </w:r>
      <w:bookmarkStart w:id="425" w:name="_Toc22073"/>
      <w:bookmarkStart w:id="426" w:name="_Toc26285"/>
      <w:bookmarkStart w:id="427" w:name="_Toc26507"/>
      <w:bookmarkStart w:id="428" w:name="_Toc20675"/>
      <w:bookmarkStart w:id="429" w:name="_Toc26591"/>
      <w:bookmarkStart w:id="430" w:name="_Toc20948"/>
      <w:bookmarkStart w:id="431" w:name="_Toc3706"/>
      <w:r>
        <w:rPr>
          <w:rFonts w:hint="eastAsia" w:hAnsi="宋体" w:cs="宋体"/>
          <w:color w:val="auto"/>
          <w:kern w:val="0"/>
          <w:szCs w:val="21"/>
        </w:rPr>
        <w:t>六</w:t>
      </w:r>
      <w:r>
        <w:rPr>
          <w:rFonts w:hint="eastAsia" w:ascii="宋体" w:hAnsi="宋体" w:cs="宋体"/>
          <w:b/>
          <w:bCs/>
          <w:color w:val="auto"/>
          <w:szCs w:val="32"/>
        </w:rPr>
        <w:t>、</w:t>
      </w:r>
      <w:r>
        <w:rPr>
          <w:rFonts w:hint="eastAsia" w:ascii="宋体" w:hAnsi="宋体" w:cs="宋体"/>
          <w:b/>
          <w:bCs/>
          <w:color w:val="auto"/>
          <w:szCs w:val="21"/>
        </w:rPr>
        <w:t>供应商如为分支机构投标的，须提供其总公司“营业执照”副本复印件和总公司对供应商的授权书复印件（如有，请提供）</w:t>
      </w:r>
      <w:bookmarkEnd w:id="425"/>
      <w:bookmarkEnd w:id="426"/>
      <w:bookmarkEnd w:id="427"/>
      <w:bookmarkEnd w:id="428"/>
      <w:bookmarkEnd w:id="429"/>
      <w:bookmarkEnd w:id="430"/>
      <w:bookmarkEnd w:id="431"/>
    </w:p>
    <w:p w14:paraId="45454976">
      <w:pPr>
        <w:rPr>
          <w:color w:val="auto"/>
        </w:rPr>
      </w:pPr>
    </w:p>
    <w:p w14:paraId="20DED3FB">
      <w:pPr>
        <w:rPr>
          <w:color w:val="auto"/>
        </w:rPr>
      </w:pPr>
    </w:p>
    <w:p w14:paraId="3CD8AA1F">
      <w:pPr>
        <w:rPr>
          <w:color w:val="auto"/>
        </w:rPr>
      </w:pPr>
    </w:p>
    <w:p w14:paraId="6AD3F4DB">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111949F5">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607C9B32">
      <w:pPr>
        <w:rPr>
          <w:color w:val="auto"/>
        </w:rPr>
      </w:pPr>
    </w:p>
    <w:p w14:paraId="47D0E89E">
      <w:pPr>
        <w:rPr>
          <w:color w:val="auto"/>
        </w:rPr>
      </w:pPr>
    </w:p>
    <w:p w14:paraId="601B5E94">
      <w:pPr>
        <w:jc w:val="center"/>
        <w:outlineLvl w:val="1"/>
        <w:rPr>
          <w:color w:val="auto"/>
        </w:rPr>
      </w:pPr>
      <w:r>
        <w:rPr>
          <w:color w:val="auto"/>
        </w:rPr>
        <w:br w:type="page"/>
      </w:r>
      <w:r>
        <w:rPr>
          <w:rFonts w:hint="eastAsia"/>
          <w:b/>
          <w:bCs/>
          <w:color w:val="auto"/>
          <w:sz w:val="32"/>
          <w:szCs w:val="40"/>
        </w:rPr>
        <w:t>第二节  报价文件格式</w:t>
      </w:r>
    </w:p>
    <w:p w14:paraId="52DB65A0">
      <w:pPr>
        <w:rPr>
          <w:color w:val="auto"/>
        </w:rPr>
      </w:pPr>
    </w:p>
    <w:p w14:paraId="29786787">
      <w:pPr>
        <w:snapToGrid w:val="0"/>
        <w:spacing w:beforeLines="50" w:after="50" w:line="360" w:lineRule="auto"/>
        <w:jc w:val="center"/>
        <w:rPr>
          <w:rFonts w:ascii="宋体" w:hAnsi="宋体" w:cs="宋体"/>
          <w:bCs/>
          <w:color w:val="auto"/>
          <w:szCs w:val="21"/>
        </w:rPr>
      </w:pPr>
      <w:bookmarkStart w:id="432" w:name="_Toc20416"/>
      <w:bookmarkStart w:id="433" w:name="_Toc14252"/>
      <w:bookmarkStart w:id="434" w:name="_Toc10834"/>
      <w:bookmarkStart w:id="435" w:name="_Toc80205940"/>
      <w:bookmarkStart w:id="436" w:name="_Toc80886944"/>
      <w:r>
        <w:rPr>
          <w:rFonts w:hint="eastAsia" w:ascii="宋体" w:hAnsi="宋体" w:cs="宋体"/>
          <w:bCs/>
          <w:color w:val="auto"/>
          <w:szCs w:val="21"/>
        </w:rPr>
        <w:t>全流程电子文件</w:t>
      </w:r>
    </w:p>
    <w:p w14:paraId="7F8A0017">
      <w:pPr>
        <w:snapToGrid w:val="0"/>
        <w:spacing w:beforeLines="50" w:after="50" w:line="360" w:lineRule="auto"/>
        <w:rPr>
          <w:rFonts w:ascii="宋体" w:hAnsi="宋体" w:cs="宋体"/>
          <w:color w:val="auto"/>
          <w:szCs w:val="21"/>
        </w:rPr>
      </w:pPr>
    </w:p>
    <w:p w14:paraId="0CD1580F">
      <w:pPr>
        <w:snapToGrid w:val="0"/>
        <w:spacing w:beforeLines="50" w:after="50" w:line="360" w:lineRule="auto"/>
        <w:rPr>
          <w:rFonts w:ascii="宋体" w:hAnsi="宋体" w:cs="宋体"/>
          <w:color w:val="auto"/>
          <w:szCs w:val="21"/>
        </w:rPr>
      </w:pPr>
    </w:p>
    <w:p w14:paraId="5032334A">
      <w:pPr>
        <w:snapToGrid w:val="0"/>
        <w:spacing w:beforeLines="50" w:after="50" w:line="360" w:lineRule="auto"/>
        <w:rPr>
          <w:rFonts w:ascii="宋体" w:hAnsi="宋体" w:cs="宋体"/>
          <w:color w:val="auto"/>
          <w:szCs w:val="21"/>
        </w:rPr>
      </w:pPr>
    </w:p>
    <w:p w14:paraId="64F63126">
      <w:pPr>
        <w:snapToGrid w:val="0"/>
        <w:spacing w:beforeLines="50" w:after="50" w:line="360" w:lineRule="auto"/>
        <w:jc w:val="center"/>
        <w:rPr>
          <w:rFonts w:ascii="宋体" w:hAnsi="宋体" w:cs="宋体"/>
          <w:b/>
          <w:color w:val="auto"/>
          <w:sz w:val="36"/>
          <w:szCs w:val="36"/>
        </w:rPr>
      </w:pPr>
      <w:r>
        <w:rPr>
          <w:rFonts w:hint="eastAsia" w:ascii="宋体" w:hAnsi="宋体" w:cs="宋体"/>
          <w:b/>
          <w:color w:val="auto"/>
          <w:sz w:val="36"/>
          <w:szCs w:val="36"/>
        </w:rPr>
        <w:t>报  价  文  件（封面）</w:t>
      </w:r>
    </w:p>
    <w:p w14:paraId="3434CDFF">
      <w:pPr>
        <w:snapToGrid w:val="0"/>
        <w:spacing w:beforeLines="50" w:after="50" w:line="360" w:lineRule="auto"/>
        <w:rPr>
          <w:rFonts w:ascii="宋体" w:hAnsi="宋体" w:cs="宋体"/>
          <w:bCs/>
          <w:color w:val="auto"/>
          <w:szCs w:val="21"/>
        </w:rPr>
      </w:pPr>
    </w:p>
    <w:p w14:paraId="1EFBB1C3">
      <w:pPr>
        <w:snapToGrid w:val="0"/>
        <w:spacing w:beforeLines="50" w:after="50" w:line="360" w:lineRule="auto"/>
        <w:rPr>
          <w:rFonts w:ascii="宋体" w:hAnsi="宋体" w:cs="宋体"/>
          <w:bCs/>
          <w:color w:val="auto"/>
          <w:sz w:val="28"/>
          <w:szCs w:val="28"/>
        </w:rPr>
      </w:pPr>
    </w:p>
    <w:p w14:paraId="770F7E4D">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项目名称：</w:t>
      </w:r>
    </w:p>
    <w:p w14:paraId="313238AA">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项目编号：</w:t>
      </w:r>
    </w:p>
    <w:p w14:paraId="1CC929FC">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所竞分标（如有则填写，无分标时填写“无”或者留空）：</w:t>
      </w:r>
    </w:p>
    <w:p w14:paraId="39E93CB4">
      <w:pPr>
        <w:pStyle w:val="7"/>
        <w:snapToGrid w:val="0"/>
        <w:spacing w:before="50" w:after="50" w:line="480" w:lineRule="auto"/>
        <w:ind w:firstLineChars="150"/>
        <w:rPr>
          <w:rFonts w:ascii="宋体" w:hAnsi="宋体" w:cs="宋体"/>
          <w:bCs/>
          <w:color w:val="auto"/>
          <w:sz w:val="28"/>
          <w:szCs w:val="28"/>
        </w:rPr>
      </w:pPr>
      <w:r>
        <w:rPr>
          <w:rFonts w:hint="eastAsia" w:ascii="宋体" w:hAnsi="宋体" w:cs="宋体"/>
          <w:bCs/>
          <w:color w:val="auto"/>
          <w:sz w:val="28"/>
          <w:szCs w:val="28"/>
        </w:rPr>
        <w:t>供应商名称：</w:t>
      </w:r>
    </w:p>
    <w:p w14:paraId="0539F122">
      <w:pPr>
        <w:pStyle w:val="7"/>
        <w:snapToGrid w:val="0"/>
        <w:spacing w:before="50" w:after="50" w:line="360" w:lineRule="auto"/>
        <w:ind w:firstLine="630" w:firstLineChars="225"/>
        <w:rPr>
          <w:rFonts w:ascii="宋体" w:hAnsi="宋体" w:cs="宋体"/>
          <w:bCs/>
          <w:color w:val="auto"/>
          <w:sz w:val="28"/>
          <w:szCs w:val="28"/>
        </w:rPr>
      </w:pPr>
    </w:p>
    <w:p w14:paraId="5B9E028D">
      <w:pPr>
        <w:pStyle w:val="7"/>
        <w:snapToGrid w:val="0"/>
        <w:spacing w:before="50" w:after="50" w:line="360" w:lineRule="auto"/>
        <w:ind w:firstLine="630" w:firstLineChars="225"/>
        <w:rPr>
          <w:rFonts w:ascii="宋体" w:hAnsi="宋体" w:cs="宋体"/>
          <w:bCs/>
          <w:color w:val="auto"/>
          <w:sz w:val="28"/>
          <w:szCs w:val="28"/>
        </w:rPr>
      </w:pPr>
    </w:p>
    <w:p w14:paraId="167DDF68">
      <w:pPr>
        <w:pStyle w:val="7"/>
        <w:snapToGrid w:val="0"/>
        <w:spacing w:before="50" w:after="50" w:line="360" w:lineRule="auto"/>
        <w:ind w:firstLine="1120" w:firstLineChars="400"/>
        <w:rPr>
          <w:rFonts w:ascii="宋体" w:hAnsi="宋体" w:cs="宋体"/>
          <w:bCs/>
          <w:color w:val="auto"/>
          <w:sz w:val="28"/>
          <w:szCs w:val="28"/>
        </w:rPr>
      </w:pPr>
    </w:p>
    <w:p w14:paraId="5A7767BB">
      <w:pPr>
        <w:snapToGrid w:val="0"/>
        <w:spacing w:beforeLines="50" w:after="50" w:line="360" w:lineRule="auto"/>
        <w:jc w:val="center"/>
        <w:rPr>
          <w:rFonts w:ascii="宋体" w:hAnsi="宋体" w:cs="宋体"/>
          <w:color w:val="auto"/>
          <w:sz w:val="28"/>
          <w:szCs w:val="28"/>
        </w:rPr>
      </w:pPr>
      <w:r>
        <w:rPr>
          <w:rFonts w:hint="eastAsia" w:ascii="宋体" w:hAnsi="宋体" w:cs="宋体"/>
          <w:color w:val="auto"/>
          <w:sz w:val="28"/>
          <w:szCs w:val="28"/>
        </w:rPr>
        <w:t>年    月    日</w:t>
      </w:r>
    </w:p>
    <w:p w14:paraId="6285DE67">
      <w:pPr>
        <w:snapToGrid w:val="0"/>
        <w:spacing w:beforeLines="50" w:after="50" w:line="360" w:lineRule="auto"/>
        <w:jc w:val="center"/>
        <w:rPr>
          <w:rFonts w:ascii="宋体" w:hAnsi="宋体" w:cs="宋体"/>
          <w:b/>
          <w:bCs/>
          <w:color w:val="auto"/>
          <w:szCs w:val="21"/>
        </w:rPr>
      </w:pPr>
      <w:r>
        <w:rPr>
          <w:rFonts w:hint="eastAsia" w:ascii="宋体" w:hAnsi="宋体" w:cs="宋体"/>
          <w:color w:val="auto"/>
          <w:szCs w:val="21"/>
        </w:rPr>
        <w:br w:type="page"/>
      </w:r>
      <w:r>
        <w:rPr>
          <w:rFonts w:hint="eastAsia" w:ascii="宋体" w:hAnsi="宋体" w:cs="宋体"/>
          <w:b/>
          <w:bCs/>
          <w:color w:val="auto"/>
          <w:sz w:val="28"/>
          <w:szCs w:val="28"/>
        </w:rPr>
        <w:t>报价文件目录</w:t>
      </w:r>
    </w:p>
    <w:p w14:paraId="02168321">
      <w:pPr>
        <w:pStyle w:val="12"/>
        <w:tabs>
          <w:tab w:val="right" w:leader="dot" w:pos="9750"/>
        </w:tabs>
        <w:spacing w:line="360" w:lineRule="auto"/>
        <w:ind w:left="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p>
    <w:p w14:paraId="3C780BDC">
      <w:pPr>
        <w:pStyle w:val="12"/>
        <w:tabs>
          <w:tab w:val="right" w:leader="dot" w:pos="9750"/>
        </w:tabs>
        <w:spacing w:line="360" w:lineRule="auto"/>
        <w:ind w:left="0"/>
        <w:rPr>
          <w:rFonts w:ascii="宋体" w:hAnsi="宋体" w:cs="宋体"/>
          <w:color w:val="auto"/>
          <w:szCs w:val="21"/>
        </w:rPr>
      </w:pPr>
      <w:r>
        <w:rPr>
          <w:color w:val="auto"/>
        </w:rPr>
        <w:fldChar w:fldCharType="begin"/>
      </w:r>
      <w:r>
        <w:rPr>
          <w:color w:val="auto"/>
        </w:rPr>
        <w:instrText xml:space="preserve"> HYPERLINK \l "_Toc982" </w:instrText>
      </w:r>
      <w:r>
        <w:rPr>
          <w:color w:val="auto"/>
        </w:rPr>
        <w:fldChar w:fldCharType="separate"/>
      </w:r>
      <w:r>
        <w:rPr>
          <w:rFonts w:hint="eastAsia" w:ascii="宋体" w:hAnsi="宋体" w:cs="宋体"/>
          <w:color w:val="auto"/>
          <w:szCs w:val="21"/>
        </w:rPr>
        <w:t>一、磋商函</w:t>
      </w:r>
      <w:r>
        <w:rPr>
          <w:rFonts w:hint="eastAsia" w:ascii="宋体" w:hAnsi="宋体" w:cs="宋体"/>
          <w:color w:val="auto"/>
          <w:szCs w:val="21"/>
        </w:rPr>
        <w:fldChar w:fldCharType="end"/>
      </w:r>
    </w:p>
    <w:p w14:paraId="58159F56">
      <w:pPr>
        <w:pStyle w:val="12"/>
        <w:tabs>
          <w:tab w:val="right" w:leader="dot" w:pos="9750"/>
        </w:tabs>
        <w:spacing w:line="360" w:lineRule="auto"/>
        <w:ind w:left="0"/>
        <w:rPr>
          <w:rFonts w:ascii="宋体" w:hAnsi="宋体" w:cs="宋体"/>
          <w:color w:val="auto"/>
          <w:szCs w:val="21"/>
        </w:rPr>
      </w:pPr>
      <w:r>
        <w:rPr>
          <w:color w:val="auto"/>
        </w:rPr>
        <w:fldChar w:fldCharType="begin"/>
      </w:r>
      <w:r>
        <w:rPr>
          <w:color w:val="auto"/>
        </w:rPr>
        <w:instrText xml:space="preserve"> HYPERLINK \l "_Toc4216" </w:instrText>
      </w:r>
      <w:r>
        <w:rPr>
          <w:color w:val="auto"/>
        </w:rPr>
        <w:fldChar w:fldCharType="separate"/>
      </w:r>
      <w:r>
        <w:rPr>
          <w:rFonts w:hint="eastAsia" w:ascii="宋体" w:hAnsi="宋体" w:cs="宋体"/>
          <w:color w:val="auto"/>
          <w:szCs w:val="21"/>
        </w:rPr>
        <w:t>二、响应报价表</w:t>
      </w:r>
      <w:r>
        <w:rPr>
          <w:rFonts w:hint="eastAsia" w:ascii="宋体" w:hAnsi="宋体" w:cs="宋体"/>
          <w:color w:val="auto"/>
          <w:szCs w:val="21"/>
        </w:rPr>
        <w:fldChar w:fldCharType="end"/>
      </w:r>
    </w:p>
    <w:p w14:paraId="1CA9CF61">
      <w:pPr>
        <w:pStyle w:val="12"/>
        <w:tabs>
          <w:tab w:val="right" w:leader="dot" w:pos="9750"/>
        </w:tabs>
        <w:spacing w:line="360" w:lineRule="auto"/>
        <w:ind w:left="0"/>
        <w:rPr>
          <w:rFonts w:ascii="宋体" w:hAnsi="宋体" w:cs="宋体"/>
          <w:color w:val="auto"/>
          <w:szCs w:val="21"/>
        </w:rPr>
      </w:pPr>
      <w:r>
        <w:rPr>
          <w:rFonts w:hint="eastAsia" w:ascii="宋体" w:hAnsi="宋体" w:cs="宋体"/>
          <w:color w:val="auto"/>
          <w:szCs w:val="21"/>
        </w:rPr>
        <w:t>三、中小企业声明函</w:t>
      </w:r>
    </w:p>
    <w:p w14:paraId="70D3E328">
      <w:pPr>
        <w:pStyle w:val="12"/>
        <w:tabs>
          <w:tab w:val="right" w:leader="dot" w:pos="9750"/>
        </w:tabs>
        <w:spacing w:line="360" w:lineRule="auto"/>
        <w:ind w:left="0"/>
        <w:rPr>
          <w:rFonts w:ascii="宋体" w:hAnsi="宋体" w:cs="宋体"/>
          <w:color w:val="auto"/>
          <w:szCs w:val="21"/>
        </w:rPr>
      </w:pPr>
      <w:r>
        <w:rPr>
          <w:rFonts w:hint="eastAsia" w:ascii="宋体" w:hAnsi="宋体" w:cs="宋体"/>
          <w:color w:val="auto"/>
          <w:szCs w:val="21"/>
        </w:rPr>
        <w:t>四、残疾人福利性单位声明函</w:t>
      </w:r>
    </w:p>
    <w:p w14:paraId="1932133E">
      <w:pPr>
        <w:pStyle w:val="12"/>
        <w:tabs>
          <w:tab w:val="right" w:leader="dot" w:pos="9750"/>
        </w:tabs>
        <w:spacing w:line="360" w:lineRule="auto"/>
        <w:ind w:left="0"/>
        <w:rPr>
          <w:rFonts w:ascii="宋体" w:hAnsi="宋体" w:cs="宋体"/>
          <w:color w:val="auto"/>
          <w:szCs w:val="21"/>
        </w:rPr>
      </w:pPr>
      <w:r>
        <w:rPr>
          <w:color w:val="auto"/>
        </w:rPr>
        <w:fldChar w:fldCharType="begin"/>
      </w:r>
      <w:r>
        <w:rPr>
          <w:color w:val="auto"/>
        </w:rPr>
        <w:instrText xml:space="preserve"> HYPERLINK \l "_Toc705" </w:instrText>
      </w:r>
      <w:r>
        <w:rPr>
          <w:color w:val="auto"/>
        </w:rPr>
        <w:fldChar w:fldCharType="separate"/>
      </w:r>
      <w:r>
        <w:rPr>
          <w:rFonts w:hint="eastAsia" w:ascii="宋体" w:hAnsi="宋体" w:cs="宋体"/>
          <w:color w:val="auto"/>
          <w:szCs w:val="21"/>
        </w:rPr>
        <w:t>五、供应商针对报价需要说明的其他文件和说明</w:t>
      </w:r>
      <w:r>
        <w:rPr>
          <w:rFonts w:hint="eastAsia" w:ascii="宋体" w:hAnsi="宋体" w:cs="宋体"/>
          <w:color w:val="auto"/>
          <w:szCs w:val="21"/>
        </w:rPr>
        <w:fldChar w:fldCharType="end"/>
      </w:r>
    </w:p>
    <w:p w14:paraId="7C78C49C">
      <w:pPr>
        <w:pStyle w:val="12"/>
        <w:tabs>
          <w:tab w:val="right" w:leader="dot" w:pos="9750"/>
        </w:tabs>
        <w:spacing w:line="360" w:lineRule="auto"/>
        <w:ind w:left="0"/>
        <w:rPr>
          <w:rFonts w:ascii="宋体" w:hAnsi="宋体" w:cs="宋体"/>
          <w:color w:val="auto"/>
          <w:szCs w:val="21"/>
        </w:rPr>
      </w:pPr>
      <w:r>
        <w:rPr>
          <w:rFonts w:hint="eastAsia" w:ascii="宋体" w:hAnsi="宋体" w:cs="宋体"/>
          <w:color w:val="auto"/>
          <w:szCs w:val="21"/>
        </w:rPr>
        <w:fldChar w:fldCharType="end"/>
      </w:r>
    </w:p>
    <w:p w14:paraId="50E10BAF">
      <w:pPr>
        <w:snapToGrid w:val="0"/>
        <w:spacing w:beforeLines="50" w:after="50" w:line="360" w:lineRule="auto"/>
        <w:jc w:val="left"/>
        <w:outlineLvl w:val="2"/>
        <w:rPr>
          <w:rFonts w:ascii="宋体" w:hAnsi="宋体" w:cs="宋体"/>
          <w:color w:val="auto"/>
          <w:szCs w:val="21"/>
        </w:rPr>
      </w:pPr>
      <w:r>
        <w:rPr>
          <w:rFonts w:hint="eastAsia" w:ascii="宋体" w:hAnsi="宋体" w:cs="宋体"/>
          <w:color w:val="auto"/>
          <w:szCs w:val="21"/>
        </w:rPr>
        <w:br w:type="page"/>
      </w:r>
      <w:bookmarkStart w:id="437" w:name="_Toc19594"/>
      <w:bookmarkStart w:id="438" w:name="_Toc14716"/>
      <w:bookmarkStart w:id="439" w:name="_Toc15490"/>
      <w:bookmarkStart w:id="440" w:name="_Toc4309"/>
      <w:bookmarkStart w:id="441" w:name="_Toc28025"/>
      <w:bookmarkStart w:id="442" w:name="_Toc18857"/>
      <w:bookmarkStart w:id="443" w:name="_Toc32555"/>
      <w:bookmarkStart w:id="444" w:name="_Toc982"/>
      <w:bookmarkStart w:id="445" w:name="_Toc31290"/>
      <w:bookmarkStart w:id="446" w:name="_Toc15566"/>
      <w:bookmarkStart w:id="447" w:name="_Toc3184"/>
      <w:bookmarkStart w:id="448" w:name="_Toc24821"/>
      <w:bookmarkStart w:id="449" w:name="_Toc8132"/>
      <w:bookmarkStart w:id="450" w:name="_Toc2610"/>
      <w:bookmarkStart w:id="451" w:name="_Toc16857"/>
      <w:r>
        <w:rPr>
          <w:rFonts w:hint="eastAsia" w:ascii="宋体" w:hAnsi="宋体" w:cs="宋体"/>
          <w:b/>
          <w:bCs/>
          <w:color w:val="auto"/>
          <w:szCs w:val="21"/>
        </w:rPr>
        <w:t>一、磋商函</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00F1C6C">
      <w:pPr>
        <w:pStyle w:val="13"/>
        <w:spacing w:line="360" w:lineRule="auto"/>
        <w:jc w:val="center"/>
        <w:rPr>
          <w:rFonts w:hAnsi="宋体" w:cs="宋体"/>
          <w:b/>
          <w:bCs/>
          <w:color w:val="auto"/>
          <w:sz w:val="28"/>
          <w:szCs w:val="28"/>
        </w:rPr>
      </w:pPr>
      <w:r>
        <w:rPr>
          <w:rFonts w:hint="eastAsia" w:hAnsi="宋体" w:cs="宋体"/>
          <w:b/>
          <w:bCs/>
          <w:color w:val="auto"/>
          <w:sz w:val="28"/>
          <w:szCs w:val="28"/>
        </w:rPr>
        <w:t>磋商函</w:t>
      </w:r>
    </w:p>
    <w:p w14:paraId="49982536">
      <w:pPr>
        <w:pStyle w:val="13"/>
        <w:spacing w:line="360" w:lineRule="auto"/>
        <w:rPr>
          <w:rFonts w:hAnsi="宋体" w:cs="宋体"/>
          <w:color w:val="auto"/>
          <w:szCs w:val="21"/>
        </w:rPr>
      </w:pPr>
      <w:r>
        <w:rPr>
          <w:rFonts w:hint="eastAsia" w:hAnsi="宋体" w:cs="宋体"/>
          <w:color w:val="auto"/>
          <w:szCs w:val="21"/>
        </w:rPr>
        <w:t>致：</w:t>
      </w:r>
      <w:r>
        <w:rPr>
          <w:rFonts w:hint="eastAsia" w:hAnsi="宋体" w:cs="宋体"/>
          <w:color w:val="auto"/>
          <w:szCs w:val="21"/>
          <w:u w:val="single"/>
        </w:rPr>
        <w:t xml:space="preserve"> </w:t>
      </w:r>
      <w:r>
        <w:rPr>
          <w:rFonts w:hint="eastAsia" w:hAnsi="宋体" w:cs="宋体"/>
          <w:color w:val="auto"/>
          <w:u w:val="single"/>
        </w:rPr>
        <w:t>象州县司法局、广西信和招标代理有限公司</w:t>
      </w:r>
      <w:r>
        <w:rPr>
          <w:rFonts w:hint="eastAsia" w:hAnsi="宋体" w:cs="宋体"/>
          <w:color w:val="auto"/>
          <w:szCs w:val="21"/>
          <w:u w:val="single"/>
        </w:rPr>
        <w:t xml:space="preserve"> </w:t>
      </w:r>
    </w:p>
    <w:p w14:paraId="30DEC874">
      <w:pPr>
        <w:pStyle w:val="13"/>
        <w:spacing w:line="360" w:lineRule="auto"/>
        <w:ind w:firstLine="420" w:firstLineChars="200"/>
        <w:rPr>
          <w:rFonts w:hAnsi="宋体" w:cs="宋体"/>
          <w:color w:val="auto"/>
          <w:szCs w:val="21"/>
        </w:rPr>
      </w:pPr>
      <w:r>
        <w:rPr>
          <w:rFonts w:hint="eastAsia" w:hAnsi="宋体" w:cs="宋体"/>
          <w:color w:val="auto"/>
          <w:szCs w:val="21"/>
        </w:rPr>
        <w:t>我方已仔细阅读了贵方组织的</w:t>
      </w:r>
      <w:r>
        <w:rPr>
          <w:rFonts w:hint="eastAsia" w:hAnsi="宋体" w:cs="宋体"/>
          <w:color w:val="auto"/>
          <w:szCs w:val="21"/>
          <w:u w:val="single"/>
        </w:rPr>
        <w:t xml:space="preserve"> </w:t>
      </w:r>
      <w:r>
        <w:rPr>
          <w:rFonts w:hint="eastAsia" w:hAnsi="宋体" w:cs="宋体"/>
          <w:color w:val="auto"/>
          <w:szCs w:val="21"/>
          <w:u w:val="single"/>
          <w:lang w:eastAsia="zh-CN"/>
        </w:rPr>
        <w:t>采购2025年度党政机关法律顾问服务</w:t>
      </w:r>
      <w:r>
        <w:rPr>
          <w:rFonts w:hint="eastAsia" w:hAnsi="宋体" w:cs="宋体"/>
          <w:color w:val="auto"/>
          <w:szCs w:val="21"/>
          <w:u w:val="single"/>
        </w:rPr>
        <w:t xml:space="preserve">  </w:t>
      </w:r>
      <w:r>
        <w:rPr>
          <w:rFonts w:hint="eastAsia" w:hAnsi="宋体" w:cs="宋体"/>
          <w:color w:val="auto"/>
          <w:szCs w:val="21"/>
        </w:rPr>
        <w:t>（项目编号：</w:t>
      </w:r>
      <w:r>
        <w:rPr>
          <w:rFonts w:hint="eastAsia" w:hAnsi="宋体" w:cs="宋体"/>
          <w:color w:val="auto"/>
          <w:szCs w:val="21"/>
          <w:u w:val="single"/>
        </w:rPr>
        <w:t xml:space="preserve">   </w:t>
      </w:r>
      <w:r>
        <w:rPr>
          <w:rFonts w:hint="eastAsia" w:hAnsi="宋体" w:cs="宋体"/>
          <w:color w:val="auto"/>
          <w:szCs w:val="21"/>
          <w:u w:val="single"/>
          <w:lang w:eastAsia="zh-CN"/>
        </w:rPr>
        <w:t>LBZC2025-C3-220034-GXXH</w:t>
      </w:r>
      <w:r>
        <w:rPr>
          <w:rFonts w:hint="eastAsia" w:hAnsi="宋体" w:cs="宋体"/>
          <w:color w:val="auto"/>
          <w:szCs w:val="21"/>
          <w:u w:val="single"/>
        </w:rPr>
        <w:t xml:space="preserve">   </w:t>
      </w:r>
      <w:r>
        <w:rPr>
          <w:rFonts w:hint="eastAsia" w:hAnsi="宋体" w:cs="宋体"/>
          <w:color w:val="auto"/>
          <w:szCs w:val="21"/>
        </w:rPr>
        <w:t xml:space="preserve">）的竞争性磋商采购文件的全部内容，现正式递交下述文件参加贵方组织的本次政府采购活动： </w:t>
      </w:r>
    </w:p>
    <w:p w14:paraId="1715E582">
      <w:pPr>
        <w:pStyle w:val="13"/>
        <w:spacing w:line="360" w:lineRule="auto"/>
        <w:ind w:firstLine="420" w:firstLineChars="200"/>
        <w:rPr>
          <w:rFonts w:hAnsi="宋体" w:cs="宋体"/>
          <w:color w:val="auto"/>
          <w:szCs w:val="21"/>
        </w:rPr>
      </w:pPr>
      <w:r>
        <w:rPr>
          <w:rFonts w:hint="eastAsia" w:hAnsi="宋体" w:cs="宋体"/>
          <w:color w:val="auto"/>
          <w:szCs w:val="21"/>
        </w:rPr>
        <w:t>首次响应文件电子版</w:t>
      </w:r>
      <w:r>
        <w:rPr>
          <w:rFonts w:hint="eastAsia" w:hAnsi="宋体" w:cs="宋体"/>
          <w:color w:val="auto"/>
          <w:szCs w:val="21"/>
          <w:u w:val="single"/>
        </w:rPr>
        <w:t xml:space="preserve"> 壹 </w:t>
      </w:r>
      <w:r>
        <w:rPr>
          <w:rFonts w:hint="eastAsia" w:hAnsi="宋体" w:cs="宋体"/>
          <w:color w:val="auto"/>
          <w:szCs w:val="21"/>
        </w:rPr>
        <w:t>份（包含资格证明文件、报价文件、商务技术文件）；</w:t>
      </w:r>
    </w:p>
    <w:p w14:paraId="351BDD50">
      <w:pPr>
        <w:pStyle w:val="13"/>
        <w:spacing w:line="360" w:lineRule="auto"/>
        <w:ind w:firstLine="420" w:firstLineChars="200"/>
        <w:rPr>
          <w:rFonts w:hAnsi="宋体" w:cs="宋体"/>
          <w:color w:val="auto"/>
          <w:szCs w:val="21"/>
        </w:rPr>
      </w:pPr>
      <w:r>
        <w:rPr>
          <w:rFonts w:hint="eastAsia" w:hAnsi="宋体" w:cs="宋体"/>
          <w:color w:val="auto"/>
          <w:szCs w:val="21"/>
        </w:rPr>
        <w:t>据此函，签字人兹宣布：</w:t>
      </w:r>
    </w:p>
    <w:p w14:paraId="59990A1F">
      <w:pPr>
        <w:pStyle w:val="13"/>
        <w:numPr>
          <w:ilvl w:val="0"/>
          <w:numId w:val="9"/>
        </w:numPr>
        <w:spacing w:line="360" w:lineRule="auto"/>
        <w:rPr>
          <w:rFonts w:hAnsi="宋体" w:cs="宋体"/>
          <w:color w:val="auto"/>
          <w:szCs w:val="21"/>
        </w:rPr>
      </w:pPr>
      <w:r>
        <w:rPr>
          <w:rFonts w:hint="eastAsia" w:hAnsi="宋体" w:cs="宋体"/>
          <w:color w:val="auto"/>
          <w:szCs w:val="21"/>
        </w:rPr>
        <w:t>我方同意自本项目竞争性磋商采购文件采购公告规定的递交响应文件截止时间起遵循本磋商函，并承诺在“第二章 供应商须知”规定的响应有效期（90日历天）内不修改、撤销响应文件。</w:t>
      </w:r>
    </w:p>
    <w:p w14:paraId="1C01CCA6">
      <w:pPr>
        <w:pStyle w:val="13"/>
        <w:numPr>
          <w:ilvl w:val="0"/>
          <w:numId w:val="9"/>
        </w:numPr>
        <w:spacing w:line="360" w:lineRule="auto"/>
        <w:rPr>
          <w:rFonts w:hAnsi="宋体" w:cs="宋体"/>
          <w:color w:val="auto"/>
          <w:szCs w:val="21"/>
        </w:rPr>
      </w:pPr>
      <w:r>
        <w:rPr>
          <w:rFonts w:hint="eastAsia" w:hAnsi="宋体" w:cs="宋体"/>
          <w:color w:val="auto"/>
          <w:szCs w:val="21"/>
        </w:rPr>
        <w:t>我方在此声明，所递交的响应文件及有关资料内容完整、真实和准确。</w:t>
      </w:r>
    </w:p>
    <w:p w14:paraId="17D64E78">
      <w:pPr>
        <w:pStyle w:val="13"/>
        <w:numPr>
          <w:ilvl w:val="0"/>
          <w:numId w:val="9"/>
        </w:numPr>
        <w:spacing w:line="360" w:lineRule="auto"/>
        <w:rPr>
          <w:rFonts w:hAnsi="宋体" w:cs="宋体"/>
          <w:color w:val="auto"/>
          <w:szCs w:val="21"/>
        </w:rPr>
      </w:pPr>
      <w:r>
        <w:rPr>
          <w:rFonts w:hint="eastAsia" w:hAnsi="宋体" w:cs="宋体"/>
          <w:color w:val="auto"/>
          <w:szCs w:val="21"/>
        </w:rPr>
        <w:t>如本项目采购内容涉及须符合国家强制规定的，我方承诺我方本次竞标均符合国家有关强制规定。</w:t>
      </w:r>
    </w:p>
    <w:p w14:paraId="0D594514">
      <w:pPr>
        <w:pStyle w:val="13"/>
        <w:numPr>
          <w:ilvl w:val="0"/>
          <w:numId w:val="9"/>
        </w:numPr>
        <w:spacing w:line="360" w:lineRule="auto"/>
        <w:rPr>
          <w:rFonts w:hAnsi="宋体" w:cs="宋体"/>
          <w:color w:val="auto"/>
          <w:szCs w:val="21"/>
        </w:rPr>
      </w:pPr>
      <w:r>
        <w:rPr>
          <w:rFonts w:hint="eastAsia" w:hAnsi="宋体" w:cs="宋体"/>
          <w:color w:val="auto"/>
          <w:szCs w:val="21"/>
        </w:rPr>
        <w:t>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14:paraId="662C554A">
      <w:pPr>
        <w:pStyle w:val="13"/>
        <w:numPr>
          <w:ilvl w:val="0"/>
          <w:numId w:val="9"/>
        </w:numPr>
        <w:spacing w:line="360" w:lineRule="auto"/>
        <w:rPr>
          <w:rFonts w:hAnsi="宋体" w:cs="宋体"/>
          <w:color w:val="auto"/>
          <w:szCs w:val="21"/>
        </w:rPr>
      </w:pPr>
      <w:r>
        <w:rPr>
          <w:rFonts w:hint="eastAsia" w:hAnsi="宋体" w:cs="宋体"/>
          <w:color w:val="auto"/>
          <w:szCs w:val="21"/>
        </w:rPr>
        <w:t>我方已详细审核竞争性磋商采购文件，我方知道必须放弃提出含糊不清或误解问题的权利。</w:t>
      </w:r>
    </w:p>
    <w:p w14:paraId="03C7B52F">
      <w:pPr>
        <w:pStyle w:val="13"/>
        <w:numPr>
          <w:ilvl w:val="0"/>
          <w:numId w:val="9"/>
        </w:numPr>
        <w:spacing w:line="360" w:lineRule="auto"/>
        <w:rPr>
          <w:rFonts w:hAnsi="宋体" w:cs="宋体"/>
          <w:color w:val="auto"/>
          <w:szCs w:val="21"/>
        </w:rPr>
      </w:pPr>
      <w:r>
        <w:rPr>
          <w:rFonts w:hint="eastAsia" w:hAnsi="宋体" w:cs="宋体"/>
          <w:color w:val="auto"/>
          <w:szCs w:val="21"/>
        </w:rPr>
        <w:t>我方承诺满足竞争性磋商采购文件第五章“合同文本”的条款，承担完成合同的责任和义务。</w:t>
      </w:r>
    </w:p>
    <w:p w14:paraId="5ECD9062">
      <w:pPr>
        <w:pStyle w:val="13"/>
        <w:numPr>
          <w:ilvl w:val="0"/>
          <w:numId w:val="9"/>
        </w:numPr>
        <w:spacing w:line="360" w:lineRule="auto"/>
        <w:rPr>
          <w:rFonts w:hAnsi="宋体" w:cs="宋体"/>
          <w:color w:val="auto"/>
          <w:szCs w:val="21"/>
        </w:rPr>
      </w:pPr>
      <w:r>
        <w:rPr>
          <w:rFonts w:hint="eastAsia" w:hAnsi="宋体" w:cs="宋体"/>
          <w:color w:val="auto"/>
          <w:szCs w:val="21"/>
        </w:rPr>
        <w:t>我方同意应贵方要求提供与本竞标有关的任何数据或资料。若贵方需要，我方愿意提供我方作出的一切承诺的证明材料。</w:t>
      </w:r>
    </w:p>
    <w:p w14:paraId="3BF4CDF7">
      <w:pPr>
        <w:pStyle w:val="13"/>
        <w:numPr>
          <w:ilvl w:val="0"/>
          <w:numId w:val="9"/>
        </w:numPr>
        <w:spacing w:line="360" w:lineRule="auto"/>
        <w:rPr>
          <w:rFonts w:hAnsi="宋体" w:cs="宋体"/>
          <w:color w:val="auto"/>
          <w:szCs w:val="21"/>
        </w:rPr>
      </w:pPr>
      <w:r>
        <w:rPr>
          <w:rFonts w:hint="eastAsia" w:hAnsi="宋体" w:cs="宋体"/>
          <w:color w:val="auto"/>
          <w:szCs w:val="21"/>
        </w:rPr>
        <w:t>我方完全理解贵方不一定接受响应报价最低的竞标人为成交供应商的行为。</w:t>
      </w:r>
    </w:p>
    <w:p w14:paraId="6DD62A3C">
      <w:pPr>
        <w:pStyle w:val="13"/>
        <w:numPr>
          <w:ilvl w:val="0"/>
          <w:numId w:val="9"/>
        </w:numPr>
        <w:spacing w:line="360" w:lineRule="auto"/>
        <w:rPr>
          <w:rFonts w:hAnsi="宋体" w:cs="宋体"/>
          <w:color w:val="auto"/>
          <w:szCs w:val="21"/>
        </w:rPr>
      </w:pPr>
      <w:r>
        <w:rPr>
          <w:rFonts w:hint="eastAsia" w:hAnsi="宋体" w:cs="宋体"/>
          <w:color w:val="auto"/>
          <w:szCs w:val="21"/>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B69EEE">
      <w:pPr>
        <w:pStyle w:val="13"/>
        <w:numPr>
          <w:ilvl w:val="0"/>
          <w:numId w:val="10"/>
        </w:numPr>
        <w:tabs>
          <w:tab w:val="left" w:pos="945"/>
        </w:tabs>
        <w:spacing w:line="360" w:lineRule="auto"/>
        <w:rPr>
          <w:rFonts w:hAnsi="宋体" w:cs="宋体"/>
          <w:color w:val="auto"/>
          <w:szCs w:val="21"/>
        </w:rPr>
      </w:pPr>
      <w:r>
        <w:rPr>
          <w:rFonts w:hint="eastAsia" w:hAnsi="宋体" w:cs="宋体"/>
          <w:color w:val="auto"/>
          <w:szCs w:val="21"/>
        </w:rPr>
        <w:t>提供虚假材料谋取中标、成交的；</w:t>
      </w:r>
    </w:p>
    <w:p w14:paraId="21492572">
      <w:pPr>
        <w:pStyle w:val="13"/>
        <w:numPr>
          <w:ilvl w:val="0"/>
          <w:numId w:val="10"/>
        </w:numPr>
        <w:tabs>
          <w:tab w:val="left" w:pos="945"/>
        </w:tabs>
        <w:spacing w:line="360" w:lineRule="auto"/>
        <w:rPr>
          <w:rFonts w:hAnsi="宋体" w:cs="宋体"/>
          <w:color w:val="auto"/>
          <w:szCs w:val="21"/>
        </w:rPr>
      </w:pPr>
      <w:r>
        <w:rPr>
          <w:rFonts w:hint="eastAsia" w:hAnsi="宋体" w:cs="宋体"/>
          <w:color w:val="auto"/>
          <w:szCs w:val="21"/>
        </w:rPr>
        <w:t>采取不正当手段诋毁、排挤其他供应商的；</w:t>
      </w:r>
    </w:p>
    <w:p w14:paraId="5B6ECEF6">
      <w:pPr>
        <w:pStyle w:val="13"/>
        <w:numPr>
          <w:ilvl w:val="0"/>
          <w:numId w:val="10"/>
        </w:numPr>
        <w:tabs>
          <w:tab w:val="left" w:pos="945"/>
        </w:tabs>
        <w:spacing w:line="360" w:lineRule="auto"/>
        <w:rPr>
          <w:rFonts w:hAnsi="宋体" w:cs="宋体"/>
          <w:color w:val="auto"/>
          <w:szCs w:val="21"/>
        </w:rPr>
      </w:pPr>
      <w:r>
        <w:rPr>
          <w:rFonts w:hint="eastAsia" w:hAnsi="宋体" w:cs="宋体"/>
          <w:color w:val="auto"/>
          <w:szCs w:val="21"/>
        </w:rPr>
        <w:t>与采购人、其他供应商或者采购代理机构恶意串通的；</w:t>
      </w:r>
    </w:p>
    <w:p w14:paraId="45AC301E">
      <w:pPr>
        <w:pStyle w:val="13"/>
        <w:numPr>
          <w:ilvl w:val="0"/>
          <w:numId w:val="10"/>
        </w:numPr>
        <w:tabs>
          <w:tab w:val="left" w:pos="945"/>
        </w:tabs>
        <w:spacing w:line="360" w:lineRule="auto"/>
        <w:rPr>
          <w:rFonts w:hAnsi="宋体" w:cs="宋体"/>
          <w:color w:val="auto"/>
          <w:szCs w:val="21"/>
        </w:rPr>
      </w:pPr>
      <w:r>
        <w:rPr>
          <w:rFonts w:hint="eastAsia" w:hAnsi="宋体" w:cs="宋体"/>
          <w:color w:val="auto"/>
          <w:szCs w:val="21"/>
        </w:rPr>
        <w:t>向采购人、采购代理机构行贿或者提供其他不正当利益的；</w:t>
      </w:r>
    </w:p>
    <w:p w14:paraId="651BC629">
      <w:pPr>
        <w:pStyle w:val="13"/>
        <w:numPr>
          <w:ilvl w:val="0"/>
          <w:numId w:val="10"/>
        </w:numPr>
        <w:tabs>
          <w:tab w:val="left" w:pos="945"/>
        </w:tabs>
        <w:spacing w:line="360" w:lineRule="auto"/>
        <w:rPr>
          <w:rFonts w:hAnsi="宋体" w:cs="宋体"/>
          <w:color w:val="auto"/>
          <w:szCs w:val="21"/>
        </w:rPr>
      </w:pPr>
      <w:r>
        <w:rPr>
          <w:rFonts w:hint="eastAsia" w:hAnsi="宋体" w:cs="宋体"/>
          <w:color w:val="auto"/>
          <w:szCs w:val="21"/>
        </w:rPr>
        <w:t>在采购过程中与采购人进行协商谈判的；</w:t>
      </w:r>
    </w:p>
    <w:p w14:paraId="0959A465">
      <w:pPr>
        <w:pStyle w:val="13"/>
        <w:numPr>
          <w:ilvl w:val="0"/>
          <w:numId w:val="10"/>
        </w:numPr>
        <w:tabs>
          <w:tab w:val="left" w:pos="945"/>
        </w:tabs>
        <w:spacing w:line="360" w:lineRule="auto"/>
        <w:rPr>
          <w:rFonts w:hAnsi="宋体" w:cs="宋体"/>
          <w:color w:val="auto"/>
          <w:szCs w:val="21"/>
        </w:rPr>
      </w:pPr>
      <w:r>
        <w:rPr>
          <w:rFonts w:hint="eastAsia" w:hAnsi="宋体" w:cs="宋体"/>
          <w:color w:val="auto"/>
          <w:szCs w:val="21"/>
        </w:rPr>
        <w:t>拒绝有关部门监督检查或提供虚假情况的。</w:t>
      </w:r>
    </w:p>
    <w:p w14:paraId="58249751">
      <w:pPr>
        <w:pStyle w:val="13"/>
        <w:spacing w:line="360" w:lineRule="auto"/>
        <w:ind w:firstLine="420"/>
        <w:rPr>
          <w:rFonts w:hAnsi="宋体" w:cs="宋体"/>
          <w:color w:val="auto"/>
          <w:szCs w:val="21"/>
        </w:rPr>
      </w:pPr>
      <w:r>
        <w:rPr>
          <w:rFonts w:hint="eastAsia" w:hAnsi="宋体" w:cs="宋体"/>
          <w:color w:val="auto"/>
          <w:szCs w:val="21"/>
        </w:rPr>
        <w:t>10.与本磋商有关的一切正式往来信函请寄：</w:t>
      </w:r>
    </w:p>
    <w:p w14:paraId="0171787F">
      <w:pPr>
        <w:pStyle w:val="13"/>
        <w:spacing w:line="360" w:lineRule="auto"/>
        <w:ind w:firstLine="420"/>
        <w:rPr>
          <w:rFonts w:hAnsi="宋体" w:cs="宋体"/>
          <w:color w:val="auto"/>
          <w:szCs w:val="21"/>
        </w:rPr>
      </w:pPr>
      <w:r>
        <w:rPr>
          <w:rFonts w:hint="eastAsia" w:hAnsi="宋体" w:cs="宋体"/>
          <w:color w:val="auto"/>
          <w:szCs w:val="21"/>
        </w:rPr>
        <w:t>地址：</w:t>
      </w:r>
      <w:r>
        <w:rPr>
          <w:rFonts w:hint="eastAsia" w:hAnsi="宋体" w:cs="宋体"/>
          <w:color w:val="auto"/>
          <w:szCs w:val="21"/>
          <w:u w:val="single"/>
        </w:rPr>
        <w:t xml:space="preserve">                                                        </w:t>
      </w:r>
      <w:r>
        <w:rPr>
          <w:rFonts w:hint="eastAsia" w:hAnsi="宋体" w:cs="宋体"/>
          <w:color w:val="auto"/>
          <w:szCs w:val="21"/>
        </w:rPr>
        <w:t xml:space="preserve"> </w:t>
      </w:r>
    </w:p>
    <w:p w14:paraId="7AB1719E">
      <w:pPr>
        <w:pStyle w:val="13"/>
        <w:spacing w:line="360" w:lineRule="auto"/>
        <w:ind w:firstLine="420"/>
        <w:rPr>
          <w:rFonts w:hAnsi="宋体" w:cs="宋体"/>
          <w:color w:val="auto"/>
          <w:szCs w:val="21"/>
          <w:u w:val="single"/>
        </w:rPr>
      </w:pPr>
      <w:r>
        <w:rPr>
          <w:rFonts w:hint="eastAsia" w:hAnsi="宋体" w:cs="宋体"/>
          <w:color w:val="auto"/>
          <w:szCs w:val="21"/>
        </w:rPr>
        <w:t>电话：</w:t>
      </w:r>
      <w:r>
        <w:rPr>
          <w:rFonts w:hint="eastAsia" w:hAnsi="宋体" w:cs="宋体"/>
          <w:color w:val="auto"/>
          <w:szCs w:val="21"/>
          <w:u w:val="single"/>
        </w:rPr>
        <w:t xml:space="preserve">                                      　　　　　　　　　</w:t>
      </w:r>
    </w:p>
    <w:p w14:paraId="129711C2">
      <w:pPr>
        <w:pStyle w:val="13"/>
        <w:spacing w:line="360" w:lineRule="auto"/>
        <w:ind w:firstLine="420"/>
        <w:rPr>
          <w:rFonts w:hAnsi="宋体" w:cs="宋体"/>
          <w:color w:val="auto"/>
          <w:szCs w:val="21"/>
        </w:rPr>
      </w:pPr>
      <w:r>
        <w:rPr>
          <w:rFonts w:hint="eastAsia" w:hAnsi="宋体" w:cs="宋体"/>
          <w:color w:val="auto"/>
          <w:szCs w:val="21"/>
        </w:rPr>
        <w:t>传真：</w:t>
      </w:r>
      <w:r>
        <w:rPr>
          <w:rFonts w:hint="eastAsia" w:hAnsi="宋体" w:cs="宋体"/>
          <w:color w:val="auto"/>
          <w:szCs w:val="21"/>
          <w:u w:val="single"/>
        </w:rPr>
        <w:t>　　　　　　　　　　　　　　　　　　　　　　　　　　　　</w:t>
      </w:r>
    </w:p>
    <w:p w14:paraId="53A23B06">
      <w:pPr>
        <w:pStyle w:val="13"/>
        <w:spacing w:line="360" w:lineRule="auto"/>
        <w:ind w:firstLine="420"/>
        <w:rPr>
          <w:rFonts w:hAnsi="宋体" w:cs="宋体"/>
          <w:color w:val="auto"/>
          <w:szCs w:val="21"/>
          <w:u w:val="single"/>
        </w:rPr>
      </w:pPr>
      <w:r>
        <w:rPr>
          <w:rFonts w:hint="eastAsia" w:hAnsi="宋体" w:cs="宋体"/>
          <w:color w:val="auto"/>
          <w:szCs w:val="21"/>
        </w:rPr>
        <w:t>邮政编码：</w:t>
      </w:r>
      <w:r>
        <w:rPr>
          <w:rFonts w:hint="eastAsia" w:hAnsi="宋体" w:cs="宋体"/>
          <w:color w:val="auto"/>
          <w:szCs w:val="21"/>
          <w:u w:val="single"/>
        </w:rPr>
        <w:t xml:space="preserve">                                                    </w:t>
      </w:r>
    </w:p>
    <w:p w14:paraId="5B77844E">
      <w:pPr>
        <w:pStyle w:val="13"/>
        <w:spacing w:line="360" w:lineRule="auto"/>
        <w:ind w:firstLine="420"/>
        <w:rPr>
          <w:rFonts w:hAnsi="宋体" w:cs="宋体"/>
          <w:color w:val="auto"/>
          <w:szCs w:val="21"/>
          <w:u w:val="single"/>
        </w:rPr>
      </w:pPr>
      <w:r>
        <w:rPr>
          <w:rFonts w:hint="eastAsia" w:hAnsi="宋体" w:cs="宋体"/>
          <w:color w:val="auto"/>
          <w:szCs w:val="21"/>
        </w:rPr>
        <w:t>开户名称：</w:t>
      </w:r>
      <w:r>
        <w:rPr>
          <w:rFonts w:hint="eastAsia" w:hAnsi="宋体" w:cs="宋体"/>
          <w:color w:val="auto"/>
          <w:szCs w:val="21"/>
          <w:u w:val="single"/>
        </w:rPr>
        <w:t xml:space="preserve">                                                    </w:t>
      </w:r>
    </w:p>
    <w:p w14:paraId="120B4FCF">
      <w:pPr>
        <w:pStyle w:val="13"/>
        <w:spacing w:line="360" w:lineRule="auto"/>
        <w:ind w:firstLine="420"/>
        <w:rPr>
          <w:rFonts w:hAnsi="宋体" w:cs="宋体"/>
          <w:color w:val="auto"/>
          <w:szCs w:val="21"/>
          <w:u w:val="single"/>
        </w:rPr>
      </w:pPr>
      <w:r>
        <w:rPr>
          <w:rFonts w:hint="eastAsia" w:hAnsi="宋体" w:cs="宋体"/>
          <w:color w:val="auto"/>
          <w:szCs w:val="21"/>
        </w:rPr>
        <w:t>开户银行：</w:t>
      </w:r>
      <w:r>
        <w:rPr>
          <w:rFonts w:hint="eastAsia" w:hAnsi="宋体" w:cs="宋体"/>
          <w:color w:val="auto"/>
          <w:szCs w:val="21"/>
          <w:u w:val="single"/>
        </w:rPr>
        <w:t xml:space="preserve">                                                    </w:t>
      </w:r>
    </w:p>
    <w:p w14:paraId="5D02538C">
      <w:pPr>
        <w:pStyle w:val="13"/>
        <w:spacing w:line="360" w:lineRule="auto"/>
        <w:ind w:firstLine="420"/>
        <w:rPr>
          <w:rFonts w:hAnsi="宋体" w:cs="宋体"/>
          <w:color w:val="auto"/>
          <w:szCs w:val="21"/>
          <w:u w:val="single"/>
        </w:rPr>
      </w:pPr>
      <w:r>
        <w:rPr>
          <w:rFonts w:hint="eastAsia" w:hAnsi="宋体" w:cs="宋体"/>
          <w:color w:val="auto"/>
          <w:szCs w:val="21"/>
        </w:rPr>
        <w:t>银行账号：</w:t>
      </w:r>
      <w:r>
        <w:rPr>
          <w:rFonts w:hint="eastAsia" w:hAnsi="宋体" w:cs="宋体"/>
          <w:color w:val="auto"/>
          <w:szCs w:val="21"/>
          <w:u w:val="single"/>
        </w:rPr>
        <w:t xml:space="preserve">                                                    </w:t>
      </w:r>
    </w:p>
    <w:p w14:paraId="09A2AADE">
      <w:pPr>
        <w:pStyle w:val="11"/>
        <w:tabs>
          <w:tab w:val="left" w:pos="939"/>
        </w:tabs>
        <w:spacing w:line="360" w:lineRule="auto"/>
        <w:ind w:left="141" w:leftChars="67" w:firstLine="315" w:firstLineChars="150"/>
        <w:rPr>
          <w:rFonts w:ascii="宋体" w:hAnsi="宋体" w:cs="宋体"/>
          <w:color w:val="auto"/>
          <w:sz w:val="21"/>
          <w:szCs w:val="21"/>
        </w:rPr>
      </w:pPr>
      <w:r>
        <w:rPr>
          <w:rFonts w:hint="eastAsia" w:ascii="宋体" w:hAnsi="宋体" w:cs="宋体"/>
          <w:color w:val="auto"/>
          <w:sz w:val="21"/>
          <w:szCs w:val="21"/>
        </w:rPr>
        <w:t>特此承诺。</w:t>
      </w:r>
    </w:p>
    <w:p w14:paraId="6E3DD7A2">
      <w:pPr>
        <w:spacing w:line="360" w:lineRule="auto"/>
        <w:contextualSpacing/>
        <w:jc w:val="left"/>
        <w:rPr>
          <w:rFonts w:ascii="宋体" w:hAnsi="宋体" w:cs="宋体"/>
          <w:color w:val="auto"/>
          <w:szCs w:val="21"/>
        </w:rPr>
      </w:pPr>
    </w:p>
    <w:p w14:paraId="45BA4E48">
      <w:pPr>
        <w:spacing w:line="500" w:lineRule="exact"/>
        <w:ind w:firstLine="4950" w:firstLineChars="22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042CC375">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1331E629">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3E0B4965">
      <w:pPr>
        <w:rPr>
          <w:rFonts w:ascii="Arial" w:hAnsi="Arial"/>
          <w:color w:val="auto"/>
          <w:szCs w:val="32"/>
          <w:lang w:val="zh-CN"/>
        </w:rPr>
      </w:pPr>
    </w:p>
    <w:p w14:paraId="29EA4051">
      <w:pPr>
        <w:rPr>
          <w:color w:val="auto"/>
          <w:lang w:val="zh-CN"/>
        </w:rPr>
      </w:pPr>
    </w:p>
    <w:p w14:paraId="693A63E1">
      <w:pPr>
        <w:rPr>
          <w:rFonts w:ascii="Arial" w:hAnsi="Arial"/>
          <w:color w:val="auto"/>
          <w:szCs w:val="32"/>
          <w:lang w:val="zh-CN"/>
        </w:rPr>
      </w:pPr>
    </w:p>
    <w:p w14:paraId="05C508AB">
      <w:pPr>
        <w:rPr>
          <w:color w:val="auto"/>
          <w:lang w:val="zh-CN"/>
        </w:rPr>
        <w:sectPr>
          <w:pgSz w:w="11910" w:h="16840"/>
          <w:pgMar w:top="1440" w:right="1080" w:bottom="1440" w:left="1080" w:header="720" w:footer="720" w:gutter="0"/>
          <w:cols w:space="720" w:num="1"/>
        </w:sectPr>
      </w:pPr>
    </w:p>
    <w:p w14:paraId="5CC2A851">
      <w:pPr>
        <w:spacing w:line="360" w:lineRule="auto"/>
        <w:outlineLvl w:val="2"/>
        <w:rPr>
          <w:rFonts w:ascii="宋体" w:hAnsi="宋体" w:cs="宋体"/>
          <w:b/>
          <w:bCs/>
          <w:color w:val="auto"/>
          <w:szCs w:val="21"/>
        </w:rPr>
      </w:pPr>
      <w:bookmarkStart w:id="452" w:name="_Toc4216"/>
      <w:bookmarkStart w:id="453" w:name="_Toc14303"/>
      <w:bookmarkStart w:id="454" w:name="_Toc5005"/>
      <w:bookmarkStart w:id="455" w:name="_Toc6604"/>
      <w:bookmarkStart w:id="456" w:name="_Toc14774"/>
      <w:bookmarkStart w:id="457" w:name="_Toc21297"/>
      <w:bookmarkStart w:id="458" w:name="_Toc15620"/>
      <w:bookmarkStart w:id="459" w:name="_Toc26481"/>
      <w:bookmarkStart w:id="460" w:name="_Toc31632"/>
      <w:bookmarkStart w:id="461" w:name="_Toc4171"/>
      <w:bookmarkStart w:id="462" w:name="_Toc11544"/>
      <w:bookmarkStart w:id="463" w:name="_Toc11398"/>
      <w:bookmarkStart w:id="464" w:name="_Toc18695"/>
      <w:bookmarkStart w:id="465" w:name="_Toc74"/>
      <w:bookmarkStart w:id="466" w:name="_Toc32210"/>
      <w:r>
        <w:rPr>
          <w:rFonts w:hint="eastAsia" w:ascii="宋体" w:hAnsi="宋体" w:cs="宋体"/>
          <w:color w:val="auto"/>
          <w:szCs w:val="21"/>
        </w:rPr>
        <w:t>二</w:t>
      </w:r>
      <w:r>
        <w:rPr>
          <w:rFonts w:hint="eastAsia" w:ascii="宋体" w:hAnsi="宋体" w:cs="宋体"/>
          <w:b/>
          <w:bCs/>
          <w:color w:val="auto"/>
          <w:szCs w:val="21"/>
        </w:rPr>
        <w:t>、响应报价表</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E26AF53">
      <w:pPr>
        <w:snapToGrid w:val="0"/>
        <w:spacing w:before="50" w:after="50"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FDCA54B">
      <w:pPr>
        <w:snapToGrid w:val="0"/>
        <w:spacing w:before="50" w:after="50"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A27C3C2">
      <w:pPr>
        <w:snapToGrid w:val="0"/>
        <w:spacing w:before="50" w:after="50" w:line="360" w:lineRule="auto"/>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DC923C0">
      <w:pPr>
        <w:pStyle w:val="7"/>
        <w:ind w:firstLine="0"/>
        <w:rPr>
          <w:color w:val="auto"/>
        </w:rPr>
      </w:pPr>
      <w:r>
        <w:rPr>
          <w:rFonts w:hint="eastAsia"/>
          <w:color w:val="auto"/>
        </w:rPr>
        <w:t>所投标项：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ABC1064">
      <w:pPr>
        <w:spacing w:line="300" w:lineRule="auto"/>
        <w:ind w:right="105"/>
        <w:jc w:val="right"/>
        <w:rPr>
          <w:rFonts w:ascii="宋体" w:hAnsi="宋体" w:cs="宋体"/>
          <w:color w:val="auto"/>
          <w:szCs w:val="21"/>
          <w:u w:val="single"/>
        </w:rPr>
      </w:pPr>
      <w:r>
        <w:rPr>
          <w:rFonts w:hint="eastAsia" w:ascii="宋体" w:hAnsi="宋体" w:cs="宋体"/>
          <w:color w:val="auto"/>
          <w:szCs w:val="21"/>
          <w:u w:val="single"/>
        </w:rPr>
        <w:t>单位：元</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2467"/>
        <w:gridCol w:w="1160"/>
        <w:gridCol w:w="2031"/>
        <w:gridCol w:w="1885"/>
        <w:gridCol w:w="1310"/>
      </w:tblGrid>
      <w:tr w14:paraId="17C84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51FD33">
            <w:pPr>
              <w:spacing w:line="420" w:lineRule="exact"/>
              <w:jc w:val="center"/>
              <w:rPr>
                <w:rFonts w:ascii="宋体" w:hAnsi="宋体" w:cs="宋体"/>
                <w:color w:val="auto"/>
              </w:rPr>
            </w:pPr>
            <w:r>
              <w:rPr>
                <w:rFonts w:hint="eastAsia" w:ascii="宋体" w:hAnsi="宋体" w:cs="宋体"/>
                <w:color w:val="auto"/>
              </w:rPr>
              <w:t>项号</w:t>
            </w:r>
          </w:p>
        </w:tc>
        <w:tc>
          <w:tcPr>
            <w:tcW w:w="2467" w:type="dxa"/>
            <w:tcBorders>
              <w:top w:val="single" w:color="auto" w:sz="4" w:space="0"/>
              <w:left w:val="single" w:color="auto" w:sz="4" w:space="0"/>
              <w:bottom w:val="single" w:color="auto" w:sz="4" w:space="0"/>
              <w:right w:val="single" w:color="auto" w:sz="4" w:space="0"/>
            </w:tcBorders>
            <w:vAlign w:val="center"/>
          </w:tcPr>
          <w:p w14:paraId="6701A2F5">
            <w:pPr>
              <w:spacing w:line="420" w:lineRule="exact"/>
              <w:jc w:val="center"/>
              <w:rPr>
                <w:rFonts w:ascii="宋体" w:hAnsi="宋体" w:cs="宋体"/>
                <w:color w:val="auto"/>
              </w:rPr>
            </w:pPr>
            <w:r>
              <w:rPr>
                <w:rFonts w:hint="eastAsia" w:ascii="宋体" w:hAnsi="宋体" w:cs="宋体"/>
                <w:color w:val="auto"/>
                <w:szCs w:val="21"/>
              </w:rPr>
              <w:t>服务项目名称</w:t>
            </w:r>
          </w:p>
        </w:tc>
        <w:tc>
          <w:tcPr>
            <w:tcW w:w="1160" w:type="dxa"/>
            <w:tcBorders>
              <w:top w:val="single" w:color="auto" w:sz="4" w:space="0"/>
              <w:left w:val="single" w:color="auto" w:sz="4" w:space="0"/>
              <w:bottom w:val="single" w:color="auto" w:sz="4" w:space="0"/>
              <w:right w:val="single" w:color="auto" w:sz="4" w:space="0"/>
            </w:tcBorders>
            <w:vAlign w:val="center"/>
          </w:tcPr>
          <w:p w14:paraId="548648C9">
            <w:pPr>
              <w:snapToGrid w:val="0"/>
              <w:spacing w:line="400" w:lineRule="exact"/>
              <w:jc w:val="center"/>
              <w:rPr>
                <w:rFonts w:ascii="宋体" w:hAnsi="宋体" w:cs="宋体"/>
                <w:color w:val="auto"/>
              </w:rPr>
            </w:pPr>
            <w:r>
              <w:rPr>
                <w:rFonts w:hint="eastAsia" w:ascii="宋体" w:hAnsi="宋体" w:cs="宋体"/>
                <w:color w:val="auto"/>
                <w:szCs w:val="21"/>
              </w:rPr>
              <w:t>数量</w:t>
            </w:r>
          </w:p>
        </w:tc>
        <w:tc>
          <w:tcPr>
            <w:tcW w:w="2031" w:type="dxa"/>
            <w:tcBorders>
              <w:top w:val="single" w:color="auto" w:sz="4" w:space="0"/>
              <w:left w:val="single" w:color="auto" w:sz="4" w:space="0"/>
              <w:bottom w:val="single" w:color="auto" w:sz="4" w:space="0"/>
              <w:right w:val="single" w:color="auto" w:sz="4" w:space="0"/>
            </w:tcBorders>
            <w:vAlign w:val="center"/>
          </w:tcPr>
          <w:p w14:paraId="16DF2B96">
            <w:pPr>
              <w:snapToGrid w:val="0"/>
              <w:spacing w:line="400" w:lineRule="exact"/>
              <w:jc w:val="center"/>
              <w:rPr>
                <w:rFonts w:ascii="宋体" w:hAnsi="宋体" w:cs="宋体"/>
                <w:color w:val="auto"/>
              </w:rPr>
            </w:pPr>
            <w:r>
              <w:rPr>
                <w:rFonts w:hint="eastAsia" w:ascii="宋体" w:hAnsi="宋体" w:cs="宋体"/>
                <w:color w:val="auto"/>
                <w:szCs w:val="21"/>
              </w:rPr>
              <w:t>单价</w:t>
            </w:r>
          </w:p>
        </w:tc>
        <w:tc>
          <w:tcPr>
            <w:tcW w:w="1885" w:type="dxa"/>
            <w:tcBorders>
              <w:top w:val="single" w:color="auto" w:sz="4" w:space="0"/>
              <w:left w:val="single" w:color="auto" w:sz="4" w:space="0"/>
              <w:bottom w:val="single" w:color="auto" w:sz="4" w:space="0"/>
              <w:right w:val="single" w:color="auto" w:sz="4" w:space="0"/>
            </w:tcBorders>
            <w:vAlign w:val="center"/>
          </w:tcPr>
          <w:p w14:paraId="291E96BF">
            <w:pPr>
              <w:snapToGrid w:val="0"/>
              <w:spacing w:line="400" w:lineRule="exact"/>
              <w:jc w:val="center"/>
              <w:rPr>
                <w:rFonts w:ascii="宋体" w:hAnsi="宋体" w:cs="宋体"/>
                <w:color w:val="auto"/>
              </w:rPr>
            </w:pPr>
            <w:r>
              <w:rPr>
                <w:rFonts w:hint="eastAsia" w:ascii="宋体" w:hAnsi="宋体" w:cs="宋体"/>
                <w:color w:val="auto"/>
                <w:szCs w:val="21"/>
              </w:rPr>
              <w:t>总价</w:t>
            </w:r>
          </w:p>
        </w:tc>
        <w:tc>
          <w:tcPr>
            <w:tcW w:w="1310" w:type="dxa"/>
            <w:tcBorders>
              <w:top w:val="single" w:color="auto" w:sz="4" w:space="0"/>
              <w:left w:val="single" w:color="auto" w:sz="4" w:space="0"/>
              <w:bottom w:val="single" w:color="auto" w:sz="4" w:space="0"/>
            </w:tcBorders>
            <w:vAlign w:val="center"/>
          </w:tcPr>
          <w:p w14:paraId="5609C061">
            <w:pPr>
              <w:spacing w:line="420" w:lineRule="exact"/>
              <w:jc w:val="center"/>
              <w:rPr>
                <w:rFonts w:ascii="宋体" w:hAnsi="宋体" w:cs="宋体"/>
                <w:color w:val="auto"/>
              </w:rPr>
            </w:pPr>
            <w:r>
              <w:rPr>
                <w:rFonts w:hint="eastAsia" w:ascii="宋体" w:hAnsi="宋体" w:cs="宋体"/>
                <w:color w:val="auto"/>
                <w:szCs w:val="21"/>
              </w:rPr>
              <w:t>备注</w:t>
            </w:r>
          </w:p>
        </w:tc>
      </w:tr>
      <w:tr w14:paraId="73700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280F2E">
            <w:pPr>
              <w:snapToGrid w:val="0"/>
              <w:spacing w:line="420" w:lineRule="exact"/>
              <w:jc w:val="center"/>
              <w:rPr>
                <w:rFonts w:ascii="宋体" w:hAnsi="宋体" w:cs="宋体"/>
                <w:bCs/>
                <w:color w:val="auto"/>
                <w:szCs w:val="21"/>
              </w:rPr>
            </w:pPr>
            <w:r>
              <w:rPr>
                <w:rFonts w:hint="eastAsia" w:ascii="宋体" w:hAnsi="宋体" w:cs="宋体"/>
                <w:bCs/>
                <w:color w:val="auto"/>
                <w:szCs w:val="21"/>
              </w:rPr>
              <w:t>1</w:t>
            </w:r>
          </w:p>
        </w:tc>
        <w:tc>
          <w:tcPr>
            <w:tcW w:w="2467" w:type="dxa"/>
            <w:tcBorders>
              <w:top w:val="single" w:color="auto" w:sz="4" w:space="0"/>
              <w:left w:val="single" w:color="auto" w:sz="4" w:space="0"/>
              <w:bottom w:val="single" w:color="auto" w:sz="4" w:space="0"/>
              <w:right w:val="single" w:color="auto" w:sz="4" w:space="0"/>
            </w:tcBorders>
            <w:vAlign w:val="center"/>
          </w:tcPr>
          <w:p w14:paraId="3EB55A97">
            <w:pPr>
              <w:pStyle w:val="13"/>
              <w:ind w:firstLine="330"/>
              <w:jc w:val="center"/>
              <w:rPr>
                <w:rFonts w:hAnsi="宋体" w:cs="宋体"/>
                <w:color w:val="auto"/>
              </w:rPr>
            </w:pPr>
          </w:p>
        </w:tc>
        <w:tc>
          <w:tcPr>
            <w:tcW w:w="1160" w:type="dxa"/>
            <w:tcBorders>
              <w:top w:val="single" w:color="auto" w:sz="4" w:space="0"/>
              <w:left w:val="single" w:color="auto" w:sz="4" w:space="0"/>
              <w:bottom w:val="single" w:color="auto" w:sz="4" w:space="0"/>
              <w:right w:val="single" w:color="auto" w:sz="4" w:space="0"/>
            </w:tcBorders>
            <w:vAlign w:val="center"/>
          </w:tcPr>
          <w:p w14:paraId="5FDD61D8">
            <w:pPr>
              <w:snapToGrid w:val="0"/>
              <w:spacing w:line="420" w:lineRule="exact"/>
              <w:jc w:val="center"/>
              <w:rPr>
                <w:rFonts w:ascii="宋体" w:hAnsi="宋体" w:cs="宋体"/>
                <w:color w:val="auto"/>
                <w:szCs w:val="21"/>
              </w:rPr>
            </w:pPr>
            <w:r>
              <w:rPr>
                <w:rFonts w:hint="eastAsia" w:ascii="宋体" w:hAnsi="宋体" w:cs="宋体"/>
                <w:color w:val="auto"/>
                <w:szCs w:val="21"/>
              </w:rPr>
              <w:t>1项</w:t>
            </w:r>
          </w:p>
        </w:tc>
        <w:tc>
          <w:tcPr>
            <w:tcW w:w="2031" w:type="dxa"/>
            <w:tcBorders>
              <w:top w:val="single" w:color="auto" w:sz="4" w:space="0"/>
              <w:left w:val="single" w:color="auto" w:sz="4" w:space="0"/>
              <w:bottom w:val="single" w:color="auto" w:sz="4" w:space="0"/>
              <w:right w:val="single" w:color="auto" w:sz="4" w:space="0"/>
            </w:tcBorders>
            <w:vAlign w:val="center"/>
          </w:tcPr>
          <w:p w14:paraId="38BDE7CE">
            <w:pPr>
              <w:spacing w:line="420" w:lineRule="exact"/>
              <w:jc w:val="center"/>
              <w:rPr>
                <w:rFonts w:ascii="宋体" w:hAnsi="宋体" w:cs="宋体"/>
                <w:bCs/>
                <w:color w:val="auto"/>
              </w:rPr>
            </w:pPr>
          </w:p>
        </w:tc>
        <w:tc>
          <w:tcPr>
            <w:tcW w:w="1885" w:type="dxa"/>
            <w:tcBorders>
              <w:top w:val="single" w:color="auto" w:sz="4" w:space="0"/>
              <w:left w:val="single" w:color="auto" w:sz="4" w:space="0"/>
              <w:bottom w:val="single" w:color="auto" w:sz="4" w:space="0"/>
              <w:right w:val="single" w:color="auto" w:sz="4" w:space="0"/>
            </w:tcBorders>
            <w:vAlign w:val="center"/>
          </w:tcPr>
          <w:p w14:paraId="3C0681A8">
            <w:pPr>
              <w:spacing w:line="420" w:lineRule="exact"/>
              <w:jc w:val="center"/>
              <w:rPr>
                <w:rFonts w:ascii="宋体" w:hAnsi="宋体" w:cs="宋体"/>
                <w:bCs/>
                <w:color w:val="auto"/>
              </w:rPr>
            </w:pPr>
          </w:p>
        </w:tc>
        <w:tc>
          <w:tcPr>
            <w:tcW w:w="1310" w:type="dxa"/>
            <w:tcBorders>
              <w:top w:val="single" w:color="auto" w:sz="4" w:space="0"/>
              <w:left w:val="single" w:color="auto" w:sz="4" w:space="0"/>
              <w:bottom w:val="single" w:color="auto" w:sz="4" w:space="0"/>
            </w:tcBorders>
            <w:vAlign w:val="center"/>
          </w:tcPr>
          <w:p w14:paraId="02BC7744">
            <w:pPr>
              <w:spacing w:line="420" w:lineRule="exact"/>
              <w:jc w:val="center"/>
              <w:rPr>
                <w:rFonts w:ascii="宋体" w:hAnsi="宋体" w:cs="宋体"/>
                <w:bCs/>
                <w:color w:val="auto"/>
              </w:rPr>
            </w:pPr>
          </w:p>
        </w:tc>
      </w:tr>
      <w:tr w14:paraId="32621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577" w:type="dxa"/>
            <w:gridSpan w:val="6"/>
            <w:tcBorders>
              <w:top w:val="single" w:color="auto" w:sz="4" w:space="0"/>
              <w:left w:val="single" w:color="auto" w:sz="4" w:space="0"/>
              <w:bottom w:val="single" w:color="auto" w:sz="4" w:space="0"/>
            </w:tcBorders>
            <w:vAlign w:val="center"/>
          </w:tcPr>
          <w:p w14:paraId="075426E3">
            <w:pPr>
              <w:spacing w:line="420" w:lineRule="exact"/>
              <w:rPr>
                <w:rFonts w:ascii="宋体" w:hAnsi="宋体" w:cs="宋体"/>
                <w:bCs/>
                <w:color w:val="auto"/>
              </w:rPr>
            </w:pPr>
            <w:r>
              <w:rPr>
                <w:rFonts w:hint="eastAsia" w:ascii="宋体" w:hAnsi="宋体" w:cs="宋体"/>
                <w:color w:val="auto"/>
                <w:spacing w:val="-6"/>
              </w:rPr>
              <w:t>首次报价（大写）： _____________________________（￥_______________元）</w:t>
            </w:r>
          </w:p>
        </w:tc>
      </w:tr>
      <w:tr w14:paraId="0F48B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jc w:val="center"/>
        </w:trPr>
        <w:tc>
          <w:tcPr>
            <w:tcW w:w="9577" w:type="dxa"/>
            <w:gridSpan w:val="6"/>
            <w:tcBorders>
              <w:top w:val="single" w:color="auto" w:sz="4" w:space="0"/>
              <w:left w:val="single" w:color="auto" w:sz="4" w:space="0"/>
              <w:bottom w:val="single" w:color="auto" w:sz="4" w:space="0"/>
            </w:tcBorders>
            <w:vAlign w:val="center"/>
          </w:tcPr>
          <w:p w14:paraId="14B3E46D">
            <w:pPr>
              <w:spacing w:line="420" w:lineRule="exact"/>
              <w:rPr>
                <w:rFonts w:ascii="宋体" w:hAnsi="宋体" w:cs="宋体"/>
                <w:color w:val="auto"/>
                <w:spacing w:val="-6"/>
              </w:rPr>
            </w:pPr>
            <w:r>
              <w:rPr>
                <w:rFonts w:hint="eastAsia" w:ascii="宋体" w:hAnsi="宋体" w:cs="宋体"/>
                <w:color w:val="auto"/>
                <w:spacing w:val="-6"/>
              </w:rPr>
              <w:t>合同履行期限：</w:t>
            </w:r>
          </w:p>
        </w:tc>
      </w:tr>
    </w:tbl>
    <w:p w14:paraId="39B53E31">
      <w:pPr>
        <w:snapToGrid w:val="0"/>
        <w:spacing w:before="50" w:after="50" w:line="360" w:lineRule="auto"/>
        <w:jc w:val="left"/>
        <w:rPr>
          <w:rFonts w:ascii="宋体" w:hAnsi="宋体" w:cs="宋体"/>
          <w:color w:val="auto"/>
          <w:kern w:val="0"/>
          <w:szCs w:val="21"/>
          <w:lang w:val="zh-CN"/>
        </w:rPr>
      </w:pPr>
    </w:p>
    <w:p w14:paraId="2D53B280">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注： </w:t>
      </w:r>
    </w:p>
    <w:p w14:paraId="7DD540A6">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1、供应商需按本表格式填写，不得自行更改，也不得留空</w:t>
      </w:r>
      <w:r>
        <w:rPr>
          <w:rFonts w:hint="eastAsia" w:ascii="宋体" w:hAnsi="宋体" w:cs="宋体"/>
          <w:b/>
          <w:color w:val="auto"/>
          <w:kern w:val="0"/>
          <w:szCs w:val="21"/>
          <w:lang w:val="zh-CN"/>
        </w:rPr>
        <w:t>。</w:t>
      </w:r>
    </w:p>
    <w:p w14:paraId="5EBAB02D">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rPr>
        <w:t>2</w:t>
      </w:r>
      <w:r>
        <w:rPr>
          <w:rFonts w:hint="eastAsia" w:ascii="宋体" w:hAnsi="宋体" w:cs="宋体"/>
          <w:color w:val="auto"/>
          <w:kern w:val="0"/>
          <w:szCs w:val="21"/>
          <w:lang w:val="zh-CN"/>
        </w:rPr>
        <w:t>、特别提示：采购机构将对项目名称和项目编号，成交供应商名称、地址和成交金额，主要成交标的的名称、规格型号、数量、单价、服务要求等予以公示。</w:t>
      </w:r>
    </w:p>
    <w:p w14:paraId="2A1F2DB1">
      <w:pPr>
        <w:pStyle w:val="7"/>
        <w:rPr>
          <w:b/>
          <w:bCs/>
          <w:color w:val="auto"/>
        </w:rPr>
      </w:pPr>
      <w:r>
        <w:rPr>
          <w:rFonts w:hint="eastAsia" w:ascii="宋体" w:hAnsi="宋体" w:cs="宋体"/>
          <w:b/>
          <w:bCs/>
          <w:color w:val="auto"/>
          <w:kern w:val="0"/>
          <w:szCs w:val="21"/>
        </w:rPr>
        <w:t>3、供应商如投多个分标时，响应报价表须分开填写，否则视为竞标无效。</w:t>
      </w:r>
    </w:p>
    <w:p w14:paraId="03A06833">
      <w:pPr>
        <w:autoSpaceDE w:val="0"/>
        <w:autoSpaceDN w:val="0"/>
        <w:spacing w:line="360" w:lineRule="auto"/>
        <w:ind w:left="4305" w:leftChars="1950" w:hanging="210" w:hangingChars="100"/>
        <w:rPr>
          <w:rFonts w:ascii="宋体" w:hAnsi="宋体" w:cs="宋体"/>
          <w:color w:val="auto"/>
          <w:kern w:val="0"/>
          <w:szCs w:val="21"/>
        </w:rPr>
      </w:pPr>
    </w:p>
    <w:p w14:paraId="33E88D42">
      <w:pPr>
        <w:spacing w:line="500" w:lineRule="exact"/>
        <w:ind w:firstLine="4950" w:firstLineChars="22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425A1FD4">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6EAF773E">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5473D5B9">
      <w:pPr>
        <w:rPr>
          <w:rFonts w:hAnsi="宋体" w:cs="宋体"/>
          <w:color w:val="auto"/>
          <w:szCs w:val="21"/>
          <w:lang w:val="zh-CN"/>
        </w:rPr>
      </w:pPr>
    </w:p>
    <w:p w14:paraId="0241FC6F">
      <w:pPr>
        <w:pStyle w:val="12"/>
        <w:rPr>
          <w:rFonts w:hAnsi="宋体" w:cs="宋体"/>
          <w:color w:val="auto"/>
          <w:szCs w:val="21"/>
          <w:lang w:val="zh-CN"/>
        </w:rPr>
      </w:pPr>
    </w:p>
    <w:p w14:paraId="7324A383">
      <w:pPr>
        <w:rPr>
          <w:color w:val="auto"/>
          <w:lang w:val="zh-CN"/>
        </w:rPr>
        <w:sectPr>
          <w:pgSz w:w="11910" w:h="16840"/>
          <w:pgMar w:top="1440" w:right="1080" w:bottom="1440" w:left="1080" w:header="720" w:footer="720" w:gutter="0"/>
          <w:cols w:space="720" w:num="1"/>
        </w:sectPr>
      </w:pPr>
    </w:p>
    <w:p w14:paraId="20794EE9">
      <w:pPr>
        <w:pStyle w:val="13"/>
        <w:spacing w:line="360" w:lineRule="auto"/>
        <w:outlineLvl w:val="2"/>
        <w:rPr>
          <w:rFonts w:hAnsi="宋体" w:cs="宋体"/>
          <w:b/>
          <w:color w:val="auto"/>
          <w:szCs w:val="21"/>
        </w:rPr>
      </w:pPr>
      <w:bookmarkStart w:id="467" w:name="_Toc23428"/>
      <w:bookmarkStart w:id="468" w:name="_Toc6895"/>
      <w:bookmarkStart w:id="469" w:name="_Toc21814"/>
      <w:bookmarkStart w:id="470" w:name="_Toc21487"/>
      <w:bookmarkStart w:id="471" w:name="_Toc25645"/>
      <w:bookmarkStart w:id="472" w:name="_Toc15744"/>
      <w:bookmarkStart w:id="473" w:name="_Toc14746"/>
      <w:bookmarkStart w:id="474" w:name="_Toc25095"/>
      <w:bookmarkStart w:id="475" w:name="_Toc23388"/>
      <w:bookmarkStart w:id="476" w:name="_Toc705"/>
      <w:bookmarkStart w:id="477" w:name="_Toc11370"/>
      <w:bookmarkStart w:id="478" w:name="_Toc3285"/>
      <w:bookmarkStart w:id="479" w:name="_Toc17897"/>
      <w:bookmarkStart w:id="480" w:name="_Toc9098"/>
      <w:bookmarkStart w:id="481" w:name="_Toc30981"/>
      <w:bookmarkStart w:id="482" w:name="_Toc20109"/>
      <w:bookmarkStart w:id="483" w:name="_Toc27971"/>
      <w:bookmarkStart w:id="484" w:name="_Toc10715"/>
      <w:r>
        <w:rPr>
          <w:rFonts w:hint="eastAsia" w:hAnsi="宋体" w:cs="宋体"/>
          <w:b/>
          <w:bCs/>
          <w:color w:val="auto"/>
          <w:kern w:val="0"/>
          <w:szCs w:val="21"/>
        </w:rPr>
        <w:t>三</w:t>
      </w:r>
      <w:r>
        <w:rPr>
          <w:rFonts w:hint="eastAsia" w:hAnsi="宋体" w:cs="宋体"/>
          <w:b/>
          <w:bCs/>
          <w:color w:val="auto"/>
          <w:szCs w:val="21"/>
        </w:rPr>
        <w:t>、中小企业声明函</w:t>
      </w:r>
      <w:bookmarkEnd w:id="467"/>
      <w:bookmarkEnd w:id="468"/>
      <w:bookmarkEnd w:id="469"/>
      <w:bookmarkEnd w:id="470"/>
      <w:bookmarkEnd w:id="471"/>
      <w:bookmarkEnd w:id="472"/>
      <w:bookmarkEnd w:id="473"/>
      <w:bookmarkEnd w:id="474"/>
    </w:p>
    <w:p w14:paraId="0D93A4CE">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中小企业声明函（服务）</w:t>
      </w:r>
    </w:p>
    <w:p w14:paraId="2A02D2E9">
      <w:pPr>
        <w:pStyle w:val="9"/>
        <w:spacing w:line="360" w:lineRule="auto"/>
        <w:ind w:left="-6" w:right="142" w:firstLine="424" w:firstLineChars="202"/>
        <w:contextualSpacing/>
        <w:rPr>
          <w:rFonts w:ascii="宋体" w:hAnsi="宋体" w:cs="宋体"/>
          <w:color w:val="auto"/>
          <w:sz w:val="21"/>
          <w:szCs w:val="21"/>
        </w:rPr>
      </w:pPr>
      <w:r>
        <w:rPr>
          <w:rFonts w:hint="eastAsia" w:ascii="宋体" w:hAnsi="宋体" w:cs="宋体"/>
          <w:color w:val="auto"/>
          <w:sz w:val="21"/>
          <w:szCs w:val="21"/>
        </w:rPr>
        <w:t>本公司郑重声明，根据《政府采购促进中小企业发展管理办法》（财库﹝2020﹞46号）的规定，本公司参加</w:t>
      </w:r>
      <w:r>
        <w:rPr>
          <w:rFonts w:hint="eastAsia"/>
          <w:color w:val="auto"/>
          <w:sz w:val="21"/>
          <w:szCs w:val="21"/>
          <w:u w:val="single"/>
        </w:rPr>
        <w:t>象州县司法局</w:t>
      </w:r>
      <w:r>
        <w:rPr>
          <w:rFonts w:hint="eastAsia" w:ascii="宋体" w:hAnsi="宋体" w:cs="宋体"/>
          <w:color w:val="auto"/>
          <w:sz w:val="21"/>
          <w:szCs w:val="21"/>
        </w:rPr>
        <w:t>的</w:t>
      </w:r>
      <w:r>
        <w:rPr>
          <w:rFonts w:hint="eastAsia" w:ascii="宋体" w:hAnsi="宋体" w:cs="宋体"/>
          <w:color w:val="auto"/>
          <w:sz w:val="21"/>
          <w:szCs w:val="21"/>
          <w:u w:val="single"/>
          <w:lang w:eastAsia="zh-CN"/>
        </w:rPr>
        <w:t>采购2025年度党政机关法律顾问服务</w:t>
      </w:r>
      <w:r>
        <w:rPr>
          <w:rFonts w:hint="eastAsia" w:ascii="宋体" w:hAnsi="宋体" w:cs="宋体"/>
          <w:color w:val="auto"/>
          <w:sz w:val="21"/>
          <w:szCs w:val="21"/>
        </w:rPr>
        <w:t>活动，服务全部由符合政策要求的中小企业承接。相关企业的具体情况如下：</w:t>
      </w:r>
    </w:p>
    <w:p w14:paraId="25B3D238">
      <w:pPr>
        <w:tabs>
          <w:tab w:val="left" w:pos="1384"/>
          <w:tab w:val="left" w:pos="4562"/>
          <w:tab w:val="left" w:pos="6803"/>
        </w:tabs>
        <w:spacing w:line="360" w:lineRule="auto"/>
        <w:ind w:left="-6" w:right="-58" w:firstLine="424" w:firstLineChars="202"/>
        <w:contextualSpacing/>
        <w:rPr>
          <w:rFonts w:ascii="宋体" w:hAnsi="宋体" w:cs="宋体"/>
          <w:color w:val="auto"/>
          <w:szCs w:val="21"/>
        </w:rPr>
      </w:pPr>
      <w:r>
        <w:rPr>
          <w:rFonts w:hint="eastAsia" w:ascii="宋体" w:hAnsi="宋体" w:cs="宋体"/>
          <w:color w:val="auto"/>
          <w:szCs w:val="21"/>
        </w:rPr>
        <w:t>1.（标的名称），属于（采购文件中明确的所属行业）行业；承接企业为（企业名称），从业人员      人，营业收入为      万元，资产总额为      万元，属于（中型企业、小型企业、微型企业）；</w:t>
      </w:r>
    </w:p>
    <w:p w14:paraId="073CA817">
      <w:pPr>
        <w:tabs>
          <w:tab w:val="left" w:pos="1065"/>
          <w:tab w:val="left" w:pos="6477"/>
        </w:tabs>
        <w:spacing w:line="360" w:lineRule="auto"/>
        <w:ind w:left="-6" w:right="-58" w:firstLine="424" w:firstLineChars="202"/>
        <w:contextualSpacing/>
        <w:rPr>
          <w:rFonts w:ascii="宋体" w:hAnsi="宋体" w:cs="宋体"/>
          <w:color w:val="auto"/>
          <w:szCs w:val="21"/>
        </w:rPr>
      </w:pPr>
      <w:r>
        <w:rPr>
          <w:rFonts w:hint="eastAsia" w:ascii="宋体" w:hAnsi="宋体" w:cs="宋体"/>
          <w:color w:val="auto"/>
          <w:szCs w:val="21"/>
        </w:rPr>
        <w:t>2.（标的名称），属于（采购文件中明确的所属行业）行业；承接企业为（企业名称），从业人员      人，营业收入为      万元，资产总额为      万元，属于（中型企业、小型企业、微型企业）；</w:t>
      </w:r>
    </w:p>
    <w:p w14:paraId="1A273DBE">
      <w:pPr>
        <w:pStyle w:val="9"/>
        <w:spacing w:line="360" w:lineRule="auto"/>
        <w:ind w:left="-6" w:right="142" w:firstLine="424" w:firstLineChars="202"/>
        <w:contextualSpacing/>
        <w:rPr>
          <w:rFonts w:ascii="宋体" w:hAnsi="宋体" w:cs="宋体"/>
          <w:color w:val="auto"/>
          <w:sz w:val="21"/>
          <w:szCs w:val="21"/>
        </w:rPr>
      </w:pPr>
      <w:r>
        <w:rPr>
          <w:rFonts w:hint="eastAsia" w:ascii="宋体" w:hAnsi="宋体" w:cs="宋体"/>
          <w:color w:val="auto"/>
          <w:sz w:val="21"/>
          <w:szCs w:val="21"/>
        </w:rPr>
        <w:t xml:space="preserve">…… </w:t>
      </w:r>
    </w:p>
    <w:p w14:paraId="3DCE660D">
      <w:pPr>
        <w:pStyle w:val="9"/>
        <w:spacing w:line="360" w:lineRule="auto"/>
        <w:ind w:left="-6" w:right="142" w:firstLine="424" w:firstLineChars="202"/>
        <w:contextualSpacing/>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14:paraId="1F7C19A9">
      <w:pPr>
        <w:pStyle w:val="9"/>
        <w:spacing w:line="360" w:lineRule="auto"/>
        <w:ind w:left="-6" w:right="142" w:firstLine="424" w:firstLineChars="202"/>
        <w:contextualSpacing/>
        <w:rPr>
          <w:rFonts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14:paraId="2670B912">
      <w:pPr>
        <w:wordWrap w:val="0"/>
        <w:snapToGrid w:val="0"/>
        <w:spacing w:line="360" w:lineRule="auto"/>
        <w:jc w:val="right"/>
        <w:rPr>
          <w:rFonts w:ascii="宋体" w:hAnsi="宋体" w:cs="宋体"/>
          <w:color w:val="auto"/>
          <w:kern w:val="0"/>
          <w:szCs w:val="21"/>
          <w:lang w:val="zh-CN"/>
        </w:rPr>
      </w:pPr>
    </w:p>
    <w:p w14:paraId="64FDF79E">
      <w:pPr>
        <w:wordWrap w:val="0"/>
        <w:snapToGrid w:val="0"/>
        <w:spacing w:line="360" w:lineRule="auto"/>
        <w:jc w:val="right"/>
        <w:rPr>
          <w:rFonts w:ascii="宋体" w:hAnsi="宋体" w:cs="宋体"/>
          <w:color w:val="auto"/>
          <w:kern w:val="0"/>
          <w:szCs w:val="21"/>
          <w:lang w:val="zh-CN"/>
        </w:rPr>
      </w:pPr>
    </w:p>
    <w:p w14:paraId="0A3D53B9">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0A9909EA">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054E67BB">
      <w:pPr>
        <w:pStyle w:val="9"/>
        <w:spacing w:line="360" w:lineRule="auto"/>
        <w:ind w:left="-6" w:right="1808" w:firstLine="424" w:firstLineChars="202"/>
        <w:contextualSpacing/>
        <w:rPr>
          <w:rFonts w:ascii="宋体" w:hAnsi="宋体" w:cs="宋体"/>
          <w:color w:val="auto"/>
          <w:sz w:val="21"/>
          <w:szCs w:val="21"/>
        </w:rPr>
      </w:pPr>
    </w:p>
    <w:p w14:paraId="5BB6AF51">
      <w:pPr>
        <w:spacing w:line="360" w:lineRule="auto"/>
        <w:ind w:left="-6" w:firstLine="424" w:firstLineChars="202"/>
        <w:contextualSpacing/>
        <w:jc w:val="left"/>
        <w:rPr>
          <w:rFonts w:ascii="宋体" w:hAnsi="宋体" w:cs="宋体"/>
          <w:color w:val="auto"/>
          <w:szCs w:val="21"/>
        </w:rPr>
      </w:pPr>
      <w:r>
        <w:rPr>
          <w:rFonts w:hint="eastAsia" w:ascii="宋体" w:hAnsi="宋体" w:cs="宋体"/>
          <w:color w:val="auto"/>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D932FA6">
      <w:pPr>
        <w:pStyle w:val="12"/>
        <w:rPr>
          <w:rFonts w:ascii="宋体" w:hAnsi="宋体" w:cs="宋体"/>
          <w:color w:val="auto"/>
          <w:szCs w:val="21"/>
        </w:rPr>
      </w:pPr>
    </w:p>
    <w:p w14:paraId="0F27A9D9">
      <w:pPr>
        <w:rPr>
          <w:color w:val="auto"/>
        </w:rPr>
      </w:pPr>
    </w:p>
    <w:p w14:paraId="0E64AF93">
      <w:pPr>
        <w:snapToGrid w:val="0"/>
        <w:spacing w:beforeLines="50" w:after="50" w:line="360" w:lineRule="auto"/>
        <w:ind w:left="-6" w:firstLine="426" w:firstLineChars="202"/>
        <w:outlineLvl w:val="1"/>
        <w:rPr>
          <w:rFonts w:ascii="宋体" w:hAnsi="宋体" w:cs="宋体"/>
          <w:b/>
          <w:bCs/>
          <w:color w:val="auto"/>
          <w:szCs w:val="21"/>
        </w:rPr>
        <w:sectPr>
          <w:pgSz w:w="11910" w:h="16840"/>
          <w:pgMar w:top="1440" w:right="1080" w:bottom="1440" w:left="1080" w:header="720" w:footer="720" w:gutter="0"/>
          <w:cols w:space="720" w:num="1"/>
        </w:sectPr>
      </w:pPr>
    </w:p>
    <w:p w14:paraId="45E9AEFE">
      <w:pPr>
        <w:spacing w:line="360" w:lineRule="auto"/>
        <w:outlineLvl w:val="2"/>
        <w:rPr>
          <w:rFonts w:ascii="宋体" w:hAnsi="宋体" w:cs="宋体"/>
          <w:b/>
          <w:bCs/>
          <w:color w:val="auto"/>
          <w:sz w:val="28"/>
          <w:szCs w:val="28"/>
        </w:rPr>
      </w:pPr>
      <w:bookmarkStart w:id="485" w:name="_Toc26338"/>
      <w:bookmarkStart w:id="486" w:name="_Toc24939"/>
      <w:bookmarkStart w:id="487" w:name="_Toc4450"/>
      <w:bookmarkStart w:id="488" w:name="_Toc7809"/>
      <w:bookmarkStart w:id="489" w:name="_Toc3781"/>
      <w:bookmarkStart w:id="490" w:name="_Toc4070"/>
      <w:bookmarkStart w:id="491" w:name="_Toc32064"/>
      <w:bookmarkStart w:id="492" w:name="_Toc1276"/>
      <w:r>
        <w:rPr>
          <w:rFonts w:hint="eastAsia" w:ascii="宋体" w:hAnsi="宋体" w:cs="宋体"/>
          <w:b/>
          <w:bCs/>
          <w:color w:val="auto"/>
          <w:szCs w:val="21"/>
        </w:rPr>
        <w:t>四、残疾人福利性单位声明函</w:t>
      </w:r>
      <w:bookmarkEnd w:id="485"/>
      <w:bookmarkEnd w:id="486"/>
      <w:bookmarkEnd w:id="487"/>
      <w:bookmarkEnd w:id="488"/>
      <w:bookmarkEnd w:id="489"/>
      <w:bookmarkEnd w:id="490"/>
      <w:bookmarkEnd w:id="491"/>
      <w:bookmarkEnd w:id="492"/>
    </w:p>
    <w:p w14:paraId="3D29CAF2">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残疾人福利性单位声明函</w:t>
      </w:r>
    </w:p>
    <w:p w14:paraId="701A8552">
      <w:pPr>
        <w:spacing w:line="360" w:lineRule="auto"/>
        <w:rPr>
          <w:rFonts w:ascii="宋体" w:hAnsi="宋体" w:cs="宋体"/>
          <w:color w:val="auto"/>
          <w:szCs w:val="21"/>
        </w:rPr>
      </w:pPr>
    </w:p>
    <w:p w14:paraId="1D3084F0">
      <w:pPr>
        <w:spacing w:line="360" w:lineRule="auto"/>
        <w:ind w:firstLine="420" w:firstLineChars="200"/>
        <w:contextualSpacing/>
        <w:rPr>
          <w:rFonts w:ascii="宋体" w:hAnsi="宋体" w:cs="宋体"/>
          <w:color w:val="auto"/>
          <w:sz w:val="21"/>
          <w:szCs w:val="21"/>
        </w:rPr>
      </w:pPr>
      <w:r>
        <w:rPr>
          <w:rFonts w:hint="eastAsia" w:ascii="宋体" w:hAnsi="宋体" w:cs="宋体"/>
          <w:color w:val="auto"/>
          <w:szCs w:val="21"/>
        </w:rPr>
        <w:t>本单位郑重声明，根据《财政部 民政部 中国残疾人联合会关于促进残疾人就业政府采购政策的通知》（财库〔2017〕141号）的规定，本单位为符合条件的残疾人福利性单位，且本单</w:t>
      </w:r>
      <w:r>
        <w:rPr>
          <w:rFonts w:hint="eastAsia" w:ascii="宋体" w:hAnsi="宋体" w:cs="宋体"/>
          <w:color w:val="auto"/>
          <w:sz w:val="21"/>
          <w:szCs w:val="21"/>
        </w:rPr>
        <w:t>位参加</w:t>
      </w:r>
      <w:r>
        <w:rPr>
          <w:rFonts w:hint="eastAsia"/>
          <w:color w:val="auto"/>
          <w:sz w:val="21"/>
          <w:szCs w:val="21"/>
          <w:u w:val="single"/>
        </w:rPr>
        <w:t>象州县司法局</w:t>
      </w:r>
      <w:r>
        <w:rPr>
          <w:rFonts w:hint="eastAsia" w:ascii="宋体" w:hAnsi="宋体" w:cs="宋体"/>
          <w:color w:val="auto"/>
          <w:sz w:val="21"/>
          <w:szCs w:val="21"/>
          <w:u w:val="single"/>
        </w:rPr>
        <w:t xml:space="preserve"> </w:t>
      </w:r>
      <w:r>
        <w:rPr>
          <w:rFonts w:hint="eastAsia" w:ascii="宋体" w:hAnsi="宋体" w:cs="宋体"/>
          <w:color w:val="auto"/>
          <w:sz w:val="21"/>
          <w:szCs w:val="21"/>
        </w:rPr>
        <w:t>单位的</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采购2025年度党政机关法律顾问服务</w:t>
      </w:r>
      <w:r>
        <w:rPr>
          <w:rFonts w:hint="eastAsia" w:ascii="宋体" w:hAnsi="宋体" w:cs="宋体"/>
          <w:color w:val="auto"/>
          <w:sz w:val="21"/>
          <w:szCs w:val="21"/>
        </w:rPr>
        <w:t>采购活动由本单位提供服务。</w:t>
      </w:r>
    </w:p>
    <w:p w14:paraId="0C213C51">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本单位对上述声明的真实性负责。如有虚假，将依法承担相应责任。</w:t>
      </w:r>
    </w:p>
    <w:p w14:paraId="61EAD3B5">
      <w:pPr>
        <w:spacing w:line="360" w:lineRule="auto"/>
        <w:contextualSpacing/>
        <w:rPr>
          <w:rFonts w:ascii="宋体" w:hAnsi="宋体" w:cs="宋体"/>
          <w:color w:val="auto"/>
          <w:szCs w:val="21"/>
        </w:rPr>
      </w:pPr>
    </w:p>
    <w:p w14:paraId="643FE9DC">
      <w:pPr>
        <w:spacing w:line="360" w:lineRule="auto"/>
        <w:contextualSpacing/>
        <w:rPr>
          <w:rFonts w:ascii="宋体" w:hAnsi="宋体" w:cs="宋体"/>
          <w:color w:val="auto"/>
          <w:szCs w:val="21"/>
        </w:rPr>
      </w:pPr>
    </w:p>
    <w:p w14:paraId="66F02313">
      <w:pPr>
        <w:spacing w:line="360" w:lineRule="auto"/>
        <w:contextualSpacing/>
        <w:rPr>
          <w:rFonts w:ascii="宋体" w:hAnsi="宋体" w:cs="宋体"/>
          <w:color w:val="auto"/>
          <w:szCs w:val="21"/>
        </w:rPr>
      </w:pPr>
    </w:p>
    <w:p w14:paraId="04429EC0">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1E1D5F5B">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1842DBBD">
      <w:pPr>
        <w:pStyle w:val="13"/>
        <w:spacing w:line="360" w:lineRule="auto"/>
        <w:rPr>
          <w:rFonts w:hAnsi="宋体" w:cs="宋体"/>
          <w:b/>
          <w:color w:val="auto"/>
          <w:szCs w:val="21"/>
        </w:rPr>
      </w:pPr>
    </w:p>
    <w:p w14:paraId="0F279B25">
      <w:pPr>
        <w:spacing w:line="360" w:lineRule="auto"/>
        <w:contextualSpacing/>
        <w:rPr>
          <w:rFonts w:ascii="宋体" w:hAnsi="宋体" w:cs="宋体"/>
          <w:color w:val="auto"/>
          <w:szCs w:val="21"/>
        </w:rPr>
      </w:pPr>
      <w:r>
        <w:rPr>
          <w:rFonts w:hint="eastAsia" w:ascii="宋体" w:hAnsi="宋体" w:cs="宋体"/>
          <w:color w:val="auto"/>
          <w:szCs w:val="21"/>
        </w:rPr>
        <w:t>注：请根据自己的真实情况出具《残疾人福利性单位声明函》。依法享受中小企业优惠政策的，采购人或者采购代理机构在公告中标结果时，同时公告其《残疾人福利性单位声明函》，接受社会监督。</w:t>
      </w:r>
    </w:p>
    <w:p w14:paraId="2984FBD8">
      <w:pPr>
        <w:pStyle w:val="13"/>
        <w:spacing w:line="360" w:lineRule="auto"/>
        <w:rPr>
          <w:rFonts w:hAnsi="宋体" w:cs="宋体"/>
          <w:b/>
          <w:color w:val="auto"/>
          <w:szCs w:val="21"/>
        </w:rPr>
      </w:pPr>
    </w:p>
    <w:p w14:paraId="6292B904">
      <w:pPr>
        <w:snapToGrid w:val="0"/>
        <w:spacing w:line="360" w:lineRule="auto"/>
        <w:jc w:val="left"/>
        <w:outlineLvl w:val="2"/>
        <w:rPr>
          <w:rFonts w:ascii="宋体" w:hAnsi="宋体" w:cs="宋体"/>
          <w:color w:val="auto"/>
          <w:szCs w:val="21"/>
        </w:rPr>
      </w:pPr>
      <w:r>
        <w:rPr>
          <w:rFonts w:ascii="Arial" w:hAnsi="Arial" w:eastAsia="黑体"/>
          <w:color w:val="auto"/>
          <w:szCs w:val="32"/>
        </w:rPr>
        <w:br w:type="page"/>
      </w:r>
      <w:r>
        <w:rPr>
          <w:rFonts w:hint="eastAsia"/>
          <w:color w:val="auto"/>
          <w:lang w:val="zh-CN"/>
        </w:rPr>
        <w:t>五</w:t>
      </w:r>
      <w:r>
        <w:rPr>
          <w:rFonts w:hint="eastAsia" w:ascii="宋体" w:hAnsi="宋体" w:cs="宋体"/>
          <w:b/>
          <w:bCs/>
          <w:color w:val="auto"/>
          <w:szCs w:val="21"/>
        </w:rPr>
        <w:t>、供应商针对报价需要说明的其他文件和说明</w:t>
      </w:r>
      <w:bookmarkEnd w:id="475"/>
      <w:bookmarkEnd w:id="476"/>
      <w:bookmarkEnd w:id="477"/>
      <w:bookmarkEnd w:id="478"/>
      <w:bookmarkEnd w:id="479"/>
      <w:bookmarkEnd w:id="480"/>
      <w:bookmarkEnd w:id="481"/>
      <w:bookmarkEnd w:id="482"/>
      <w:bookmarkEnd w:id="483"/>
      <w:bookmarkEnd w:id="484"/>
    </w:p>
    <w:p w14:paraId="7E4F5AC5">
      <w:pPr>
        <w:jc w:val="center"/>
        <w:rPr>
          <w:rFonts w:ascii="宋体" w:hAnsi="宋体" w:cs="宋体"/>
          <w:b/>
          <w:bCs/>
          <w:color w:val="auto"/>
          <w:szCs w:val="21"/>
        </w:rPr>
      </w:pPr>
    </w:p>
    <w:p w14:paraId="48BCBCFD">
      <w:pPr>
        <w:jc w:val="center"/>
        <w:rPr>
          <w:b/>
          <w:bCs/>
          <w:color w:val="auto"/>
          <w:szCs w:val="21"/>
          <w:lang w:val="zh-CN"/>
        </w:rPr>
      </w:pPr>
      <w:r>
        <w:rPr>
          <w:rFonts w:hint="eastAsia" w:ascii="宋体" w:hAnsi="宋体" w:cs="宋体"/>
          <w:b/>
          <w:bCs/>
          <w:color w:val="auto"/>
          <w:szCs w:val="21"/>
        </w:rPr>
        <w:t>如有，格式自拟。</w:t>
      </w:r>
    </w:p>
    <w:p w14:paraId="601BDCE7">
      <w:pPr>
        <w:pStyle w:val="12"/>
        <w:rPr>
          <w:color w:val="auto"/>
        </w:rPr>
      </w:pPr>
    </w:p>
    <w:p w14:paraId="60FEC0AC">
      <w:pPr>
        <w:rPr>
          <w:color w:val="auto"/>
        </w:rPr>
      </w:pPr>
    </w:p>
    <w:p w14:paraId="0FC48599">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39034CC5">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33601812">
      <w:pPr>
        <w:pStyle w:val="12"/>
        <w:rPr>
          <w:color w:val="auto"/>
        </w:rPr>
        <w:sectPr>
          <w:pgSz w:w="11906" w:h="16838"/>
          <w:pgMar w:top="1440" w:right="1080" w:bottom="1440" w:left="1080" w:header="720" w:footer="720" w:gutter="0"/>
          <w:cols w:space="720" w:num="1"/>
          <w:docGrid w:type="lines" w:linePitch="331" w:charSpace="0"/>
        </w:sectPr>
      </w:pPr>
    </w:p>
    <w:p w14:paraId="30ACB9EF">
      <w:pPr>
        <w:pStyle w:val="5"/>
        <w:spacing w:line="360" w:lineRule="auto"/>
        <w:jc w:val="center"/>
        <w:rPr>
          <w:rFonts w:hint="default" w:cs="宋体"/>
          <w:color w:val="auto"/>
        </w:rPr>
      </w:pPr>
      <w:bookmarkStart w:id="493" w:name="_Toc5132"/>
      <w:bookmarkStart w:id="494" w:name="_Toc8271"/>
      <w:bookmarkStart w:id="495" w:name="_Toc2497"/>
      <w:bookmarkStart w:id="496" w:name="_Toc29126"/>
      <w:bookmarkStart w:id="497" w:name="_Toc23296"/>
      <w:bookmarkStart w:id="498" w:name="_Toc23207"/>
      <w:bookmarkStart w:id="499" w:name="_Toc19323"/>
      <w:bookmarkStart w:id="500" w:name="_Toc16716"/>
      <w:bookmarkStart w:id="501" w:name="_Toc23971"/>
      <w:bookmarkStart w:id="502" w:name="_Toc29203"/>
      <w:bookmarkStart w:id="503" w:name="_Toc10373"/>
      <w:bookmarkStart w:id="504" w:name="_Toc8891"/>
      <w:bookmarkStart w:id="505" w:name="_Toc25045"/>
      <w:bookmarkStart w:id="506" w:name="_Toc23347"/>
      <w:bookmarkStart w:id="507" w:name="_Toc2803"/>
      <w:bookmarkStart w:id="508" w:name="_Toc20491"/>
      <w:bookmarkStart w:id="509" w:name="_Toc3024"/>
      <w:r>
        <w:rPr>
          <w:rFonts w:cs="宋体"/>
          <w:color w:val="auto"/>
        </w:rPr>
        <w:t>第三节 商务技术文件格式</w:t>
      </w:r>
      <w:bookmarkEnd w:id="432"/>
      <w:bookmarkEnd w:id="433"/>
      <w:bookmarkEnd w:id="434"/>
      <w:bookmarkEnd w:id="435"/>
      <w:bookmarkEnd w:id="436"/>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D99D616">
      <w:pPr>
        <w:snapToGrid w:val="0"/>
        <w:spacing w:beforeLines="50" w:after="50" w:line="360" w:lineRule="auto"/>
        <w:rPr>
          <w:rFonts w:ascii="宋体" w:hAnsi="宋体" w:cs="宋体"/>
          <w:bCs/>
          <w:color w:val="auto"/>
          <w:szCs w:val="21"/>
        </w:rPr>
      </w:pPr>
      <w:r>
        <w:rPr>
          <w:rFonts w:hint="eastAsia" w:ascii="宋体" w:hAnsi="宋体" w:cs="宋体"/>
          <w:color w:val="auto"/>
          <w:szCs w:val="21"/>
        </w:rPr>
        <w:t xml:space="preserve">                                            </w:t>
      </w:r>
      <w:r>
        <w:rPr>
          <w:rFonts w:hint="eastAsia" w:ascii="宋体" w:hAnsi="宋体" w:cs="宋体"/>
          <w:bCs/>
          <w:color w:val="auto"/>
          <w:szCs w:val="21"/>
        </w:rPr>
        <w:t>全流程电子文件</w:t>
      </w:r>
    </w:p>
    <w:p w14:paraId="1E6B0E63">
      <w:pPr>
        <w:snapToGrid w:val="0"/>
        <w:spacing w:beforeLines="50" w:after="50" w:line="360" w:lineRule="auto"/>
        <w:rPr>
          <w:rFonts w:ascii="宋体" w:hAnsi="宋体" w:cs="宋体"/>
          <w:color w:val="auto"/>
          <w:szCs w:val="21"/>
        </w:rPr>
      </w:pPr>
    </w:p>
    <w:p w14:paraId="69B5BA84">
      <w:pPr>
        <w:snapToGrid w:val="0"/>
        <w:spacing w:beforeLines="50" w:after="50" w:line="360" w:lineRule="auto"/>
        <w:rPr>
          <w:rFonts w:ascii="宋体" w:hAnsi="宋体" w:cs="宋体"/>
          <w:color w:val="auto"/>
          <w:szCs w:val="21"/>
        </w:rPr>
      </w:pPr>
    </w:p>
    <w:p w14:paraId="1AF57AE1">
      <w:pPr>
        <w:snapToGrid w:val="0"/>
        <w:spacing w:beforeLines="50" w:after="50" w:line="360" w:lineRule="auto"/>
        <w:rPr>
          <w:rFonts w:ascii="宋体" w:hAnsi="宋体" w:cs="宋体"/>
          <w:color w:val="auto"/>
          <w:szCs w:val="21"/>
        </w:rPr>
      </w:pPr>
    </w:p>
    <w:p w14:paraId="7B7F75B7">
      <w:pPr>
        <w:snapToGrid w:val="0"/>
        <w:spacing w:beforeLines="50" w:after="50" w:line="360" w:lineRule="auto"/>
        <w:jc w:val="center"/>
        <w:rPr>
          <w:rFonts w:ascii="宋体" w:hAnsi="宋体" w:cs="宋体"/>
          <w:b/>
          <w:color w:val="auto"/>
          <w:sz w:val="36"/>
          <w:szCs w:val="36"/>
        </w:rPr>
      </w:pPr>
      <w:r>
        <w:rPr>
          <w:rFonts w:hint="eastAsia" w:ascii="宋体" w:hAnsi="宋体" w:cs="宋体"/>
          <w:b/>
          <w:color w:val="auto"/>
          <w:sz w:val="36"/>
          <w:szCs w:val="36"/>
        </w:rPr>
        <w:t xml:space="preserve"> 商务技术文件（封面）</w:t>
      </w:r>
    </w:p>
    <w:p w14:paraId="65F2F37A">
      <w:pPr>
        <w:snapToGrid w:val="0"/>
        <w:spacing w:beforeLines="50" w:after="50" w:line="360" w:lineRule="auto"/>
        <w:rPr>
          <w:rFonts w:ascii="宋体" w:hAnsi="宋体" w:cs="宋体"/>
          <w:bCs/>
          <w:color w:val="auto"/>
          <w:szCs w:val="21"/>
        </w:rPr>
      </w:pPr>
    </w:p>
    <w:p w14:paraId="288D1155">
      <w:pPr>
        <w:snapToGrid w:val="0"/>
        <w:spacing w:beforeLines="50" w:after="50" w:line="360" w:lineRule="auto"/>
        <w:rPr>
          <w:rFonts w:ascii="宋体" w:hAnsi="宋体" w:cs="宋体"/>
          <w:bCs/>
          <w:color w:val="auto"/>
          <w:szCs w:val="21"/>
        </w:rPr>
      </w:pPr>
    </w:p>
    <w:p w14:paraId="59963F29">
      <w:pPr>
        <w:snapToGrid w:val="0"/>
        <w:spacing w:beforeLines="50" w:after="50" w:line="360" w:lineRule="auto"/>
        <w:rPr>
          <w:rFonts w:ascii="宋体" w:hAnsi="宋体" w:cs="宋体"/>
          <w:bCs/>
          <w:color w:val="auto"/>
          <w:szCs w:val="21"/>
        </w:rPr>
      </w:pPr>
    </w:p>
    <w:p w14:paraId="12BA86F6">
      <w:pPr>
        <w:snapToGrid w:val="0"/>
        <w:spacing w:beforeLines="50" w:after="50" w:line="360" w:lineRule="auto"/>
        <w:rPr>
          <w:rFonts w:ascii="宋体" w:hAnsi="宋体" w:cs="宋体"/>
          <w:bCs/>
          <w:color w:val="auto"/>
          <w:szCs w:val="21"/>
        </w:rPr>
      </w:pPr>
    </w:p>
    <w:p w14:paraId="310762AA">
      <w:pPr>
        <w:snapToGrid w:val="0"/>
        <w:spacing w:beforeLines="50" w:after="50" w:line="360" w:lineRule="auto"/>
        <w:rPr>
          <w:rFonts w:ascii="宋体" w:hAnsi="宋体" w:cs="宋体"/>
          <w:bCs/>
          <w:color w:val="auto"/>
          <w:szCs w:val="21"/>
        </w:rPr>
      </w:pPr>
    </w:p>
    <w:p w14:paraId="038FC4AF">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项目名称：</w:t>
      </w:r>
    </w:p>
    <w:p w14:paraId="0C4530F1">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项目编号：</w:t>
      </w:r>
    </w:p>
    <w:p w14:paraId="1B0F3975">
      <w:pPr>
        <w:snapToGrid w:val="0"/>
        <w:spacing w:beforeLines="50" w:after="50" w:line="480" w:lineRule="auto"/>
        <w:ind w:firstLine="420" w:firstLineChars="150"/>
        <w:rPr>
          <w:rFonts w:ascii="宋体" w:hAnsi="宋体" w:cs="宋体"/>
          <w:bCs/>
          <w:color w:val="auto"/>
          <w:sz w:val="28"/>
          <w:szCs w:val="28"/>
        </w:rPr>
      </w:pPr>
      <w:r>
        <w:rPr>
          <w:rFonts w:hint="eastAsia" w:ascii="宋体" w:hAnsi="宋体" w:cs="宋体"/>
          <w:bCs/>
          <w:color w:val="auto"/>
          <w:sz w:val="28"/>
          <w:szCs w:val="28"/>
        </w:rPr>
        <w:t>所竞分标（如有则填写，无分标时填写“无”或者留空）：</w:t>
      </w:r>
    </w:p>
    <w:p w14:paraId="24E51D82">
      <w:pPr>
        <w:pStyle w:val="7"/>
        <w:snapToGrid w:val="0"/>
        <w:spacing w:before="50" w:after="50" w:line="480" w:lineRule="auto"/>
        <w:ind w:firstLineChars="150"/>
        <w:rPr>
          <w:rFonts w:ascii="宋体" w:hAnsi="宋体" w:cs="宋体"/>
          <w:bCs/>
          <w:color w:val="auto"/>
          <w:sz w:val="28"/>
          <w:szCs w:val="28"/>
        </w:rPr>
      </w:pPr>
      <w:r>
        <w:rPr>
          <w:rFonts w:hint="eastAsia" w:ascii="宋体" w:hAnsi="宋体" w:cs="宋体"/>
          <w:bCs/>
          <w:color w:val="auto"/>
          <w:sz w:val="28"/>
          <w:szCs w:val="28"/>
        </w:rPr>
        <w:t>供应商名称：</w:t>
      </w:r>
    </w:p>
    <w:p w14:paraId="6F472B65">
      <w:pPr>
        <w:pStyle w:val="7"/>
        <w:snapToGrid w:val="0"/>
        <w:spacing w:before="50" w:after="50" w:line="360" w:lineRule="auto"/>
        <w:ind w:firstLineChars="150"/>
        <w:rPr>
          <w:rFonts w:ascii="宋体" w:hAnsi="宋体" w:cs="宋体"/>
          <w:bCs/>
          <w:color w:val="auto"/>
          <w:sz w:val="28"/>
          <w:szCs w:val="28"/>
        </w:rPr>
      </w:pPr>
    </w:p>
    <w:p w14:paraId="286CECC3">
      <w:pPr>
        <w:pStyle w:val="7"/>
        <w:snapToGrid w:val="0"/>
        <w:spacing w:before="50" w:after="50" w:line="360" w:lineRule="auto"/>
        <w:ind w:firstLineChars="150"/>
        <w:rPr>
          <w:rFonts w:ascii="宋体" w:hAnsi="宋体" w:cs="宋体"/>
          <w:bCs/>
          <w:color w:val="auto"/>
          <w:sz w:val="28"/>
          <w:szCs w:val="28"/>
        </w:rPr>
      </w:pPr>
    </w:p>
    <w:p w14:paraId="06DBB656">
      <w:pPr>
        <w:pStyle w:val="7"/>
        <w:snapToGrid w:val="0"/>
        <w:spacing w:before="50" w:after="50" w:line="360" w:lineRule="auto"/>
        <w:ind w:firstLineChars="150"/>
        <w:rPr>
          <w:rFonts w:ascii="宋体" w:hAnsi="宋体" w:cs="宋体"/>
          <w:bCs/>
          <w:color w:val="auto"/>
          <w:sz w:val="28"/>
          <w:szCs w:val="28"/>
        </w:rPr>
      </w:pPr>
    </w:p>
    <w:p w14:paraId="48B65630">
      <w:pPr>
        <w:snapToGrid w:val="0"/>
        <w:spacing w:beforeLines="50" w:after="50" w:line="360" w:lineRule="auto"/>
        <w:ind w:firstLine="420" w:firstLineChars="150"/>
        <w:jc w:val="center"/>
        <w:rPr>
          <w:rFonts w:ascii="宋体" w:hAnsi="宋体" w:cs="宋体"/>
          <w:color w:val="auto"/>
          <w:sz w:val="28"/>
          <w:szCs w:val="28"/>
        </w:rPr>
      </w:pPr>
      <w:r>
        <w:rPr>
          <w:rFonts w:hint="eastAsia" w:ascii="宋体" w:hAnsi="宋体" w:cs="宋体"/>
          <w:color w:val="auto"/>
          <w:sz w:val="28"/>
          <w:szCs w:val="28"/>
        </w:rPr>
        <w:t>年    月    日</w:t>
      </w:r>
    </w:p>
    <w:p w14:paraId="4884812B">
      <w:pPr>
        <w:snapToGrid w:val="0"/>
        <w:spacing w:beforeLines="50" w:after="50" w:line="360" w:lineRule="auto"/>
        <w:ind w:left="142" w:firstLine="422" w:firstLineChars="200"/>
        <w:jc w:val="left"/>
        <w:rPr>
          <w:rFonts w:ascii="宋体" w:hAnsi="宋体" w:cs="宋体"/>
          <w:b/>
          <w:bCs/>
          <w:color w:val="auto"/>
          <w:szCs w:val="21"/>
        </w:rPr>
        <w:sectPr>
          <w:pgSz w:w="11910" w:h="16840"/>
          <w:pgMar w:top="1440" w:right="1080" w:bottom="1440" w:left="1080" w:header="720" w:footer="720" w:gutter="0"/>
          <w:cols w:space="720" w:num="1"/>
        </w:sectPr>
      </w:pPr>
    </w:p>
    <w:p w14:paraId="768C4A84">
      <w:pPr>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商务技术文件目录</w:t>
      </w:r>
    </w:p>
    <w:p w14:paraId="2B5C0728">
      <w:pPr>
        <w:spacing w:line="360" w:lineRule="auto"/>
        <w:rPr>
          <w:rFonts w:ascii="宋体" w:hAnsi="宋体" w:cs="宋体"/>
          <w:color w:val="auto"/>
          <w:szCs w:val="21"/>
        </w:rPr>
      </w:pPr>
    </w:p>
    <w:p w14:paraId="19EA856D">
      <w:pPr>
        <w:spacing w:line="360" w:lineRule="auto"/>
        <w:rPr>
          <w:rFonts w:ascii="宋体" w:hAnsi="宋体" w:cs="宋体"/>
          <w:color w:val="auto"/>
          <w:szCs w:val="21"/>
        </w:rPr>
      </w:pPr>
    </w:p>
    <w:p w14:paraId="2A760D30">
      <w:pPr>
        <w:spacing w:line="360" w:lineRule="auto"/>
        <w:ind w:firstLine="420" w:firstLineChars="200"/>
        <w:rPr>
          <w:rFonts w:ascii="宋体" w:hAnsi="宋体" w:cs="宋体"/>
          <w:color w:val="auto"/>
          <w:kern w:val="0"/>
          <w:szCs w:val="21"/>
        </w:rPr>
      </w:pPr>
      <w:r>
        <w:rPr>
          <w:rFonts w:hint="eastAsia" w:ascii="宋体" w:hAnsi="宋体" w:cs="宋体"/>
          <w:color w:val="auto"/>
          <w:szCs w:val="21"/>
        </w:rPr>
        <w:t>一、无串标行为承诺函</w:t>
      </w:r>
    </w:p>
    <w:p w14:paraId="5B686407">
      <w:pPr>
        <w:spacing w:line="360" w:lineRule="auto"/>
        <w:ind w:firstLine="420" w:firstLineChars="200"/>
        <w:rPr>
          <w:rFonts w:ascii="Arial" w:hAnsi="Arial"/>
          <w:color w:val="auto"/>
          <w:szCs w:val="21"/>
        </w:rPr>
      </w:pPr>
      <w:r>
        <w:rPr>
          <w:rFonts w:hint="eastAsia" w:ascii="宋体" w:hAnsi="宋体" w:cs="宋体"/>
          <w:color w:val="auto"/>
          <w:szCs w:val="21"/>
        </w:rPr>
        <w:t>二、法定代表人身份证明及法定代表人有效身份证正反面复印件</w:t>
      </w:r>
    </w:p>
    <w:p w14:paraId="45D97983">
      <w:pPr>
        <w:spacing w:line="360" w:lineRule="auto"/>
        <w:ind w:firstLine="420" w:firstLineChars="200"/>
        <w:rPr>
          <w:color w:val="auto"/>
          <w:szCs w:val="21"/>
        </w:rPr>
      </w:pPr>
      <w:r>
        <w:rPr>
          <w:rFonts w:hint="eastAsia" w:ascii="宋体" w:hAnsi="宋体" w:cs="宋体"/>
          <w:color w:val="auto"/>
          <w:szCs w:val="21"/>
        </w:rPr>
        <w:t>三、法定代表人授权委托书</w:t>
      </w:r>
    </w:p>
    <w:p w14:paraId="73D9CA3D">
      <w:pPr>
        <w:spacing w:line="360" w:lineRule="auto"/>
        <w:ind w:firstLine="420" w:firstLineChars="200"/>
        <w:rPr>
          <w:color w:val="auto"/>
          <w:szCs w:val="21"/>
        </w:rPr>
      </w:pPr>
      <w:r>
        <w:rPr>
          <w:rFonts w:hint="eastAsia" w:hAnsi="宋体" w:cs="宋体"/>
          <w:color w:val="auto"/>
          <w:szCs w:val="21"/>
        </w:rPr>
        <w:t>四</w:t>
      </w:r>
      <w:r>
        <w:rPr>
          <w:rFonts w:hint="eastAsia" w:ascii="宋体" w:hAnsi="宋体" w:cs="宋体"/>
          <w:color w:val="auto"/>
          <w:szCs w:val="21"/>
        </w:rPr>
        <w:t>、商务条款偏离表</w:t>
      </w:r>
    </w:p>
    <w:p w14:paraId="184EFD9F">
      <w:pPr>
        <w:spacing w:line="360" w:lineRule="auto"/>
        <w:ind w:firstLine="420" w:firstLineChars="200"/>
        <w:rPr>
          <w:rFonts w:ascii="宋体" w:hAnsi="宋体" w:cs="宋体"/>
          <w:color w:val="auto"/>
          <w:szCs w:val="21"/>
        </w:rPr>
      </w:pPr>
      <w:r>
        <w:rPr>
          <w:rFonts w:hint="eastAsia" w:hAnsi="宋体" w:cs="宋体"/>
          <w:color w:val="auto"/>
          <w:szCs w:val="21"/>
        </w:rPr>
        <w:t>五</w:t>
      </w:r>
      <w:r>
        <w:rPr>
          <w:rFonts w:hint="eastAsia" w:ascii="宋体" w:hAnsi="宋体" w:cs="宋体"/>
          <w:color w:val="auto"/>
          <w:szCs w:val="21"/>
        </w:rPr>
        <w:t>、项目服务方案</w:t>
      </w:r>
    </w:p>
    <w:p w14:paraId="14815825">
      <w:pPr>
        <w:spacing w:line="360" w:lineRule="auto"/>
        <w:ind w:firstLine="420" w:firstLineChars="200"/>
        <w:rPr>
          <w:rFonts w:ascii="宋体" w:hAnsi="宋体" w:cs="宋体"/>
          <w:color w:val="auto"/>
          <w:szCs w:val="21"/>
        </w:rPr>
      </w:pPr>
      <w:r>
        <w:rPr>
          <w:rFonts w:hint="eastAsia" w:ascii="宋体" w:hAnsi="宋体" w:cs="宋体"/>
          <w:color w:val="auto"/>
          <w:szCs w:val="21"/>
        </w:rPr>
        <w:t>六、服务承诺书</w:t>
      </w:r>
    </w:p>
    <w:p w14:paraId="20989D54">
      <w:pPr>
        <w:spacing w:line="360" w:lineRule="auto"/>
        <w:ind w:firstLine="420" w:firstLineChars="200"/>
        <w:rPr>
          <w:rFonts w:ascii="宋体" w:hAnsi="宋体" w:cs="宋体"/>
          <w:color w:val="auto"/>
          <w:szCs w:val="21"/>
        </w:rPr>
      </w:pPr>
      <w:r>
        <w:rPr>
          <w:rFonts w:hint="eastAsia" w:ascii="宋体" w:hAnsi="宋体" w:cs="宋体"/>
          <w:color w:val="auto"/>
          <w:szCs w:val="21"/>
        </w:rPr>
        <w:t>七、拟投入本项目服务人员一览表</w:t>
      </w:r>
    </w:p>
    <w:p w14:paraId="4E3327D4">
      <w:pPr>
        <w:spacing w:line="360" w:lineRule="auto"/>
        <w:ind w:firstLine="420" w:firstLineChars="200"/>
        <w:rPr>
          <w:rFonts w:ascii="宋体" w:hAnsi="宋体" w:cs="宋体"/>
          <w:color w:val="auto"/>
          <w:szCs w:val="21"/>
        </w:rPr>
      </w:pPr>
      <w:r>
        <w:rPr>
          <w:rFonts w:hint="eastAsia" w:ascii="宋体" w:hAnsi="宋体" w:cs="宋体"/>
          <w:color w:val="auto"/>
          <w:szCs w:val="21"/>
        </w:rPr>
        <w:t>八、供应商类似的业绩证明文件</w:t>
      </w:r>
    </w:p>
    <w:p w14:paraId="39521976">
      <w:pPr>
        <w:spacing w:line="360" w:lineRule="auto"/>
        <w:ind w:firstLine="420" w:firstLineChars="200"/>
        <w:rPr>
          <w:rFonts w:ascii="宋体" w:hAnsi="宋体" w:cs="宋体"/>
          <w:color w:val="auto"/>
          <w:szCs w:val="21"/>
        </w:rPr>
      </w:pPr>
      <w:r>
        <w:rPr>
          <w:rFonts w:hint="eastAsia" w:ascii="宋体" w:hAnsi="宋体" w:cs="宋体"/>
          <w:color w:val="auto"/>
          <w:szCs w:val="21"/>
        </w:rPr>
        <w:t>九、供应商对本项目的合理化建议和改进措施</w:t>
      </w:r>
    </w:p>
    <w:p w14:paraId="62DA98CA">
      <w:pPr>
        <w:spacing w:line="360" w:lineRule="auto"/>
        <w:ind w:firstLine="420" w:firstLineChars="200"/>
        <w:rPr>
          <w:rFonts w:ascii="宋体" w:hAnsi="宋体" w:cs="宋体"/>
          <w:color w:val="auto"/>
          <w:szCs w:val="21"/>
        </w:rPr>
      </w:pPr>
      <w:r>
        <w:rPr>
          <w:rFonts w:hint="eastAsia" w:ascii="宋体" w:hAnsi="宋体" w:cs="宋体"/>
          <w:color w:val="auto"/>
          <w:szCs w:val="21"/>
        </w:rPr>
        <w:t>十、供应商认为必要提供的声明及文件资料（如有）</w:t>
      </w:r>
    </w:p>
    <w:p w14:paraId="2212A546">
      <w:pPr>
        <w:spacing w:line="360" w:lineRule="auto"/>
        <w:rPr>
          <w:rFonts w:ascii="宋体" w:hAnsi="宋体" w:cs="宋体"/>
          <w:b/>
          <w:bCs/>
          <w:color w:val="auto"/>
          <w:szCs w:val="21"/>
        </w:rPr>
      </w:pPr>
    </w:p>
    <w:p w14:paraId="0BBF362D">
      <w:pPr>
        <w:spacing w:line="360" w:lineRule="auto"/>
        <w:rPr>
          <w:rFonts w:ascii="宋体" w:hAnsi="宋体" w:cs="宋体"/>
          <w:b/>
          <w:bCs/>
          <w:color w:val="auto"/>
          <w:szCs w:val="21"/>
        </w:rPr>
      </w:pPr>
    </w:p>
    <w:p w14:paraId="674DEAE2">
      <w:pPr>
        <w:spacing w:line="360" w:lineRule="auto"/>
        <w:rPr>
          <w:rFonts w:ascii="宋体" w:hAnsi="宋体" w:cs="宋体"/>
          <w:b/>
          <w:bCs/>
          <w:color w:val="auto"/>
          <w:szCs w:val="21"/>
        </w:rPr>
      </w:pPr>
      <w:r>
        <w:rPr>
          <w:rFonts w:hint="eastAsia" w:ascii="宋体" w:hAnsi="宋体" w:cs="宋体"/>
          <w:b/>
          <w:bCs/>
          <w:color w:val="auto"/>
          <w:szCs w:val="21"/>
        </w:rPr>
        <w:t>注：以上目录是基本格式要求，各供应商可根据自身情况进一步向下增加内容或细化。</w:t>
      </w:r>
    </w:p>
    <w:p w14:paraId="6D22230F">
      <w:pPr>
        <w:spacing w:line="360" w:lineRule="auto"/>
        <w:rPr>
          <w:rFonts w:ascii="宋体" w:hAnsi="宋体" w:cs="宋体"/>
          <w:color w:val="auto"/>
          <w:szCs w:val="21"/>
        </w:rPr>
      </w:pPr>
    </w:p>
    <w:p w14:paraId="073A17A7">
      <w:pPr>
        <w:spacing w:line="360" w:lineRule="auto"/>
        <w:outlineLvl w:val="2"/>
        <w:rPr>
          <w:rFonts w:ascii="宋体" w:hAnsi="宋体" w:cs="宋体"/>
          <w:color w:val="auto"/>
          <w:szCs w:val="21"/>
        </w:rPr>
      </w:pPr>
      <w:r>
        <w:rPr>
          <w:rFonts w:hint="eastAsia" w:ascii="宋体" w:hAnsi="宋体" w:cs="宋体"/>
          <w:color w:val="auto"/>
          <w:szCs w:val="21"/>
        </w:rPr>
        <w:br w:type="page"/>
      </w:r>
      <w:bookmarkStart w:id="510" w:name="_Toc1344"/>
      <w:bookmarkStart w:id="511" w:name="_Toc15935"/>
      <w:bookmarkStart w:id="512" w:name="_Toc10293"/>
      <w:bookmarkStart w:id="513" w:name="_Toc4357"/>
      <w:bookmarkStart w:id="514" w:name="_Toc19463"/>
      <w:bookmarkStart w:id="515" w:name="_Toc15221"/>
      <w:bookmarkStart w:id="516" w:name="_Toc21448"/>
      <w:bookmarkStart w:id="517" w:name="_Toc5958"/>
      <w:bookmarkStart w:id="518" w:name="_Toc7388"/>
      <w:bookmarkStart w:id="519" w:name="_Toc4996"/>
      <w:bookmarkStart w:id="520" w:name="_Toc2429"/>
      <w:bookmarkStart w:id="521" w:name="_Toc19819"/>
      <w:bookmarkStart w:id="522" w:name="_Toc21345"/>
      <w:bookmarkStart w:id="523" w:name="_Toc22049"/>
      <w:bookmarkStart w:id="524" w:name="_Toc25544"/>
      <w:bookmarkStart w:id="525" w:name="_Toc20325"/>
      <w:bookmarkStart w:id="526" w:name="_Toc1240"/>
      <w:bookmarkStart w:id="527" w:name="_Toc23741"/>
      <w:bookmarkStart w:id="528" w:name="_Toc1326"/>
      <w:r>
        <w:rPr>
          <w:rFonts w:hint="eastAsia" w:ascii="宋体" w:hAnsi="宋体" w:cs="宋体"/>
          <w:b/>
          <w:color w:val="auto"/>
          <w:szCs w:val="21"/>
        </w:rPr>
        <w:t>一、无串标行为承诺函</w:t>
      </w:r>
      <w:bookmarkEnd w:id="510"/>
      <w:bookmarkEnd w:id="511"/>
      <w:bookmarkEnd w:id="512"/>
      <w:bookmarkEnd w:id="513"/>
      <w:bookmarkEnd w:id="514"/>
      <w:bookmarkEnd w:id="515"/>
      <w:bookmarkEnd w:id="516"/>
      <w:bookmarkEnd w:id="517"/>
    </w:p>
    <w:p w14:paraId="00FBDAEF">
      <w:pPr>
        <w:spacing w:line="360" w:lineRule="auto"/>
        <w:jc w:val="center"/>
        <w:rPr>
          <w:rFonts w:ascii="宋体" w:hAnsi="宋体" w:cs="宋体"/>
          <w:color w:val="auto"/>
          <w:szCs w:val="21"/>
        </w:rPr>
      </w:pPr>
    </w:p>
    <w:p w14:paraId="1B0972EE">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无串通竞标行为的承诺函</w:t>
      </w:r>
    </w:p>
    <w:p w14:paraId="07131220">
      <w:pPr>
        <w:spacing w:line="360" w:lineRule="auto"/>
        <w:ind w:firstLine="420" w:firstLineChars="200"/>
        <w:rPr>
          <w:rFonts w:ascii="宋体" w:hAnsi="宋体" w:cs="宋体"/>
          <w:color w:val="auto"/>
          <w:szCs w:val="21"/>
        </w:rPr>
      </w:pPr>
    </w:p>
    <w:p w14:paraId="0E8FF2A5">
      <w:pPr>
        <w:spacing w:line="360" w:lineRule="auto"/>
        <w:ind w:firstLine="422" w:firstLineChars="200"/>
        <w:contextualSpacing/>
        <w:rPr>
          <w:rFonts w:ascii="宋体" w:hAnsi="宋体" w:cs="宋体"/>
          <w:b/>
          <w:bCs/>
          <w:color w:val="auto"/>
          <w:szCs w:val="21"/>
        </w:rPr>
      </w:pPr>
      <w:r>
        <w:rPr>
          <w:rFonts w:hint="eastAsia" w:ascii="宋体" w:hAnsi="宋体" w:cs="宋体"/>
          <w:b/>
          <w:bCs/>
          <w:color w:val="auto"/>
          <w:szCs w:val="21"/>
        </w:rPr>
        <w:t>一、我方承诺无下列相互串通竞标的情形：</w:t>
      </w:r>
    </w:p>
    <w:p w14:paraId="6B5D7568">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2314895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2.不同供应商委托同一单位或者个人办理竞标事宜；</w:t>
      </w:r>
    </w:p>
    <w:p w14:paraId="771829EE">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3.不同供应商的响应文件载明的项目管理员为同一个人；</w:t>
      </w:r>
    </w:p>
    <w:p w14:paraId="3B5F93E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4.不</w:t>
      </w:r>
      <w:r>
        <w:rPr>
          <w:rFonts w:hint="eastAsia" w:ascii="宋体" w:hAnsi="宋体" w:cs="宋体"/>
          <w:color w:val="auto"/>
          <w:spacing w:val="-6"/>
          <w:szCs w:val="21"/>
        </w:rPr>
        <w:t>同供应商的响应文件异常一致或者响应报价呈规律性差异；</w:t>
      </w:r>
    </w:p>
    <w:p w14:paraId="5A7AF5E9">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5.不同供应商的响应文件相互混装；</w:t>
      </w:r>
    </w:p>
    <w:p w14:paraId="353018E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6.不同供应商的磋商保证金从同一单位或者个人账户转出。</w:t>
      </w:r>
    </w:p>
    <w:p w14:paraId="1944C550">
      <w:pPr>
        <w:spacing w:line="360" w:lineRule="auto"/>
        <w:ind w:firstLine="422" w:firstLineChars="200"/>
        <w:contextualSpacing/>
        <w:rPr>
          <w:rFonts w:ascii="宋体" w:hAnsi="宋体" w:cs="宋体"/>
          <w:b/>
          <w:bCs/>
          <w:color w:val="auto"/>
          <w:szCs w:val="21"/>
        </w:rPr>
      </w:pPr>
      <w:r>
        <w:rPr>
          <w:rFonts w:hint="eastAsia" w:ascii="宋体" w:hAnsi="宋体" w:cs="宋体"/>
          <w:b/>
          <w:bCs/>
          <w:color w:val="auto"/>
          <w:szCs w:val="21"/>
        </w:rPr>
        <w:t>二、我方承诺无下列恶意串通的情形：</w:t>
      </w:r>
    </w:p>
    <w:p w14:paraId="2E41D103">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35109E78">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2EF8C53D">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3.供</w:t>
      </w:r>
      <w:r>
        <w:rPr>
          <w:rFonts w:hint="eastAsia" w:ascii="宋体" w:hAnsi="宋体" w:cs="宋体"/>
          <w:color w:val="auto"/>
          <w:spacing w:val="-6"/>
          <w:szCs w:val="21"/>
        </w:rPr>
        <w:t>应商之间协商报价、技术方案等响应文件的实质性内容；</w:t>
      </w:r>
    </w:p>
    <w:p w14:paraId="634D3862">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023D43E0">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5.供应商之间事先约定一致抬高或者压低响应报价，或者在竞争性磋商项目中事先约定轮流以高价位或者低价位成交，或者事先约定由某一特定供应商成交，然后再参加竞标；</w:t>
      </w:r>
    </w:p>
    <w:p w14:paraId="249A719A">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18BD626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7.供应商与采购人或者采购代理机构之间、供应商相互之间，为</w:t>
      </w:r>
      <w:r>
        <w:rPr>
          <w:rFonts w:hint="eastAsia" w:ascii="宋体" w:hAnsi="宋体" w:cs="宋体"/>
          <w:color w:val="auto"/>
          <w:spacing w:val="-6"/>
          <w:szCs w:val="21"/>
        </w:rPr>
        <w:t>谋求特定供应商成交或者排斥其他供应商的其他串通行为。</w:t>
      </w:r>
    </w:p>
    <w:p w14:paraId="62F1A886">
      <w:pPr>
        <w:spacing w:line="360" w:lineRule="auto"/>
        <w:ind w:firstLine="420" w:firstLineChars="200"/>
        <w:contextualSpacing/>
        <w:rPr>
          <w:rFonts w:ascii="宋体" w:hAnsi="宋体" w:cs="宋体"/>
          <w:color w:val="auto"/>
          <w:szCs w:val="21"/>
        </w:rPr>
      </w:pPr>
    </w:p>
    <w:p w14:paraId="48274BCF">
      <w:pPr>
        <w:spacing w:line="360" w:lineRule="auto"/>
        <w:ind w:firstLine="422" w:firstLineChars="200"/>
        <w:contextualSpacing/>
        <w:rPr>
          <w:rFonts w:ascii="宋体" w:hAnsi="宋体" w:cs="宋体"/>
          <w:b/>
          <w:bCs/>
          <w:color w:val="auto"/>
          <w:szCs w:val="21"/>
        </w:rPr>
      </w:pPr>
      <w:r>
        <w:rPr>
          <w:rFonts w:hint="eastAsia" w:ascii="宋体" w:hAnsi="宋体" w:cs="宋体"/>
          <w:b/>
          <w:bCs/>
          <w:color w:val="auto"/>
          <w:szCs w:val="21"/>
        </w:rPr>
        <w:t>以上情形一经核查属实，我方愿意承担一切后果，并不再寻求任何旨在减轻或者免除法律责任的辩解。</w:t>
      </w:r>
    </w:p>
    <w:p w14:paraId="0B7E4EE2">
      <w:pPr>
        <w:autoSpaceDE w:val="0"/>
        <w:autoSpaceDN w:val="0"/>
        <w:spacing w:line="360" w:lineRule="auto"/>
        <w:ind w:left="4305" w:leftChars="2050" w:firstLine="210" w:firstLineChars="100"/>
        <w:rPr>
          <w:rFonts w:ascii="宋体" w:hAnsi="宋体" w:cs="宋体"/>
          <w:color w:val="auto"/>
          <w:kern w:val="0"/>
          <w:szCs w:val="21"/>
        </w:rPr>
      </w:pPr>
    </w:p>
    <w:p w14:paraId="61406C6E">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11D6D656">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43BED746">
      <w:pPr>
        <w:spacing w:line="360" w:lineRule="auto"/>
        <w:jc w:val="left"/>
        <w:rPr>
          <w:rFonts w:ascii="宋体" w:hAnsi="宋体" w:cs="宋体"/>
          <w:color w:val="auto"/>
          <w:kern w:val="0"/>
          <w:szCs w:val="21"/>
          <w:lang w:val="zh-CN"/>
        </w:rPr>
      </w:pPr>
    </w:p>
    <w:p w14:paraId="103B554F">
      <w:pPr>
        <w:spacing w:line="360" w:lineRule="auto"/>
        <w:jc w:val="left"/>
        <w:outlineLvl w:val="2"/>
        <w:rPr>
          <w:rFonts w:ascii="宋体" w:hAnsi="宋体" w:cs="宋体"/>
          <w:bCs/>
          <w:color w:val="auto"/>
          <w:szCs w:val="21"/>
        </w:rPr>
      </w:pPr>
      <w:r>
        <w:rPr>
          <w:rFonts w:hint="eastAsia" w:ascii="宋体" w:hAnsi="宋体" w:cs="宋体"/>
          <w:color w:val="auto"/>
          <w:kern w:val="0"/>
          <w:szCs w:val="21"/>
          <w:lang w:val="zh-CN"/>
        </w:rPr>
        <w:t xml:space="preserve"> </w:t>
      </w:r>
      <w:r>
        <w:rPr>
          <w:rFonts w:hint="eastAsia" w:ascii="宋体" w:hAnsi="宋体" w:cs="宋体"/>
          <w:b/>
          <w:bCs/>
          <w:color w:val="auto"/>
          <w:szCs w:val="21"/>
        </w:rPr>
        <w:br w:type="page"/>
      </w:r>
      <w:bookmarkStart w:id="529" w:name="_Toc21736"/>
      <w:bookmarkStart w:id="530" w:name="_Toc27833"/>
      <w:bookmarkStart w:id="531" w:name="_Toc7786"/>
      <w:bookmarkStart w:id="532" w:name="_Toc31513"/>
      <w:bookmarkStart w:id="533" w:name="_Toc24195"/>
      <w:bookmarkStart w:id="534" w:name="_Toc31367"/>
      <w:bookmarkStart w:id="535" w:name="_Toc22935"/>
      <w:bookmarkStart w:id="536" w:name="_Toc25405"/>
      <w:r>
        <w:rPr>
          <w:rFonts w:hint="eastAsia" w:ascii="宋体" w:hAnsi="宋体" w:cs="宋体"/>
          <w:b/>
          <w:color w:val="auto"/>
          <w:szCs w:val="21"/>
        </w:rPr>
        <w:t>二、法定代表人身份证明及法定代表人有效身份证正反面复印件</w:t>
      </w:r>
      <w:bookmarkEnd w:id="529"/>
      <w:bookmarkEnd w:id="530"/>
      <w:bookmarkEnd w:id="531"/>
      <w:bookmarkEnd w:id="532"/>
      <w:bookmarkEnd w:id="533"/>
      <w:bookmarkEnd w:id="534"/>
      <w:bookmarkEnd w:id="535"/>
      <w:bookmarkEnd w:id="536"/>
    </w:p>
    <w:p w14:paraId="0E688F19">
      <w:pPr>
        <w:spacing w:line="360" w:lineRule="auto"/>
        <w:jc w:val="center"/>
        <w:rPr>
          <w:rFonts w:ascii="宋体" w:hAnsi="宋体" w:cs="宋体"/>
          <w:bCs/>
          <w:color w:val="auto"/>
          <w:szCs w:val="21"/>
        </w:rPr>
      </w:pPr>
    </w:p>
    <w:p w14:paraId="20AC7DF9">
      <w:pPr>
        <w:spacing w:line="360" w:lineRule="auto"/>
        <w:jc w:val="center"/>
        <w:rPr>
          <w:rFonts w:ascii="宋体" w:hAnsi="宋体" w:cs="宋体"/>
          <w:b/>
          <w:color w:val="auto"/>
          <w:sz w:val="28"/>
          <w:szCs w:val="28"/>
        </w:rPr>
      </w:pPr>
      <w:r>
        <w:rPr>
          <w:rFonts w:hint="eastAsia" w:ascii="宋体" w:hAnsi="宋体" w:cs="宋体"/>
          <w:b/>
          <w:color w:val="auto"/>
          <w:sz w:val="28"/>
          <w:szCs w:val="28"/>
        </w:rPr>
        <w:t>法定代表人（负责人/自然人）证明书</w:t>
      </w:r>
    </w:p>
    <w:p w14:paraId="0F90B394">
      <w:pPr>
        <w:spacing w:line="360" w:lineRule="auto"/>
        <w:ind w:left="540"/>
        <w:contextualSpacing/>
        <w:rPr>
          <w:rFonts w:ascii="宋体" w:hAnsi="宋体" w:cs="宋体"/>
          <w:color w:val="auto"/>
          <w:szCs w:val="21"/>
        </w:rPr>
      </w:pPr>
    </w:p>
    <w:p w14:paraId="0EA3A5E4">
      <w:pPr>
        <w:spacing w:line="360" w:lineRule="auto"/>
        <w:ind w:left="540"/>
        <w:contextualSpacing/>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p>
    <w:p w14:paraId="4A0E2064">
      <w:pPr>
        <w:spacing w:line="360" w:lineRule="auto"/>
        <w:ind w:left="540"/>
        <w:contextualSpacing/>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74ABCA3B">
      <w:pPr>
        <w:spacing w:line="360" w:lineRule="auto"/>
        <w:ind w:left="540"/>
        <w:contextualSpacing/>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性     别：</w:t>
      </w:r>
      <w:r>
        <w:rPr>
          <w:rFonts w:hint="eastAsia" w:ascii="宋体" w:hAnsi="宋体" w:cs="宋体"/>
          <w:color w:val="auto"/>
          <w:szCs w:val="21"/>
          <w:u w:val="single"/>
        </w:rPr>
        <w:t xml:space="preserve">                </w:t>
      </w:r>
    </w:p>
    <w:p w14:paraId="193B7BA7">
      <w:pPr>
        <w:spacing w:line="360" w:lineRule="auto"/>
        <w:ind w:left="540"/>
        <w:contextualSpacing/>
        <w:rPr>
          <w:rFonts w:ascii="宋体" w:hAnsi="宋体" w:cs="宋体"/>
          <w:color w:val="auto"/>
          <w:szCs w:val="21"/>
          <w:u w:val="single"/>
        </w:rPr>
      </w:pPr>
      <w:r>
        <w:rPr>
          <w:rFonts w:hint="eastAsia" w:ascii="宋体" w:hAnsi="宋体" w:cs="宋体"/>
          <w:color w:val="auto"/>
          <w:szCs w:val="21"/>
        </w:rPr>
        <w:t>年    龄：</w:t>
      </w:r>
      <w:r>
        <w:rPr>
          <w:rFonts w:hint="eastAsia" w:ascii="宋体" w:hAnsi="宋体" w:cs="宋体"/>
          <w:color w:val="auto"/>
          <w:szCs w:val="21"/>
          <w:u w:val="single"/>
        </w:rPr>
        <w:t xml:space="preserve">                </w:t>
      </w:r>
      <w:r>
        <w:rPr>
          <w:rFonts w:hint="eastAsia" w:ascii="宋体" w:hAnsi="宋体" w:cs="宋体"/>
          <w:color w:val="auto"/>
          <w:szCs w:val="21"/>
        </w:rPr>
        <w:t>职     务：</w:t>
      </w:r>
      <w:r>
        <w:rPr>
          <w:rFonts w:hint="eastAsia" w:ascii="宋体" w:hAnsi="宋体" w:cs="宋体"/>
          <w:color w:val="auto"/>
          <w:szCs w:val="21"/>
          <w:u w:val="single"/>
        </w:rPr>
        <w:t xml:space="preserve">                </w:t>
      </w:r>
    </w:p>
    <w:p w14:paraId="2B2D59F2">
      <w:pPr>
        <w:spacing w:line="360" w:lineRule="auto"/>
        <w:ind w:left="540"/>
        <w:contextualSpacing/>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0D54D1DC">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（供应商名称）</w:t>
      </w:r>
      <w:r>
        <w:rPr>
          <w:rFonts w:hint="eastAsia" w:ascii="宋体" w:hAnsi="宋体" w:cs="宋体"/>
          <w:color w:val="auto"/>
          <w:szCs w:val="21"/>
        </w:rPr>
        <w:t>的法定代表人（负责人/自然人）。</w:t>
      </w:r>
    </w:p>
    <w:p w14:paraId="36F42C81">
      <w:pPr>
        <w:spacing w:line="360" w:lineRule="auto"/>
        <w:ind w:left="540"/>
        <w:contextualSpacing/>
        <w:rPr>
          <w:rFonts w:ascii="宋体" w:hAnsi="宋体" w:cs="宋体"/>
          <w:color w:val="auto"/>
          <w:szCs w:val="21"/>
        </w:rPr>
      </w:pPr>
      <w:r>
        <w:rPr>
          <w:rFonts w:hint="eastAsia" w:ascii="宋体" w:hAnsi="宋体" w:cs="宋体"/>
          <w:color w:val="auto"/>
          <w:szCs w:val="21"/>
        </w:rPr>
        <w:t>特此证明。</w:t>
      </w:r>
    </w:p>
    <w:p w14:paraId="4DC48192">
      <w:pPr>
        <w:spacing w:line="360" w:lineRule="auto"/>
        <w:ind w:left="540"/>
        <w:contextualSpacing/>
        <w:rPr>
          <w:rFonts w:ascii="宋体" w:hAnsi="宋体" w:cs="宋体"/>
          <w:color w:val="auto"/>
          <w:szCs w:val="21"/>
        </w:rPr>
      </w:pPr>
    </w:p>
    <w:p w14:paraId="76F51E52">
      <w:pPr>
        <w:spacing w:line="360" w:lineRule="auto"/>
        <w:ind w:left="540"/>
        <w:contextualSpacing/>
        <w:rPr>
          <w:rFonts w:ascii="宋体" w:hAnsi="宋体" w:cs="宋体"/>
          <w:color w:val="auto"/>
          <w:szCs w:val="21"/>
        </w:rPr>
      </w:pPr>
      <w:r>
        <w:rPr>
          <w:rFonts w:hint="eastAsia" w:ascii="宋体" w:hAnsi="宋体" w:cs="宋体"/>
          <w:color w:val="auto"/>
          <w:szCs w:val="21"/>
        </w:rPr>
        <w:t>附件：法定代表人（负责人/自然人）有效身份证正反面复印件</w:t>
      </w:r>
    </w:p>
    <w:p w14:paraId="36E35DC4">
      <w:pPr>
        <w:spacing w:line="360" w:lineRule="auto"/>
        <w:ind w:left="540"/>
        <w:contextualSpacing/>
        <w:rPr>
          <w:rFonts w:ascii="宋体" w:hAnsi="宋体" w:cs="宋体"/>
          <w:color w:val="auto"/>
          <w:szCs w:val="21"/>
        </w:rPr>
      </w:pPr>
    </w:p>
    <w:p w14:paraId="70563F24">
      <w:pPr>
        <w:pStyle w:val="12"/>
        <w:rPr>
          <w:rFonts w:ascii="宋体" w:hAnsi="宋体" w:cs="宋体"/>
          <w:color w:val="auto"/>
          <w:szCs w:val="21"/>
        </w:rPr>
      </w:pPr>
    </w:p>
    <w:p w14:paraId="354EC154">
      <w:pPr>
        <w:rPr>
          <w:rFonts w:ascii="宋体" w:hAnsi="宋体" w:cs="宋体"/>
          <w:color w:val="auto"/>
          <w:szCs w:val="21"/>
        </w:rPr>
      </w:pPr>
    </w:p>
    <w:p w14:paraId="31ED68DB">
      <w:pPr>
        <w:pStyle w:val="12"/>
        <w:rPr>
          <w:rFonts w:ascii="宋体" w:hAnsi="宋体" w:cs="宋体"/>
          <w:color w:val="auto"/>
          <w:szCs w:val="21"/>
        </w:rPr>
      </w:pPr>
    </w:p>
    <w:p w14:paraId="1546AEEA">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3D085AEF">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4CAFDB99">
      <w:pPr>
        <w:spacing w:line="360" w:lineRule="auto"/>
        <w:contextualSpacing/>
        <w:jc w:val="left"/>
        <w:rPr>
          <w:rFonts w:ascii="宋体" w:hAnsi="宋体" w:cs="宋体"/>
          <w:color w:val="auto"/>
          <w:szCs w:val="21"/>
        </w:rPr>
      </w:pPr>
    </w:p>
    <w:p w14:paraId="60A97C90">
      <w:pPr>
        <w:spacing w:line="360" w:lineRule="auto"/>
        <w:contextualSpacing/>
        <w:jc w:val="left"/>
        <w:rPr>
          <w:rFonts w:ascii="宋体" w:hAnsi="宋体" w:cs="宋体"/>
          <w:color w:val="auto"/>
          <w:szCs w:val="21"/>
        </w:rPr>
        <w:sectPr>
          <w:pgSz w:w="11910" w:h="16840"/>
          <w:pgMar w:top="1440" w:right="1080" w:bottom="1440" w:left="1080" w:header="720" w:footer="720" w:gutter="0"/>
          <w:cols w:space="720" w:num="1"/>
        </w:sectPr>
      </w:pPr>
      <w:r>
        <w:rPr>
          <w:rFonts w:hint="eastAsia" w:ascii="宋体" w:hAnsi="宋体" w:cs="宋体"/>
          <w:color w:val="auto"/>
          <w:szCs w:val="21"/>
        </w:rPr>
        <w:t>注：供应商为其他组织或者自然人时，本磋商文件规定的法定代表人指负责人或者自然人。本磋商文件所称负责人是指参加竞标的其他组织营业执照上的负责人，本磋商文件所称自然人指参与竞标的自然人本人。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0433F29">
      <w:pPr>
        <w:spacing w:line="360" w:lineRule="auto"/>
        <w:jc w:val="left"/>
        <w:outlineLvl w:val="2"/>
        <w:rPr>
          <w:rFonts w:ascii="宋体" w:hAnsi="宋体" w:cs="宋体"/>
          <w:bCs/>
          <w:color w:val="auto"/>
          <w:szCs w:val="21"/>
        </w:rPr>
      </w:pPr>
      <w:bookmarkStart w:id="537" w:name="_Toc16588"/>
      <w:bookmarkStart w:id="538" w:name="_Toc6268"/>
      <w:bookmarkStart w:id="539" w:name="_Toc3782"/>
      <w:bookmarkStart w:id="540" w:name="_Toc22891"/>
      <w:bookmarkStart w:id="541" w:name="_Toc29146"/>
      <w:bookmarkStart w:id="542" w:name="_Toc7024"/>
      <w:bookmarkStart w:id="543" w:name="_Toc663"/>
      <w:bookmarkStart w:id="544" w:name="_Toc14477"/>
      <w:r>
        <w:rPr>
          <w:rFonts w:hint="eastAsia" w:ascii="宋体" w:hAnsi="宋体" w:cs="宋体"/>
          <w:b/>
          <w:color w:val="auto"/>
          <w:szCs w:val="21"/>
        </w:rPr>
        <w:t>三、法定代表人授权委托书</w:t>
      </w:r>
      <w:bookmarkEnd w:id="537"/>
      <w:bookmarkEnd w:id="538"/>
      <w:bookmarkEnd w:id="539"/>
      <w:bookmarkEnd w:id="540"/>
      <w:bookmarkEnd w:id="541"/>
      <w:bookmarkEnd w:id="542"/>
      <w:bookmarkEnd w:id="543"/>
      <w:bookmarkEnd w:id="544"/>
    </w:p>
    <w:p w14:paraId="77695A1C">
      <w:pPr>
        <w:spacing w:line="360" w:lineRule="auto"/>
        <w:jc w:val="center"/>
        <w:rPr>
          <w:rFonts w:ascii="宋体" w:hAnsi="宋体" w:cs="宋体"/>
          <w:color w:val="auto"/>
          <w:szCs w:val="21"/>
        </w:rPr>
      </w:pPr>
    </w:p>
    <w:p w14:paraId="42295A35">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授权委托书</w:t>
      </w:r>
    </w:p>
    <w:p w14:paraId="464930EF">
      <w:pPr>
        <w:spacing w:line="360" w:lineRule="auto"/>
        <w:jc w:val="center"/>
        <w:rPr>
          <w:rFonts w:ascii="宋体" w:hAnsi="宋体" w:cs="宋体"/>
          <w:color w:val="auto"/>
          <w:szCs w:val="21"/>
        </w:rPr>
      </w:pPr>
      <w:r>
        <w:rPr>
          <w:rFonts w:hint="eastAsia" w:ascii="宋体" w:hAnsi="宋体" w:cs="宋体"/>
          <w:color w:val="auto"/>
          <w:szCs w:val="21"/>
        </w:rPr>
        <w:t>（如有委托时）</w:t>
      </w:r>
    </w:p>
    <w:p w14:paraId="4ED18BD1">
      <w:pPr>
        <w:spacing w:line="360" w:lineRule="auto"/>
        <w:rPr>
          <w:rFonts w:ascii="宋体" w:hAnsi="宋体" w:cs="宋体"/>
          <w:color w:val="auto"/>
          <w:szCs w:val="21"/>
        </w:rPr>
      </w:pPr>
    </w:p>
    <w:p w14:paraId="021E1AE1">
      <w:pPr>
        <w:spacing w:line="360" w:lineRule="auto"/>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广西信和招标代理有限公司</w:t>
      </w:r>
      <w:r>
        <w:rPr>
          <w:rFonts w:hint="eastAsia" w:ascii="宋体" w:hAnsi="宋体" w:cs="宋体"/>
          <w:color w:val="auto"/>
          <w:szCs w:val="21"/>
        </w:rPr>
        <w:t>：</w:t>
      </w:r>
    </w:p>
    <w:p w14:paraId="7317FE73">
      <w:pPr>
        <w:spacing w:line="360" w:lineRule="auto"/>
        <w:ind w:firstLine="420" w:firstLineChars="200"/>
        <w:rPr>
          <w:rFonts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（姓名）  </w:t>
      </w:r>
      <w:r>
        <w:rPr>
          <w:rFonts w:hint="eastAsia" w:ascii="宋体" w:hAnsi="宋体" w:cs="宋体"/>
          <w:color w:val="auto"/>
          <w:szCs w:val="21"/>
        </w:rPr>
        <w:t>系</w:t>
      </w:r>
      <w:r>
        <w:rPr>
          <w:rFonts w:hint="eastAsia" w:ascii="宋体" w:hAnsi="宋体" w:cs="宋体"/>
          <w:color w:val="auto"/>
          <w:szCs w:val="21"/>
          <w:u w:val="single"/>
        </w:rPr>
        <w:t xml:space="preserve">  （供应商名称）  </w:t>
      </w:r>
      <w:r>
        <w:rPr>
          <w:rFonts w:hint="eastAsia" w:ascii="宋体" w:hAnsi="宋体" w:cs="宋体"/>
          <w:color w:val="auto"/>
          <w:szCs w:val="21"/>
        </w:rPr>
        <w:t>的（</w:t>
      </w:r>
      <w:r>
        <w:rPr>
          <w:rFonts w:hint="eastAsia" w:ascii="宋体" w:hAnsi="宋体" w:cs="宋体"/>
          <w:color w:val="auto"/>
          <w:szCs w:val="21"/>
          <w:u w:val="single"/>
        </w:rPr>
        <w:t>□法定代表人/□负责人/□自然人本人</w:t>
      </w:r>
      <w:r>
        <w:rPr>
          <w:rFonts w:hint="eastAsia" w:ascii="宋体" w:hAnsi="宋体" w:cs="宋体"/>
          <w:color w:val="auto"/>
          <w:szCs w:val="21"/>
        </w:rPr>
        <w:t>），现授权</w:t>
      </w:r>
      <w:r>
        <w:rPr>
          <w:rFonts w:hint="eastAsia" w:ascii="宋体" w:hAnsi="宋体" w:cs="宋体"/>
          <w:color w:val="auto"/>
          <w:szCs w:val="21"/>
          <w:u w:val="single"/>
        </w:rPr>
        <w:t xml:space="preserve"> （姓名） </w:t>
      </w:r>
      <w:r>
        <w:rPr>
          <w:rFonts w:hint="eastAsia" w:ascii="宋体" w:hAnsi="宋体" w:cs="宋体"/>
          <w:color w:val="auto"/>
          <w:szCs w:val="21"/>
        </w:rPr>
        <w:t>以我方的名义参加</w:t>
      </w:r>
      <w:r>
        <w:rPr>
          <w:rFonts w:hint="eastAsia" w:ascii="宋体" w:hAnsi="宋体" w:cs="宋体"/>
          <w:color w:val="auto"/>
          <w:szCs w:val="21"/>
          <w:u w:val="single"/>
          <w:lang w:eastAsia="zh-CN"/>
        </w:rPr>
        <w:t>采购2025年度党政机关法律顾问服务</w:t>
      </w:r>
      <w:r>
        <w:rPr>
          <w:rFonts w:hint="eastAsia" w:ascii="宋体" w:hAnsi="宋体" w:cs="宋体"/>
          <w:color w:val="auto"/>
          <w:szCs w:val="21"/>
          <w:u w:val="single"/>
        </w:rPr>
        <w:t xml:space="preserve"> </w:t>
      </w:r>
      <w:r>
        <w:rPr>
          <w:rFonts w:hint="eastAsia" w:ascii="宋体" w:hAnsi="宋体" w:cs="宋体"/>
          <w:color w:val="auto"/>
          <w:szCs w:val="21"/>
        </w:rPr>
        <w:t>的竞标活动，并代表我方全权办理针对上述项目的所有采购程序和环节的具体事务和签署相关文件。</w:t>
      </w:r>
    </w:p>
    <w:p w14:paraId="4504DAC8">
      <w:pPr>
        <w:spacing w:line="360" w:lineRule="auto"/>
        <w:rPr>
          <w:rFonts w:ascii="宋体" w:hAnsi="宋体" w:cs="宋体"/>
          <w:color w:val="auto"/>
          <w:szCs w:val="21"/>
        </w:rPr>
      </w:pPr>
      <w:r>
        <w:rPr>
          <w:rFonts w:hint="eastAsia" w:ascii="宋体" w:hAnsi="宋体" w:cs="宋体"/>
          <w:color w:val="auto"/>
          <w:szCs w:val="21"/>
        </w:rPr>
        <w:t xml:space="preserve">    我方对委托代理人的签字事项负全部责任。</w:t>
      </w:r>
    </w:p>
    <w:p w14:paraId="3E52C968">
      <w:pPr>
        <w:spacing w:line="360" w:lineRule="auto"/>
        <w:ind w:firstLine="420" w:firstLineChars="200"/>
        <w:rPr>
          <w:rFonts w:ascii="宋体" w:hAnsi="宋体" w:cs="宋体"/>
          <w:color w:val="auto"/>
          <w:szCs w:val="21"/>
        </w:rPr>
      </w:pPr>
      <w:r>
        <w:rPr>
          <w:rFonts w:hint="eastAsia" w:ascii="宋体" w:hAnsi="宋体" w:cs="宋体"/>
          <w:color w:val="auto"/>
          <w:szCs w:val="21"/>
        </w:rPr>
        <w:t>本授权书自签署之日起生效，在撤销授权的书面通知以前，本授权书一直有效。委托代理人在授权书有效期内签署的所有文件不因授权的撤销而失效。</w:t>
      </w:r>
    </w:p>
    <w:p w14:paraId="56D366F2">
      <w:pPr>
        <w:spacing w:line="360" w:lineRule="auto"/>
        <w:ind w:firstLine="420" w:firstLineChars="200"/>
        <w:rPr>
          <w:rFonts w:ascii="宋体" w:hAnsi="宋体" w:cs="宋体"/>
          <w:color w:val="auto"/>
          <w:szCs w:val="21"/>
        </w:rPr>
      </w:pPr>
      <w:r>
        <w:rPr>
          <w:rFonts w:hint="eastAsia" w:ascii="宋体" w:hAnsi="宋体" w:cs="宋体"/>
          <w:color w:val="auto"/>
          <w:szCs w:val="21"/>
        </w:rPr>
        <w:t>委托代理人无转委托权，特此委托。</w:t>
      </w:r>
    </w:p>
    <w:p w14:paraId="66B9E23A">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附：法定代表人（负责人/自然人）有效身份证正反面复印件及委托代理人有效身份证正反面复印件</w:t>
      </w:r>
    </w:p>
    <w:p w14:paraId="4C1E76C1">
      <w:pPr>
        <w:spacing w:line="360" w:lineRule="auto"/>
        <w:rPr>
          <w:rFonts w:ascii="宋体" w:hAnsi="宋体" w:cs="宋体"/>
          <w:color w:val="auto"/>
          <w:szCs w:val="21"/>
        </w:rPr>
      </w:pPr>
    </w:p>
    <w:p w14:paraId="157E1741">
      <w:pPr>
        <w:spacing w:line="360" w:lineRule="auto"/>
        <w:rPr>
          <w:rFonts w:ascii="宋体" w:hAnsi="宋体" w:cs="宋体"/>
          <w:color w:val="auto"/>
          <w:szCs w:val="21"/>
        </w:rPr>
      </w:pPr>
      <w:r>
        <w:rPr>
          <w:rFonts w:hint="eastAsia" w:ascii="宋体" w:hAnsi="宋体" w:cs="宋体"/>
          <w:color w:val="auto"/>
          <w:szCs w:val="21"/>
        </w:rPr>
        <w:t>委托代理人（签字）：         法定代表人（负责人/自然人）（签字或</w:t>
      </w:r>
      <w:r>
        <w:rPr>
          <w:rFonts w:hint="eastAsia" w:ascii="宋体" w:hAnsi="宋体" w:cs="宋体"/>
          <w:color w:val="auto"/>
          <w:sz w:val="22"/>
          <w:szCs w:val="22"/>
        </w:rPr>
        <w:t>加盖CA电子签字章</w:t>
      </w:r>
      <w:r>
        <w:rPr>
          <w:rFonts w:hint="eastAsia" w:ascii="宋体" w:hAnsi="宋体" w:cs="宋体"/>
          <w:color w:val="auto"/>
          <w:szCs w:val="21"/>
        </w:rPr>
        <w:t xml:space="preserve">）：              </w:t>
      </w:r>
    </w:p>
    <w:p w14:paraId="56E8E840">
      <w:pPr>
        <w:spacing w:line="360" w:lineRule="auto"/>
        <w:rPr>
          <w:rFonts w:ascii="宋体" w:hAnsi="宋体" w:cs="宋体"/>
          <w:color w:val="auto"/>
          <w:szCs w:val="21"/>
        </w:rPr>
      </w:pPr>
      <w:r>
        <w:rPr>
          <w:rFonts w:hint="eastAsia" w:ascii="宋体" w:hAnsi="宋体" w:cs="宋体"/>
          <w:color w:val="auto"/>
          <w:szCs w:val="21"/>
        </w:rPr>
        <w:t xml:space="preserve">委托代理人身份证号码：                              </w:t>
      </w:r>
    </w:p>
    <w:p w14:paraId="16035B35">
      <w:pPr>
        <w:spacing w:line="360" w:lineRule="auto"/>
        <w:rPr>
          <w:rFonts w:ascii="宋体" w:hAnsi="宋体" w:cs="宋体"/>
          <w:color w:val="auto"/>
          <w:szCs w:val="21"/>
        </w:rPr>
      </w:pPr>
      <w:r>
        <w:rPr>
          <w:rFonts w:hint="eastAsia" w:ascii="宋体" w:hAnsi="宋体" w:cs="宋体"/>
          <w:color w:val="auto"/>
          <w:szCs w:val="21"/>
        </w:rPr>
        <w:t xml:space="preserve">                                </w:t>
      </w:r>
    </w:p>
    <w:p w14:paraId="39D0A449">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szCs w:val="21"/>
        </w:rPr>
        <w:t xml:space="preserve">                       </w:t>
      </w: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73E0FE1B">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6A619C48">
      <w:pPr>
        <w:spacing w:line="360" w:lineRule="auto"/>
        <w:contextualSpacing/>
        <w:jc w:val="center"/>
        <w:rPr>
          <w:rFonts w:ascii="宋体" w:hAnsi="宋体" w:cs="宋体"/>
          <w:color w:val="auto"/>
          <w:szCs w:val="21"/>
        </w:rPr>
      </w:pPr>
    </w:p>
    <w:p w14:paraId="355982F8">
      <w:pPr>
        <w:spacing w:line="360" w:lineRule="auto"/>
        <w:rPr>
          <w:rFonts w:ascii="宋体" w:hAnsi="宋体" w:cs="宋体"/>
          <w:color w:val="auto"/>
          <w:szCs w:val="21"/>
        </w:rPr>
      </w:pPr>
      <w:r>
        <w:rPr>
          <w:rFonts w:hint="eastAsia" w:ascii="宋体" w:hAnsi="宋体" w:cs="宋体"/>
          <w:color w:val="auto"/>
          <w:szCs w:val="21"/>
        </w:rPr>
        <w:t>注：1. 法定代表人必须在授权委托书上亲笔签字或盖章，委托代理人必须在授权委托书上亲笔签字，</w:t>
      </w:r>
      <w:r>
        <w:rPr>
          <w:rFonts w:hint="eastAsia" w:ascii="宋体" w:hAnsi="宋体" w:cs="宋体"/>
          <w:b/>
          <w:color w:val="auto"/>
          <w:szCs w:val="21"/>
        </w:rPr>
        <w:t>否则其响应文件按无效响应处理。</w:t>
      </w:r>
    </w:p>
    <w:p w14:paraId="774232B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628DDB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 法人、其他组织竞标时“我方”是指“我单位”，自然人竞标时“我方”是指“本人”。</w:t>
      </w:r>
    </w:p>
    <w:p w14:paraId="59416D92">
      <w:pPr>
        <w:spacing w:line="360" w:lineRule="auto"/>
        <w:jc w:val="left"/>
        <w:outlineLvl w:val="2"/>
        <w:rPr>
          <w:rFonts w:ascii="宋体" w:hAnsi="宋体" w:cs="宋体"/>
          <w:b/>
          <w:color w:val="auto"/>
          <w:szCs w:val="21"/>
        </w:rPr>
      </w:pPr>
      <w:r>
        <w:rPr>
          <w:rFonts w:hint="eastAsia" w:hAnsi="宋体" w:cs="宋体"/>
          <w:b/>
          <w:color w:val="auto"/>
          <w:szCs w:val="21"/>
        </w:rPr>
        <w:br w:type="page"/>
      </w:r>
      <w:bookmarkStart w:id="545" w:name="_Toc20271"/>
      <w:bookmarkStart w:id="546" w:name="_Toc31177"/>
      <w:bookmarkStart w:id="547" w:name="_Toc29601"/>
      <w:bookmarkStart w:id="548" w:name="_Toc5742"/>
      <w:bookmarkStart w:id="549" w:name="_Toc25685"/>
      <w:bookmarkStart w:id="550" w:name="_Toc15360"/>
      <w:bookmarkStart w:id="551" w:name="_Toc1820"/>
      <w:bookmarkStart w:id="552" w:name="_Toc927"/>
      <w:r>
        <w:rPr>
          <w:rFonts w:hint="eastAsia" w:hAnsi="宋体" w:cs="宋体"/>
          <w:b/>
          <w:color w:val="auto"/>
          <w:szCs w:val="21"/>
        </w:rPr>
        <w:t>五</w:t>
      </w:r>
      <w:r>
        <w:rPr>
          <w:rFonts w:hint="eastAsia" w:ascii="宋体" w:hAnsi="宋体" w:cs="宋体"/>
          <w:b/>
          <w:color w:val="auto"/>
          <w:szCs w:val="21"/>
        </w:rPr>
        <w:t>、商务条款偏离表和服务需求偏离表</w:t>
      </w:r>
      <w:bookmarkEnd w:id="545"/>
      <w:bookmarkEnd w:id="546"/>
      <w:bookmarkEnd w:id="547"/>
      <w:bookmarkEnd w:id="548"/>
      <w:bookmarkEnd w:id="549"/>
      <w:bookmarkEnd w:id="550"/>
      <w:bookmarkEnd w:id="551"/>
      <w:bookmarkEnd w:id="552"/>
    </w:p>
    <w:p w14:paraId="4562C848">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商务条款偏离表和服务需求偏离表</w:t>
      </w:r>
    </w:p>
    <w:p w14:paraId="1470FE99">
      <w:pPr>
        <w:spacing w:line="360" w:lineRule="auto"/>
        <w:ind w:firstLine="420" w:firstLineChars="200"/>
        <w:contextualSpacing/>
        <w:rPr>
          <w:rFonts w:ascii="宋体" w:hAnsi="宋体" w:cs="宋体"/>
          <w:color w:val="auto"/>
          <w:szCs w:val="21"/>
          <w:u w:val="single"/>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p w14:paraId="2CBB7722">
      <w:pPr>
        <w:spacing w:line="360" w:lineRule="auto"/>
        <w:ind w:firstLine="420" w:firstLineChars="200"/>
        <w:contextualSpacing/>
        <w:rPr>
          <w:rFonts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1D146454">
      <w:pPr>
        <w:pStyle w:val="7"/>
        <w:ind w:firstLineChars="200"/>
        <w:rPr>
          <w:color w:val="auto"/>
        </w:rPr>
      </w:pPr>
      <w:r>
        <w:rPr>
          <w:rFonts w:hint="eastAsia"/>
          <w:color w:val="auto"/>
        </w:rPr>
        <w:t>所投标项：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23D2B7D">
      <w:pPr>
        <w:pStyle w:val="7"/>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454"/>
        <w:gridCol w:w="3112"/>
        <w:gridCol w:w="1214"/>
      </w:tblGrid>
      <w:tr w14:paraId="5A99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07340D29">
            <w:pPr>
              <w:spacing w:line="360" w:lineRule="auto"/>
              <w:jc w:val="center"/>
              <w:rPr>
                <w:rFonts w:ascii="宋体" w:hAnsi="宋体" w:cs="宋体"/>
                <w:color w:val="auto"/>
                <w:szCs w:val="21"/>
              </w:rPr>
            </w:pPr>
            <w:r>
              <w:rPr>
                <w:rFonts w:hint="eastAsia" w:ascii="宋体" w:hAnsi="宋体" w:cs="宋体"/>
                <w:color w:val="auto"/>
                <w:szCs w:val="21"/>
              </w:rPr>
              <w:t>服务项目名称</w:t>
            </w:r>
          </w:p>
        </w:tc>
        <w:tc>
          <w:tcPr>
            <w:tcW w:w="3454" w:type="dxa"/>
            <w:tcBorders>
              <w:top w:val="single" w:color="auto" w:sz="4" w:space="0"/>
              <w:left w:val="single" w:color="auto" w:sz="4" w:space="0"/>
              <w:bottom w:val="single" w:color="auto" w:sz="4" w:space="0"/>
              <w:right w:val="single" w:color="auto" w:sz="4" w:space="0"/>
            </w:tcBorders>
            <w:vAlign w:val="center"/>
          </w:tcPr>
          <w:p w14:paraId="4D37984D">
            <w:pPr>
              <w:spacing w:line="360" w:lineRule="auto"/>
              <w:jc w:val="center"/>
              <w:rPr>
                <w:rFonts w:ascii="宋体" w:hAnsi="宋体" w:cs="宋体"/>
                <w:color w:val="auto"/>
                <w:szCs w:val="21"/>
              </w:rPr>
            </w:pPr>
            <w:r>
              <w:rPr>
                <w:rFonts w:hint="eastAsia" w:ascii="宋体" w:hAnsi="宋体" w:cs="宋体"/>
                <w:color w:val="auto"/>
                <w:szCs w:val="21"/>
              </w:rPr>
              <w:t>竞争性磋商采购文件需求</w:t>
            </w:r>
          </w:p>
        </w:tc>
        <w:tc>
          <w:tcPr>
            <w:tcW w:w="3112" w:type="dxa"/>
            <w:tcBorders>
              <w:top w:val="single" w:color="auto" w:sz="4" w:space="0"/>
              <w:left w:val="single" w:color="auto" w:sz="4" w:space="0"/>
              <w:bottom w:val="single" w:color="auto" w:sz="4" w:space="0"/>
              <w:right w:val="single" w:color="auto" w:sz="4" w:space="0"/>
            </w:tcBorders>
            <w:vAlign w:val="center"/>
          </w:tcPr>
          <w:p w14:paraId="5800F3BB">
            <w:pPr>
              <w:spacing w:line="360" w:lineRule="auto"/>
              <w:jc w:val="center"/>
              <w:rPr>
                <w:rFonts w:ascii="宋体" w:hAnsi="宋体" w:cs="宋体"/>
                <w:color w:val="auto"/>
                <w:szCs w:val="21"/>
              </w:rPr>
            </w:pPr>
            <w:r>
              <w:rPr>
                <w:rFonts w:hint="eastAsia" w:ascii="宋体" w:hAnsi="宋体" w:cs="宋体"/>
                <w:color w:val="auto"/>
                <w:szCs w:val="21"/>
              </w:rPr>
              <w:t>响应文件的承诺内容</w:t>
            </w:r>
          </w:p>
        </w:tc>
        <w:tc>
          <w:tcPr>
            <w:tcW w:w="1214" w:type="dxa"/>
            <w:tcBorders>
              <w:top w:val="single" w:color="auto" w:sz="4" w:space="0"/>
              <w:left w:val="single" w:color="auto" w:sz="4" w:space="0"/>
              <w:bottom w:val="single" w:color="auto" w:sz="4" w:space="0"/>
              <w:right w:val="single" w:color="auto" w:sz="4" w:space="0"/>
            </w:tcBorders>
            <w:vAlign w:val="center"/>
          </w:tcPr>
          <w:p w14:paraId="4C7AD9BD">
            <w:pPr>
              <w:spacing w:line="360" w:lineRule="auto"/>
              <w:jc w:val="center"/>
              <w:rPr>
                <w:rFonts w:ascii="宋体" w:hAnsi="宋体" w:cs="宋体"/>
                <w:color w:val="auto"/>
                <w:szCs w:val="21"/>
              </w:rPr>
            </w:pPr>
            <w:r>
              <w:rPr>
                <w:rFonts w:hint="eastAsia" w:ascii="宋体" w:hAnsi="宋体" w:cs="宋体"/>
                <w:color w:val="auto"/>
                <w:szCs w:val="21"/>
              </w:rPr>
              <w:t>偏离说明</w:t>
            </w:r>
          </w:p>
        </w:tc>
      </w:tr>
      <w:tr w14:paraId="14AE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gridSpan w:val="4"/>
            <w:tcBorders>
              <w:top w:val="single" w:color="auto" w:sz="4" w:space="0"/>
              <w:left w:val="single" w:color="auto" w:sz="4" w:space="0"/>
              <w:bottom w:val="single" w:color="auto" w:sz="4" w:space="0"/>
              <w:right w:val="single" w:color="auto" w:sz="4" w:space="0"/>
            </w:tcBorders>
            <w:vAlign w:val="center"/>
          </w:tcPr>
          <w:p w14:paraId="00977F55">
            <w:pPr>
              <w:spacing w:line="360" w:lineRule="auto"/>
              <w:jc w:val="center"/>
              <w:rPr>
                <w:rFonts w:ascii="宋体" w:hAnsi="宋体" w:cs="宋体"/>
                <w:color w:val="auto"/>
                <w:szCs w:val="21"/>
              </w:rPr>
            </w:pPr>
            <w:r>
              <w:rPr>
                <w:rFonts w:hint="eastAsia" w:ascii="宋体" w:hAnsi="宋体" w:cs="宋体"/>
                <w:color w:val="auto"/>
                <w:szCs w:val="21"/>
              </w:rPr>
              <w:t>商务条款</w:t>
            </w:r>
          </w:p>
        </w:tc>
      </w:tr>
      <w:tr w14:paraId="593C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2AF9F736">
            <w:pPr>
              <w:snapToGrid w:val="0"/>
              <w:spacing w:line="400" w:lineRule="exact"/>
              <w:jc w:val="center"/>
              <w:rPr>
                <w:rFonts w:ascii="宋体" w:hAnsi="宋体" w:cs="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784778D4">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64F0DBB0">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0E2359AE">
            <w:pPr>
              <w:spacing w:line="360" w:lineRule="auto"/>
              <w:jc w:val="center"/>
              <w:rPr>
                <w:rFonts w:ascii="宋体" w:hAnsi="宋体" w:cs="宋体"/>
                <w:color w:val="auto"/>
                <w:szCs w:val="21"/>
              </w:rPr>
            </w:pPr>
          </w:p>
        </w:tc>
      </w:tr>
      <w:tr w14:paraId="0756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51EE8AEE">
            <w:pPr>
              <w:snapToGrid w:val="0"/>
              <w:spacing w:line="400" w:lineRule="exact"/>
              <w:jc w:val="center"/>
              <w:rPr>
                <w:rFonts w:ascii="宋体" w:hAnsi="宋体" w:cs="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0D7B72D3">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444C0C60">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0BB7F25D">
            <w:pPr>
              <w:spacing w:line="360" w:lineRule="auto"/>
              <w:jc w:val="center"/>
              <w:rPr>
                <w:rFonts w:ascii="宋体" w:hAnsi="宋体" w:cs="宋体"/>
                <w:color w:val="auto"/>
                <w:szCs w:val="21"/>
              </w:rPr>
            </w:pPr>
          </w:p>
        </w:tc>
      </w:tr>
      <w:tr w14:paraId="0DB8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6E974B1F">
            <w:pPr>
              <w:snapToGrid w:val="0"/>
              <w:spacing w:line="400" w:lineRule="exact"/>
              <w:jc w:val="center"/>
              <w:rPr>
                <w:rFonts w:hAnsi="宋体" w:cs="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74C1208C">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13E35602">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16FBF5ED">
            <w:pPr>
              <w:spacing w:line="360" w:lineRule="auto"/>
              <w:jc w:val="center"/>
              <w:rPr>
                <w:rFonts w:ascii="宋体" w:hAnsi="宋体" w:cs="宋体"/>
                <w:color w:val="auto"/>
                <w:szCs w:val="21"/>
              </w:rPr>
            </w:pPr>
          </w:p>
        </w:tc>
      </w:tr>
      <w:tr w14:paraId="7D77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32BD681A">
            <w:pPr>
              <w:pStyle w:val="13"/>
              <w:snapToGrid w:val="0"/>
              <w:spacing w:line="400" w:lineRule="exact"/>
              <w:jc w:val="center"/>
              <w:rPr>
                <w:rFonts w:hAnsi="宋体" w:cs="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13A1631D">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75C6A7CC">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61EECE34">
            <w:pPr>
              <w:spacing w:line="360" w:lineRule="auto"/>
              <w:jc w:val="center"/>
              <w:rPr>
                <w:rFonts w:ascii="宋体" w:hAnsi="宋体" w:cs="宋体"/>
                <w:color w:val="auto"/>
                <w:szCs w:val="21"/>
              </w:rPr>
            </w:pPr>
          </w:p>
        </w:tc>
      </w:tr>
      <w:tr w14:paraId="5A3F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01C73455">
            <w:pPr>
              <w:pStyle w:val="13"/>
              <w:snapToGrid w:val="0"/>
              <w:spacing w:line="400" w:lineRule="exact"/>
              <w:jc w:val="center"/>
              <w:rPr>
                <w:rFonts w:hAnsi="宋体" w:cs="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34179B68">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203D3165">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0481F7F3">
            <w:pPr>
              <w:spacing w:line="360" w:lineRule="auto"/>
              <w:jc w:val="center"/>
              <w:rPr>
                <w:rFonts w:ascii="宋体" w:hAnsi="宋体" w:cs="宋体"/>
                <w:color w:val="auto"/>
                <w:szCs w:val="21"/>
              </w:rPr>
            </w:pPr>
          </w:p>
        </w:tc>
      </w:tr>
      <w:tr w14:paraId="1E1E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33CFD901">
            <w:pPr>
              <w:pStyle w:val="13"/>
              <w:snapToGrid w:val="0"/>
              <w:spacing w:line="400" w:lineRule="exact"/>
              <w:jc w:val="center"/>
              <w:rPr>
                <w:rFonts w:hAnsi="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1F06F2E8">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47070ECC">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3B43F690">
            <w:pPr>
              <w:spacing w:line="360" w:lineRule="auto"/>
              <w:jc w:val="center"/>
              <w:rPr>
                <w:rFonts w:ascii="宋体" w:hAnsi="宋体" w:cs="宋体"/>
                <w:color w:val="auto"/>
                <w:szCs w:val="21"/>
              </w:rPr>
            </w:pPr>
          </w:p>
        </w:tc>
      </w:tr>
      <w:tr w14:paraId="7807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gridSpan w:val="4"/>
            <w:tcBorders>
              <w:top w:val="single" w:color="auto" w:sz="4" w:space="0"/>
              <w:left w:val="single" w:color="auto" w:sz="4" w:space="0"/>
              <w:bottom w:val="single" w:color="auto" w:sz="4" w:space="0"/>
              <w:right w:val="single" w:color="auto" w:sz="4" w:space="0"/>
            </w:tcBorders>
            <w:vAlign w:val="center"/>
          </w:tcPr>
          <w:p w14:paraId="1908C2CA">
            <w:pPr>
              <w:spacing w:line="360" w:lineRule="auto"/>
              <w:jc w:val="center"/>
              <w:rPr>
                <w:rFonts w:ascii="宋体" w:hAnsi="宋体" w:cs="宋体"/>
                <w:color w:val="auto"/>
                <w:szCs w:val="21"/>
              </w:rPr>
            </w:pPr>
            <w:r>
              <w:rPr>
                <w:rFonts w:hint="eastAsia" w:ascii="宋体" w:hAnsi="宋体" w:cs="宋体"/>
                <w:color w:val="auto"/>
                <w:szCs w:val="21"/>
              </w:rPr>
              <w:t>服务需求</w:t>
            </w:r>
          </w:p>
        </w:tc>
      </w:tr>
      <w:tr w14:paraId="42A6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3757CB7D">
            <w:pPr>
              <w:snapToGrid w:val="0"/>
              <w:spacing w:line="400" w:lineRule="exact"/>
              <w:jc w:val="center"/>
              <w:rPr>
                <w:rFonts w:ascii="宋体" w:hAnsi="宋体" w:cs="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353D2C69">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6704091A">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04F291D5">
            <w:pPr>
              <w:spacing w:line="360" w:lineRule="auto"/>
              <w:jc w:val="center"/>
              <w:rPr>
                <w:rFonts w:ascii="宋体" w:hAnsi="宋体" w:cs="宋体"/>
                <w:color w:val="auto"/>
                <w:szCs w:val="21"/>
              </w:rPr>
            </w:pPr>
          </w:p>
        </w:tc>
      </w:tr>
      <w:tr w14:paraId="46E7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vAlign w:val="center"/>
          </w:tcPr>
          <w:p w14:paraId="0D979735">
            <w:pPr>
              <w:snapToGrid w:val="0"/>
              <w:spacing w:line="400" w:lineRule="exact"/>
              <w:jc w:val="center"/>
              <w:rPr>
                <w:rFonts w:ascii="宋体" w:hAnsi="宋体" w:cs="宋体"/>
                <w:color w:val="auto"/>
                <w:szCs w:val="21"/>
              </w:rPr>
            </w:pPr>
          </w:p>
        </w:tc>
        <w:tc>
          <w:tcPr>
            <w:tcW w:w="3454" w:type="dxa"/>
            <w:tcBorders>
              <w:top w:val="single" w:color="auto" w:sz="4" w:space="0"/>
              <w:left w:val="single" w:color="auto" w:sz="4" w:space="0"/>
              <w:bottom w:val="single" w:color="auto" w:sz="4" w:space="0"/>
              <w:right w:val="single" w:color="auto" w:sz="4" w:space="0"/>
            </w:tcBorders>
            <w:vAlign w:val="center"/>
          </w:tcPr>
          <w:p w14:paraId="3EA6A941">
            <w:pPr>
              <w:spacing w:line="360" w:lineRule="auto"/>
              <w:jc w:val="center"/>
              <w:rPr>
                <w:rFonts w:ascii="宋体" w:hAnsi="宋体" w:cs="宋体"/>
                <w:color w:val="auto"/>
                <w:szCs w:val="21"/>
              </w:rPr>
            </w:pPr>
          </w:p>
        </w:tc>
        <w:tc>
          <w:tcPr>
            <w:tcW w:w="3112" w:type="dxa"/>
            <w:tcBorders>
              <w:top w:val="single" w:color="auto" w:sz="4" w:space="0"/>
              <w:left w:val="single" w:color="auto" w:sz="4" w:space="0"/>
              <w:bottom w:val="single" w:color="auto" w:sz="4" w:space="0"/>
              <w:right w:val="single" w:color="auto" w:sz="4" w:space="0"/>
            </w:tcBorders>
            <w:vAlign w:val="center"/>
          </w:tcPr>
          <w:p w14:paraId="58A90A37">
            <w:pPr>
              <w:spacing w:line="360" w:lineRule="auto"/>
              <w:jc w:val="center"/>
              <w:rPr>
                <w:rFonts w:ascii="宋体" w:hAnsi="宋体" w:cs="宋体"/>
                <w:color w:val="auto"/>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47D03E6E">
            <w:pPr>
              <w:spacing w:line="360" w:lineRule="auto"/>
              <w:jc w:val="center"/>
              <w:rPr>
                <w:rFonts w:ascii="宋体" w:hAnsi="宋体" w:cs="宋体"/>
                <w:color w:val="auto"/>
                <w:szCs w:val="21"/>
              </w:rPr>
            </w:pPr>
          </w:p>
        </w:tc>
      </w:tr>
    </w:tbl>
    <w:p w14:paraId="2A306FF3">
      <w:pPr>
        <w:pStyle w:val="10"/>
        <w:spacing w:line="360" w:lineRule="auto"/>
        <w:ind w:left="0" w:leftChars="0" w:firstLine="420" w:firstLineChars="200"/>
        <w:contextualSpacing/>
        <w:rPr>
          <w:rFonts w:ascii="宋体" w:hAnsi="宋体" w:cs="宋体"/>
          <w:color w:val="auto"/>
          <w:szCs w:val="21"/>
        </w:rPr>
      </w:pPr>
      <w:r>
        <w:rPr>
          <w:rFonts w:hint="eastAsia" w:ascii="宋体" w:hAnsi="宋体" w:cs="宋体"/>
          <w:color w:val="auto"/>
          <w:szCs w:val="21"/>
        </w:rPr>
        <w:t>注：</w:t>
      </w:r>
    </w:p>
    <w:p w14:paraId="3242240D">
      <w:pPr>
        <w:pStyle w:val="10"/>
        <w:spacing w:line="360" w:lineRule="auto"/>
        <w:ind w:left="0" w:leftChars="0" w:firstLine="420" w:firstLineChars="200"/>
        <w:contextualSpacing/>
        <w:rPr>
          <w:rFonts w:ascii="宋体" w:hAnsi="宋体" w:cs="宋体"/>
          <w:color w:val="auto"/>
          <w:szCs w:val="21"/>
        </w:rPr>
      </w:pPr>
      <w:r>
        <w:rPr>
          <w:rFonts w:hint="eastAsia" w:ascii="宋体" w:hAnsi="宋体" w:cs="宋体"/>
          <w:color w:val="auto"/>
          <w:szCs w:val="21"/>
        </w:rPr>
        <w:t>1.说明：应对照磋商文件“第三章 采购需求”中的商务条款及服务需求逐条作出明确响应，并作出偏离说明。</w:t>
      </w:r>
    </w:p>
    <w:p w14:paraId="0DF7E02D">
      <w:pPr>
        <w:pStyle w:val="10"/>
        <w:spacing w:line="360" w:lineRule="auto"/>
        <w:ind w:left="0" w:leftChars="0" w:firstLine="420" w:firstLineChars="200"/>
        <w:contextualSpacing/>
        <w:rPr>
          <w:rFonts w:ascii="宋体" w:hAnsi="宋体" w:cs="宋体"/>
          <w:color w:val="auto"/>
          <w:szCs w:val="21"/>
        </w:rPr>
      </w:pPr>
      <w:r>
        <w:rPr>
          <w:rFonts w:hint="eastAsia" w:ascii="宋体" w:hAnsi="宋体" w:cs="宋体"/>
          <w:color w:val="auto"/>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FB7633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3.表格内容均须按要求填写，不得留空，否则按竞标无效处理。</w:t>
      </w:r>
    </w:p>
    <w:p w14:paraId="4A38021F">
      <w:pPr>
        <w:spacing w:line="360" w:lineRule="auto"/>
        <w:ind w:firstLine="3360" w:firstLineChars="1600"/>
        <w:rPr>
          <w:rFonts w:ascii="宋体" w:hAnsi="宋体" w:cs="宋体"/>
          <w:color w:val="auto"/>
          <w:kern w:val="0"/>
          <w:szCs w:val="21"/>
        </w:rPr>
      </w:pPr>
    </w:p>
    <w:p w14:paraId="478322FC">
      <w:pPr>
        <w:spacing w:line="500" w:lineRule="exact"/>
        <w:ind w:firstLine="3410" w:firstLineChars="15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379CD64A">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3486217E">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7A8D710F">
      <w:pPr>
        <w:spacing w:line="360" w:lineRule="auto"/>
        <w:outlineLvl w:val="2"/>
        <w:rPr>
          <w:rFonts w:ascii="宋体" w:hAnsi="宋体" w:cs="宋体"/>
          <w:b/>
          <w:bCs/>
          <w:color w:val="auto"/>
          <w:szCs w:val="21"/>
        </w:rPr>
      </w:pPr>
      <w:r>
        <w:rPr>
          <w:rFonts w:hint="eastAsia" w:hAnsi="宋体" w:cs="宋体"/>
          <w:color w:val="auto"/>
          <w:sz w:val="22"/>
          <w:szCs w:val="22"/>
        </w:rPr>
        <w:br w:type="page"/>
      </w:r>
      <w:bookmarkStart w:id="553" w:name="_Toc9609"/>
      <w:bookmarkStart w:id="554" w:name="_Toc28214"/>
      <w:bookmarkStart w:id="555" w:name="_Toc17768"/>
      <w:bookmarkStart w:id="556" w:name="_Toc3908"/>
      <w:bookmarkStart w:id="557" w:name="_Toc24915"/>
      <w:bookmarkStart w:id="558" w:name="_Toc15345"/>
      <w:bookmarkStart w:id="559" w:name="_Toc20100"/>
      <w:bookmarkStart w:id="560" w:name="_Toc11008"/>
      <w:r>
        <w:rPr>
          <w:rFonts w:hint="eastAsia" w:hAnsi="宋体" w:cs="宋体"/>
          <w:b/>
          <w:bCs/>
          <w:color w:val="auto"/>
          <w:sz w:val="22"/>
          <w:szCs w:val="22"/>
        </w:rPr>
        <w:t>六</w:t>
      </w:r>
      <w:r>
        <w:rPr>
          <w:rFonts w:hint="eastAsia" w:ascii="宋体" w:hAnsi="宋体" w:cs="宋体"/>
          <w:b/>
          <w:bCs/>
          <w:color w:val="auto"/>
          <w:szCs w:val="21"/>
        </w:rPr>
        <w:t>、项目服务方案</w:t>
      </w:r>
      <w:bookmarkEnd w:id="518"/>
      <w:bookmarkEnd w:id="519"/>
      <w:bookmarkEnd w:id="520"/>
      <w:bookmarkEnd w:id="521"/>
      <w:bookmarkEnd w:id="522"/>
      <w:bookmarkEnd w:id="523"/>
      <w:bookmarkEnd w:id="524"/>
      <w:bookmarkEnd w:id="525"/>
      <w:bookmarkEnd w:id="526"/>
      <w:bookmarkEnd w:id="553"/>
      <w:bookmarkEnd w:id="554"/>
      <w:bookmarkEnd w:id="555"/>
      <w:bookmarkEnd w:id="556"/>
      <w:bookmarkEnd w:id="557"/>
      <w:bookmarkEnd w:id="558"/>
      <w:bookmarkEnd w:id="559"/>
      <w:bookmarkEnd w:id="560"/>
    </w:p>
    <w:p w14:paraId="76A55A48">
      <w:pPr>
        <w:pStyle w:val="7"/>
        <w:ind w:firstLine="0"/>
        <w:rPr>
          <w:rFonts w:ascii="宋体" w:hAnsi="宋体" w:cs="宋体"/>
          <w:color w:val="auto"/>
          <w:szCs w:val="21"/>
        </w:rPr>
      </w:pPr>
      <w:bookmarkStart w:id="561" w:name="_Toc31046"/>
      <w:bookmarkStart w:id="562" w:name="_Toc18320"/>
      <w:bookmarkStart w:id="563" w:name="_Toc12191"/>
      <w:bookmarkStart w:id="564" w:name="_Toc14110"/>
      <w:bookmarkStart w:id="565" w:name="_Toc10054"/>
      <w:bookmarkStart w:id="566" w:name="_Toc9831"/>
      <w:bookmarkStart w:id="567" w:name="_Toc542"/>
      <w:bookmarkStart w:id="568" w:name="_Toc27614"/>
      <w:bookmarkStart w:id="569" w:name="_Toc2189"/>
      <w:bookmarkStart w:id="570" w:name="_Toc7335"/>
      <w:bookmarkStart w:id="571" w:name="_Toc2927"/>
      <w:bookmarkStart w:id="572" w:name="_Toc23432"/>
      <w:bookmarkStart w:id="573" w:name="_Toc11220"/>
      <w:bookmarkStart w:id="574" w:name="_Toc8220"/>
      <w:bookmarkStart w:id="575" w:name="_Toc7163"/>
      <w:bookmarkStart w:id="576" w:name="_Toc5878"/>
      <w:bookmarkStart w:id="577" w:name="_Toc20545"/>
      <w:r>
        <w:rPr>
          <w:rFonts w:hint="eastAsia"/>
          <w:color w:val="auto"/>
        </w:rPr>
        <w:t>所投标项：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E22DBBE">
      <w:pPr>
        <w:pStyle w:val="7"/>
        <w:ind w:firstLine="0"/>
        <w:rPr>
          <w:rFonts w:ascii="宋体" w:hAnsi="宋体" w:cs="宋体"/>
          <w:color w:val="auto"/>
          <w:szCs w:val="21"/>
        </w:rPr>
      </w:pPr>
    </w:p>
    <w:p w14:paraId="45ACBD05">
      <w:pPr>
        <w:spacing w:line="360" w:lineRule="auto"/>
        <w:rPr>
          <w:rFonts w:ascii="宋体" w:hAnsi="宋体" w:cs="宋体"/>
          <w:b/>
          <w:bCs/>
          <w:color w:val="auto"/>
          <w:szCs w:val="21"/>
        </w:rPr>
      </w:pPr>
      <w:r>
        <w:rPr>
          <w:rFonts w:hint="eastAsia" w:ascii="宋体" w:hAnsi="宋体" w:cs="宋体"/>
          <w:b/>
          <w:bCs/>
          <w:color w:val="auto"/>
          <w:szCs w:val="21"/>
        </w:rPr>
        <w:t>供应商可根据采购需求及评分标准自行编写，格式自拟。</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3486F97">
      <w:pPr>
        <w:pStyle w:val="12"/>
        <w:rPr>
          <w:rFonts w:ascii="宋体" w:hAnsi="宋体" w:cs="宋体"/>
          <w:b/>
          <w:bCs/>
          <w:color w:val="auto"/>
          <w:szCs w:val="21"/>
        </w:rPr>
      </w:pPr>
    </w:p>
    <w:p w14:paraId="2FA019AE">
      <w:pPr>
        <w:rPr>
          <w:rFonts w:ascii="宋体" w:hAnsi="宋体" w:cs="宋体"/>
          <w:b/>
          <w:bCs/>
          <w:color w:val="auto"/>
          <w:szCs w:val="21"/>
        </w:rPr>
      </w:pPr>
    </w:p>
    <w:p w14:paraId="6F8CAC0A">
      <w:pPr>
        <w:rPr>
          <w:color w:val="auto"/>
        </w:rPr>
      </w:pPr>
    </w:p>
    <w:p w14:paraId="590C60E0">
      <w:pPr>
        <w:spacing w:line="500" w:lineRule="exact"/>
        <w:ind w:firstLine="4950" w:firstLineChars="22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4C52BA51">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7C4C345A">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2F0C8165">
      <w:pPr>
        <w:rPr>
          <w:color w:val="auto"/>
        </w:rPr>
      </w:pPr>
    </w:p>
    <w:p w14:paraId="02FFC24E">
      <w:pPr>
        <w:spacing w:line="360" w:lineRule="auto"/>
        <w:rPr>
          <w:rFonts w:ascii="宋体" w:hAnsi="宋体" w:cs="宋体"/>
          <w:b/>
          <w:bCs/>
          <w:color w:val="auto"/>
          <w:szCs w:val="21"/>
        </w:rPr>
      </w:pPr>
      <w:bookmarkStart w:id="578" w:name="_Toc1338"/>
      <w:bookmarkStart w:id="579" w:name="_Toc2356"/>
      <w:bookmarkStart w:id="580" w:name="_Toc17008"/>
      <w:bookmarkStart w:id="581" w:name="_Toc28842"/>
      <w:bookmarkStart w:id="582" w:name="_Toc11130"/>
      <w:bookmarkStart w:id="583" w:name="_Toc30993"/>
      <w:bookmarkStart w:id="584" w:name="_Toc6593"/>
      <w:bookmarkStart w:id="585" w:name="_Toc18852"/>
      <w:bookmarkStart w:id="586" w:name="_Toc7233"/>
    </w:p>
    <w:p w14:paraId="6490CD32">
      <w:pPr>
        <w:spacing w:line="360" w:lineRule="auto"/>
        <w:rPr>
          <w:rFonts w:ascii="宋体" w:hAnsi="宋体" w:cs="宋体"/>
          <w:b/>
          <w:bCs/>
          <w:color w:val="auto"/>
          <w:szCs w:val="21"/>
        </w:rPr>
      </w:pPr>
    </w:p>
    <w:p w14:paraId="1B6FD6F6">
      <w:pPr>
        <w:spacing w:line="360" w:lineRule="auto"/>
        <w:rPr>
          <w:rFonts w:ascii="宋体" w:hAnsi="宋体" w:cs="宋体"/>
          <w:b/>
          <w:bCs/>
          <w:color w:val="auto"/>
          <w:szCs w:val="21"/>
        </w:rPr>
      </w:pPr>
    </w:p>
    <w:p w14:paraId="4A7EBD74">
      <w:pPr>
        <w:spacing w:line="360" w:lineRule="auto"/>
        <w:rPr>
          <w:rFonts w:ascii="宋体" w:hAnsi="宋体" w:cs="宋体"/>
          <w:b/>
          <w:bCs/>
          <w:color w:val="auto"/>
          <w:szCs w:val="21"/>
        </w:rPr>
      </w:pPr>
    </w:p>
    <w:p w14:paraId="6A35CBA7">
      <w:pPr>
        <w:spacing w:line="360" w:lineRule="auto"/>
        <w:outlineLvl w:val="2"/>
        <w:rPr>
          <w:rFonts w:ascii="宋体" w:hAnsi="宋体" w:cs="宋体"/>
          <w:b/>
          <w:bCs/>
          <w:color w:val="auto"/>
          <w:szCs w:val="21"/>
        </w:rPr>
      </w:pPr>
      <w:bookmarkStart w:id="587" w:name="_Toc10493"/>
      <w:bookmarkStart w:id="588" w:name="_Toc30544"/>
      <w:bookmarkStart w:id="589" w:name="_Toc21344"/>
      <w:bookmarkStart w:id="590" w:name="_Toc31316"/>
      <w:bookmarkStart w:id="591" w:name="_Toc23503"/>
      <w:bookmarkStart w:id="592" w:name="_Toc26860"/>
      <w:bookmarkStart w:id="593" w:name="_Toc5466"/>
      <w:bookmarkStart w:id="594" w:name="_Toc7663"/>
      <w:r>
        <w:rPr>
          <w:rFonts w:hint="eastAsia" w:ascii="宋体" w:hAnsi="宋体" w:cs="宋体"/>
          <w:b/>
          <w:bCs/>
          <w:color w:val="auto"/>
          <w:szCs w:val="21"/>
        </w:rPr>
        <w:t>七、服务承诺书</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02A42929">
      <w:pPr>
        <w:pStyle w:val="7"/>
        <w:ind w:firstLine="0"/>
        <w:rPr>
          <w:rFonts w:ascii="宋体" w:hAnsi="宋体" w:cs="宋体"/>
          <w:color w:val="auto"/>
          <w:szCs w:val="21"/>
        </w:rPr>
      </w:pPr>
      <w:r>
        <w:rPr>
          <w:rFonts w:hint="eastAsia"/>
          <w:color w:val="auto"/>
        </w:rPr>
        <w:t>所投标项：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2889FE8">
      <w:pPr>
        <w:pStyle w:val="13"/>
        <w:spacing w:line="360" w:lineRule="auto"/>
        <w:rPr>
          <w:rFonts w:hAnsi="宋体" w:cs="宋体"/>
          <w:b/>
          <w:bCs/>
          <w:color w:val="auto"/>
        </w:rPr>
      </w:pPr>
    </w:p>
    <w:p w14:paraId="54EDFA40">
      <w:pPr>
        <w:pStyle w:val="13"/>
        <w:spacing w:line="360" w:lineRule="auto"/>
        <w:ind w:firstLine="422" w:firstLineChars="200"/>
        <w:rPr>
          <w:rFonts w:hAnsi="宋体" w:cs="宋体"/>
          <w:b/>
          <w:bCs/>
          <w:color w:val="auto"/>
        </w:rPr>
      </w:pPr>
      <w:r>
        <w:rPr>
          <w:rFonts w:hint="eastAsia" w:hAnsi="宋体" w:cs="宋体"/>
          <w:b/>
          <w:bCs/>
          <w:color w:val="auto"/>
        </w:rPr>
        <w:t>第1条  对合同条款、付款方式全部予以响应。</w:t>
      </w:r>
    </w:p>
    <w:p w14:paraId="45695B31">
      <w:pPr>
        <w:pStyle w:val="13"/>
        <w:spacing w:line="360" w:lineRule="auto"/>
        <w:ind w:firstLine="420" w:firstLineChars="200"/>
        <w:rPr>
          <w:rFonts w:hAnsi="宋体" w:cs="宋体"/>
          <w:color w:val="auto"/>
        </w:rPr>
      </w:pPr>
      <w:r>
        <w:rPr>
          <w:rFonts w:hint="eastAsia" w:hAnsi="宋体" w:cs="宋体"/>
          <w:color w:val="auto"/>
        </w:rPr>
        <w:t>第2条 （由供应商按第三章《项目需求》要求自行填写，所作的承诺作为构成合同不可分割的部分，必须真实、诚信，如提供虚假承诺或在中标、成交后不按其承诺履行的，将依法追究违约责任，并按《中华人民共和国政府采购法》规定予以处罚。）</w:t>
      </w:r>
    </w:p>
    <w:p w14:paraId="112AE14C">
      <w:pPr>
        <w:pStyle w:val="13"/>
        <w:spacing w:line="360" w:lineRule="auto"/>
        <w:ind w:firstLine="420" w:firstLineChars="200"/>
        <w:rPr>
          <w:rFonts w:hAnsi="宋体" w:cs="宋体"/>
          <w:color w:val="auto"/>
        </w:rPr>
      </w:pPr>
    </w:p>
    <w:p w14:paraId="73C50230">
      <w:pPr>
        <w:pStyle w:val="13"/>
        <w:spacing w:line="360" w:lineRule="auto"/>
        <w:rPr>
          <w:rFonts w:hAnsi="宋体" w:cs="宋体"/>
          <w:color w:val="auto"/>
        </w:rPr>
      </w:pPr>
    </w:p>
    <w:p w14:paraId="4D8AD17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备注：以上为服务承诺格式，第1条为供应商必须列明，其余条款供应商可根据实际情况一一列明。</w:t>
      </w:r>
    </w:p>
    <w:p w14:paraId="3773019E">
      <w:pPr>
        <w:spacing w:line="360" w:lineRule="auto"/>
        <w:rPr>
          <w:rFonts w:ascii="宋体" w:hAnsi="宋体" w:cs="宋体"/>
          <w:b/>
          <w:bCs/>
          <w:color w:val="auto"/>
          <w:szCs w:val="21"/>
        </w:rPr>
      </w:pPr>
    </w:p>
    <w:p w14:paraId="6ED7B8E5">
      <w:pPr>
        <w:spacing w:line="500" w:lineRule="exact"/>
        <w:ind w:firstLine="4950" w:firstLineChars="22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7A00E02D">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069C4131">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7D33221C">
      <w:pPr>
        <w:spacing w:line="360" w:lineRule="auto"/>
        <w:rPr>
          <w:rFonts w:ascii="宋体" w:hAnsi="宋体" w:cs="宋体"/>
          <w:b/>
          <w:bCs/>
          <w:color w:val="auto"/>
          <w:szCs w:val="21"/>
        </w:rPr>
      </w:pPr>
    </w:p>
    <w:p w14:paraId="01D381CC">
      <w:pPr>
        <w:spacing w:line="360" w:lineRule="auto"/>
        <w:outlineLvl w:val="2"/>
        <w:rPr>
          <w:rFonts w:ascii="宋体" w:hAnsi="宋体" w:cs="宋体"/>
          <w:b/>
          <w:bCs/>
          <w:color w:val="auto"/>
          <w:szCs w:val="21"/>
        </w:rPr>
      </w:pPr>
      <w:bookmarkStart w:id="595" w:name="_Toc17757"/>
      <w:bookmarkStart w:id="596" w:name="_Toc21951"/>
      <w:bookmarkStart w:id="597" w:name="_Toc27176"/>
      <w:bookmarkStart w:id="598" w:name="_Toc26839"/>
      <w:bookmarkStart w:id="599" w:name="_Toc3084"/>
      <w:bookmarkStart w:id="600" w:name="_Toc21477"/>
      <w:bookmarkStart w:id="601" w:name="_Toc13168"/>
      <w:bookmarkStart w:id="602" w:name="_Toc1251"/>
      <w:bookmarkStart w:id="603" w:name="_Toc22880"/>
      <w:r>
        <w:rPr>
          <w:rFonts w:hint="eastAsia" w:ascii="宋体" w:hAnsi="宋体" w:cs="宋体"/>
          <w:b/>
          <w:bCs/>
          <w:color w:val="auto"/>
          <w:szCs w:val="21"/>
        </w:rPr>
        <w:br w:type="page"/>
      </w:r>
      <w:bookmarkStart w:id="604" w:name="_Toc30738"/>
      <w:bookmarkStart w:id="605" w:name="_Toc31249"/>
      <w:bookmarkStart w:id="606" w:name="_Toc13164"/>
      <w:bookmarkStart w:id="607" w:name="_Toc7489"/>
      <w:bookmarkStart w:id="608" w:name="_Toc25145"/>
      <w:bookmarkStart w:id="609" w:name="_Toc4294"/>
      <w:bookmarkStart w:id="610" w:name="_Toc11570"/>
      <w:bookmarkStart w:id="611" w:name="_Toc3566"/>
      <w:r>
        <w:rPr>
          <w:rFonts w:hint="eastAsia" w:ascii="宋体" w:hAnsi="宋体" w:cs="宋体"/>
          <w:b/>
          <w:bCs/>
          <w:color w:val="auto"/>
          <w:szCs w:val="21"/>
        </w:rPr>
        <w:t>八、拟投入本项目服务人员一览表</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087FA77A">
      <w:pPr>
        <w:pStyle w:val="7"/>
        <w:ind w:firstLine="0"/>
        <w:rPr>
          <w:rFonts w:ascii="宋体" w:hAnsi="宋体" w:cs="宋体"/>
          <w:b/>
          <w:color w:val="auto"/>
          <w:sz w:val="28"/>
          <w:szCs w:val="28"/>
        </w:rPr>
      </w:pPr>
      <w:r>
        <w:rPr>
          <w:rFonts w:hint="eastAsia"/>
          <w:color w:val="auto"/>
        </w:rPr>
        <w:t>所投标项：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150CF48">
      <w:pPr>
        <w:tabs>
          <w:tab w:val="left" w:pos="1680"/>
        </w:tabs>
        <w:spacing w:line="500" w:lineRule="exact"/>
        <w:jc w:val="center"/>
        <w:rPr>
          <w:rFonts w:ascii="宋体" w:hAnsi="宋体" w:cs="宋体"/>
          <w:b/>
          <w:color w:val="auto"/>
          <w:sz w:val="32"/>
          <w:szCs w:val="32"/>
        </w:rPr>
      </w:pPr>
      <w:r>
        <w:rPr>
          <w:rFonts w:hint="eastAsia" w:ascii="宋体" w:hAnsi="宋体" w:cs="宋体"/>
          <w:b/>
          <w:color w:val="auto"/>
          <w:sz w:val="28"/>
          <w:szCs w:val="28"/>
        </w:rPr>
        <w:t>拟投入本项目服务人员一览表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62"/>
        <w:gridCol w:w="1066"/>
        <w:gridCol w:w="1169"/>
        <w:gridCol w:w="992"/>
        <w:gridCol w:w="1881"/>
        <w:gridCol w:w="958"/>
        <w:gridCol w:w="651"/>
      </w:tblGrid>
      <w:tr w14:paraId="4DA4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8" w:type="dxa"/>
            <w:vAlign w:val="center"/>
          </w:tcPr>
          <w:p w14:paraId="743281E7">
            <w:pPr>
              <w:jc w:val="center"/>
              <w:rPr>
                <w:rFonts w:ascii="宋体" w:hAnsi="宋体" w:cs="宋体"/>
                <w:b/>
                <w:color w:val="auto"/>
                <w:szCs w:val="21"/>
              </w:rPr>
            </w:pPr>
            <w:r>
              <w:rPr>
                <w:rFonts w:hint="eastAsia" w:ascii="宋体" w:hAnsi="宋体" w:cs="宋体"/>
                <w:b/>
                <w:color w:val="auto"/>
                <w:szCs w:val="21"/>
              </w:rPr>
              <w:t>序号</w:t>
            </w:r>
          </w:p>
        </w:tc>
        <w:tc>
          <w:tcPr>
            <w:tcW w:w="1362" w:type="dxa"/>
            <w:vAlign w:val="center"/>
          </w:tcPr>
          <w:p w14:paraId="40744868">
            <w:pPr>
              <w:jc w:val="center"/>
              <w:rPr>
                <w:rFonts w:ascii="宋体" w:hAnsi="宋体" w:cs="宋体"/>
                <w:b/>
                <w:color w:val="auto"/>
                <w:szCs w:val="21"/>
              </w:rPr>
            </w:pPr>
            <w:r>
              <w:rPr>
                <w:rFonts w:hint="eastAsia" w:ascii="宋体" w:hAnsi="宋体" w:cs="宋体"/>
                <w:b/>
                <w:color w:val="auto"/>
                <w:szCs w:val="21"/>
              </w:rPr>
              <w:t>姓名</w:t>
            </w:r>
          </w:p>
        </w:tc>
        <w:tc>
          <w:tcPr>
            <w:tcW w:w="1066" w:type="dxa"/>
            <w:vAlign w:val="center"/>
          </w:tcPr>
          <w:p w14:paraId="38B25AEB">
            <w:pPr>
              <w:jc w:val="center"/>
              <w:rPr>
                <w:rFonts w:ascii="宋体" w:hAnsi="宋体" w:cs="宋体"/>
                <w:b/>
                <w:color w:val="auto"/>
                <w:szCs w:val="21"/>
              </w:rPr>
            </w:pPr>
            <w:r>
              <w:rPr>
                <w:rFonts w:hint="eastAsia" w:ascii="宋体" w:hAnsi="宋体" w:cs="宋体"/>
                <w:b/>
                <w:color w:val="auto"/>
                <w:szCs w:val="21"/>
              </w:rPr>
              <w:t>性别</w:t>
            </w:r>
          </w:p>
        </w:tc>
        <w:tc>
          <w:tcPr>
            <w:tcW w:w="1169" w:type="dxa"/>
            <w:vAlign w:val="center"/>
          </w:tcPr>
          <w:p w14:paraId="602D8702">
            <w:pPr>
              <w:jc w:val="center"/>
              <w:rPr>
                <w:rFonts w:ascii="宋体" w:hAnsi="宋体" w:cs="宋体"/>
                <w:b/>
                <w:color w:val="auto"/>
                <w:szCs w:val="21"/>
              </w:rPr>
            </w:pPr>
            <w:r>
              <w:rPr>
                <w:rFonts w:hint="eastAsia" w:ascii="宋体" w:hAnsi="宋体" w:cs="宋体"/>
                <w:b/>
                <w:color w:val="auto"/>
                <w:szCs w:val="21"/>
              </w:rPr>
              <w:t>年龄</w:t>
            </w:r>
          </w:p>
        </w:tc>
        <w:tc>
          <w:tcPr>
            <w:tcW w:w="992" w:type="dxa"/>
            <w:vAlign w:val="center"/>
          </w:tcPr>
          <w:p w14:paraId="5AC958E3">
            <w:pPr>
              <w:jc w:val="center"/>
              <w:rPr>
                <w:rFonts w:ascii="宋体" w:hAnsi="宋体" w:cs="宋体"/>
                <w:b/>
                <w:color w:val="auto"/>
                <w:szCs w:val="21"/>
              </w:rPr>
            </w:pPr>
            <w:r>
              <w:rPr>
                <w:rFonts w:hint="eastAsia" w:ascii="宋体" w:hAnsi="宋体" w:cs="宋体"/>
                <w:b/>
                <w:color w:val="auto"/>
                <w:szCs w:val="21"/>
              </w:rPr>
              <w:t>学历</w:t>
            </w:r>
          </w:p>
        </w:tc>
        <w:tc>
          <w:tcPr>
            <w:tcW w:w="1881" w:type="dxa"/>
            <w:vAlign w:val="center"/>
          </w:tcPr>
          <w:p w14:paraId="61B0FF09">
            <w:pPr>
              <w:jc w:val="center"/>
              <w:rPr>
                <w:rFonts w:ascii="宋体" w:hAnsi="宋体" w:cs="宋体"/>
                <w:b/>
                <w:color w:val="auto"/>
                <w:szCs w:val="21"/>
              </w:rPr>
            </w:pPr>
            <w:r>
              <w:rPr>
                <w:rFonts w:hint="eastAsia" w:ascii="宋体" w:hAnsi="宋体" w:cs="宋体"/>
                <w:b/>
                <w:color w:val="auto"/>
                <w:szCs w:val="21"/>
              </w:rPr>
              <w:t>拟在本项目中担任职务</w:t>
            </w:r>
          </w:p>
        </w:tc>
        <w:tc>
          <w:tcPr>
            <w:tcW w:w="958" w:type="dxa"/>
            <w:vAlign w:val="center"/>
          </w:tcPr>
          <w:p w14:paraId="62A3FC6B">
            <w:pPr>
              <w:jc w:val="center"/>
              <w:rPr>
                <w:rFonts w:ascii="宋体" w:hAnsi="宋体" w:cs="宋体"/>
                <w:b/>
                <w:color w:val="auto"/>
                <w:szCs w:val="21"/>
              </w:rPr>
            </w:pPr>
            <w:r>
              <w:rPr>
                <w:rFonts w:hint="eastAsia" w:ascii="宋体" w:hAnsi="宋体" w:cs="宋体"/>
                <w:b/>
                <w:color w:val="auto"/>
                <w:szCs w:val="21"/>
              </w:rPr>
              <w:t>职称</w:t>
            </w:r>
          </w:p>
        </w:tc>
        <w:tc>
          <w:tcPr>
            <w:tcW w:w="651" w:type="dxa"/>
            <w:vAlign w:val="center"/>
          </w:tcPr>
          <w:p w14:paraId="540D4FAC">
            <w:pPr>
              <w:jc w:val="center"/>
              <w:rPr>
                <w:rFonts w:ascii="宋体" w:hAnsi="宋体" w:cs="宋体"/>
                <w:color w:val="auto"/>
                <w:szCs w:val="21"/>
              </w:rPr>
            </w:pPr>
            <w:r>
              <w:rPr>
                <w:rFonts w:hint="eastAsia" w:ascii="宋体" w:hAnsi="宋体" w:cs="宋体"/>
                <w:b/>
                <w:color w:val="auto"/>
                <w:szCs w:val="21"/>
              </w:rPr>
              <w:t>备注</w:t>
            </w:r>
          </w:p>
        </w:tc>
      </w:tr>
      <w:tr w14:paraId="3DDB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14:paraId="3722577D">
            <w:pPr>
              <w:jc w:val="center"/>
              <w:rPr>
                <w:rFonts w:ascii="宋体" w:hAnsi="宋体" w:cs="宋体"/>
                <w:color w:val="auto"/>
                <w:szCs w:val="21"/>
              </w:rPr>
            </w:pPr>
            <w:r>
              <w:rPr>
                <w:rFonts w:hint="eastAsia" w:ascii="宋体" w:hAnsi="宋体" w:cs="宋体"/>
                <w:color w:val="auto"/>
                <w:szCs w:val="21"/>
              </w:rPr>
              <w:t>1</w:t>
            </w:r>
          </w:p>
        </w:tc>
        <w:tc>
          <w:tcPr>
            <w:tcW w:w="1362" w:type="dxa"/>
            <w:vAlign w:val="center"/>
          </w:tcPr>
          <w:p w14:paraId="7344836B">
            <w:pPr>
              <w:jc w:val="center"/>
              <w:rPr>
                <w:rFonts w:ascii="宋体" w:hAnsi="宋体" w:cs="宋体"/>
                <w:color w:val="auto"/>
                <w:szCs w:val="21"/>
              </w:rPr>
            </w:pPr>
          </w:p>
        </w:tc>
        <w:tc>
          <w:tcPr>
            <w:tcW w:w="1066" w:type="dxa"/>
            <w:vAlign w:val="center"/>
          </w:tcPr>
          <w:p w14:paraId="1590777E">
            <w:pPr>
              <w:jc w:val="center"/>
              <w:rPr>
                <w:rFonts w:ascii="宋体" w:hAnsi="宋体" w:cs="宋体"/>
                <w:color w:val="auto"/>
                <w:szCs w:val="21"/>
              </w:rPr>
            </w:pPr>
          </w:p>
        </w:tc>
        <w:tc>
          <w:tcPr>
            <w:tcW w:w="1169" w:type="dxa"/>
            <w:vAlign w:val="center"/>
          </w:tcPr>
          <w:p w14:paraId="4BCE430B">
            <w:pPr>
              <w:jc w:val="center"/>
              <w:rPr>
                <w:rFonts w:ascii="宋体" w:hAnsi="宋体" w:cs="宋体"/>
                <w:color w:val="auto"/>
                <w:szCs w:val="21"/>
              </w:rPr>
            </w:pPr>
          </w:p>
        </w:tc>
        <w:tc>
          <w:tcPr>
            <w:tcW w:w="992" w:type="dxa"/>
            <w:vAlign w:val="center"/>
          </w:tcPr>
          <w:p w14:paraId="27C0FF2A">
            <w:pPr>
              <w:jc w:val="center"/>
              <w:rPr>
                <w:rFonts w:ascii="宋体" w:hAnsi="宋体" w:cs="宋体"/>
                <w:color w:val="auto"/>
                <w:szCs w:val="21"/>
              </w:rPr>
            </w:pPr>
          </w:p>
        </w:tc>
        <w:tc>
          <w:tcPr>
            <w:tcW w:w="1881" w:type="dxa"/>
            <w:vAlign w:val="center"/>
          </w:tcPr>
          <w:p w14:paraId="46676E3D">
            <w:pPr>
              <w:jc w:val="center"/>
              <w:rPr>
                <w:rFonts w:ascii="宋体" w:hAnsi="宋体" w:cs="宋体"/>
                <w:color w:val="auto"/>
                <w:szCs w:val="21"/>
              </w:rPr>
            </w:pPr>
          </w:p>
        </w:tc>
        <w:tc>
          <w:tcPr>
            <w:tcW w:w="958" w:type="dxa"/>
            <w:vAlign w:val="center"/>
          </w:tcPr>
          <w:p w14:paraId="6EF5BD5F">
            <w:pPr>
              <w:jc w:val="center"/>
              <w:rPr>
                <w:rFonts w:ascii="宋体" w:hAnsi="宋体" w:cs="宋体"/>
                <w:color w:val="auto"/>
                <w:szCs w:val="21"/>
              </w:rPr>
            </w:pPr>
          </w:p>
        </w:tc>
        <w:tc>
          <w:tcPr>
            <w:tcW w:w="651" w:type="dxa"/>
            <w:vAlign w:val="center"/>
          </w:tcPr>
          <w:p w14:paraId="6D16AEF7">
            <w:pPr>
              <w:jc w:val="center"/>
              <w:rPr>
                <w:rFonts w:ascii="宋体" w:hAnsi="宋体" w:cs="宋体"/>
                <w:color w:val="auto"/>
                <w:szCs w:val="21"/>
              </w:rPr>
            </w:pPr>
          </w:p>
        </w:tc>
      </w:tr>
      <w:tr w14:paraId="2923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18" w:type="dxa"/>
            <w:vAlign w:val="center"/>
          </w:tcPr>
          <w:p w14:paraId="4367E7D8">
            <w:pPr>
              <w:jc w:val="center"/>
              <w:rPr>
                <w:rFonts w:ascii="宋体" w:hAnsi="宋体" w:cs="宋体"/>
                <w:color w:val="auto"/>
                <w:szCs w:val="21"/>
              </w:rPr>
            </w:pPr>
            <w:r>
              <w:rPr>
                <w:rFonts w:hint="eastAsia" w:ascii="宋体" w:hAnsi="宋体" w:cs="宋体"/>
                <w:color w:val="auto"/>
                <w:szCs w:val="21"/>
              </w:rPr>
              <w:t>2</w:t>
            </w:r>
          </w:p>
        </w:tc>
        <w:tc>
          <w:tcPr>
            <w:tcW w:w="1362" w:type="dxa"/>
            <w:vAlign w:val="center"/>
          </w:tcPr>
          <w:p w14:paraId="3CD902D9">
            <w:pPr>
              <w:jc w:val="center"/>
              <w:rPr>
                <w:rFonts w:ascii="宋体" w:hAnsi="宋体" w:cs="宋体"/>
                <w:color w:val="auto"/>
                <w:szCs w:val="21"/>
              </w:rPr>
            </w:pPr>
          </w:p>
        </w:tc>
        <w:tc>
          <w:tcPr>
            <w:tcW w:w="1066" w:type="dxa"/>
            <w:vAlign w:val="center"/>
          </w:tcPr>
          <w:p w14:paraId="4FAC450E">
            <w:pPr>
              <w:jc w:val="center"/>
              <w:rPr>
                <w:rFonts w:ascii="宋体" w:hAnsi="宋体" w:cs="宋体"/>
                <w:color w:val="auto"/>
                <w:szCs w:val="21"/>
              </w:rPr>
            </w:pPr>
          </w:p>
        </w:tc>
        <w:tc>
          <w:tcPr>
            <w:tcW w:w="1169" w:type="dxa"/>
            <w:vAlign w:val="center"/>
          </w:tcPr>
          <w:p w14:paraId="52A183EC">
            <w:pPr>
              <w:jc w:val="center"/>
              <w:rPr>
                <w:rFonts w:ascii="宋体" w:hAnsi="宋体" w:cs="宋体"/>
                <w:color w:val="auto"/>
                <w:szCs w:val="21"/>
              </w:rPr>
            </w:pPr>
          </w:p>
        </w:tc>
        <w:tc>
          <w:tcPr>
            <w:tcW w:w="992" w:type="dxa"/>
            <w:vAlign w:val="center"/>
          </w:tcPr>
          <w:p w14:paraId="4A86AFB5">
            <w:pPr>
              <w:jc w:val="center"/>
              <w:rPr>
                <w:rFonts w:ascii="宋体" w:hAnsi="宋体" w:cs="宋体"/>
                <w:color w:val="auto"/>
                <w:szCs w:val="21"/>
              </w:rPr>
            </w:pPr>
          </w:p>
        </w:tc>
        <w:tc>
          <w:tcPr>
            <w:tcW w:w="1881" w:type="dxa"/>
            <w:vAlign w:val="center"/>
          </w:tcPr>
          <w:p w14:paraId="57CBE125">
            <w:pPr>
              <w:jc w:val="center"/>
              <w:rPr>
                <w:rFonts w:ascii="宋体" w:hAnsi="宋体" w:cs="宋体"/>
                <w:color w:val="auto"/>
                <w:szCs w:val="21"/>
              </w:rPr>
            </w:pPr>
          </w:p>
        </w:tc>
        <w:tc>
          <w:tcPr>
            <w:tcW w:w="958" w:type="dxa"/>
            <w:vAlign w:val="center"/>
          </w:tcPr>
          <w:p w14:paraId="6D2C7738">
            <w:pPr>
              <w:jc w:val="center"/>
              <w:rPr>
                <w:rFonts w:ascii="宋体" w:hAnsi="宋体" w:cs="宋体"/>
                <w:color w:val="auto"/>
                <w:szCs w:val="21"/>
              </w:rPr>
            </w:pPr>
          </w:p>
        </w:tc>
        <w:tc>
          <w:tcPr>
            <w:tcW w:w="651" w:type="dxa"/>
            <w:vAlign w:val="center"/>
          </w:tcPr>
          <w:p w14:paraId="65730572">
            <w:pPr>
              <w:jc w:val="center"/>
              <w:rPr>
                <w:rFonts w:ascii="宋体" w:hAnsi="宋体" w:cs="宋体"/>
                <w:color w:val="auto"/>
                <w:szCs w:val="21"/>
              </w:rPr>
            </w:pPr>
          </w:p>
        </w:tc>
      </w:tr>
      <w:tr w14:paraId="781E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14:paraId="2E927286">
            <w:pPr>
              <w:jc w:val="center"/>
              <w:rPr>
                <w:rFonts w:ascii="宋体" w:hAnsi="宋体" w:cs="宋体"/>
                <w:color w:val="auto"/>
                <w:szCs w:val="21"/>
              </w:rPr>
            </w:pPr>
            <w:r>
              <w:rPr>
                <w:rFonts w:hint="eastAsia" w:ascii="宋体" w:hAnsi="宋体" w:cs="宋体"/>
                <w:color w:val="auto"/>
                <w:szCs w:val="21"/>
              </w:rPr>
              <w:t>3</w:t>
            </w:r>
          </w:p>
        </w:tc>
        <w:tc>
          <w:tcPr>
            <w:tcW w:w="1362" w:type="dxa"/>
            <w:vAlign w:val="center"/>
          </w:tcPr>
          <w:p w14:paraId="0A147E29">
            <w:pPr>
              <w:jc w:val="center"/>
              <w:rPr>
                <w:rFonts w:ascii="宋体" w:hAnsi="宋体" w:cs="宋体"/>
                <w:color w:val="auto"/>
                <w:szCs w:val="21"/>
              </w:rPr>
            </w:pPr>
          </w:p>
        </w:tc>
        <w:tc>
          <w:tcPr>
            <w:tcW w:w="1066" w:type="dxa"/>
            <w:vAlign w:val="center"/>
          </w:tcPr>
          <w:p w14:paraId="42025B0C">
            <w:pPr>
              <w:jc w:val="center"/>
              <w:rPr>
                <w:rFonts w:ascii="宋体" w:hAnsi="宋体" w:cs="宋体"/>
                <w:color w:val="auto"/>
                <w:szCs w:val="21"/>
              </w:rPr>
            </w:pPr>
          </w:p>
        </w:tc>
        <w:tc>
          <w:tcPr>
            <w:tcW w:w="1169" w:type="dxa"/>
            <w:vAlign w:val="center"/>
          </w:tcPr>
          <w:p w14:paraId="0ECF5657">
            <w:pPr>
              <w:jc w:val="center"/>
              <w:rPr>
                <w:rFonts w:ascii="宋体" w:hAnsi="宋体" w:cs="宋体"/>
                <w:color w:val="auto"/>
                <w:szCs w:val="21"/>
              </w:rPr>
            </w:pPr>
          </w:p>
        </w:tc>
        <w:tc>
          <w:tcPr>
            <w:tcW w:w="992" w:type="dxa"/>
            <w:vAlign w:val="center"/>
          </w:tcPr>
          <w:p w14:paraId="1C913FA7">
            <w:pPr>
              <w:jc w:val="center"/>
              <w:rPr>
                <w:rFonts w:ascii="宋体" w:hAnsi="宋体" w:cs="宋体"/>
                <w:color w:val="auto"/>
                <w:szCs w:val="21"/>
              </w:rPr>
            </w:pPr>
          </w:p>
        </w:tc>
        <w:tc>
          <w:tcPr>
            <w:tcW w:w="1881" w:type="dxa"/>
            <w:vAlign w:val="center"/>
          </w:tcPr>
          <w:p w14:paraId="17789E2C">
            <w:pPr>
              <w:jc w:val="center"/>
              <w:rPr>
                <w:rFonts w:ascii="宋体" w:hAnsi="宋体" w:cs="宋体"/>
                <w:color w:val="auto"/>
                <w:szCs w:val="21"/>
              </w:rPr>
            </w:pPr>
          </w:p>
        </w:tc>
        <w:tc>
          <w:tcPr>
            <w:tcW w:w="958" w:type="dxa"/>
            <w:vAlign w:val="center"/>
          </w:tcPr>
          <w:p w14:paraId="69DB9ADC">
            <w:pPr>
              <w:jc w:val="center"/>
              <w:rPr>
                <w:rFonts w:ascii="宋体" w:hAnsi="宋体" w:cs="宋体"/>
                <w:color w:val="auto"/>
                <w:szCs w:val="21"/>
              </w:rPr>
            </w:pPr>
          </w:p>
        </w:tc>
        <w:tc>
          <w:tcPr>
            <w:tcW w:w="651" w:type="dxa"/>
            <w:vAlign w:val="center"/>
          </w:tcPr>
          <w:p w14:paraId="0D5A0CB4">
            <w:pPr>
              <w:jc w:val="center"/>
              <w:rPr>
                <w:rFonts w:ascii="宋体" w:hAnsi="宋体" w:cs="宋体"/>
                <w:color w:val="auto"/>
                <w:szCs w:val="21"/>
              </w:rPr>
            </w:pPr>
          </w:p>
        </w:tc>
      </w:tr>
      <w:tr w14:paraId="65F8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14:paraId="19AE84B0">
            <w:pPr>
              <w:jc w:val="center"/>
              <w:rPr>
                <w:rFonts w:ascii="宋体" w:hAnsi="宋体" w:cs="宋体"/>
                <w:color w:val="auto"/>
                <w:szCs w:val="21"/>
              </w:rPr>
            </w:pPr>
            <w:r>
              <w:rPr>
                <w:rFonts w:hint="eastAsia" w:ascii="宋体" w:hAnsi="宋体" w:cs="宋体"/>
                <w:color w:val="auto"/>
                <w:szCs w:val="21"/>
              </w:rPr>
              <w:t>4</w:t>
            </w:r>
          </w:p>
        </w:tc>
        <w:tc>
          <w:tcPr>
            <w:tcW w:w="1362" w:type="dxa"/>
            <w:vAlign w:val="center"/>
          </w:tcPr>
          <w:p w14:paraId="30CED92D">
            <w:pPr>
              <w:jc w:val="center"/>
              <w:rPr>
                <w:rFonts w:ascii="宋体" w:hAnsi="宋体" w:cs="宋体"/>
                <w:color w:val="auto"/>
                <w:szCs w:val="21"/>
              </w:rPr>
            </w:pPr>
          </w:p>
        </w:tc>
        <w:tc>
          <w:tcPr>
            <w:tcW w:w="1066" w:type="dxa"/>
            <w:vAlign w:val="center"/>
          </w:tcPr>
          <w:p w14:paraId="42973A65">
            <w:pPr>
              <w:jc w:val="center"/>
              <w:rPr>
                <w:rFonts w:ascii="宋体" w:hAnsi="宋体" w:cs="宋体"/>
                <w:color w:val="auto"/>
                <w:szCs w:val="21"/>
              </w:rPr>
            </w:pPr>
          </w:p>
        </w:tc>
        <w:tc>
          <w:tcPr>
            <w:tcW w:w="1169" w:type="dxa"/>
            <w:vAlign w:val="center"/>
          </w:tcPr>
          <w:p w14:paraId="4833EF8D">
            <w:pPr>
              <w:jc w:val="center"/>
              <w:rPr>
                <w:rFonts w:ascii="宋体" w:hAnsi="宋体" w:cs="宋体"/>
                <w:color w:val="auto"/>
                <w:szCs w:val="21"/>
              </w:rPr>
            </w:pPr>
          </w:p>
        </w:tc>
        <w:tc>
          <w:tcPr>
            <w:tcW w:w="992" w:type="dxa"/>
            <w:vAlign w:val="center"/>
          </w:tcPr>
          <w:p w14:paraId="1C96A825">
            <w:pPr>
              <w:jc w:val="center"/>
              <w:rPr>
                <w:rFonts w:ascii="宋体" w:hAnsi="宋体" w:cs="宋体"/>
                <w:color w:val="auto"/>
                <w:szCs w:val="21"/>
              </w:rPr>
            </w:pPr>
          </w:p>
        </w:tc>
        <w:tc>
          <w:tcPr>
            <w:tcW w:w="1881" w:type="dxa"/>
            <w:vAlign w:val="center"/>
          </w:tcPr>
          <w:p w14:paraId="287D458C">
            <w:pPr>
              <w:jc w:val="center"/>
              <w:rPr>
                <w:rFonts w:ascii="宋体" w:hAnsi="宋体" w:cs="宋体"/>
                <w:color w:val="auto"/>
                <w:szCs w:val="21"/>
              </w:rPr>
            </w:pPr>
          </w:p>
        </w:tc>
        <w:tc>
          <w:tcPr>
            <w:tcW w:w="958" w:type="dxa"/>
            <w:vAlign w:val="center"/>
          </w:tcPr>
          <w:p w14:paraId="63A5BAE7">
            <w:pPr>
              <w:jc w:val="center"/>
              <w:rPr>
                <w:rFonts w:ascii="宋体" w:hAnsi="宋体" w:cs="宋体"/>
                <w:color w:val="auto"/>
                <w:szCs w:val="21"/>
              </w:rPr>
            </w:pPr>
          </w:p>
        </w:tc>
        <w:tc>
          <w:tcPr>
            <w:tcW w:w="651" w:type="dxa"/>
            <w:vAlign w:val="center"/>
          </w:tcPr>
          <w:p w14:paraId="6C8F9EC5">
            <w:pPr>
              <w:jc w:val="center"/>
              <w:rPr>
                <w:rFonts w:ascii="宋体" w:hAnsi="宋体" w:cs="宋体"/>
                <w:color w:val="auto"/>
                <w:szCs w:val="21"/>
              </w:rPr>
            </w:pPr>
          </w:p>
        </w:tc>
      </w:tr>
      <w:tr w14:paraId="0423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14:paraId="435B4E0B">
            <w:pPr>
              <w:jc w:val="center"/>
              <w:rPr>
                <w:rFonts w:ascii="宋体" w:hAnsi="宋体" w:cs="宋体"/>
                <w:color w:val="auto"/>
                <w:szCs w:val="21"/>
              </w:rPr>
            </w:pPr>
            <w:r>
              <w:rPr>
                <w:rFonts w:hint="eastAsia" w:ascii="宋体" w:hAnsi="宋体" w:cs="宋体"/>
                <w:color w:val="auto"/>
                <w:szCs w:val="21"/>
              </w:rPr>
              <w:t>5</w:t>
            </w:r>
          </w:p>
        </w:tc>
        <w:tc>
          <w:tcPr>
            <w:tcW w:w="1362" w:type="dxa"/>
            <w:vAlign w:val="center"/>
          </w:tcPr>
          <w:p w14:paraId="72A36C41">
            <w:pPr>
              <w:jc w:val="center"/>
              <w:rPr>
                <w:rFonts w:ascii="宋体" w:hAnsi="宋体" w:cs="宋体"/>
                <w:color w:val="auto"/>
                <w:szCs w:val="21"/>
              </w:rPr>
            </w:pPr>
          </w:p>
        </w:tc>
        <w:tc>
          <w:tcPr>
            <w:tcW w:w="1066" w:type="dxa"/>
            <w:vAlign w:val="center"/>
          </w:tcPr>
          <w:p w14:paraId="4EEF99B0">
            <w:pPr>
              <w:jc w:val="center"/>
              <w:rPr>
                <w:rFonts w:ascii="宋体" w:hAnsi="宋体" w:cs="宋体"/>
                <w:color w:val="auto"/>
                <w:szCs w:val="21"/>
              </w:rPr>
            </w:pPr>
          </w:p>
        </w:tc>
        <w:tc>
          <w:tcPr>
            <w:tcW w:w="1169" w:type="dxa"/>
            <w:vAlign w:val="center"/>
          </w:tcPr>
          <w:p w14:paraId="44725827">
            <w:pPr>
              <w:jc w:val="center"/>
              <w:rPr>
                <w:rFonts w:ascii="宋体" w:hAnsi="宋体" w:cs="宋体"/>
                <w:color w:val="auto"/>
                <w:szCs w:val="21"/>
              </w:rPr>
            </w:pPr>
          </w:p>
        </w:tc>
        <w:tc>
          <w:tcPr>
            <w:tcW w:w="992" w:type="dxa"/>
            <w:vAlign w:val="center"/>
          </w:tcPr>
          <w:p w14:paraId="1ED18097">
            <w:pPr>
              <w:jc w:val="center"/>
              <w:rPr>
                <w:rFonts w:ascii="宋体" w:hAnsi="宋体" w:cs="宋体"/>
                <w:color w:val="auto"/>
                <w:szCs w:val="21"/>
              </w:rPr>
            </w:pPr>
          </w:p>
        </w:tc>
        <w:tc>
          <w:tcPr>
            <w:tcW w:w="1881" w:type="dxa"/>
            <w:vAlign w:val="center"/>
          </w:tcPr>
          <w:p w14:paraId="04DC6AB3">
            <w:pPr>
              <w:jc w:val="center"/>
              <w:rPr>
                <w:rFonts w:ascii="宋体" w:hAnsi="宋体" w:cs="宋体"/>
                <w:color w:val="auto"/>
                <w:szCs w:val="21"/>
              </w:rPr>
            </w:pPr>
          </w:p>
        </w:tc>
        <w:tc>
          <w:tcPr>
            <w:tcW w:w="958" w:type="dxa"/>
            <w:vAlign w:val="center"/>
          </w:tcPr>
          <w:p w14:paraId="77249713">
            <w:pPr>
              <w:jc w:val="center"/>
              <w:rPr>
                <w:rFonts w:ascii="宋体" w:hAnsi="宋体" w:cs="宋体"/>
                <w:color w:val="auto"/>
                <w:szCs w:val="21"/>
              </w:rPr>
            </w:pPr>
          </w:p>
        </w:tc>
        <w:tc>
          <w:tcPr>
            <w:tcW w:w="651" w:type="dxa"/>
            <w:vAlign w:val="center"/>
          </w:tcPr>
          <w:p w14:paraId="4A354A16">
            <w:pPr>
              <w:jc w:val="center"/>
              <w:rPr>
                <w:rFonts w:ascii="宋体" w:hAnsi="宋体" w:cs="宋体"/>
                <w:color w:val="auto"/>
                <w:szCs w:val="21"/>
              </w:rPr>
            </w:pPr>
          </w:p>
        </w:tc>
      </w:tr>
      <w:tr w14:paraId="4CE5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8" w:type="dxa"/>
            <w:vAlign w:val="center"/>
          </w:tcPr>
          <w:p w14:paraId="72266FBC">
            <w:pPr>
              <w:jc w:val="center"/>
              <w:rPr>
                <w:rFonts w:ascii="宋体" w:hAnsi="宋体" w:cs="宋体"/>
                <w:color w:val="auto"/>
                <w:szCs w:val="21"/>
              </w:rPr>
            </w:pPr>
            <w:r>
              <w:rPr>
                <w:rFonts w:hint="eastAsia" w:ascii="宋体" w:hAnsi="宋体" w:cs="宋体"/>
                <w:color w:val="auto"/>
                <w:szCs w:val="21"/>
              </w:rPr>
              <w:t>...</w:t>
            </w:r>
          </w:p>
        </w:tc>
        <w:tc>
          <w:tcPr>
            <w:tcW w:w="1362" w:type="dxa"/>
            <w:vAlign w:val="center"/>
          </w:tcPr>
          <w:p w14:paraId="4EF2CE52">
            <w:pPr>
              <w:jc w:val="center"/>
              <w:rPr>
                <w:rFonts w:ascii="宋体" w:hAnsi="宋体" w:cs="宋体"/>
                <w:color w:val="auto"/>
                <w:szCs w:val="21"/>
              </w:rPr>
            </w:pPr>
          </w:p>
        </w:tc>
        <w:tc>
          <w:tcPr>
            <w:tcW w:w="1066" w:type="dxa"/>
            <w:vAlign w:val="center"/>
          </w:tcPr>
          <w:p w14:paraId="0451EF22">
            <w:pPr>
              <w:jc w:val="center"/>
              <w:rPr>
                <w:rFonts w:ascii="宋体" w:hAnsi="宋体" w:cs="宋体"/>
                <w:color w:val="auto"/>
                <w:szCs w:val="21"/>
              </w:rPr>
            </w:pPr>
          </w:p>
        </w:tc>
        <w:tc>
          <w:tcPr>
            <w:tcW w:w="1169" w:type="dxa"/>
            <w:vAlign w:val="center"/>
          </w:tcPr>
          <w:p w14:paraId="74638DCA">
            <w:pPr>
              <w:jc w:val="center"/>
              <w:rPr>
                <w:rFonts w:ascii="宋体" w:hAnsi="宋体" w:cs="宋体"/>
                <w:color w:val="auto"/>
                <w:szCs w:val="21"/>
              </w:rPr>
            </w:pPr>
          </w:p>
        </w:tc>
        <w:tc>
          <w:tcPr>
            <w:tcW w:w="992" w:type="dxa"/>
            <w:vAlign w:val="center"/>
          </w:tcPr>
          <w:p w14:paraId="476F2309">
            <w:pPr>
              <w:jc w:val="center"/>
              <w:rPr>
                <w:rFonts w:ascii="宋体" w:hAnsi="宋体" w:cs="宋体"/>
                <w:color w:val="auto"/>
                <w:szCs w:val="21"/>
              </w:rPr>
            </w:pPr>
          </w:p>
        </w:tc>
        <w:tc>
          <w:tcPr>
            <w:tcW w:w="1881" w:type="dxa"/>
            <w:vAlign w:val="center"/>
          </w:tcPr>
          <w:p w14:paraId="44628F92">
            <w:pPr>
              <w:jc w:val="center"/>
              <w:rPr>
                <w:rFonts w:ascii="宋体" w:hAnsi="宋体" w:cs="宋体"/>
                <w:color w:val="auto"/>
                <w:szCs w:val="21"/>
              </w:rPr>
            </w:pPr>
          </w:p>
        </w:tc>
        <w:tc>
          <w:tcPr>
            <w:tcW w:w="958" w:type="dxa"/>
            <w:vAlign w:val="center"/>
          </w:tcPr>
          <w:p w14:paraId="1502CD05">
            <w:pPr>
              <w:jc w:val="center"/>
              <w:rPr>
                <w:rFonts w:ascii="宋体" w:hAnsi="宋体" w:cs="宋体"/>
                <w:color w:val="auto"/>
                <w:szCs w:val="21"/>
              </w:rPr>
            </w:pPr>
          </w:p>
        </w:tc>
        <w:tc>
          <w:tcPr>
            <w:tcW w:w="651" w:type="dxa"/>
            <w:vAlign w:val="center"/>
          </w:tcPr>
          <w:p w14:paraId="26B2D181">
            <w:pPr>
              <w:jc w:val="center"/>
              <w:rPr>
                <w:rFonts w:ascii="宋体" w:hAnsi="宋体" w:cs="宋体"/>
                <w:color w:val="auto"/>
                <w:szCs w:val="21"/>
              </w:rPr>
            </w:pPr>
          </w:p>
        </w:tc>
      </w:tr>
    </w:tbl>
    <w:p w14:paraId="44945F9A">
      <w:pPr>
        <w:spacing w:line="360" w:lineRule="auto"/>
        <w:rPr>
          <w:rFonts w:ascii="宋体" w:hAnsi="宋体" w:cs="宋体"/>
          <w:color w:val="auto"/>
          <w:szCs w:val="21"/>
        </w:rPr>
      </w:pPr>
      <w:r>
        <w:rPr>
          <w:rFonts w:hint="eastAsia" w:ascii="宋体" w:hAnsi="宋体" w:cs="宋体"/>
          <w:color w:val="auto"/>
          <w:szCs w:val="21"/>
        </w:rPr>
        <w:t>注： 1.本表格需要填写磋商供应商拟投入本项目负责人、专业负责人等主要人员的信息；</w:t>
      </w:r>
    </w:p>
    <w:p w14:paraId="3F87E230">
      <w:pPr>
        <w:spacing w:line="360" w:lineRule="auto"/>
        <w:ind w:firstLine="525" w:firstLineChars="250"/>
        <w:rPr>
          <w:rFonts w:ascii="宋体" w:hAnsi="宋体" w:cs="宋体"/>
          <w:color w:val="auto"/>
          <w:sz w:val="24"/>
        </w:rPr>
      </w:pPr>
      <w:r>
        <w:rPr>
          <w:rFonts w:hint="eastAsia" w:ascii="宋体" w:hAnsi="宋体" w:cs="宋体"/>
          <w:color w:val="auto"/>
          <w:szCs w:val="21"/>
        </w:rPr>
        <w:t>2.本页不够请续表。</w:t>
      </w:r>
    </w:p>
    <w:p w14:paraId="4072E647">
      <w:pPr>
        <w:wordWrap w:val="0"/>
        <w:snapToGrid w:val="0"/>
        <w:spacing w:line="360" w:lineRule="auto"/>
        <w:jc w:val="right"/>
        <w:rPr>
          <w:rFonts w:ascii="宋体" w:hAnsi="宋体" w:cs="宋体"/>
          <w:color w:val="auto"/>
          <w:kern w:val="0"/>
          <w:szCs w:val="21"/>
          <w:lang w:val="zh-CN"/>
        </w:rPr>
      </w:pPr>
    </w:p>
    <w:p w14:paraId="75EC1DD1">
      <w:pPr>
        <w:wordWrap w:val="0"/>
        <w:snapToGrid w:val="0"/>
        <w:spacing w:line="360" w:lineRule="auto"/>
        <w:jc w:val="right"/>
        <w:rPr>
          <w:rFonts w:ascii="宋体" w:hAnsi="宋体" w:cs="宋体"/>
          <w:color w:val="auto"/>
          <w:kern w:val="0"/>
          <w:szCs w:val="21"/>
          <w:lang w:val="zh-CN"/>
        </w:rPr>
      </w:pPr>
    </w:p>
    <w:p w14:paraId="30AC635C">
      <w:pPr>
        <w:spacing w:line="500" w:lineRule="exact"/>
        <w:ind w:firstLine="4950" w:firstLineChars="22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08B94270">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4BC1788D">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20ABA5F0">
      <w:pPr>
        <w:numPr>
          <w:ilvl w:val="0"/>
          <w:numId w:val="11"/>
        </w:numPr>
        <w:autoSpaceDE w:val="0"/>
        <w:autoSpaceDN w:val="0"/>
        <w:spacing w:line="360" w:lineRule="auto"/>
        <w:outlineLvl w:val="2"/>
        <w:rPr>
          <w:rFonts w:ascii="宋体" w:hAnsi="宋体" w:cs="宋体"/>
          <w:b/>
          <w:color w:val="auto"/>
          <w:szCs w:val="21"/>
        </w:rPr>
      </w:pPr>
      <w:bookmarkStart w:id="612" w:name="_Toc7899"/>
      <w:bookmarkStart w:id="613" w:name="_Toc32461"/>
      <w:bookmarkStart w:id="614" w:name="_Toc17902"/>
      <w:bookmarkStart w:id="615" w:name="_Toc5536"/>
      <w:bookmarkStart w:id="616" w:name="_Toc19980"/>
      <w:bookmarkStart w:id="617" w:name="_Toc7042"/>
      <w:bookmarkStart w:id="618" w:name="_Toc18760"/>
      <w:bookmarkStart w:id="619" w:name="_Toc21461"/>
      <w:bookmarkStart w:id="620" w:name="_Toc10466"/>
      <w:r>
        <w:rPr>
          <w:rFonts w:hint="eastAsia" w:ascii="宋体" w:hAnsi="宋体" w:cs="宋体"/>
          <w:b/>
          <w:bCs/>
          <w:color w:val="auto"/>
          <w:szCs w:val="21"/>
        </w:rPr>
        <w:br w:type="page"/>
      </w:r>
      <w:bookmarkStart w:id="621" w:name="_Toc10273"/>
      <w:bookmarkStart w:id="622" w:name="_Toc10236"/>
      <w:bookmarkStart w:id="623" w:name="_Toc15150"/>
      <w:bookmarkStart w:id="624" w:name="_Toc27221"/>
      <w:bookmarkStart w:id="625" w:name="_Toc13241"/>
      <w:bookmarkStart w:id="626" w:name="_Toc27691"/>
      <w:bookmarkStart w:id="627" w:name="_Toc2287"/>
      <w:bookmarkStart w:id="628" w:name="_Toc6186"/>
      <w:r>
        <w:rPr>
          <w:rFonts w:hint="eastAsia" w:ascii="宋体" w:hAnsi="宋体" w:cs="宋体"/>
          <w:b/>
          <w:color w:val="auto"/>
          <w:szCs w:val="21"/>
        </w:rPr>
        <w:t>供应商类似的业绩证明文件</w:t>
      </w:r>
      <w:bookmarkEnd w:id="621"/>
      <w:bookmarkEnd w:id="622"/>
      <w:bookmarkEnd w:id="623"/>
      <w:bookmarkEnd w:id="624"/>
      <w:bookmarkEnd w:id="625"/>
      <w:bookmarkEnd w:id="626"/>
      <w:bookmarkEnd w:id="627"/>
      <w:bookmarkEnd w:id="628"/>
    </w:p>
    <w:p w14:paraId="783C8D6F">
      <w:pPr>
        <w:pStyle w:val="7"/>
        <w:ind w:firstLine="0"/>
        <w:rPr>
          <w:rFonts w:ascii="宋体" w:hAnsi="宋体" w:cs="宋体"/>
          <w:color w:val="auto"/>
          <w:szCs w:val="21"/>
        </w:rPr>
      </w:pPr>
      <w:r>
        <w:rPr>
          <w:rFonts w:hint="eastAsia"/>
          <w:color w:val="auto"/>
        </w:rPr>
        <w:t>所投标项：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50F242B">
      <w:pPr>
        <w:pStyle w:val="7"/>
        <w:ind w:firstLine="0"/>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5"/>
        <w:gridCol w:w="1690"/>
        <w:gridCol w:w="1586"/>
        <w:gridCol w:w="1528"/>
        <w:gridCol w:w="1929"/>
      </w:tblGrid>
      <w:tr w14:paraId="01F6B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14:paraId="4BF78AA7">
            <w:pPr>
              <w:snapToGrid w:val="0"/>
              <w:spacing w:line="360" w:lineRule="auto"/>
              <w:jc w:val="center"/>
              <w:rPr>
                <w:rFonts w:ascii="宋体" w:hAnsi="宋体" w:cs="宋体"/>
                <w:color w:val="auto"/>
                <w:szCs w:val="21"/>
              </w:rPr>
            </w:pPr>
            <w:r>
              <w:rPr>
                <w:rFonts w:hint="eastAsia" w:ascii="宋体" w:hAnsi="宋体" w:cs="宋体"/>
                <w:color w:val="auto"/>
                <w:szCs w:val="21"/>
              </w:rPr>
              <w:t>采购人名称</w:t>
            </w:r>
          </w:p>
        </w:tc>
        <w:tc>
          <w:tcPr>
            <w:tcW w:w="1690" w:type="dxa"/>
            <w:tcBorders>
              <w:top w:val="single" w:color="auto" w:sz="4" w:space="0"/>
              <w:left w:val="single" w:color="auto" w:sz="4" w:space="0"/>
              <w:bottom w:val="single" w:color="auto" w:sz="4" w:space="0"/>
              <w:right w:val="single" w:color="auto" w:sz="4" w:space="0"/>
            </w:tcBorders>
            <w:vAlign w:val="center"/>
          </w:tcPr>
          <w:p w14:paraId="6E988529">
            <w:pPr>
              <w:snapToGrid w:val="0"/>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1586" w:type="dxa"/>
            <w:tcBorders>
              <w:top w:val="single" w:color="auto" w:sz="4" w:space="0"/>
              <w:left w:val="single" w:color="auto" w:sz="4" w:space="0"/>
              <w:bottom w:val="single" w:color="auto" w:sz="4" w:space="0"/>
              <w:right w:val="single" w:color="auto" w:sz="4" w:space="0"/>
            </w:tcBorders>
            <w:vAlign w:val="center"/>
          </w:tcPr>
          <w:p w14:paraId="5346986A">
            <w:pPr>
              <w:snapToGrid w:val="0"/>
              <w:spacing w:line="360" w:lineRule="auto"/>
              <w:jc w:val="center"/>
              <w:rPr>
                <w:rFonts w:ascii="宋体" w:hAnsi="宋体" w:cs="宋体"/>
                <w:color w:val="auto"/>
                <w:szCs w:val="21"/>
              </w:rPr>
            </w:pPr>
            <w:r>
              <w:rPr>
                <w:rFonts w:hint="eastAsia" w:ascii="宋体" w:hAnsi="宋体" w:cs="宋体"/>
                <w:color w:val="auto"/>
                <w:szCs w:val="21"/>
              </w:rPr>
              <w:t>合同金额</w:t>
            </w:r>
          </w:p>
          <w:p w14:paraId="4B0C95E1">
            <w:pPr>
              <w:snapToGrid w:val="0"/>
              <w:spacing w:line="360" w:lineRule="auto"/>
              <w:jc w:val="center"/>
              <w:rPr>
                <w:rFonts w:ascii="宋体" w:hAnsi="宋体" w:cs="宋体"/>
                <w:color w:val="auto"/>
                <w:szCs w:val="21"/>
              </w:rPr>
            </w:pPr>
            <w:r>
              <w:rPr>
                <w:rFonts w:hint="eastAsia" w:ascii="宋体" w:hAnsi="宋体" w:cs="宋体"/>
                <w:color w:val="auto"/>
                <w:szCs w:val="21"/>
              </w:rPr>
              <w:t>（万元）</w:t>
            </w:r>
          </w:p>
        </w:tc>
        <w:tc>
          <w:tcPr>
            <w:tcW w:w="1528" w:type="dxa"/>
            <w:tcBorders>
              <w:top w:val="single" w:color="auto" w:sz="4" w:space="0"/>
              <w:left w:val="single" w:color="auto" w:sz="4" w:space="0"/>
              <w:bottom w:val="single" w:color="auto" w:sz="4" w:space="0"/>
              <w:right w:val="single" w:color="auto" w:sz="4" w:space="0"/>
            </w:tcBorders>
            <w:vAlign w:val="center"/>
          </w:tcPr>
          <w:p w14:paraId="7319D837">
            <w:pPr>
              <w:snapToGrid w:val="0"/>
              <w:spacing w:line="360" w:lineRule="auto"/>
              <w:jc w:val="center"/>
              <w:rPr>
                <w:rFonts w:ascii="宋体" w:hAnsi="宋体" w:cs="宋体"/>
                <w:color w:val="auto"/>
                <w:szCs w:val="21"/>
              </w:rPr>
            </w:pPr>
            <w:r>
              <w:rPr>
                <w:rFonts w:hint="eastAsia" w:ascii="宋体" w:hAnsi="宋体" w:cs="宋体"/>
                <w:color w:val="auto"/>
                <w:szCs w:val="21"/>
              </w:rPr>
              <w:t>采购人联系人及联系电话</w:t>
            </w:r>
          </w:p>
        </w:tc>
        <w:tc>
          <w:tcPr>
            <w:tcW w:w="1929" w:type="dxa"/>
            <w:tcBorders>
              <w:top w:val="single" w:color="auto" w:sz="4" w:space="0"/>
              <w:left w:val="single" w:color="auto" w:sz="4" w:space="0"/>
              <w:bottom w:val="single" w:color="auto" w:sz="4" w:space="0"/>
              <w:right w:val="single" w:color="auto" w:sz="4" w:space="0"/>
            </w:tcBorders>
            <w:vAlign w:val="center"/>
          </w:tcPr>
          <w:p w14:paraId="0934C35D">
            <w:pPr>
              <w:snapToGrid w:val="0"/>
              <w:spacing w:line="360" w:lineRule="auto"/>
              <w:jc w:val="center"/>
              <w:rPr>
                <w:rFonts w:ascii="宋体" w:hAnsi="宋体" w:cs="宋体"/>
                <w:color w:val="auto"/>
                <w:szCs w:val="21"/>
              </w:rPr>
            </w:pPr>
            <w:r>
              <w:rPr>
                <w:rFonts w:hint="eastAsia" w:ascii="宋体" w:hAnsi="宋体" w:cs="宋体"/>
                <w:color w:val="auto"/>
                <w:szCs w:val="21"/>
              </w:rPr>
              <w:t>项目完成时间</w:t>
            </w:r>
          </w:p>
        </w:tc>
      </w:tr>
      <w:tr w14:paraId="4FD8E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685" w:type="dxa"/>
            <w:tcBorders>
              <w:top w:val="single" w:color="auto" w:sz="4" w:space="0"/>
              <w:left w:val="single" w:color="auto" w:sz="4" w:space="0"/>
              <w:bottom w:val="single" w:color="auto" w:sz="4" w:space="0"/>
              <w:right w:val="single" w:color="auto" w:sz="4" w:space="0"/>
            </w:tcBorders>
          </w:tcPr>
          <w:p w14:paraId="74256253">
            <w:pPr>
              <w:snapToGrid w:val="0"/>
              <w:spacing w:line="360" w:lineRule="auto"/>
              <w:jc w:val="left"/>
              <w:rPr>
                <w:rFonts w:ascii="宋体" w:hAnsi="宋体" w:cs="宋体"/>
                <w:color w:val="auto"/>
                <w:szCs w:val="21"/>
              </w:rPr>
            </w:pPr>
          </w:p>
        </w:tc>
        <w:tc>
          <w:tcPr>
            <w:tcW w:w="1690" w:type="dxa"/>
            <w:tcBorders>
              <w:top w:val="single" w:color="auto" w:sz="4" w:space="0"/>
              <w:left w:val="single" w:color="auto" w:sz="4" w:space="0"/>
              <w:bottom w:val="single" w:color="auto" w:sz="4" w:space="0"/>
              <w:right w:val="single" w:color="auto" w:sz="4" w:space="0"/>
            </w:tcBorders>
          </w:tcPr>
          <w:p w14:paraId="1A268B18">
            <w:pPr>
              <w:snapToGrid w:val="0"/>
              <w:spacing w:line="360" w:lineRule="auto"/>
              <w:jc w:val="left"/>
              <w:rPr>
                <w:rFonts w:ascii="宋体" w:hAnsi="宋体" w:cs="宋体"/>
                <w:color w:val="auto"/>
                <w:szCs w:val="21"/>
              </w:rPr>
            </w:pPr>
          </w:p>
        </w:tc>
        <w:tc>
          <w:tcPr>
            <w:tcW w:w="1586" w:type="dxa"/>
            <w:tcBorders>
              <w:top w:val="single" w:color="auto" w:sz="4" w:space="0"/>
              <w:left w:val="single" w:color="auto" w:sz="4" w:space="0"/>
              <w:bottom w:val="single" w:color="auto" w:sz="4" w:space="0"/>
              <w:right w:val="single" w:color="auto" w:sz="4" w:space="0"/>
            </w:tcBorders>
          </w:tcPr>
          <w:p w14:paraId="29D9BCAE">
            <w:pPr>
              <w:snapToGrid w:val="0"/>
              <w:spacing w:line="360" w:lineRule="auto"/>
              <w:jc w:val="left"/>
              <w:rPr>
                <w:rFonts w:ascii="宋体" w:hAnsi="宋体" w:cs="宋体"/>
                <w:color w:val="auto"/>
                <w:szCs w:val="21"/>
              </w:rPr>
            </w:pPr>
          </w:p>
        </w:tc>
        <w:tc>
          <w:tcPr>
            <w:tcW w:w="1528" w:type="dxa"/>
            <w:tcBorders>
              <w:top w:val="single" w:color="auto" w:sz="4" w:space="0"/>
              <w:left w:val="single" w:color="auto" w:sz="4" w:space="0"/>
              <w:bottom w:val="single" w:color="auto" w:sz="4" w:space="0"/>
              <w:right w:val="single" w:color="auto" w:sz="4" w:space="0"/>
            </w:tcBorders>
          </w:tcPr>
          <w:p w14:paraId="2B946FD7">
            <w:pPr>
              <w:snapToGrid w:val="0"/>
              <w:spacing w:line="360" w:lineRule="auto"/>
              <w:jc w:val="left"/>
              <w:rPr>
                <w:rFonts w:ascii="宋体" w:hAnsi="宋体" w:cs="宋体"/>
                <w:color w:val="auto"/>
                <w:szCs w:val="21"/>
              </w:rPr>
            </w:pPr>
          </w:p>
        </w:tc>
        <w:tc>
          <w:tcPr>
            <w:tcW w:w="1929" w:type="dxa"/>
            <w:tcBorders>
              <w:top w:val="single" w:color="auto" w:sz="4" w:space="0"/>
              <w:left w:val="single" w:color="auto" w:sz="4" w:space="0"/>
              <w:bottom w:val="single" w:color="auto" w:sz="4" w:space="0"/>
              <w:right w:val="single" w:color="auto" w:sz="4" w:space="0"/>
            </w:tcBorders>
          </w:tcPr>
          <w:p w14:paraId="07C1DCA5">
            <w:pPr>
              <w:snapToGrid w:val="0"/>
              <w:spacing w:line="360" w:lineRule="auto"/>
              <w:jc w:val="left"/>
              <w:rPr>
                <w:rFonts w:ascii="宋体" w:hAnsi="宋体" w:cs="宋体"/>
                <w:color w:val="auto"/>
                <w:szCs w:val="21"/>
              </w:rPr>
            </w:pPr>
          </w:p>
        </w:tc>
      </w:tr>
      <w:tr w14:paraId="51180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685" w:type="dxa"/>
            <w:tcBorders>
              <w:top w:val="single" w:color="auto" w:sz="4" w:space="0"/>
              <w:left w:val="single" w:color="auto" w:sz="4" w:space="0"/>
              <w:bottom w:val="single" w:color="auto" w:sz="4" w:space="0"/>
              <w:right w:val="single" w:color="auto" w:sz="4" w:space="0"/>
            </w:tcBorders>
          </w:tcPr>
          <w:p w14:paraId="5968D851">
            <w:pPr>
              <w:snapToGrid w:val="0"/>
              <w:spacing w:before="50" w:afterLines="50" w:line="360" w:lineRule="auto"/>
              <w:jc w:val="left"/>
              <w:rPr>
                <w:rFonts w:ascii="宋体" w:hAnsi="宋体" w:cs="宋体"/>
                <w:color w:val="auto"/>
                <w:szCs w:val="21"/>
              </w:rPr>
            </w:pPr>
          </w:p>
        </w:tc>
        <w:tc>
          <w:tcPr>
            <w:tcW w:w="1690" w:type="dxa"/>
            <w:tcBorders>
              <w:top w:val="single" w:color="auto" w:sz="4" w:space="0"/>
              <w:left w:val="single" w:color="auto" w:sz="4" w:space="0"/>
              <w:bottom w:val="single" w:color="auto" w:sz="4" w:space="0"/>
              <w:right w:val="single" w:color="auto" w:sz="4" w:space="0"/>
            </w:tcBorders>
          </w:tcPr>
          <w:p w14:paraId="414F831E">
            <w:pPr>
              <w:snapToGrid w:val="0"/>
              <w:spacing w:before="50" w:afterLines="50" w:line="360" w:lineRule="auto"/>
              <w:jc w:val="left"/>
              <w:rPr>
                <w:rFonts w:ascii="宋体" w:hAnsi="宋体" w:cs="宋体"/>
                <w:color w:val="auto"/>
                <w:szCs w:val="21"/>
              </w:rPr>
            </w:pPr>
          </w:p>
        </w:tc>
        <w:tc>
          <w:tcPr>
            <w:tcW w:w="1586" w:type="dxa"/>
            <w:tcBorders>
              <w:top w:val="single" w:color="auto" w:sz="4" w:space="0"/>
              <w:left w:val="single" w:color="auto" w:sz="4" w:space="0"/>
              <w:bottom w:val="single" w:color="auto" w:sz="4" w:space="0"/>
              <w:right w:val="single" w:color="auto" w:sz="4" w:space="0"/>
            </w:tcBorders>
          </w:tcPr>
          <w:p w14:paraId="5B1A57A5">
            <w:pPr>
              <w:snapToGrid w:val="0"/>
              <w:spacing w:before="50" w:afterLines="50" w:line="360" w:lineRule="auto"/>
              <w:jc w:val="left"/>
              <w:rPr>
                <w:rFonts w:ascii="宋体" w:hAnsi="宋体" w:cs="宋体"/>
                <w:color w:val="auto"/>
                <w:szCs w:val="21"/>
              </w:rPr>
            </w:pPr>
          </w:p>
        </w:tc>
        <w:tc>
          <w:tcPr>
            <w:tcW w:w="1528" w:type="dxa"/>
            <w:tcBorders>
              <w:top w:val="single" w:color="auto" w:sz="4" w:space="0"/>
              <w:left w:val="single" w:color="auto" w:sz="4" w:space="0"/>
              <w:bottom w:val="single" w:color="auto" w:sz="4" w:space="0"/>
              <w:right w:val="single" w:color="auto" w:sz="4" w:space="0"/>
            </w:tcBorders>
          </w:tcPr>
          <w:p w14:paraId="6071ECB5">
            <w:pPr>
              <w:snapToGrid w:val="0"/>
              <w:spacing w:before="50" w:afterLines="50" w:line="360" w:lineRule="auto"/>
              <w:jc w:val="left"/>
              <w:rPr>
                <w:rFonts w:ascii="宋体" w:hAnsi="宋体" w:cs="宋体"/>
                <w:color w:val="auto"/>
                <w:szCs w:val="21"/>
              </w:rPr>
            </w:pPr>
          </w:p>
        </w:tc>
        <w:tc>
          <w:tcPr>
            <w:tcW w:w="1929" w:type="dxa"/>
            <w:tcBorders>
              <w:top w:val="single" w:color="auto" w:sz="4" w:space="0"/>
              <w:left w:val="single" w:color="auto" w:sz="4" w:space="0"/>
              <w:bottom w:val="single" w:color="auto" w:sz="4" w:space="0"/>
              <w:right w:val="single" w:color="auto" w:sz="4" w:space="0"/>
            </w:tcBorders>
          </w:tcPr>
          <w:p w14:paraId="591B94AA">
            <w:pPr>
              <w:snapToGrid w:val="0"/>
              <w:spacing w:before="50" w:afterLines="50" w:line="360" w:lineRule="auto"/>
              <w:jc w:val="left"/>
              <w:rPr>
                <w:rFonts w:ascii="宋体" w:hAnsi="宋体" w:cs="宋体"/>
                <w:color w:val="auto"/>
                <w:szCs w:val="21"/>
              </w:rPr>
            </w:pPr>
          </w:p>
        </w:tc>
      </w:tr>
      <w:tr w14:paraId="6AA7A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685" w:type="dxa"/>
            <w:tcBorders>
              <w:top w:val="single" w:color="auto" w:sz="4" w:space="0"/>
              <w:left w:val="single" w:color="auto" w:sz="4" w:space="0"/>
              <w:bottom w:val="single" w:color="auto" w:sz="4" w:space="0"/>
              <w:right w:val="single" w:color="auto" w:sz="4" w:space="0"/>
            </w:tcBorders>
          </w:tcPr>
          <w:p w14:paraId="0B106B4F">
            <w:pPr>
              <w:snapToGrid w:val="0"/>
              <w:spacing w:before="50" w:afterLines="50" w:line="360" w:lineRule="auto"/>
              <w:jc w:val="left"/>
              <w:rPr>
                <w:rFonts w:ascii="宋体" w:hAnsi="宋体" w:cs="宋体"/>
                <w:color w:val="auto"/>
                <w:szCs w:val="21"/>
              </w:rPr>
            </w:pPr>
          </w:p>
        </w:tc>
        <w:tc>
          <w:tcPr>
            <w:tcW w:w="1690" w:type="dxa"/>
            <w:tcBorders>
              <w:top w:val="single" w:color="auto" w:sz="4" w:space="0"/>
              <w:left w:val="single" w:color="auto" w:sz="4" w:space="0"/>
              <w:bottom w:val="single" w:color="auto" w:sz="4" w:space="0"/>
              <w:right w:val="single" w:color="auto" w:sz="4" w:space="0"/>
            </w:tcBorders>
          </w:tcPr>
          <w:p w14:paraId="0223C1BA">
            <w:pPr>
              <w:snapToGrid w:val="0"/>
              <w:spacing w:before="50" w:afterLines="50" w:line="360" w:lineRule="auto"/>
              <w:jc w:val="left"/>
              <w:rPr>
                <w:rFonts w:ascii="宋体" w:hAnsi="宋体" w:cs="宋体"/>
                <w:color w:val="auto"/>
                <w:szCs w:val="21"/>
              </w:rPr>
            </w:pPr>
          </w:p>
        </w:tc>
        <w:tc>
          <w:tcPr>
            <w:tcW w:w="1586" w:type="dxa"/>
            <w:tcBorders>
              <w:top w:val="single" w:color="auto" w:sz="4" w:space="0"/>
              <w:left w:val="single" w:color="auto" w:sz="4" w:space="0"/>
              <w:bottom w:val="single" w:color="auto" w:sz="4" w:space="0"/>
              <w:right w:val="single" w:color="auto" w:sz="4" w:space="0"/>
            </w:tcBorders>
          </w:tcPr>
          <w:p w14:paraId="14D7374C">
            <w:pPr>
              <w:snapToGrid w:val="0"/>
              <w:spacing w:before="50" w:afterLines="50" w:line="360" w:lineRule="auto"/>
              <w:jc w:val="left"/>
              <w:rPr>
                <w:rFonts w:ascii="宋体" w:hAnsi="宋体" w:cs="宋体"/>
                <w:color w:val="auto"/>
                <w:szCs w:val="21"/>
              </w:rPr>
            </w:pPr>
          </w:p>
        </w:tc>
        <w:tc>
          <w:tcPr>
            <w:tcW w:w="1528" w:type="dxa"/>
            <w:tcBorders>
              <w:top w:val="single" w:color="auto" w:sz="4" w:space="0"/>
              <w:left w:val="single" w:color="auto" w:sz="4" w:space="0"/>
              <w:bottom w:val="single" w:color="auto" w:sz="4" w:space="0"/>
              <w:right w:val="single" w:color="auto" w:sz="4" w:space="0"/>
            </w:tcBorders>
          </w:tcPr>
          <w:p w14:paraId="6B54EF40">
            <w:pPr>
              <w:snapToGrid w:val="0"/>
              <w:spacing w:before="50" w:afterLines="50" w:line="360" w:lineRule="auto"/>
              <w:jc w:val="left"/>
              <w:rPr>
                <w:rFonts w:ascii="宋体" w:hAnsi="宋体" w:cs="宋体"/>
                <w:color w:val="auto"/>
                <w:szCs w:val="21"/>
              </w:rPr>
            </w:pPr>
          </w:p>
        </w:tc>
        <w:tc>
          <w:tcPr>
            <w:tcW w:w="1929" w:type="dxa"/>
            <w:tcBorders>
              <w:top w:val="single" w:color="auto" w:sz="4" w:space="0"/>
              <w:left w:val="single" w:color="auto" w:sz="4" w:space="0"/>
              <w:bottom w:val="single" w:color="auto" w:sz="4" w:space="0"/>
              <w:right w:val="single" w:color="auto" w:sz="4" w:space="0"/>
            </w:tcBorders>
          </w:tcPr>
          <w:p w14:paraId="7A2AECE7">
            <w:pPr>
              <w:snapToGrid w:val="0"/>
              <w:spacing w:before="50" w:afterLines="50" w:line="360" w:lineRule="auto"/>
              <w:jc w:val="left"/>
              <w:rPr>
                <w:rFonts w:ascii="宋体" w:hAnsi="宋体" w:cs="宋体"/>
                <w:color w:val="auto"/>
                <w:szCs w:val="21"/>
              </w:rPr>
            </w:pPr>
          </w:p>
        </w:tc>
      </w:tr>
      <w:tr w14:paraId="024C6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685" w:type="dxa"/>
            <w:tcBorders>
              <w:top w:val="single" w:color="auto" w:sz="4" w:space="0"/>
              <w:left w:val="single" w:color="auto" w:sz="4" w:space="0"/>
              <w:bottom w:val="single" w:color="auto" w:sz="4" w:space="0"/>
              <w:right w:val="single" w:color="auto" w:sz="4" w:space="0"/>
            </w:tcBorders>
          </w:tcPr>
          <w:p w14:paraId="41CF5191">
            <w:pPr>
              <w:snapToGrid w:val="0"/>
              <w:spacing w:before="50" w:afterLines="50" w:line="360" w:lineRule="auto"/>
              <w:jc w:val="left"/>
              <w:rPr>
                <w:rFonts w:ascii="宋体" w:hAnsi="宋体" w:cs="宋体"/>
                <w:color w:val="auto"/>
                <w:szCs w:val="21"/>
              </w:rPr>
            </w:pPr>
          </w:p>
        </w:tc>
        <w:tc>
          <w:tcPr>
            <w:tcW w:w="1690" w:type="dxa"/>
            <w:tcBorders>
              <w:top w:val="single" w:color="auto" w:sz="4" w:space="0"/>
              <w:left w:val="single" w:color="auto" w:sz="4" w:space="0"/>
              <w:bottom w:val="single" w:color="auto" w:sz="4" w:space="0"/>
              <w:right w:val="single" w:color="auto" w:sz="4" w:space="0"/>
            </w:tcBorders>
          </w:tcPr>
          <w:p w14:paraId="59C4B304">
            <w:pPr>
              <w:snapToGrid w:val="0"/>
              <w:spacing w:before="50" w:afterLines="50" w:line="360" w:lineRule="auto"/>
              <w:jc w:val="left"/>
              <w:rPr>
                <w:rFonts w:ascii="宋体" w:hAnsi="宋体" w:cs="宋体"/>
                <w:color w:val="auto"/>
                <w:szCs w:val="21"/>
              </w:rPr>
            </w:pPr>
          </w:p>
        </w:tc>
        <w:tc>
          <w:tcPr>
            <w:tcW w:w="1586" w:type="dxa"/>
            <w:tcBorders>
              <w:top w:val="single" w:color="auto" w:sz="4" w:space="0"/>
              <w:left w:val="single" w:color="auto" w:sz="4" w:space="0"/>
              <w:bottom w:val="single" w:color="auto" w:sz="4" w:space="0"/>
              <w:right w:val="single" w:color="auto" w:sz="4" w:space="0"/>
            </w:tcBorders>
          </w:tcPr>
          <w:p w14:paraId="7077DE52">
            <w:pPr>
              <w:snapToGrid w:val="0"/>
              <w:spacing w:before="50" w:afterLines="50" w:line="360" w:lineRule="auto"/>
              <w:jc w:val="left"/>
              <w:rPr>
                <w:rFonts w:ascii="宋体" w:hAnsi="宋体" w:cs="宋体"/>
                <w:color w:val="auto"/>
                <w:szCs w:val="21"/>
              </w:rPr>
            </w:pPr>
          </w:p>
        </w:tc>
        <w:tc>
          <w:tcPr>
            <w:tcW w:w="1528" w:type="dxa"/>
            <w:tcBorders>
              <w:top w:val="single" w:color="auto" w:sz="4" w:space="0"/>
              <w:left w:val="single" w:color="auto" w:sz="4" w:space="0"/>
              <w:bottom w:val="single" w:color="auto" w:sz="4" w:space="0"/>
              <w:right w:val="single" w:color="auto" w:sz="4" w:space="0"/>
            </w:tcBorders>
          </w:tcPr>
          <w:p w14:paraId="7896069B">
            <w:pPr>
              <w:snapToGrid w:val="0"/>
              <w:spacing w:before="50" w:afterLines="50" w:line="360" w:lineRule="auto"/>
              <w:jc w:val="left"/>
              <w:rPr>
                <w:rFonts w:ascii="宋体" w:hAnsi="宋体" w:cs="宋体"/>
                <w:color w:val="auto"/>
                <w:szCs w:val="21"/>
              </w:rPr>
            </w:pPr>
          </w:p>
        </w:tc>
        <w:tc>
          <w:tcPr>
            <w:tcW w:w="1929" w:type="dxa"/>
            <w:tcBorders>
              <w:top w:val="single" w:color="auto" w:sz="4" w:space="0"/>
              <w:left w:val="single" w:color="auto" w:sz="4" w:space="0"/>
              <w:bottom w:val="single" w:color="auto" w:sz="4" w:space="0"/>
              <w:right w:val="single" w:color="auto" w:sz="4" w:space="0"/>
            </w:tcBorders>
          </w:tcPr>
          <w:p w14:paraId="682BEEB7">
            <w:pPr>
              <w:snapToGrid w:val="0"/>
              <w:spacing w:before="50" w:afterLines="50" w:line="360" w:lineRule="auto"/>
              <w:jc w:val="left"/>
              <w:rPr>
                <w:rFonts w:ascii="宋体" w:hAnsi="宋体" w:cs="宋体"/>
                <w:color w:val="auto"/>
                <w:szCs w:val="21"/>
              </w:rPr>
            </w:pPr>
          </w:p>
        </w:tc>
      </w:tr>
      <w:tr w14:paraId="2B605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85" w:type="dxa"/>
            <w:tcBorders>
              <w:top w:val="single" w:color="auto" w:sz="4" w:space="0"/>
              <w:left w:val="single" w:color="auto" w:sz="4" w:space="0"/>
              <w:bottom w:val="single" w:color="auto" w:sz="4" w:space="0"/>
              <w:right w:val="single" w:color="auto" w:sz="4" w:space="0"/>
            </w:tcBorders>
          </w:tcPr>
          <w:p w14:paraId="01013609">
            <w:pPr>
              <w:snapToGrid w:val="0"/>
              <w:spacing w:before="50" w:afterLines="50" w:line="360" w:lineRule="auto"/>
              <w:jc w:val="left"/>
              <w:rPr>
                <w:rFonts w:ascii="宋体" w:hAnsi="宋体" w:cs="宋体"/>
                <w:color w:val="auto"/>
                <w:szCs w:val="21"/>
              </w:rPr>
            </w:pPr>
          </w:p>
        </w:tc>
        <w:tc>
          <w:tcPr>
            <w:tcW w:w="1690" w:type="dxa"/>
            <w:tcBorders>
              <w:top w:val="single" w:color="auto" w:sz="4" w:space="0"/>
              <w:left w:val="single" w:color="auto" w:sz="4" w:space="0"/>
              <w:bottom w:val="single" w:color="auto" w:sz="4" w:space="0"/>
              <w:right w:val="single" w:color="auto" w:sz="4" w:space="0"/>
            </w:tcBorders>
          </w:tcPr>
          <w:p w14:paraId="65A28329">
            <w:pPr>
              <w:snapToGrid w:val="0"/>
              <w:spacing w:before="50" w:afterLines="50" w:line="360" w:lineRule="auto"/>
              <w:jc w:val="left"/>
              <w:rPr>
                <w:rFonts w:ascii="宋体" w:hAnsi="宋体" w:cs="宋体"/>
                <w:color w:val="auto"/>
                <w:szCs w:val="21"/>
              </w:rPr>
            </w:pPr>
          </w:p>
        </w:tc>
        <w:tc>
          <w:tcPr>
            <w:tcW w:w="1586" w:type="dxa"/>
            <w:tcBorders>
              <w:top w:val="single" w:color="auto" w:sz="4" w:space="0"/>
              <w:left w:val="single" w:color="auto" w:sz="4" w:space="0"/>
              <w:bottom w:val="single" w:color="auto" w:sz="4" w:space="0"/>
              <w:right w:val="single" w:color="auto" w:sz="4" w:space="0"/>
            </w:tcBorders>
          </w:tcPr>
          <w:p w14:paraId="19A81A22">
            <w:pPr>
              <w:snapToGrid w:val="0"/>
              <w:spacing w:before="50" w:afterLines="50" w:line="360" w:lineRule="auto"/>
              <w:jc w:val="left"/>
              <w:rPr>
                <w:rFonts w:ascii="宋体" w:hAnsi="宋体" w:cs="宋体"/>
                <w:color w:val="auto"/>
                <w:szCs w:val="21"/>
              </w:rPr>
            </w:pPr>
          </w:p>
        </w:tc>
        <w:tc>
          <w:tcPr>
            <w:tcW w:w="1528" w:type="dxa"/>
            <w:tcBorders>
              <w:top w:val="single" w:color="auto" w:sz="4" w:space="0"/>
              <w:left w:val="single" w:color="auto" w:sz="4" w:space="0"/>
              <w:bottom w:val="single" w:color="auto" w:sz="4" w:space="0"/>
              <w:right w:val="single" w:color="auto" w:sz="4" w:space="0"/>
            </w:tcBorders>
          </w:tcPr>
          <w:p w14:paraId="3D85834C">
            <w:pPr>
              <w:snapToGrid w:val="0"/>
              <w:spacing w:before="50" w:afterLines="50" w:line="360" w:lineRule="auto"/>
              <w:jc w:val="left"/>
              <w:rPr>
                <w:rFonts w:ascii="宋体" w:hAnsi="宋体" w:cs="宋体"/>
                <w:color w:val="auto"/>
                <w:szCs w:val="21"/>
              </w:rPr>
            </w:pPr>
          </w:p>
        </w:tc>
        <w:tc>
          <w:tcPr>
            <w:tcW w:w="1929" w:type="dxa"/>
            <w:tcBorders>
              <w:top w:val="single" w:color="auto" w:sz="4" w:space="0"/>
              <w:left w:val="single" w:color="auto" w:sz="4" w:space="0"/>
              <w:bottom w:val="single" w:color="auto" w:sz="4" w:space="0"/>
              <w:right w:val="single" w:color="auto" w:sz="4" w:space="0"/>
            </w:tcBorders>
          </w:tcPr>
          <w:p w14:paraId="7D1B9031">
            <w:pPr>
              <w:snapToGrid w:val="0"/>
              <w:spacing w:before="50" w:afterLines="50" w:line="360" w:lineRule="auto"/>
              <w:jc w:val="left"/>
              <w:rPr>
                <w:rFonts w:ascii="宋体" w:hAnsi="宋体" w:cs="宋体"/>
                <w:color w:val="auto"/>
                <w:szCs w:val="21"/>
              </w:rPr>
            </w:pPr>
          </w:p>
        </w:tc>
      </w:tr>
    </w:tbl>
    <w:p w14:paraId="38FD87B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注：以上业绩须提供清晰完整的合同复印件并加盖单位公章。</w:t>
      </w:r>
    </w:p>
    <w:p w14:paraId="3466E5C8">
      <w:pPr>
        <w:snapToGrid w:val="0"/>
        <w:spacing w:line="360" w:lineRule="auto"/>
        <w:rPr>
          <w:rFonts w:ascii="宋体" w:hAnsi="宋体" w:cs="宋体"/>
          <w:color w:val="auto"/>
          <w:kern w:val="0"/>
          <w:szCs w:val="21"/>
          <w:lang w:val="zh-CN"/>
        </w:rPr>
      </w:pPr>
    </w:p>
    <w:p w14:paraId="51BEF2ED">
      <w:pPr>
        <w:spacing w:line="500" w:lineRule="exact"/>
        <w:ind w:firstLine="4950" w:firstLineChars="2250"/>
        <w:rPr>
          <w:rFonts w:ascii="宋体" w:hAnsi="宋体" w:cs="宋体"/>
          <w:color w:val="auto"/>
          <w:sz w:val="22"/>
          <w:szCs w:val="22"/>
        </w:rPr>
      </w:pPr>
      <w:r>
        <w:rPr>
          <w:rFonts w:hint="eastAsia" w:ascii="宋体" w:hAnsi="宋体" w:cs="宋体"/>
          <w:color w:val="auto"/>
          <w:sz w:val="22"/>
          <w:szCs w:val="22"/>
        </w:rPr>
        <w:t>供应商名称（CA电子签章）：</w:t>
      </w:r>
      <w:r>
        <w:rPr>
          <w:rFonts w:hint="eastAsia" w:ascii="宋体" w:hAnsi="宋体" w:cs="宋体"/>
          <w:color w:val="auto"/>
          <w:sz w:val="22"/>
          <w:szCs w:val="22"/>
          <w:u w:val="single"/>
        </w:rPr>
        <w:t xml:space="preserve">                </w:t>
      </w:r>
    </w:p>
    <w:p w14:paraId="1CB09142">
      <w:pPr>
        <w:spacing w:line="500" w:lineRule="exact"/>
        <w:ind w:firstLine="1980" w:firstLineChars="900"/>
        <w:rPr>
          <w:rFonts w:ascii="宋体" w:hAnsi="宋体" w:cs="宋体"/>
          <w:color w:val="auto"/>
          <w:sz w:val="22"/>
          <w:szCs w:val="22"/>
        </w:rPr>
      </w:pPr>
      <w:r>
        <w:rPr>
          <w:rFonts w:hint="eastAsia" w:ascii="宋体" w:hAnsi="宋体" w:cs="宋体"/>
          <w:color w:val="auto"/>
          <w:sz w:val="22"/>
          <w:szCs w:val="22"/>
        </w:rPr>
        <w:t>法定代表人或委托代理人（签字或加盖CA电子签字章）：</w:t>
      </w:r>
      <w:r>
        <w:rPr>
          <w:rFonts w:hint="eastAsia" w:ascii="宋体" w:hAnsi="宋体" w:cs="宋体"/>
          <w:color w:val="auto"/>
          <w:sz w:val="22"/>
          <w:szCs w:val="22"/>
          <w:u w:val="single"/>
        </w:rPr>
        <w:t xml:space="preserve">                 </w:t>
      </w:r>
    </w:p>
    <w:p w14:paraId="46014F02">
      <w:pPr>
        <w:pStyle w:val="13"/>
        <w:spacing w:line="500" w:lineRule="exact"/>
        <w:ind w:left="440" w:firstLine="6050" w:firstLineChars="2750"/>
        <w:rPr>
          <w:rFonts w:hAnsi="宋体" w:cs="宋体"/>
          <w:color w:val="auto"/>
          <w:sz w:val="22"/>
          <w:szCs w:val="22"/>
        </w:rPr>
      </w:pPr>
      <w:r>
        <w:rPr>
          <w:rFonts w:hint="eastAsia" w:hAnsi="宋体" w:cs="宋体"/>
          <w:color w:val="auto"/>
          <w:sz w:val="22"/>
          <w:szCs w:val="22"/>
        </w:rPr>
        <w:t>日期：  年  月  日</w:t>
      </w:r>
    </w:p>
    <w:p w14:paraId="1FD240BF">
      <w:pPr>
        <w:spacing w:line="360" w:lineRule="auto"/>
        <w:rPr>
          <w:rFonts w:ascii="宋体" w:hAnsi="宋体" w:cs="宋体"/>
          <w:b/>
          <w:bCs/>
          <w:color w:val="auto"/>
          <w:szCs w:val="21"/>
        </w:rPr>
      </w:pPr>
    </w:p>
    <w:p w14:paraId="528A6201">
      <w:pPr>
        <w:spacing w:line="360" w:lineRule="auto"/>
        <w:outlineLvl w:val="2"/>
        <w:rPr>
          <w:rFonts w:ascii="宋体" w:hAnsi="宋体" w:cs="宋体"/>
          <w:b/>
          <w:bCs/>
          <w:color w:val="auto"/>
          <w:szCs w:val="21"/>
        </w:rPr>
      </w:pPr>
      <w:bookmarkStart w:id="629" w:name="_Toc5134"/>
      <w:bookmarkStart w:id="630" w:name="_Toc19413"/>
      <w:bookmarkStart w:id="631" w:name="_Toc22467"/>
      <w:bookmarkStart w:id="632" w:name="_Toc27152"/>
      <w:bookmarkStart w:id="633" w:name="_Toc14430"/>
      <w:bookmarkStart w:id="634" w:name="_Toc30658"/>
      <w:bookmarkStart w:id="635" w:name="_Toc9374"/>
      <w:bookmarkStart w:id="636" w:name="_Toc25742"/>
      <w:r>
        <w:rPr>
          <w:rFonts w:hint="eastAsia" w:ascii="宋体" w:hAnsi="宋体" w:cs="宋体"/>
          <w:b/>
          <w:bCs/>
          <w:color w:val="auto"/>
          <w:szCs w:val="21"/>
        </w:rPr>
        <w:t>十、供应商对本项目的合理化建议和改进措施</w:t>
      </w:r>
      <w:bookmarkEnd w:id="612"/>
      <w:bookmarkEnd w:id="613"/>
      <w:bookmarkEnd w:id="614"/>
      <w:bookmarkEnd w:id="615"/>
      <w:bookmarkEnd w:id="616"/>
      <w:bookmarkEnd w:id="617"/>
      <w:bookmarkEnd w:id="618"/>
      <w:bookmarkEnd w:id="619"/>
      <w:bookmarkEnd w:id="620"/>
      <w:bookmarkEnd w:id="629"/>
      <w:bookmarkEnd w:id="630"/>
      <w:bookmarkEnd w:id="631"/>
      <w:bookmarkEnd w:id="632"/>
      <w:bookmarkEnd w:id="633"/>
      <w:bookmarkEnd w:id="634"/>
      <w:bookmarkEnd w:id="635"/>
      <w:bookmarkEnd w:id="636"/>
    </w:p>
    <w:p w14:paraId="4E51BD1C">
      <w:pPr>
        <w:autoSpaceDE w:val="0"/>
        <w:autoSpaceDN w:val="0"/>
        <w:spacing w:line="360" w:lineRule="auto"/>
        <w:rPr>
          <w:rFonts w:ascii="宋体" w:hAnsi="宋体" w:cs="宋体"/>
          <w:color w:val="auto"/>
          <w:kern w:val="0"/>
          <w:szCs w:val="21"/>
        </w:rPr>
      </w:pPr>
      <w:r>
        <w:rPr>
          <w:rFonts w:hint="eastAsia" w:ascii="宋体" w:hAnsi="宋体" w:cs="宋体"/>
          <w:color w:val="auto"/>
          <w:szCs w:val="21"/>
        </w:rPr>
        <w:t>如有，格式自拟。</w:t>
      </w:r>
    </w:p>
    <w:p w14:paraId="6A3A513B">
      <w:pPr>
        <w:autoSpaceDE w:val="0"/>
        <w:autoSpaceDN w:val="0"/>
        <w:spacing w:line="360" w:lineRule="auto"/>
        <w:ind w:left="4305" w:leftChars="1950" w:hanging="210" w:hangingChars="100"/>
        <w:rPr>
          <w:rFonts w:ascii="宋体" w:hAnsi="宋体" w:cs="宋体"/>
          <w:color w:val="auto"/>
          <w:kern w:val="0"/>
          <w:szCs w:val="21"/>
        </w:rPr>
      </w:pPr>
    </w:p>
    <w:p w14:paraId="4C259EFF">
      <w:pPr>
        <w:autoSpaceDE w:val="0"/>
        <w:autoSpaceDN w:val="0"/>
        <w:spacing w:line="360" w:lineRule="auto"/>
        <w:ind w:left="4305" w:leftChars="1950" w:hanging="210" w:hangingChars="100"/>
        <w:rPr>
          <w:rFonts w:ascii="宋体" w:hAnsi="宋体" w:cs="宋体"/>
          <w:color w:val="auto"/>
          <w:kern w:val="0"/>
          <w:szCs w:val="21"/>
        </w:rPr>
      </w:pPr>
    </w:p>
    <w:p w14:paraId="3868AF41">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6E3044EB">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p w14:paraId="29016E3B">
      <w:pPr>
        <w:spacing w:line="360" w:lineRule="auto"/>
        <w:rPr>
          <w:rFonts w:ascii="宋体" w:hAnsi="宋体" w:cs="宋体"/>
          <w:b/>
          <w:bCs/>
          <w:color w:val="auto"/>
          <w:szCs w:val="21"/>
        </w:rPr>
      </w:pPr>
    </w:p>
    <w:p w14:paraId="280645C9">
      <w:pPr>
        <w:spacing w:line="360" w:lineRule="auto"/>
        <w:outlineLvl w:val="2"/>
        <w:rPr>
          <w:rFonts w:ascii="宋体" w:hAnsi="宋体" w:cs="宋体"/>
          <w:b/>
          <w:bCs/>
          <w:color w:val="auto"/>
          <w:szCs w:val="21"/>
        </w:rPr>
      </w:pPr>
      <w:bookmarkStart w:id="637" w:name="_Toc10021"/>
      <w:bookmarkStart w:id="638" w:name="_Toc27450"/>
      <w:bookmarkStart w:id="639" w:name="_Toc5167"/>
      <w:bookmarkStart w:id="640" w:name="_Toc20602"/>
      <w:bookmarkStart w:id="641" w:name="_Toc6416"/>
      <w:bookmarkStart w:id="642" w:name="_Toc20284"/>
      <w:bookmarkStart w:id="643" w:name="_Toc6663"/>
      <w:bookmarkStart w:id="644" w:name="_Toc6665"/>
      <w:bookmarkStart w:id="645" w:name="_Toc20701"/>
      <w:bookmarkStart w:id="646" w:name="_Toc11128"/>
      <w:bookmarkStart w:id="647" w:name="_Toc16712"/>
      <w:bookmarkStart w:id="648" w:name="_Toc24962"/>
      <w:bookmarkStart w:id="649" w:name="_Toc19043"/>
      <w:bookmarkStart w:id="650" w:name="_Toc9127"/>
      <w:bookmarkStart w:id="651" w:name="_Toc1973"/>
      <w:bookmarkStart w:id="652" w:name="_Toc31736"/>
      <w:bookmarkStart w:id="653" w:name="_Toc1556"/>
      <w:r>
        <w:rPr>
          <w:rFonts w:hint="eastAsia" w:ascii="宋体" w:hAnsi="宋体" w:cs="宋体"/>
          <w:b/>
          <w:bCs/>
          <w:color w:val="auto"/>
          <w:szCs w:val="21"/>
        </w:rPr>
        <w:t>十一、供应商认为必要提供的声明及文件资料（如有）</w:t>
      </w:r>
      <w:bookmarkEnd w:id="637"/>
      <w:bookmarkEnd w:id="638"/>
      <w:bookmarkEnd w:id="639"/>
      <w:bookmarkEnd w:id="640"/>
      <w:bookmarkEnd w:id="641"/>
      <w:bookmarkEnd w:id="642"/>
      <w:bookmarkEnd w:id="643"/>
      <w:bookmarkEnd w:id="644"/>
    </w:p>
    <w:p w14:paraId="425BA96C">
      <w:pPr>
        <w:autoSpaceDE w:val="0"/>
        <w:autoSpaceDN w:val="0"/>
        <w:spacing w:line="360" w:lineRule="auto"/>
        <w:rPr>
          <w:rFonts w:ascii="宋体" w:hAnsi="宋体" w:cs="宋体"/>
          <w:color w:val="auto"/>
          <w:kern w:val="0"/>
          <w:szCs w:val="21"/>
        </w:rPr>
      </w:pPr>
      <w:r>
        <w:rPr>
          <w:rFonts w:hint="eastAsia" w:ascii="宋体" w:hAnsi="宋体" w:cs="宋体"/>
          <w:color w:val="auto"/>
          <w:szCs w:val="21"/>
        </w:rPr>
        <w:t>如有，格式自拟。</w:t>
      </w:r>
      <w:bookmarkEnd w:id="645"/>
      <w:bookmarkEnd w:id="646"/>
      <w:bookmarkEnd w:id="647"/>
      <w:bookmarkEnd w:id="648"/>
      <w:bookmarkEnd w:id="649"/>
      <w:bookmarkEnd w:id="650"/>
      <w:bookmarkEnd w:id="651"/>
      <w:bookmarkEnd w:id="652"/>
      <w:bookmarkEnd w:id="653"/>
    </w:p>
    <w:p w14:paraId="5505671D">
      <w:pPr>
        <w:rPr>
          <w:color w:val="auto"/>
        </w:rPr>
      </w:pPr>
    </w:p>
    <w:p w14:paraId="6F3A00E0">
      <w:pPr>
        <w:pStyle w:val="12"/>
        <w:rPr>
          <w:color w:val="auto"/>
        </w:rPr>
      </w:pPr>
    </w:p>
    <w:p w14:paraId="60BD20B6">
      <w:pPr>
        <w:wordWrap w:val="0"/>
        <w:snapToGrid w:val="0"/>
        <w:spacing w:line="360" w:lineRule="auto"/>
        <w:jc w:val="right"/>
        <w:rPr>
          <w:rFonts w:ascii="宋体" w:hAnsi="宋体" w:cs="宋体"/>
          <w:color w:val="auto"/>
          <w:kern w:val="0"/>
          <w:szCs w:val="21"/>
          <w:u w:val="single"/>
        </w:rPr>
      </w:pPr>
      <w:r>
        <w:rPr>
          <w:rFonts w:hint="eastAsia" w:ascii="宋体" w:hAnsi="宋体" w:cs="宋体"/>
          <w:color w:val="auto"/>
          <w:kern w:val="0"/>
          <w:szCs w:val="21"/>
          <w:lang w:val="zh-CN"/>
        </w:rPr>
        <w:t>供应商名称(CA电子签章)：</w:t>
      </w:r>
      <w:r>
        <w:rPr>
          <w:rFonts w:hint="eastAsia" w:ascii="宋体" w:hAnsi="宋体" w:cs="宋体"/>
          <w:color w:val="auto"/>
          <w:kern w:val="0"/>
          <w:szCs w:val="21"/>
          <w:u w:val="single"/>
        </w:rPr>
        <w:t xml:space="preserve">                          </w:t>
      </w:r>
    </w:p>
    <w:p w14:paraId="78347F53">
      <w:pPr>
        <w:spacing w:line="360" w:lineRule="auto"/>
        <w:jc w:val="center"/>
        <w:rPr>
          <w:rFonts w:ascii="宋体" w:hAnsi="宋体" w:cs="宋体"/>
          <w:color w:val="auto"/>
          <w:kern w:val="0"/>
          <w:szCs w:val="21"/>
          <w:lang w:val="zh-CN"/>
        </w:rPr>
      </w:pPr>
      <w:r>
        <w:rPr>
          <w:rFonts w:hint="eastAsia" w:ascii="宋体" w:hAnsi="宋体" w:cs="宋体"/>
          <w:color w:val="auto"/>
          <w:kern w:val="0"/>
          <w:szCs w:val="21"/>
          <w:lang w:val="zh-CN"/>
        </w:rPr>
        <w:t xml:space="preserve">                                                     日期</w:t>
      </w:r>
      <w:r>
        <w:rPr>
          <w:rFonts w:hint="eastAsia" w:ascii="宋体" w:hAnsi="宋体" w:cs="宋体"/>
          <w:color w:val="auto"/>
          <w:kern w:val="0"/>
          <w:szCs w:val="21"/>
        </w:rPr>
        <w:t xml:space="preserve">：  年  </w:t>
      </w:r>
      <w:r>
        <w:rPr>
          <w:rFonts w:hint="eastAsia" w:ascii="宋体" w:hAnsi="宋体" w:cs="宋体"/>
          <w:color w:val="auto"/>
          <w:kern w:val="0"/>
          <w:szCs w:val="21"/>
          <w:lang w:val="zh-CN"/>
        </w:rPr>
        <w:t>月</w:t>
      </w:r>
      <w:r>
        <w:rPr>
          <w:rFonts w:hint="eastAsia" w:ascii="宋体" w:hAnsi="宋体" w:cs="宋体"/>
          <w:color w:val="auto"/>
          <w:kern w:val="0"/>
          <w:szCs w:val="21"/>
        </w:rPr>
        <w:t xml:space="preserve">   </w:t>
      </w:r>
      <w:r>
        <w:rPr>
          <w:rFonts w:hint="eastAsia" w:ascii="宋体" w:hAnsi="宋体" w:cs="宋体"/>
          <w:color w:val="auto"/>
          <w:kern w:val="0"/>
          <w:szCs w:val="21"/>
          <w:lang w:val="zh-CN"/>
        </w:rPr>
        <w:t>日</w:t>
      </w:r>
    </w:p>
    <w:bookmarkEnd w:id="527"/>
    <w:bookmarkEnd w:id="528"/>
    <w:p w14:paraId="3D039763">
      <w:pPr>
        <w:spacing w:line="360" w:lineRule="auto"/>
        <w:rPr>
          <w:color w:val="auto"/>
        </w:rPr>
      </w:pPr>
    </w:p>
    <w:sectPr>
      <w:headerReference r:id="rId7" w:type="default"/>
      <w:footerReference r:id="rId8"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7E0B">
    <w:pPr>
      <w:pStyle w:val="1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5C6F">
    <w:pPr>
      <w:pStyle w:val="1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54F7">
    <w:pPr>
      <w:pStyle w:val="14"/>
      <w:ind w:right="360"/>
      <w:jc w:val="center"/>
    </w:pPr>
    <w:r>
      <w:pict>
        <v:shape id="_x0000_s2050" o:spid="_x0000_s2050" o:spt="202" type="#_x0000_t202" style="position:absolute;left:0pt;margin-top:0pt;height:10.35pt;width:40.55pt;mso-position-horizontal:center;mso-position-horizontal-relative:margin;z-index:251660288;mso-width-relative:page;mso-height-relative:page;" filled="f" stroked="f" coordsize="21600,21600" o:gfxdata="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yvJxNEAAAADAQAADwAAAAAAAAABACAAAAAiAAAAZHJzL2Rvd25yZXYueG1s&#10;UEsBAhQAFAAAAAgAh07iQDXCObbGAQAAiwMAAA4AAAAAAAAAAQAgAAAAIAEAAGRycy9lMm9Eb2Mu&#10;eG1sUEsFBgAAAAAGAAYAWQEAAFgFAAAAAA==&#10;">
          <v:path/>
          <v:fill on="f" focussize="0,0"/>
          <v:stroke on="f" joinstyle="miter"/>
          <v:imagedata o:title=""/>
          <o:lock v:ext="edit"/>
          <v:textbox inset="0mm,0mm,0mm,0mm" style="mso-fit-shape-to-text:t;">
            <w:txbxContent>
              <w:p w14:paraId="26283B22">
                <w:pPr>
                  <w:pStyle w:val="14"/>
                </w:pPr>
                <w:r>
                  <w:fldChar w:fldCharType="begin"/>
                </w:r>
                <w:r>
                  <w:instrText xml:space="preserve"> PAGE  \* MERGEFORMAT </w:instrText>
                </w:r>
                <w:r>
                  <w:fldChar w:fldCharType="separate"/>
                </w:r>
                <w:r>
                  <w:t>58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7D86">
    <w:pPr>
      <w:pStyle w:val="14"/>
    </w:pPr>
    <w:r>
      <w:pict>
        <v:shape id="_x0000_s204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path/>
          <v:fill on="f" focussize="0,0"/>
          <v:stroke on="f" joinstyle="miter"/>
          <v:imagedata o:title=""/>
          <o:lock v:ext="edit"/>
          <v:textbox inset="0mm,0mm,0mm,0mm" style="mso-fit-shape-to-text:t;">
            <w:txbxContent>
              <w:p w14:paraId="2764C426">
                <w:pPr>
                  <w:pStyle w:val="14"/>
                </w:pPr>
                <w:r>
                  <w:fldChar w:fldCharType="begin"/>
                </w:r>
                <w:r>
                  <w:instrText xml:space="preserve"> PAGE  \* MERGEFORMAT </w:instrText>
                </w:r>
                <w:r>
                  <w:fldChar w:fldCharType="separate"/>
                </w:r>
                <w:r>
                  <w:t>86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FE9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876C">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F114F"/>
    <w:multiLevelType w:val="singleLevel"/>
    <w:tmpl w:val="89FF114F"/>
    <w:lvl w:ilvl="0" w:tentative="0">
      <w:start w:val="1"/>
      <w:numFmt w:val="decimal"/>
      <w:suff w:val="nothing"/>
      <w:lvlText w:val="%1．"/>
      <w:lvlJc w:val="left"/>
      <w:pPr>
        <w:ind w:left="0" w:firstLine="400"/>
      </w:pPr>
      <w:rPr>
        <w:rFonts w:hint="default"/>
      </w:rPr>
    </w:lvl>
  </w:abstractNum>
  <w:abstractNum w:abstractNumId="1">
    <w:nsid w:val="91D5D08C"/>
    <w:multiLevelType w:val="singleLevel"/>
    <w:tmpl w:val="91D5D08C"/>
    <w:lvl w:ilvl="0" w:tentative="0">
      <w:start w:val="1"/>
      <w:numFmt w:val="decimalEnclosedCircleChinese"/>
      <w:suff w:val="nothing"/>
      <w:lvlText w:val="%1　"/>
      <w:lvlJc w:val="left"/>
      <w:pPr>
        <w:ind w:left="0" w:firstLine="400"/>
      </w:pPr>
      <w:rPr>
        <w:rFonts w:hint="eastAsia"/>
      </w:rPr>
    </w:lvl>
  </w:abstractNum>
  <w:abstractNum w:abstractNumId="2">
    <w:nsid w:val="AE1238D2"/>
    <w:multiLevelType w:val="singleLevel"/>
    <w:tmpl w:val="AE1238D2"/>
    <w:lvl w:ilvl="0" w:tentative="0">
      <w:start w:val="1"/>
      <w:numFmt w:val="decimalEnclosedCircleChinese"/>
      <w:suff w:val="nothing"/>
      <w:lvlText w:val="%1　"/>
      <w:lvlJc w:val="left"/>
      <w:pPr>
        <w:ind w:left="0" w:firstLine="400"/>
      </w:pPr>
      <w:rPr>
        <w:rFonts w:hint="eastAsia"/>
      </w:rPr>
    </w:lvl>
  </w:abstractNum>
  <w:abstractNum w:abstractNumId="3">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4">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6">
    <w:nsid w:val="1BC7E42D"/>
    <w:multiLevelType w:val="singleLevel"/>
    <w:tmpl w:val="1BC7E42D"/>
    <w:lvl w:ilvl="0" w:tentative="0">
      <w:start w:val="9"/>
      <w:numFmt w:val="chineseCounting"/>
      <w:suff w:val="nothing"/>
      <w:lvlText w:val="%1、"/>
      <w:lvlJc w:val="left"/>
      <w:rPr>
        <w:rFonts w:hint="eastAsia"/>
      </w:rPr>
    </w:lvl>
  </w:abstractNum>
  <w:abstractNum w:abstractNumId="7">
    <w:nsid w:val="324A947B"/>
    <w:multiLevelType w:val="singleLevel"/>
    <w:tmpl w:val="324A947B"/>
    <w:lvl w:ilvl="0" w:tentative="0">
      <w:start w:val="1"/>
      <w:numFmt w:val="decimal"/>
      <w:suff w:val="nothing"/>
      <w:lvlText w:val="%1．"/>
      <w:lvlJc w:val="left"/>
      <w:pPr>
        <w:ind w:left="0" w:firstLine="400"/>
      </w:pPr>
      <w:rPr>
        <w:rFonts w:hint="default"/>
      </w:rPr>
    </w:lvl>
  </w:abstractNum>
  <w:abstractNum w:abstractNumId="8">
    <w:nsid w:val="42A60029"/>
    <w:multiLevelType w:val="singleLevel"/>
    <w:tmpl w:val="42A60029"/>
    <w:lvl w:ilvl="0" w:tentative="0">
      <w:start w:val="1"/>
      <w:numFmt w:val="decimal"/>
      <w:suff w:val="nothing"/>
      <w:lvlText w:val="%1．"/>
      <w:lvlJc w:val="left"/>
      <w:pPr>
        <w:ind w:left="0" w:firstLine="400"/>
      </w:pPr>
      <w:rPr>
        <w:rFonts w:hint="default"/>
      </w:rPr>
    </w:lvl>
  </w:abstractNum>
  <w:abstractNum w:abstractNumId="9">
    <w:nsid w:val="6326BCFA"/>
    <w:multiLevelType w:val="singleLevel"/>
    <w:tmpl w:val="6326BCFA"/>
    <w:lvl w:ilvl="0" w:tentative="0">
      <w:start w:val="1"/>
      <w:numFmt w:val="decimalEnclosedCircleChinese"/>
      <w:suff w:val="nothing"/>
      <w:lvlText w:val="%1　"/>
      <w:lvlJc w:val="left"/>
      <w:pPr>
        <w:ind w:left="0" w:firstLine="400"/>
      </w:pPr>
      <w:rPr>
        <w:rFonts w:hint="eastAsia"/>
      </w:rPr>
    </w:lvl>
  </w:abstractNum>
  <w:abstractNum w:abstractNumId="10">
    <w:nsid w:val="644869DD"/>
    <w:multiLevelType w:val="singleLevel"/>
    <w:tmpl w:val="644869DD"/>
    <w:lvl w:ilvl="0" w:tentative="0">
      <w:start w:val="1"/>
      <w:numFmt w:val="decimal"/>
      <w:suff w:val="nothing"/>
      <w:lvlText w:val="%1．"/>
      <w:lvlJc w:val="left"/>
      <w:pPr>
        <w:ind w:left="0" w:firstLine="400"/>
      </w:pPr>
      <w:rPr>
        <w:rFonts w:hint="default"/>
      </w:rPr>
    </w:lvl>
  </w:abstractNum>
  <w:num w:numId="1">
    <w:abstractNumId w:val="1"/>
  </w:num>
  <w:num w:numId="2">
    <w:abstractNumId w:val="8"/>
  </w:num>
  <w:num w:numId="3">
    <w:abstractNumId w:val="0"/>
  </w:num>
  <w:num w:numId="4">
    <w:abstractNumId w:val="7"/>
  </w:num>
  <w:num w:numId="5">
    <w:abstractNumId w:val="10"/>
  </w:num>
  <w:num w:numId="6">
    <w:abstractNumId w:val="2"/>
  </w:num>
  <w:num w:numId="7">
    <w:abstractNumId w:val="9"/>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lP+hzzVxrlESRHXvVxqOhi9OtFA=" w:salt="HsZzjrwwhbcK46Qe9IkXV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4FE4235D"/>
    <w:rsid w:val="00001080"/>
    <w:rsid w:val="000E0E4A"/>
    <w:rsid w:val="001110BE"/>
    <w:rsid w:val="00174CBB"/>
    <w:rsid w:val="002773D2"/>
    <w:rsid w:val="002B5F8C"/>
    <w:rsid w:val="00310CCF"/>
    <w:rsid w:val="00327ADF"/>
    <w:rsid w:val="00345422"/>
    <w:rsid w:val="004D6662"/>
    <w:rsid w:val="00625D83"/>
    <w:rsid w:val="00697371"/>
    <w:rsid w:val="006A70BF"/>
    <w:rsid w:val="00822373"/>
    <w:rsid w:val="00967E78"/>
    <w:rsid w:val="00AA0941"/>
    <w:rsid w:val="00B23DCB"/>
    <w:rsid w:val="00D0408B"/>
    <w:rsid w:val="00D530BC"/>
    <w:rsid w:val="00DB2A02"/>
    <w:rsid w:val="00EF4B70"/>
    <w:rsid w:val="00F60FF9"/>
    <w:rsid w:val="00F803A9"/>
    <w:rsid w:val="0115116E"/>
    <w:rsid w:val="03E70DB3"/>
    <w:rsid w:val="05C72E67"/>
    <w:rsid w:val="08640C24"/>
    <w:rsid w:val="0B812064"/>
    <w:rsid w:val="0B8C3FEE"/>
    <w:rsid w:val="0FBC1346"/>
    <w:rsid w:val="10853E2D"/>
    <w:rsid w:val="10FB40F0"/>
    <w:rsid w:val="11527B63"/>
    <w:rsid w:val="116C6D9B"/>
    <w:rsid w:val="16015775"/>
    <w:rsid w:val="19377C8F"/>
    <w:rsid w:val="1A7D5B75"/>
    <w:rsid w:val="1C7464B4"/>
    <w:rsid w:val="1D100F23"/>
    <w:rsid w:val="1F6B41EE"/>
    <w:rsid w:val="2000527E"/>
    <w:rsid w:val="207812B9"/>
    <w:rsid w:val="210E39CB"/>
    <w:rsid w:val="21725FEC"/>
    <w:rsid w:val="218617B3"/>
    <w:rsid w:val="21AB746C"/>
    <w:rsid w:val="22031056"/>
    <w:rsid w:val="223519F8"/>
    <w:rsid w:val="2329689A"/>
    <w:rsid w:val="23D91BF2"/>
    <w:rsid w:val="23DF70E1"/>
    <w:rsid w:val="2432352D"/>
    <w:rsid w:val="249B5576"/>
    <w:rsid w:val="2886653D"/>
    <w:rsid w:val="2BC60D3A"/>
    <w:rsid w:val="35DB7EC8"/>
    <w:rsid w:val="38743CBC"/>
    <w:rsid w:val="3BD056AD"/>
    <w:rsid w:val="3C215F09"/>
    <w:rsid w:val="41E81277"/>
    <w:rsid w:val="428808CA"/>
    <w:rsid w:val="44D81A76"/>
    <w:rsid w:val="4517259F"/>
    <w:rsid w:val="49A07007"/>
    <w:rsid w:val="4B200820"/>
    <w:rsid w:val="4E236E3D"/>
    <w:rsid w:val="4FE4235D"/>
    <w:rsid w:val="50D37CC2"/>
    <w:rsid w:val="51C21AE4"/>
    <w:rsid w:val="529C0587"/>
    <w:rsid w:val="530E3233"/>
    <w:rsid w:val="535202C9"/>
    <w:rsid w:val="53536E98"/>
    <w:rsid w:val="567C4958"/>
    <w:rsid w:val="58AB6E2E"/>
    <w:rsid w:val="592339AF"/>
    <w:rsid w:val="5ABA15AB"/>
    <w:rsid w:val="5C115B42"/>
    <w:rsid w:val="5DCE14DC"/>
    <w:rsid w:val="5E94159E"/>
    <w:rsid w:val="5F2F6A2F"/>
    <w:rsid w:val="5F3B6A32"/>
    <w:rsid w:val="608763D3"/>
    <w:rsid w:val="62B7017E"/>
    <w:rsid w:val="642D035B"/>
    <w:rsid w:val="654900FB"/>
    <w:rsid w:val="658630FD"/>
    <w:rsid w:val="664E6508"/>
    <w:rsid w:val="684B23DC"/>
    <w:rsid w:val="68DC1286"/>
    <w:rsid w:val="68F8626F"/>
    <w:rsid w:val="6B77015D"/>
    <w:rsid w:val="6BEB5285"/>
    <w:rsid w:val="71383E60"/>
    <w:rsid w:val="72952BD1"/>
    <w:rsid w:val="738221F2"/>
    <w:rsid w:val="73C23159"/>
    <w:rsid w:val="7548254D"/>
    <w:rsid w:val="755521A4"/>
    <w:rsid w:val="78E8332F"/>
    <w:rsid w:val="7BF72207"/>
    <w:rsid w:val="7F43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napToGrid w:val="0"/>
      <w:spacing w:line="480" w:lineRule="auto"/>
      <w:jc w:val="left"/>
      <w:outlineLvl w:val="0"/>
    </w:pPr>
    <w:rPr>
      <w:rFonts w:eastAsia="仿宋"/>
      <w:b/>
      <w:kern w:val="44"/>
      <w:sz w:val="32"/>
    </w:rPr>
  </w:style>
  <w:style w:type="paragraph" w:styleId="5">
    <w:name w:val="heading 2"/>
    <w:basedOn w:val="1"/>
    <w:next w:val="1"/>
    <w:link w:val="30"/>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6">
    <w:name w:val="heading 3"/>
    <w:basedOn w:val="1"/>
    <w:next w:val="1"/>
    <w:semiHidden/>
    <w:unhideWhenUsed/>
    <w:qFormat/>
    <w:uiPriority w:val="0"/>
    <w:pPr>
      <w:keepNext/>
      <w:keepLines/>
      <w:spacing w:line="360"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line="380" w:lineRule="exact"/>
    </w:pPr>
    <w:rPr>
      <w:kern w:val="0"/>
      <w:sz w:val="24"/>
    </w:rPr>
  </w:style>
  <w:style w:type="paragraph" w:styleId="10">
    <w:name w:val="Body Text Indent"/>
    <w:basedOn w:val="1"/>
    <w:next w:val="2"/>
    <w:qFormat/>
    <w:uiPriority w:val="0"/>
    <w:pPr>
      <w:spacing w:after="120"/>
      <w:ind w:left="420" w:leftChars="200"/>
    </w:pPr>
  </w:style>
  <w:style w:type="paragraph" w:styleId="11">
    <w:name w:val="List 2"/>
    <w:basedOn w:val="1"/>
    <w:qFormat/>
    <w:uiPriority w:val="0"/>
    <w:pPr>
      <w:ind w:left="100" w:leftChars="200" w:hanging="200" w:hangingChars="200"/>
    </w:pPr>
    <w:rPr>
      <w:sz w:val="28"/>
    </w:rPr>
  </w:style>
  <w:style w:type="paragraph" w:styleId="12">
    <w:name w:val="toc 3"/>
    <w:basedOn w:val="1"/>
    <w:next w:val="1"/>
    <w:qFormat/>
    <w:uiPriority w:val="0"/>
    <w:pPr>
      <w:ind w:left="84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9476"/>
      </w:tabs>
      <w:spacing w:line="360" w:lineRule="auto"/>
    </w:pPr>
  </w:style>
  <w:style w:type="paragraph" w:styleId="17">
    <w:name w:val="List"/>
    <w:basedOn w:val="1"/>
    <w:qFormat/>
    <w:uiPriority w:val="0"/>
    <w:pPr>
      <w:ind w:left="200" w:hanging="200" w:hangingChars="200"/>
    </w:pPr>
    <w:rPr>
      <w:sz w:val="28"/>
    </w:rPr>
  </w:style>
  <w:style w:type="paragraph" w:styleId="18">
    <w:name w:val="toc 2"/>
    <w:basedOn w:val="1"/>
    <w:next w:val="1"/>
    <w:qFormat/>
    <w:uiPriority w:val="0"/>
    <w:pPr>
      <w:tabs>
        <w:tab w:val="right" w:leader="dot" w:pos="9476"/>
      </w:tabs>
      <w:spacing w:line="360" w:lineRule="auto"/>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spacing w:line="640" w:lineRule="exact"/>
      <w:jc w:val="center"/>
      <w:outlineLvl w:val="0"/>
    </w:pPr>
    <w:rPr>
      <w:rFonts w:ascii="方正小标宋简体" w:hAnsi="Calibri Light" w:eastAsia="方正小标宋简体"/>
      <w:bCs/>
      <w:sz w:val="44"/>
      <w:szCs w:val="32"/>
    </w:rPr>
  </w:style>
  <w:style w:type="paragraph" w:styleId="21">
    <w:name w:val="Body Text First Indent 2"/>
    <w:basedOn w:val="10"/>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0"/>
    <w:rPr>
      <w:rFonts w:ascii="Times New Roman" w:hAnsi="Times New Roman" w:eastAsia="宋体" w:cs="Times New Roman"/>
      <w:color w:val="0000FF"/>
      <w:u w:val="single"/>
    </w:rPr>
  </w:style>
  <w:style w:type="character" w:styleId="27">
    <w:name w:val="HTML Sample"/>
    <w:basedOn w:val="24"/>
    <w:qFormat/>
    <w:uiPriority w:val="0"/>
    <w:rPr>
      <w:rFonts w:ascii="Courier New" w:hAnsi="Courier New"/>
    </w:rPr>
  </w:style>
  <w:style w:type="character" w:customStyle="1" w:styleId="28">
    <w:name w:val="标题 1 Char"/>
    <w:link w:val="4"/>
    <w:qFormat/>
    <w:uiPriority w:val="0"/>
    <w:rPr>
      <w:rFonts w:ascii="Times New Roman" w:hAnsi="Times New Roman" w:eastAsia="仿宋" w:cs="Times New Roman"/>
      <w:b/>
      <w:kern w:val="44"/>
      <w:sz w:val="32"/>
    </w:rPr>
  </w:style>
  <w:style w:type="paragraph" w:customStyle="1" w:styleId="29">
    <w:name w:val="样式 0正文 + 首行缩进:  2 字符1"/>
    <w:basedOn w:val="1"/>
    <w:qFormat/>
    <w:uiPriority w:val="0"/>
    <w:pPr>
      <w:spacing w:line="360" w:lineRule="auto"/>
      <w:ind w:firstLine="200" w:firstLineChars="200"/>
    </w:pPr>
    <w:rPr>
      <w:rFonts w:cs="宋体"/>
      <w:sz w:val="28"/>
      <w:szCs w:val="20"/>
    </w:rPr>
  </w:style>
  <w:style w:type="character" w:customStyle="1" w:styleId="30">
    <w:name w:val="标题 2 Char"/>
    <w:link w:val="5"/>
    <w:qFormat/>
    <w:uiPriority w:val="0"/>
    <w:rPr>
      <w:rFonts w:eastAsia="仿宋" w:cs="Times New Roman"/>
      <w:b/>
      <w:kern w:val="0"/>
      <w:sz w:val="32"/>
      <w:szCs w:val="20"/>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Table Paragraph"/>
    <w:basedOn w:val="1"/>
    <w:qFormat/>
    <w:uiPriority w:val="0"/>
    <w:pPr>
      <w:autoSpaceDE w:val="0"/>
      <w:autoSpaceDN w:val="0"/>
      <w:adjustRightInd w:val="0"/>
      <w:jc w:val="left"/>
    </w:pPr>
    <w:rPr>
      <w:kern w:val="0"/>
      <w:sz w:val="24"/>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 w:type="paragraph" w:customStyle="1" w:styleId="34">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88</Pages>
  <Words>17521</Words>
  <Characters>19098</Characters>
  <Lines>406</Lines>
  <Paragraphs>114</Paragraphs>
  <TotalTime>29</TotalTime>
  <ScaleCrop>false</ScaleCrop>
  <LinksUpToDate>false</LinksUpToDate>
  <CharactersWithSpaces>19215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2025-05-12T09:34:00Z</dcterms:created>
  <dc:creator>stella</dc:creator>
  <cp:lastModifiedBy>PAPER</cp:lastModifiedBy>
  <dcterms:modified xsi:type="dcterms:W3CDTF">2025-05-15T01:34:27Z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38A7FA291A084F10A103FAB135E0BB75_11</vt:lpwstr>
  </property>
  <property fmtid="{D5CDD505-2E9C-101B-9397-08002B2CF9AE}" pid="4" name="KSOTemplateDocerSaveRecord">
    <vt:lpwstr>eyJoZGlkIjoiOTZlNGQ0YjE0YWI1NGZkNDFkNmM2MzI3OWYwNTgyMWYiLCJ1c2VySWQiOiIyMjY0MzA1MjYifQ==</vt:lpwstr>
  </property>
</Properties>
</file>