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AE175">
      <w:pPr>
        <w:spacing w:line="720" w:lineRule="exact"/>
        <w:ind w:firstLine="0" w:firstLineChars="0"/>
        <w:jc w:val="center"/>
        <w:rPr>
          <w:rFonts w:ascii="华文新魏" w:eastAsia="华文新魏"/>
          <w:color w:val="000000" w:themeColor="text1"/>
          <w:spacing w:val="90"/>
          <w:sz w:val="60"/>
          <w:szCs w:val="60"/>
          <w:highlight w:val="none"/>
          <w14:textFill>
            <w14:solidFill>
              <w14:schemeClr w14:val="tx1"/>
            </w14:solidFill>
          </w14:textFill>
        </w:rPr>
      </w:pPr>
    </w:p>
    <w:p w14:paraId="6AC81E24">
      <w:pPr>
        <w:spacing w:line="720" w:lineRule="exact"/>
        <w:ind w:firstLine="0" w:firstLineChars="0"/>
        <w:jc w:val="center"/>
        <w:rPr>
          <w:rFonts w:ascii="华康简魏碑" w:eastAsia="华康简魏碑"/>
          <w:b/>
          <w:bCs/>
          <w:color w:val="000000" w:themeColor="text1"/>
          <w:spacing w:val="80"/>
          <w:sz w:val="60"/>
          <w:szCs w:val="60"/>
          <w:highlight w:val="none"/>
          <w14:textFill>
            <w14:solidFill>
              <w14:schemeClr w14:val="tx1"/>
            </w14:solidFill>
          </w14:textFill>
        </w:rPr>
      </w:pPr>
      <w:r>
        <w:rPr>
          <w:rFonts w:hint="eastAsia" w:ascii="华文新魏" w:eastAsia="华文新魏"/>
          <w:color w:val="000000" w:themeColor="text1"/>
          <w:spacing w:val="90"/>
          <w:sz w:val="60"/>
          <w:szCs w:val="60"/>
          <w:highlight w:val="none"/>
          <w14:textFill>
            <w14:solidFill>
              <w14:schemeClr w14:val="tx1"/>
            </w14:solidFill>
          </w14:textFill>
        </w:rPr>
        <w:t>广西大德项目管理有限公司</w:t>
      </w:r>
    </w:p>
    <w:p w14:paraId="1A3946B6">
      <w:pPr>
        <w:pStyle w:val="156"/>
        <w:tabs>
          <w:tab w:val="left" w:pos="3969"/>
        </w:tabs>
        <w:ind w:left="0" w:firstLine="0" w:firstLineChars="0"/>
        <w:jc w:val="center"/>
        <w:rPr>
          <w:color w:val="000000" w:themeColor="text1"/>
          <w:highlight w:val="none"/>
          <w14:textFill>
            <w14:solidFill>
              <w14:schemeClr w14:val="tx1"/>
            </w14:solidFill>
          </w14:textFill>
        </w:rPr>
      </w:pPr>
    </w:p>
    <w:p w14:paraId="225A82DE">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055B54D2">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竞争性磋</w:t>
      </w:r>
      <w:bookmarkStart w:id="154" w:name="_GoBack"/>
      <w:bookmarkEnd w:id="154"/>
      <w:r>
        <w:rPr>
          <w:rFonts w:hint="eastAsia" w:ascii="宋体" w:hAnsi="宋体" w:cs="宋体"/>
          <w:b/>
          <w:color w:val="000000" w:themeColor="text1"/>
          <w:sz w:val="72"/>
          <w:szCs w:val="72"/>
          <w:highlight w:val="none"/>
          <w14:textFill>
            <w14:solidFill>
              <w14:schemeClr w14:val="tx1"/>
            </w14:solidFill>
          </w14:textFill>
        </w:rPr>
        <w:t>商文件</w:t>
      </w:r>
    </w:p>
    <w:p w14:paraId="1BD1AB6C">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55AA0B60">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7783441A">
      <w:pPr>
        <w:spacing w:line="400" w:lineRule="exact"/>
        <w:ind w:firstLine="643"/>
        <w:rPr>
          <w:rFonts w:ascii="宋体" w:hAnsi="宋体" w:cs="宋体"/>
          <w:b/>
          <w:color w:val="000000" w:themeColor="text1"/>
          <w:sz w:val="32"/>
          <w:szCs w:val="32"/>
          <w:highlight w:val="none"/>
          <w14:textFill>
            <w14:solidFill>
              <w14:schemeClr w14:val="tx1"/>
            </w14:solidFill>
          </w14:textFill>
        </w:rPr>
      </w:pPr>
    </w:p>
    <w:tbl>
      <w:tblPr>
        <w:tblStyle w:val="51"/>
        <w:tblW w:w="0" w:type="auto"/>
        <w:tblInd w:w="959" w:type="dxa"/>
        <w:tblLayout w:type="autofit"/>
        <w:tblCellMar>
          <w:top w:w="0" w:type="dxa"/>
          <w:left w:w="108" w:type="dxa"/>
          <w:bottom w:w="0" w:type="dxa"/>
          <w:right w:w="108" w:type="dxa"/>
        </w:tblCellMar>
      </w:tblPr>
      <w:tblGrid>
        <w:gridCol w:w="8186"/>
      </w:tblGrid>
      <w:tr w14:paraId="6FA234A0">
        <w:tblPrEx>
          <w:tblCellMar>
            <w:top w:w="0" w:type="dxa"/>
            <w:left w:w="108" w:type="dxa"/>
            <w:bottom w:w="0" w:type="dxa"/>
            <w:right w:w="108" w:type="dxa"/>
          </w:tblCellMar>
        </w:tblPrEx>
        <w:trPr>
          <w:trHeight w:val="850" w:hRule="atLeast"/>
        </w:trPr>
        <w:tc>
          <w:tcPr>
            <w:tcW w:w="8186" w:type="dxa"/>
            <w:vAlign w:val="center"/>
          </w:tcPr>
          <w:p w14:paraId="7357D017">
            <w:pPr>
              <w:spacing w:line="360" w:lineRule="auto"/>
              <w:ind w:firstLine="199" w:firstLineChars="62"/>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项目名称：</w:t>
            </w:r>
            <w:r>
              <w:rPr>
                <w:rFonts w:hint="eastAsia" w:ascii="宋体" w:hAnsi="宋体" w:cs="宋体"/>
                <w:b/>
                <w:color w:val="000000" w:themeColor="text1"/>
                <w:sz w:val="32"/>
                <w:szCs w:val="32"/>
                <w:highlight w:val="none"/>
                <w14:textFill>
                  <w14:solidFill>
                    <w14:schemeClr w14:val="tx1"/>
                  </w14:solidFill>
                </w14:textFill>
              </w:rPr>
              <w:t>碘【125I】、碘【131I】等放射性药品</w:t>
            </w:r>
          </w:p>
          <w:p w14:paraId="6E4BDE76">
            <w:pPr>
              <w:spacing w:line="360" w:lineRule="auto"/>
              <w:ind w:firstLine="1799" w:firstLineChars="56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配送服务采购</w:t>
            </w:r>
          </w:p>
        </w:tc>
      </w:tr>
      <w:tr w14:paraId="1F60A1F7">
        <w:tblPrEx>
          <w:tblCellMar>
            <w:top w:w="0" w:type="dxa"/>
            <w:left w:w="108" w:type="dxa"/>
            <w:bottom w:w="0" w:type="dxa"/>
            <w:right w:w="108" w:type="dxa"/>
          </w:tblCellMar>
        </w:tblPrEx>
        <w:trPr>
          <w:trHeight w:val="850" w:hRule="atLeast"/>
        </w:trPr>
        <w:tc>
          <w:tcPr>
            <w:tcW w:w="8186" w:type="dxa"/>
            <w:vAlign w:val="center"/>
          </w:tcPr>
          <w:p w14:paraId="3CC9D44A">
            <w:pPr>
              <w:spacing w:line="360" w:lineRule="auto"/>
              <w:ind w:firstLine="199" w:firstLineChars="62"/>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ascii="宋体" w:hAnsi="宋体" w:cs="宋体"/>
                <w:b/>
                <w:color w:val="000000" w:themeColor="text1"/>
                <w:sz w:val="32"/>
                <w:szCs w:val="32"/>
                <w:highlight w:val="none"/>
                <w:lang w:val="zh-CN"/>
                <w14:textFill>
                  <w14:solidFill>
                    <w14:schemeClr w14:val="tx1"/>
                  </w14:solidFill>
                </w14:textFill>
              </w:rPr>
              <w:t>LZZC2025-C3-990254-GXDD</w:t>
            </w:r>
          </w:p>
          <w:p w14:paraId="25E1DF98">
            <w:pPr>
              <w:spacing w:line="360" w:lineRule="auto"/>
              <w:ind w:firstLine="32" w:firstLineChars="10"/>
              <w:rPr>
                <w:rFonts w:ascii="宋体" w:hAnsi="宋体" w:cs="宋体"/>
                <w:b/>
                <w:color w:val="000000" w:themeColor="text1"/>
                <w:sz w:val="32"/>
                <w:szCs w:val="32"/>
                <w:highlight w:val="none"/>
                <w14:textFill>
                  <w14:solidFill>
                    <w14:schemeClr w14:val="tx1"/>
                  </w14:solidFill>
                </w14:textFill>
              </w:rPr>
            </w:pPr>
          </w:p>
          <w:p w14:paraId="654B9359">
            <w:pPr>
              <w:spacing w:line="360" w:lineRule="auto"/>
              <w:ind w:firstLine="32" w:firstLineChars="10"/>
              <w:rPr>
                <w:rFonts w:ascii="宋体" w:hAnsi="宋体" w:cs="宋体"/>
                <w:b/>
                <w:color w:val="000000" w:themeColor="text1"/>
                <w:sz w:val="32"/>
                <w:szCs w:val="32"/>
                <w:highlight w:val="none"/>
                <w14:textFill>
                  <w14:solidFill>
                    <w14:schemeClr w14:val="tx1"/>
                  </w14:solidFill>
                </w14:textFill>
              </w:rPr>
            </w:pPr>
          </w:p>
        </w:tc>
      </w:tr>
      <w:tr w14:paraId="75B64AAC">
        <w:tblPrEx>
          <w:tblCellMar>
            <w:top w:w="0" w:type="dxa"/>
            <w:left w:w="108" w:type="dxa"/>
            <w:bottom w:w="0" w:type="dxa"/>
            <w:right w:w="108" w:type="dxa"/>
          </w:tblCellMar>
        </w:tblPrEx>
        <w:trPr>
          <w:trHeight w:val="643" w:hRule="atLeast"/>
        </w:trPr>
        <w:tc>
          <w:tcPr>
            <w:tcW w:w="8186" w:type="dxa"/>
            <w:vAlign w:val="center"/>
          </w:tcPr>
          <w:p w14:paraId="59323208">
            <w:pPr>
              <w:spacing w:line="360" w:lineRule="auto"/>
              <w:ind w:firstLine="199" w:firstLineChars="62"/>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采购人：</w:t>
            </w:r>
            <w:r>
              <w:rPr>
                <w:rFonts w:hint="eastAsia" w:hAnsi="宋体"/>
                <w:b/>
                <w:bCs/>
                <w:color w:val="000000" w:themeColor="text1"/>
                <w:spacing w:val="-6"/>
                <w:sz w:val="32"/>
                <w:highlight w:val="none"/>
                <w14:textFill>
                  <w14:solidFill>
                    <w14:schemeClr w14:val="tx1"/>
                  </w14:solidFill>
                </w14:textFill>
              </w:rPr>
              <w:t>柳州市中医医院（柳州市壮医医院）</w:t>
            </w:r>
          </w:p>
        </w:tc>
      </w:tr>
      <w:tr w14:paraId="70FB92C1">
        <w:tblPrEx>
          <w:tblCellMar>
            <w:top w:w="0" w:type="dxa"/>
            <w:left w:w="108" w:type="dxa"/>
            <w:bottom w:w="0" w:type="dxa"/>
            <w:right w:w="108" w:type="dxa"/>
          </w:tblCellMar>
        </w:tblPrEx>
        <w:trPr>
          <w:trHeight w:val="850" w:hRule="atLeast"/>
        </w:trPr>
        <w:tc>
          <w:tcPr>
            <w:tcW w:w="8186" w:type="dxa"/>
            <w:vAlign w:val="center"/>
          </w:tcPr>
          <w:p w14:paraId="6D5BACA8">
            <w:pPr>
              <w:spacing w:line="360" w:lineRule="auto"/>
              <w:ind w:firstLine="199" w:firstLineChars="62"/>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采购代理机构：广西大德项目管理有限公司</w:t>
            </w:r>
          </w:p>
        </w:tc>
      </w:tr>
    </w:tbl>
    <w:p w14:paraId="7E39DB57">
      <w:pPr>
        <w:spacing w:line="400" w:lineRule="exact"/>
        <w:ind w:firstLine="1163" w:firstLineChars="362"/>
        <w:rPr>
          <w:rFonts w:ascii="宋体" w:hAnsi="宋体" w:cs="宋体"/>
          <w:b/>
          <w:color w:val="000000" w:themeColor="text1"/>
          <w:sz w:val="32"/>
          <w:szCs w:val="32"/>
          <w:highlight w:val="none"/>
          <w14:textFill>
            <w14:solidFill>
              <w14:schemeClr w14:val="tx1"/>
            </w14:solidFill>
          </w14:textFill>
        </w:rPr>
      </w:pPr>
    </w:p>
    <w:p w14:paraId="0CA081BC">
      <w:pPr>
        <w:spacing w:line="400" w:lineRule="exact"/>
        <w:ind w:firstLine="1275" w:firstLineChars="397"/>
        <w:jc w:val="center"/>
        <w:rPr>
          <w:rFonts w:ascii="宋体" w:hAnsi="宋体" w:cs="宋体"/>
          <w:b/>
          <w:color w:val="000000" w:themeColor="text1"/>
          <w:sz w:val="32"/>
          <w:szCs w:val="32"/>
          <w:highlight w:val="none"/>
          <w14:textFill>
            <w14:solidFill>
              <w14:schemeClr w14:val="tx1"/>
            </w14:solidFill>
          </w14:textFill>
        </w:rPr>
      </w:pPr>
    </w:p>
    <w:p w14:paraId="049DB6C8">
      <w:pPr>
        <w:spacing w:line="400" w:lineRule="exact"/>
        <w:ind w:firstLine="0" w:firstLineChars="0"/>
        <w:rPr>
          <w:rFonts w:ascii="宋体" w:hAnsi="宋体" w:cs="宋体"/>
          <w:b/>
          <w:color w:val="000000" w:themeColor="text1"/>
          <w:sz w:val="32"/>
          <w:szCs w:val="32"/>
          <w:highlight w:val="none"/>
          <w14:textFill>
            <w14:solidFill>
              <w14:schemeClr w14:val="tx1"/>
            </w14:solidFill>
          </w14:textFill>
        </w:rPr>
      </w:pPr>
    </w:p>
    <w:p w14:paraId="39E7DBE2">
      <w:pPr>
        <w:spacing w:line="400" w:lineRule="exact"/>
        <w:ind w:firstLine="0" w:firstLineChars="0"/>
        <w:jc w:val="center"/>
        <w:rPr>
          <w:rFonts w:ascii="宋体" w:hAnsi="宋体" w:cs="宋体"/>
          <w:b/>
          <w:color w:val="000000" w:themeColor="text1"/>
          <w:sz w:val="32"/>
          <w:szCs w:val="32"/>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000000" w:themeColor="text1"/>
          <w:sz w:val="32"/>
          <w:szCs w:val="32"/>
          <w:highlight w:val="none"/>
          <w14:textFill>
            <w14:solidFill>
              <w14:schemeClr w14:val="tx1"/>
            </w14:solidFill>
          </w14:textFill>
        </w:rPr>
        <w:t>2025年</w:t>
      </w:r>
      <w:r>
        <w:rPr>
          <w:rFonts w:ascii="宋体" w:hAnsi="宋体" w:cs="宋体"/>
          <w:b/>
          <w:color w:val="000000" w:themeColor="text1"/>
          <w:sz w:val="32"/>
          <w:szCs w:val="32"/>
          <w:highlight w:val="none"/>
          <w14:textFill>
            <w14:solidFill>
              <w14:schemeClr w14:val="tx1"/>
            </w14:solidFill>
          </w14:textFill>
        </w:rPr>
        <w:t>05月</w:t>
      </w:r>
    </w:p>
    <w:p w14:paraId="29C4DB15">
      <w:pPr>
        <w:spacing w:line="40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p>
    <w:p w14:paraId="00158B40">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p>
    <w:p w14:paraId="558BC8D3">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目   录</w:t>
      </w:r>
    </w:p>
    <w:p w14:paraId="6EA437CB">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p>
    <w:p w14:paraId="2CFD58DD">
      <w:pPr>
        <w:pStyle w:val="42"/>
        <w:spacing w:line="720" w:lineRule="auto"/>
        <w:ind w:left="0" w:leftChars="0" w:firstLine="281" w:firstLineChars="100"/>
        <w:rPr>
          <w:rFonts w:ascii="宋体" w:hAnsi="宋体"/>
          <w:b/>
          <w:color w:val="000000" w:themeColor="text1"/>
          <w:sz w:val="28"/>
          <w:szCs w:val="28"/>
          <w:highlight w:val="none"/>
          <w14:textFill>
            <w14:solidFill>
              <w14:schemeClr w14:val="tx1"/>
            </w14:solidFill>
          </w14:textFill>
        </w:rPr>
      </w:pPr>
      <w:r>
        <w:rPr>
          <w:rStyle w:val="57"/>
          <w:rFonts w:ascii="宋体" w:hAnsi="宋体"/>
          <w:b/>
          <w:color w:val="000000" w:themeColor="text1"/>
          <w:sz w:val="28"/>
          <w:szCs w:val="28"/>
          <w:highlight w:val="none"/>
          <w14:textFill>
            <w14:solidFill>
              <w14:schemeClr w14:val="tx1"/>
            </w14:solidFill>
          </w14:textFill>
        </w:rPr>
        <w:fldChar w:fldCharType="begin"/>
      </w:r>
      <w:r>
        <w:rPr>
          <w:rStyle w:val="57"/>
          <w:rFonts w:ascii="宋体" w:hAnsi="宋体"/>
          <w:b/>
          <w:color w:val="000000" w:themeColor="text1"/>
          <w:sz w:val="28"/>
          <w:szCs w:val="28"/>
          <w:highlight w:val="none"/>
          <w14:textFill>
            <w14:solidFill>
              <w14:schemeClr w14:val="tx1"/>
            </w14:solidFill>
          </w14:textFill>
        </w:rPr>
        <w:instrText xml:space="preserve"> </w:instrText>
      </w:r>
      <w:r>
        <w:rPr>
          <w:rStyle w:val="57"/>
          <w:rFonts w:hint="eastAsia" w:ascii="宋体" w:hAnsi="宋体"/>
          <w:b/>
          <w:color w:val="000000" w:themeColor="text1"/>
          <w:sz w:val="28"/>
          <w:szCs w:val="28"/>
          <w:highlight w:val="none"/>
          <w14:textFill>
            <w14:solidFill>
              <w14:schemeClr w14:val="tx1"/>
            </w14:solidFill>
          </w14:textFill>
        </w:rPr>
        <w:instrText xml:space="preserve">TOC \o "1-3" \h \z \u</w:instrText>
      </w:r>
      <w:r>
        <w:rPr>
          <w:rStyle w:val="57"/>
          <w:rFonts w:ascii="宋体" w:hAnsi="宋体"/>
          <w:b/>
          <w:color w:val="000000" w:themeColor="text1"/>
          <w:sz w:val="28"/>
          <w:szCs w:val="28"/>
          <w:highlight w:val="none"/>
          <w14:textFill>
            <w14:solidFill>
              <w14:schemeClr w14:val="tx1"/>
            </w14:solidFill>
          </w14:textFill>
        </w:rPr>
        <w:instrText xml:space="preserve"> </w:instrText>
      </w:r>
      <w:r>
        <w:rPr>
          <w:rStyle w:val="57"/>
          <w:rFonts w:ascii="宋体" w:hAnsi="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"_Toc153444873" </w:instrText>
      </w:r>
      <w:r>
        <w:rPr>
          <w:color w:val="000000" w:themeColor="text1"/>
          <w:highlight w:val="none"/>
          <w14:textFill>
            <w14:solidFill>
              <w14:schemeClr w14:val="tx1"/>
            </w14:solidFill>
          </w14:textFill>
        </w:rPr>
        <w:fldChar w:fldCharType="separate"/>
      </w:r>
      <w:r>
        <w:rPr>
          <w:rStyle w:val="57"/>
          <w:rFonts w:hint="eastAsia" w:ascii="宋体" w:hAnsi="宋体" w:cs="宋体"/>
          <w:b/>
          <w:color w:val="000000" w:themeColor="text1"/>
          <w:sz w:val="28"/>
          <w:szCs w:val="28"/>
          <w:highlight w:val="none"/>
          <w14:textFill>
            <w14:solidFill>
              <w14:schemeClr w14:val="tx1"/>
            </w14:solidFill>
          </w14:textFill>
        </w:rPr>
        <w:t>第一章</w:t>
      </w:r>
      <w:r>
        <w:rPr>
          <w:rStyle w:val="57"/>
          <w:rFonts w:ascii="宋体" w:hAnsi="宋体" w:cs="宋体"/>
          <w:b/>
          <w:color w:val="000000" w:themeColor="text1"/>
          <w:sz w:val="28"/>
          <w:szCs w:val="28"/>
          <w:highlight w:val="none"/>
          <w14:textFill>
            <w14:solidFill>
              <w14:schemeClr w14:val="tx1"/>
            </w14:solidFill>
          </w14:textFill>
        </w:rPr>
        <w:t xml:space="preserve">  </w:t>
      </w:r>
      <w:r>
        <w:rPr>
          <w:rStyle w:val="57"/>
          <w:rFonts w:hint="eastAsia" w:ascii="宋体" w:hAnsi="宋体" w:cs="宋体"/>
          <w:b/>
          <w:color w:val="000000" w:themeColor="text1"/>
          <w:sz w:val="28"/>
          <w:szCs w:val="28"/>
          <w:highlight w:val="none"/>
          <w14:textFill>
            <w14:solidFill>
              <w14:schemeClr w14:val="tx1"/>
            </w14:solidFill>
          </w14:textFill>
        </w:rPr>
        <w:t>竞争性磋商公告</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_Toc153444873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1</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0E46E257">
      <w:pPr>
        <w:pStyle w:val="42"/>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"_Toc153444881" </w:instrText>
      </w:r>
      <w:r>
        <w:rPr>
          <w:color w:val="000000" w:themeColor="text1"/>
          <w:highlight w:val="none"/>
          <w14:textFill>
            <w14:solidFill>
              <w14:schemeClr w14:val="tx1"/>
            </w14:solidFill>
          </w14:textFill>
        </w:rPr>
        <w:fldChar w:fldCharType="separate"/>
      </w:r>
      <w:r>
        <w:rPr>
          <w:rStyle w:val="57"/>
          <w:rFonts w:hint="eastAsia" w:ascii="宋体" w:hAnsi="宋体"/>
          <w:b/>
          <w:color w:val="000000" w:themeColor="text1"/>
          <w:sz w:val="28"/>
          <w:szCs w:val="28"/>
          <w:highlight w:val="none"/>
          <w14:textFill>
            <w14:solidFill>
              <w14:schemeClr w14:val="tx1"/>
            </w14:solidFill>
          </w14:textFill>
        </w:rPr>
        <w:t>第二章</w:t>
      </w:r>
      <w:r>
        <w:rPr>
          <w:rStyle w:val="57"/>
          <w:rFonts w:ascii="宋体" w:hAnsi="宋体"/>
          <w:b/>
          <w:color w:val="000000" w:themeColor="text1"/>
          <w:sz w:val="28"/>
          <w:szCs w:val="28"/>
          <w:highlight w:val="none"/>
          <w14:textFill>
            <w14:solidFill>
              <w14:schemeClr w14:val="tx1"/>
            </w14:solidFill>
          </w14:textFill>
        </w:rPr>
        <w:t xml:space="preserve">  </w:t>
      </w:r>
      <w:r>
        <w:rPr>
          <w:rStyle w:val="57"/>
          <w:rFonts w:hint="eastAsia" w:ascii="宋体" w:hAnsi="宋体"/>
          <w:b/>
          <w:color w:val="000000" w:themeColor="text1"/>
          <w:sz w:val="28"/>
          <w:szCs w:val="28"/>
          <w:highlight w:val="none"/>
          <w14:textFill>
            <w14:solidFill>
              <w14:schemeClr w14:val="tx1"/>
            </w14:solidFill>
          </w14:textFill>
        </w:rPr>
        <w:t>供应商须知</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_Toc153444881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5</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5065E518">
      <w:pPr>
        <w:pStyle w:val="42"/>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"_Toc153444882" </w:instrText>
      </w:r>
      <w:r>
        <w:rPr>
          <w:color w:val="000000" w:themeColor="text1"/>
          <w:highlight w:val="none"/>
          <w14:textFill>
            <w14:solidFill>
              <w14:schemeClr w14:val="tx1"/>
            </w14:solidFill>
          </w14:textFill>
        </w:rPr>
        <w:fldChar w:fldCharType="separate"/>
      </w:r>
      <w:r>
        <w:rPr>
          <w:rStyle w:val="57"/>
          <w:rFonts w:hint="eastAsia" w:ascii="宋体" w:hAnsi="宋体"/>
          <w:b/>
          <w:color w:val="000000" w:themeColor="text1"/>
          <w:sz w:val="28"/>
          <w:szCs w:val="28"/>
          <w:highlight w:val="none"/>
          <w14:textFill>
            <w14:solidFill>
              <w14:schemeClr w14:val="tx1"/>
            </w14:solidFill>
          </w14:textFill>
        </w:rPr>
        <w:t>第三章</w:t>
      </w:r>
      <w:r>
        <w:rPr>
          <w:rStyle w:val="57"/>
          <w:rFonts w:ascii="宋体" w:hAnsi="宋体"/>
          <w:b/>
          <w:color w:val="000000" w:themeColor="text1"/>
          <w:sz w:val="28"/>
          <w:szCs w:val="28"/>
          <w:highlight w:val="none"/>
          <w14:textFill>
            <w14:solidFill>
              <w14:schemeClr w14:val="tx1"/>
            </w14:solidFill>
          </w14:textFill>
        </w:rPr>
        <w:t xml:space="preserve">  </w:t>
      </w:r>
      <w:r>
        <w:rPr>
          <w:rStyle w:val="57"/>
          <w:rFonts w:hint="eastAsia" w:ascii="宋体" w:hAnsi="宋体"/>
          <w:b/>
          <w:color w:val="000000" w:themeColor="text1"/>
          <w:sz w:val="28"/>
          <w:szCs w:val="28"/>
          <w:highlight w:val="none"/>
          <w14:textFill>
            <w14:solidFill>
              <w14:schemeClr w14:val="tx1"/>
            </w14:solidFill>
          </w14:textFill>
        </w:rPr>
        <w:t>采购需求</w:t>
      </w:r>
      <w:bookmarkStart w:id="0" w:name="_Hlt187738758"/>
      <w:bookmarkStart w:id="1" w:name="_Hlt187738759"/>
      <w:r>
        <w:rPr>
          <w:rFonts w:ascii="宋体" w:hAnsi="宋体"/>
          <w:b/>
          <w:color w:val="000000" w:themeColor="text1"/>
          <w:sz w:val="28"/>
          <w:szCs w:val="28"/>
          <w:highlight w:val="none"/>
          <w14:textFill>
            <w14:solidFill>
              <w14:schemeClr w14:val="tx1"/>
            </w14:solidFill>
          </w14:textFill>
        </w:rPr>
        <w:tab/>
      </w:r>
      <w:bookmarkEnd w:id="0"/>
      <w:bookmarkEnd w:id="1"/>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_Toc153444882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21</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70129A1D">
      <w:pPr>
        <w:pStyle w:val="42"/>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"_Toc153444883" </w:instrText>
      </w:r>
      <w:r>
        <w:rPr>
          <w:color w:val="000000" w:themeColor="text1"/>
          <w:highlight w:val="none"/>
          <w14:textFill>
            <w14:solidFill>
              <w14:schemeClr w14:val="tx1"/>
            </w14:solidFill>
          </w14:textFill>
        </w:rPr>
        <w:fldChar w:fldCharType="separate"/>
      </w:r>
      <w:r>
        <w:rPr>
          <w:rStyle w:val="57"/>
          <w:rFonts w:hint="eastAsia" w:ascii="宋体" w:hAnsi="宋体" w:cs="宋体"/>
          <w:b/>
          <w:color w:val="000000" w:themeColor="text1"/>
          <w:sz w:val="28"/>
          <w:szCs w:val="28"/>
          <w:highlight w:val="none"/>
          <w14:textFill>
            <w14:solidFill>
              <w14:schemeClr w14:val="tx1"/>
            </w14:solidFill>
          </w14:textFill>
        </w:rPr>
        <w:t>第四章</w:t>
      </w:r>
      <w:r>
        <w:rPr>
          <w:rStyle w:val="57"/>
          <w:rFonts w:ascii="宋体" w:hAnsi="宋体" w:cs="宋体"/>
          <w:b/>
          <w:color w:val="000000" w:themeColor="text1"/>
          <w:sz w:val="28"/>
          <w:szCs w:val="28"/>
          <w:highlight w:val="none"/>
          <w14:textFill>
            <w14:solidFill>
              <w14:schemeClr w14:val="tx1"/>
            </w14:solidFill>
          </w14:textFill>
        </w:rPr>
        <w:t xml:space="preserve">  </w:t>
      </w:r>
      <w:r>
        <w:rPr>
          <w:rStyle w:val="57"/>
          <w:rFonts w:hint="eastAsia" w:ascii="宋体" w:hAnsi="宋体"/>
          <w:b/>
          <w:color w:val="000000" w:themeColor="text1"/>
          <w:sz w:val="28"/>
          <w:szCs w:val="28"/>
          <w:highlight w:val="none"/>
          <w14:textFill>
            <w14:solidFill>
              <w14:schemeClr w14:val="tx1"/>
            </w14:solidFill>
          </w14:textFill>
        </w:rPr>
        <w:t>评审程序、评审方法和评审标准</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_Toc153444883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39</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14AF46EB">
      <w:pPr>
        <w:pStyle w:val="42"/>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"_Toc153444884" </w:instrText>
      </w:r>
      <w:r>
        <w:rPr>
          <w:color w:val="000000" w:themeColor="text1"/>
          <w:highlight w:val="none"/>
          <w14:textFill>
            <w14:solidFill>
              <w14:schemeClr w14:val="tx1"/>
            </w14:solidFill>
          </w14:textFill>
        </w:rPr>
        <w:fldChar w:fldCharType="separate"/>
      </w:r>
      <w:r>
        <w:rPr>
          <w:rStyle w:val="57"/>
          <w:rFonts w:hint="eastAsia" w:ascii="宋体" w:hAnsi="宋体" w:cs="宋体"/>
          <w:b/>
          <w:color w:val="000000" w:themeColor="text1"/>
          <w:sz w:val="28"/>
          <w:szCs w:val="28"/>
          <w:highlight w:val="none"/>
          <w14:textFill>
            <w14:solidFill>
              <w14:schemeClr w14:val="tx1"/>
            </w14:solidFill>
          </w14:textFill>
        </w:rPr>
        <w:t>第五章</w:t>
      </w:r>
      <w:r>
        <w:rPr>
          <w:rStyle w:val="57"/>
          <w:rFonts w:ascii="宋体" w:hAnsi="宋体" w:cs="宋体"/>
          <w:b/>
          <w:color w:val="000000" w:themeColor="text1"/>
          <w:sz w:val="28"/>
          <w:szCs w:val="28"/>
          <w:highlight w:val="none"/>
          <w14:textFill>
            <w14:solidFill>
              <w14:schemeClr w14:val="tx1"/>
            </w14:solidFill>
          </w14:textFill>
        </w:rPr>
        <w:t xml:space="preserve">  </w:t>
      </w:r>
      <w:r>
        <w:rPr>
          <w:rStyle w:val="57"/>
          <w:rFonts w:hint="eastAsia" w:ascii="宋体" w:hAnsi="宋体" w:cs="宋体"/>
          <w:b/>
          <w:color w:val="000000" w:themeColor="text1"/>
          <w:sz w:val="28"/>
          <w:szCs w:val="28"/>
          <w:highlight w:val="none"/>
          <w14:textFill>
            <w14:solidFill>
              <w14:schemeClr w14:val="tx1"/>
            </w14:solidFill>
          </w14:textFill>
        </w:rPr>
        <w:t>响应文件格式</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_Toc153444884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48</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23406CEE">
      <w:pPr>
        <w:pStyle w:val="42"/>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"_Toc153444886" </w:instrText>
      </w:r>
      <w:r>
        <w:rPr>
          <w:color w:val="000000" w:themeColor="text1"/>
          <w:highlight w:val="none"/>
          <w14:textFill>
            <w14:solidFill>
              <w14:schemeClr w14:val="tx1"/>
            </w14:solidFill>
          </w14:textFill>
        </w:rPr>
        <w:fldChar w:fldCharType="separate"/>
      </w:r>
      <w:r>
        <w:rPr>
          <w:rStyle w:val="57"/>
          <w:rFonts w:hint="eastAsia" w:ascii="宋体" w:hAnsi="宋体" w:cs="宋体"/>
          <w:b/>
          <w:color w:val="000000" w:themeColor="text1"/>
          <w:sz w:val="28"/>
          <w:szCs w:val="28"/>
          <w:highlight w:val="none"/>
          <w14:textFill>
            <w14:solidFill>
              <w14:schemeClr w14:val="tx1"/>
            </w14:solidFill>
          </w14:textFill>
        </w:rPr>
        <w:t>第六章</w:t>
      </w:r>
      <w:r>
        <w:rPr>
          <w:rStyle w:val="57"/>
          <w:rFonts w:ascii="宋体" w:hAnsi="宋体" w:cs="宋体"/>
          <w:b/>
          <w:color w:val="000000" w:themeColor="text1"/>
          <w:sz w:val="28"/>
          <w:szCs w:val="28"/>
          <w:highlight w:val="none"/>
          <w14:textFill>
            <w14:solidFill>
              <w14:schemeClr w14:val="tx1"/>
            </w14:solidFill>
          </w14:textFill>
        </w:rPr>
        <w:t xml:space="preserve">  </w:t>
      </w:r>
      <w:r>
        <w:rPr>
          <w:rStyle w:val="57"/>
          <w:rFonts w:hint="eastAsia" w:ascii="宋体" w:hAnsi="宋体" w:cs="宋体"/>
          <w:b/>
          <w:color w:val="000000" w:themeColor="text1"/>
          <w:sz w:val="28"/>
          <w:szCs w:val="28"/>
          <w:highlight w:val="none"/>
          <w14:textFill>
            <w14:solidFill>
              <w14:schemeClr w14:val="tx1"/>
            </w14:solidFill>
          </w14:textFill>
        </w:rPr>
        <w:t>合同</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_Toc153444886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69</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799FABD7">
      <w:pPr>
        <w:pStyle w:val="3"/>
        <w:ind w:firstLine="0" w:firstLineChars="0"/>
        <w:jc w:val="center"/>
        <w:rPr>
          <w:rFonts w:ascii="宋体" w:hAnsi="宋体" w:cs="宋体"/>
          <w:color w:val="000000" w:themeColor="text1"/>
          <w:highlight w:val="none"/>
          <w14:textFill>
            <w14:solidFill>
              <w14:schemeClr w14:val="tx1"/>
            </w14:solidFill>
          </w14:textFill>
        </w:rPr>
      </w:pPr>
      <w:r>
        <w:rPr>
          <w:rStyle w:val="57"/>
          <w:rFonts w:ascii="宋体" w:hAnsi="宋体"/>
          <w:b w:val="0"/>
          <w:color w:val="000000" w:themeColor="text1"/>
          <w:sz w:val="28"/>
          <w:szCs w:val="28"/>
          <w:highlight w:val="none"/>
          <w14:textFill>
            <w14:solidFill>
              <w14:schemeClr w14:val="tx1"/>
            </w14:solidFill>
          </w14:textFill>
        </w:rPr>
        <w:fldChar w:fldCharType="end"/>
      </w:r>
      <w:r>
        <w:rPr>
          <w:rFonts w:hint="eastAsia" w:ascii="宋体" w:hAnsi="宋体" w:cs="宋体"/>
          <w:b w:val="0"/>
          <w:color w:val="000000" w:themeColor="text1"/>
          <w:highlight w:val="none"/>
          <w14:textFill>
            <w14:solidFill>
              <w14:schemeClr w14:val="tx1"/>
            </w14:solidFill>
          </w14:textFill>
        </w:rPr>
        <w:br w:type="page"/>
      </w:r>
      <w:bookmarkStart w:id="2" w:name="_Toc3395201"/>
      <w:bookmarkStart w:id="3" w:name="_Toc89760756"/>
      <w:bookmarkStart w:id="4" w:name="_Toc153444873"/>
      <w:r>
        <w:rPr>
          <w:rFonts w:hint="eastAsia"/>
          <w:color w:val="000000" w:themeColor="text1"/>
          <w:highlight w:val="none"/>
          <w14:textFill>
            <w14:solidFill>
              <w14:schemeClr w14:val="tx1"/>
            </w14:solidFill>
          </w14:textFill>
        </w:rPr>
        <w:t>第一章  竞争性磋商公告</w:t>
      </w:r>
      <w:bookmarkEnd w:id="2"/>
      <w:bookmarkEnd w:id="3"/>
      <w:bookmarkEnd w:id="4"/>
    </w:p>
    <w:p w14:paraId="7D905EF2">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26977642">
      <w:pPr>
        <w:pBdr>
          <w:top w:val="single" w:color="auto" w:sz="4" w:space="1"/>
          <w:left w:val="single" w:color="auto" w:sz="4" w:space="4"/>
          <w:bottom w:val="single" w:color="auto" w:sz="4" w:space="1"/>
          <w:right w:val="single" w:color="auto" w:sz="4" w:space="4"/>
        </w:pBd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碘【125I】、碘【131I】等放射性药品配送服务采购</w:t>
      </w:r>
      <w:r>
        <w:rPr>
          <w:rFonts w:hint="eastAsia" w:ascii="宋体" w:hAnsi="宋体" w:cs="宋体"/>
          <w:color w:val="000000" w:themeColor="text1"/>
          <w:szCs w:val="21"/>
          <w:highlight w:val="none"/>
          <w14:textFill>
            <w14:solidFill>
              <w14:schemeClr w14:val="tx1"/>
            </w14:solidFill>
          </w14:textFill>
        </w:rPr>
        <w:t>采购项目的潜在供应商应在</w:t>
      </w:r>
      <w:r>
        <w:rPr>
          <w:rFonts w:hint="eastAsia" w:ascii="宋体" w:hAnsi="宋体" w:cs="宋体"/>
          <w:iCs/>
          <w:color w:val="000000" w:themeColor="text1"/>
          <w:szCs w:val="21"/>
          <w:highlight w:val="none"/>
          <w14:textFill>
            <w14:solidFill>
              <w14:schemeClr w14:val="tx1"/>
            </w14:solidFill>
          </w14:textFill>
        </w:rPr>
        <w:t>广西政府采购云平台（https://www.gcy.zfcg.gxzf.gov.cn/）</w:t>
      </w:r>
      <w:r>
        <w:rPr>
          <w:rFonts w:hint="eastAsia" w:ascii="宋体" w:hAnsi="宋体" w:cs="宋体"/>
          <w:color w:val="000000" w:themeColor="text1"/>
          <w:szCs w:val="21"/>
          <w:highlight w:val="none"/>
          <w14:textFill>
            <w14:solidFill>
              <w14:schemeClr w14:val="tx1"/>
            </w14:solidFill>
          </w14:textFill>
        </w:rPr>
        <w:t>获取采购文件，并于</w:t>
      </w:r>
      <w:r>
        <w:rPr>
          <w:rFonts w:hint="eastAsia" w:ascii="宋体" w:hAnsi="宋体" w:cs="宋体"/>
          <w:bCs/>
          <w:color w:val="000000" w:themeColor="text1"/>
          <w:szCs w:val="21"/>
          <w:highlight w:val="none"/>
          <w14:textFill>
            <w14:solidFill>
              <w14:schemeClr w14:val="tx1"/>
            </w14:solidFill>
          </w14:textFill>
        </w:rPr>
        <w:t>2025年</w:t>
      </w:r>
      <w:r>
        <w:rPr>
          <w:rFonts w:ascii="宋体" w:hAnsi="宋体" w:cs="宋体"/>
          <w:bCs/>
          <w:color w:val="000000" w:themeColor="text1"/>
          <w:szCs w:val="21"/>
          <w:highlight w:val="none"/>
          <w14:textFill>
            <w14:solidFill>
              <w14:schemeClr w14:val="tx1"/>
            </w14:solidFill>
          </w14:textFill>
        </w:rPr>
        <w:t>05</w:t>
      </w:r>
      <w:r>
        <w:rPr>
          <w:rFonts w:hint="eastAsia" w:ascii="宋体" w:hAnsi="宋体" w:cs="宋体"/>
          <w:bCs/>
          <w:color w:val="000000" w:themeColor="text1"/>
          <w:szCs w:val="21"/>
          <w:highlight w:val="none"/>
          <w14:textFill>
            <w14:solidFill>
              <w14:schemeClr w14:val="tx1"/>
            </w14:solidFill>
          </w14:textFill>
        </w:rPr>
        <w:t>月</w:t>
      </w:r>
      <w:r>
        <w:rPr>
          <w:rFonts w:ascii="宋体" w:hAnsi="宋体" w:cs="宋体"/>
          <w:bCs/>
          <w:color w:val="000000" w:themeColor="text1"/>
          <w:szCs w:val="21"/>
          <w:highlight w:val="none"/>
          <w14:textFill>
            <w14:solidFill>
              <w14:schemeClr w14:val="tx1"/>
            </w14:solidFill>
          </w14:textFill>
        </w:rPr>
        <w:t>26</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bCs/>
          <w:color w:val="000000" w:themeColor="text1"/>
          <w:szCs w:val="21"/>
          <w:highlight w:val="none"/>
          <w14:textFill>
            <w14:solidFill>
              <w14:schemeClr w14:val="tx1"/>
            </w14:solidFill>
          </w14:textFill>
        </w:rPr>
        <w:t>09：20（北京时间）前提交响应文件</w:t>
      </w:r>
      <w:r>
        <w:rPr>
          <w:rFonts w:hint="eastAsia" w:ascii="宋体" w:hAnsi="宋体" w:cs="宋体"/>
          <w:color w:val="000000" w:themeColor="text1"/>
          <w:szCs w:val="21"/>
          <w:highlight w:val="none"/>
          <w14:textFill>
            <w14:solidFill>
              <w14:schemeClr w14:val="tx1"/>
            </w14:solidFill>
          </w14:textFill>
        </w:rPr>
        <w:t>。</w:t>
      </w:r>
    </w:p>
    <w:p w14:paraId="1BA07DB2">
      <w:pPr>
        <w:keepNext/>
        <w:keepLines/>
        <w:spacing w:line="360" w:lineRule="auto"/>
        <w:ind w:firstLine="422"/>
        <w:outlineLvl w:val="1"/>
        <w:rPr>
          <w:rFonts w:ascii="宋体" w:hAnsi="宋体" w:cs="宋体"/>
          <w:b/>
          <w:color w:val="000000" w:themeColor="text1"/>
          <w:szCs w:val="21"/>
          <w:highlight w:val="none"/>
          <w14:textFill>
            <w14:solidFill>
              <w14:schemeClr w14:val="tx1"/>
            </w14:solidFill>
          </w14:textFill>
        </w:rPr>
      </w:pPr>
      <w:bookmarkStart w:id="5" w:name="_Toc44405609"/>
      <w:bookmarkStart w:id="6" w:name="_Toc35393629"/>
      <w:bookmarkStart w:id="7" w:name="_Toc28359012"/>
      <w:bookmarkStart w:id="8" w:name="_Toc55053339"/>
      <w:bookmarkStart w:id="9" w:name="_Toc28359089"/>
      <w:bookmarkStart w:id="10" w:name="_Toc89760757"/>
      <w:bookmarkStart w:id="11" w:name="_Toc35393798"/>
      <w:bookmarkStart w:id="12" w:name="_Toc153444874"/>
      <w:bookmarkStart w:id="13" w:name="_Toc118483106"/>
      <w:r>
        <w:rPr>
          <w:rFonts w:hint="eastAsia" w:ascii="宋体" w:hAnsi="宋体" w:cs="宋体"/>
          <w:b/>
          <w:color w:val="000000" w:themeColor="text1"/>
          <w:szCs w:val="21"/>
          <w:highlight w:val="none"/>
          <w14:textFill>
            <w14:solidFill>
              <w14:schemeClr w14:val="tx1"/>
            </w14:solidFill>
          </w14:textFill>
        </w:rPr>
        <w:t>一、项目基本情况</w:t>
      </w:r>
      <w:bookmarkEnd w:id="5"/>
      <w:bookmarkEnd w:id="6"/>
      <w:bookmarkEnd w:id="7"/>
      <w:bookmarkEnd w:id="8"/>
      <w:bookmarkEnd w:id="9"/>
      <w:bookmarkEnd w:id="10"/>
      <w:bookmarkEnd w:id="11"/>
      <w:bookmarkEnd w:id="12"/>
      <w:bookmarkEnd w:id="13"/>
    </w:p>
    <w:p w14:paraId="7702E695">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ascii="宋体" w:hAnsi="宋体" w:cs="宋体"/>
          <w:color w:val="000000" w:themeColor="text1"/>
          <w:szCs w:val="21"/>
          <w:highlight w:val="none"/>
          <w14:textFill>
            <w14:solidFill>
              <w14:schemeClr w14:val="tx1"/>
            </w14:solidFill>
          </w14:textFill>
        </w:rPr>
        <w:t>LZZC2025-C3-990254-GXDD</w:t>
      </w:r>
    </w:p>
    <w:p w14:paraId="4554E8ED">
      <w:pPr>
        <w:tabs>
          <w:tab w:val="left" w:pos="7350"/>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碘【125I】、碘【131I】等放射性药品配送服务采购</w:t>
      </w:r>
    </w:p>
    <w:p w14:paraId="65789D3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采购方式：竞争性磋商</w:t>
      </w:r>
    </w:p>
    <w:p w14:paraId="5F3548D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预算总金额（元）：</w:t>
      </w:r>
      <w:r>
        <w:rPr>
          <w:rFonts w:ascii="宋体" w:hAnsi="宋体" w:cs="宋体"/>
          <w:color w:val="000000" w:themeColor="text1"/>
          <w:szCs w:val="21"/>
          <w:highlight w:val="none"/>
          <w14:textFill>
            <w14:solidFill>
              <w14:schemeClr w14:val="tx1"/>
            </w14:solidFill>
          </w14:textFill>
        </w:rPr>
        <w:t>824000</w:t>
      </w:r>
    </w:p>
    <w:p w14:paraId="1A390AFF">
      <w:pPr>
        <w:spacing w:line="360" w:lineRule="auto"/>
        <w:ind w:firstLine="409" w:firstLineChars="19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p w14:paraId="219B8A1D">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标项一</w:t>
      </w:r>
    </w:p>
    <w:p w14:paraId="1967A1C5">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标项名称：</w:t>
      </w:r>
      <w:r>
        <w:rPr>
          <w:rFonts w:hint="eastAsia" w:ascii="宋体" w:hAnsi="宋体" w:cs="宋体"/>
          <w:color w:val="000000" w:themeColor="text1"/>
          <w:sz w:val="18"/>
          <w:szCs w:val="18"/>
          <w:highlight w:val="none"/>
          <w14:textFill>
            <w14:solidFill>
              <w14:schemeClr w14:val="tx1"/>
            </w14:solidFill>
          </w14:textFill>
        </w:rPr>
        <w:t>碘[125I]密封籽源配送服务采购</w:t>
      </w:r>
    </w:p>
    <w:p w14:paraId="37B5C0D5">
      <w:pPr>
        <w:tabs>
          <w:tab w:val="left" w:pos="3780"/>
        </w:tabs>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数量：1</w:t>
      </w:r>
    </w:p>
    <w:p w14:paraId="52B3830B">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预算金额（元）：</w:t>
      </w:r>
      <w:r>
        <w:rPr>
          <w:rFonts w:ascii="宋体" w:hAnsi="宋体" w:cs="宋体"/>
          <w:color w:val="000000" w:themeColor="text1"/>
          <w:sz w:val="18"/>
          <w:szCs w:val="18"/>
          <w:highlight w:val="none"/>
          <w14:textFill>
            <w14:solidFill>
              <w14:schemeClr w14:val="tx1"/>
            </w14:solidFill>
          </w14:textFill>
        </w:rPr>
        <w:t>624000</w:t>
      </w:r>
    </w:p>
    <w:p w14:paraId="4BB72AC4">
      <w:pPr>
        <w:spacing w:line="360" w:lineRule="auto"/>
        <w:ind w:firstLine="36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简要规格描述或项目基本概况介绍、用途：</w:t>
      </w:r>
      <w:r>
        <w:rPr>
          <w:rFonts w:hint="eastAsia" w:ascii="宋体" w:hAnsi="宋体" w:cs="仿宋"/>
          <w:color w:val="000000" w:themeColor="text1"/>
          <w:sz w:val="18"/>
          <w:szCs w:val="18"/>
          <w:highlight w:val="none"/>
          <w14:textFill>
            <w14:solidFill>
              <w14:schemeClr w14:val="tx1"/>
            </w14:solidFill>
          </w14:textFill>
        </w:rPr>
        <w:t>拟采购</w:t>
      </w:r>
      <w:r>
        <w:rPr>
          <w:rFonts w:hint="eastAsia" w:ascii="宋体" w:hAnsi="宋体" w:cs="宋体"/>
          <w:color w:val="000000" w:themeColor="text1"/>
          <w:sz w:val="18"/>
          <w:szCs w:val="18"/>
          <w:highlight w:val="none"/>
          <w14:textFill>
            <w14:solidFill>
              <w14:schemeClr w14:val="tx1"/>
            </w14:solidFill>
          </w14:textFill>
        </w:rPr>
        <w:t>碘[125I]密封籽源配送服务</w:t>
      </w:r>
      <w:r>
        <w:rPr>
          <w:rFonts w:hint="eastAsia" w:ascii="宋体" w:hAnsi="宋体" w:cs="仿宋"/>
          <w:color w:val="000000" w:themeColor="text1"/>
          <w:sz w:val="18"/>
          <w:szCs w:val="18"/>
          <w:highlight w:val="none"/>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如需进一步了解详细内容，详见竞争性磋商文件。</w:t>
      </w:r>
    </w:p>
    <w:p w14:paraId="4CF07F03">
      <w:pPr>
        <w:spacing w:line="360" w:lineRule="auto"/>
        <w:ind w:firstLine="360"/>
        <w:rPr>
          <w:rFonts w:ascii="宋体"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最高限价（如有）：</w:t>
      </w:r>
      <w:r>
        <w:rPr>
          <w:rFonts w:ascii="宋体" w:hAnsi="宋体" w:cs="宋体"/>
          <w:color w:val="000000" w:themeColor="text1"/>
          <w:sz w:val="18"/>
          <w:szCs w:val="18"/>
          <w:highlight w:val="none"/>
          <w14:textFill>
            <w14:solidFill>
              <w14:schemeClr w14:val="tx1"/>
            </w14:solidFill>
          </w14:textFill>
        </w:rPr>
        <w:t>624000</w:t>
      </w:r>
    </w:p>
    <w:p w14:paraId="41457FD0">
      <w:pPr>
        <w:snapToGrid w:val="0"/>
        <w:spacing w:line="360" w:lineRule="auto"/>
        <w:ind w:firstLine="360"/>
        <w:rPr>
          <w:rFonts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合同履约期限：</w:t>
      </w:r>
      <w:r>
        <w:rPr>
          <w:rFonts w:hint="eastAsia" w:ascii="宋体" w:hAnsi="宋体" w:cs="宋体"/>
          <w:color w:val="000000" w:themeColor="text1"/>
          <w:sz w:val="18"/>
          <w:szCs w:val="18"/>
          <w:highlight w:val="none"/>
          <w14:textFill>
            <w14:solidFill>
              <w14:schemeClr w14:val="tx1"/>
            </w14:solidFill>
          </w14:textFill>
        </w:rPr>
        <w:t>自签订合同之日起2年或2年内采购金额达到本项目合同总金额，合同自动终止</w:t>
      </w:r>
      <w:r>
        <w:rPr>
          <w:rFonts w:hint="eastAsia" w:ascii="宋体" w:hAnsi="宋体" w:cs="宋体"/>
          <w:color w:val="000000" w:themeColor="text1"/>
          <w:sz w:val="18"/>
          <w:szCs w:val="18"/>
          <w:highlight w:val="none"/>
          <w14:textFill>
            <w14:solidFill>
              <w14:schemeClr w14:val="tx1"/>
            </w14:solidFill>
          </w14:textFill>
        </w:rPr>
        <w:t xml:space="preserve">。 </w:t>
      </w:r>
    </w:p>
    <w:p w14:paraId="224533B8">
      <w:pPr>
        <w:spacing w:line="360" w:lineRule="auto"/>
        <w:ind w:firstLine="36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本标项（否）接受联合体投标</w:t>
      </w:r>
    </w:p>
    <w:p w14:paraId="53DDD590">
      <w:pPr>
        <w:spacing w:line="360" w:lineRule="auto"/>
        <w:ind w:firstLine="36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r>
        <w:rPr>
          <w:rFonts w:hint="eastAsia" w:ascii="宋体" w:hAnsi="宋体" w:cs="宋体"/>
          <w:color w:val="000000" w:themeColor="text1"/>
          <w:sz w:val="18"/>
          <w:szCs w:val="18"/>
          <w:highlight w:val="none"/>
          <w14:textFill>
            <w14:solidFill>
              <w14:schemeClr w14:val="tx1"/>
            </w14:solidFill>
          </w14:textFill>
        </w:rPr>
        <w:t>本项目为全流程电子化采购项目，有意向参与本项目竞标的潜在供应商应当做好参与全流程电子招投标交易的充分准备。</w:t>
      </w:r>
    </w:p>
    <w:p w14:paraId="77701D39">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标项二</w:t>
      </w:r>
    </w:p>
    <w:p w14:paraId="231E1868">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标项名称：</w:t>
      </w:r>
      <w:r>
        <w:rPr>
          <w:rFonts w:hint="eastAsia" w:ascii="宋体" w:hAnsi="宋体" w:cs="宋体"/>
          <w:color w:val="000000" w:themeColor="text1"/>
          <w:sz w:val="18"/>
          <w:szCs w:val="18"/>
          <w:highlight w:val="none"/>
          <w14:textFill>
            <w14:solidFill>
              <w14:schemeClr w14:val="tx1"/>
            </w14:solidFill>
          </w14:textFill>
        </w:rPr>
        <w:t>碘[131I]化钠口服溶液配送服务采购</w:t>
      </w:r>
    </w:p>
    <w:p w14:paraId="549B1BA1">
      <w:pPr>
        <w:tabs>
          <w:tab w:val="left" w:pos="3780"/>
        </w:tabs>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数量：1</w:t>
      </w:r>
    </w:p>
    <w:p w14:paraId="5D7FE520">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预算金额（元）：</w:t>
      </w:r>
      <w:r>
        <w:rPr>
          <w:rFonts w:hint="eastAsia" w:ascii="宋体" w:hAnsi="宋体" w:cs="宋体"/>
          <w:bCs/>
          <w:color w:val="000000" w:themeColor="text1"/>
          <w:sz w:val="18"/>
          <w:szCs w:val="18"/>
          <w:highlight w:val="none"/>
          <w14:textFill>
            <w14:solidFill>
              <w14:schemeClr w14:val="tx1"/>
            </w14:solidFill>
          </w14:textFill>
        </w:rPr>
        <w:t>72</w:t>
      </w:r>
      <w:r>
        <w:rPr>
          <w:rFonts w:ascii="宋体" w:hAnsi="宋体" w:cs="宋体"/>
          <w:bCs/>
          <w:color w:val="000000" w:themeColor="text1"/>
          <w:sz w:val="18"/>
          <w:szCs w:val="18"/>
          <w:highlight w:val="none"/>
          <w14:textFill>
            <w14:solidFill>
              <w14:schemeClr w14:val="tx1"/>
            </w14:solidFill>
          </w14:textFill>
        </w:rPr>
        <w:t>000</w:t>
      </w:r>
    </w:p>
    <w:p w14:paraId="0E85DD36">
      <w:pPr>
        <w:spacing w:line="360" w:lineRule="auto"/>
        <w:ind w:firstLine="36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简要规格描述或项目基本概况介绍、用途：</w:t>
      </w:r>
      <w:r>
        <w:rPr>
          <w:rFonts w:hint="eastAsia" w:ascii="宋体" w:hAnsi="宋体" w:cs="仿宋"/>
          <w:color w:val="000000" w:themeColor="text1"/>
          <w:sz w:val="18"/>
          <w:szCs w:val="18"/>
          <w:highlight w:val="none"/>
          <w14:textFill>
            <w14:solidFill>
              <w14:schemeClr w14:val="tx1"/>
            </w14:solidFill>
          </w14:textFill>
        </w:rPr>
        <w:t>拟采购</w:t>
      </w:r>
      <w:r>
        <w:rPr>
          <w:rFonts w:hint="eastAsia" w:ascii="宋体" w:hAnsi="宋体" w:cs="宋体"/>
          <w:color w:val="000000" w:themeColor="text1"/>
          <w:sz w:val="18"/>
          <w:szCs w:val="18"/>
          <w:highlight w:val="none"/>
          <w14:textFill>
            <w14:solidFill>
              <w14:schemeClr w14:val="tx1"/>
            </w14:solidFill>
          </w14:textFill>
        </w:rPr>
        <w:t>碘[131I]化钠口服溶液配送服务</w:t>
      </w:r>
      <w:r>
        <w:rPr>
          <w:rFonts w:hint="eastAsia" w:ascii="宋体" w:hAnsi="宋体" w:cs="仿宋"/>
          <w:color w:val="000000" w:themeColor="text1"/>
          <w:sz w:val="18"/>
          <w:szCs w:val="18"/>
          <w:highlight w:val="none"/>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如需进一步了解详细内容，详见竞争性磋商文件。</w:t>
      </w:r>
    </w:p>
    <w:p w14:paraId="40841943">
      <w:pPr>
        <w:spacing w:line="360" w:lineRule="auto"/>
        <w:ind w:firstLine="360"/>
        <w:rPr>
          <w:rFonts w:ascii="宋体"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最高限价（如有）：</w:t>
      </w:r>
      <w:r>
        <w:rPr>
          <w:rFonts w:hint="eastAsia" w:ascii="宋体" w:hAnsi="宋体" w:cs="宋体"/>
          <w:bCs/>
          <w:color w:val="000000" w:themeColor="text1"/>
          <w:sz w:val="18"/>
          <w:szCs w:val="18"/>
          <w:highlight w:val="none"/>
          <w14:textFill>
            <w14:solidFill>
              <w14:schemeClr w14:val="tx1"/>
            </w14:solidFill>
          </w14:textFill>
        </w:rPr>
        <w:t>72</w:t>
      </w:r>
      <w:r>
        <w:rPr>
          <w:rFonts w:ascii="宋体" w:hAnsi="宋体" w:cs="宋体"/>
          <w:bCs/>
          <w:color w:val="000000" w:themeColor="text1"/>
          <w:sz w:val="18"/>
          <w:szCs w:val="18"/>
          <w:highlight w:val="none"/>
          <w14:textFill>
            <w14:solidFill>
              <w14:schemeClr w14:val="tx1"/>
            </w14:solidFill>
          </w14:textFill>
        </w:rPr>
        <w:t>000</w:t>
      </w:r>
    </w:p>
    <w:p w14:paraId="26CA0578">
      <w:pPr>
        <w:snapToGrid w:val="0"/>
        <w:spacing w:line="360" w:lineRule="auto"/>
        <w:ind w:firstLine="360"/>
        <w:rPr>
          <w:rFonts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合同履约期限：</w:t>
      </w:r>
      <w:r>
        <w:rPr>
          <w:rFonts w:hint="eastAsia" w:ascii="宋体" w:hAnsi="宋体" w:cs="宋体"/>
          <w:color w:val="000000" w:themeColor="text1"/>
          <w:sz w:val="18"/>
          <w:szCs w:val="18"/>
          <w:highlight w:val="none"/>
          <w14:textFill>
            <w14:solidFill>
              <w14:schemeClr w14:val="tx1"/>
            </w14:solidFill>
          </w14:textFill>
        </w:rPr>
        <w:t>自签订合同之日起2年或2年内采购金额达到本项目合同总金额，合同自动终止</w:t>
      </w:r>
      <w:r>
        <w:rPr>
          <w:rFonts w:hint="eastAsia" w:ascii="宋体" w:hAnsi="宋体" w:cs="宋体"/>
          <w:color w:val="000000" w:themeColor="text1"/>
          <w:sz w:val="18"/>
          <w:szCs w:val="18"/>
          <w:highlight w:val="none"/>
          <w14:textFill>
            <w14:solidFill>
              <w14:schemeClr w14:val="tx1"/>
            </w14:solidFill>
          </w14:textFill>
        </w:rPr>
        <w:t xml:space="preserve">。 </w:t>
      </w:r>
    </w:p>
    <w:p w14:paraId="2F40962D">
      <w:pPr>
        <w:spacing w:line="360" w:lineRule="auto"/>
        <w:ind w:firstLine="36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本标项（否）接受联合体投标</w:t>
      </w:r>
    </w:p>
    <w:p w14:paraId="5BCDFE0F">
      <w:pPr>
        <w:spacing w:line="360" w:lineRule="auto"/>
        <w:ind w:firstLine="36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r>
        <w:rPr>
          <w:rFonts w:hint="eastAsia" w:ascii="宋体" w:hAnsi="宋体" w:cs="宋体"/>
          <w:color w:val="000000" w:themeColor="text1"/>
          <w:sz w:val="18"/>
          <w:szCs w:val="18"/>
          <w:highlight w:val="none"/>
          <w14:textFill>
            <w14:solidFill>
              <w14:schemeClr w14:val="tx1"/>
            </w14:solidFill>
          </w14:textFill>
        </w:rPr>
        <w:t>本项目为全流程电子化采购项目，有意向参与本项目竞标的潜在供应商应当做好参与全流程电子招投标交易的充分准备。</w:t>
      </w:r>
    </w:p>
    <w:p w14:paraId="14A77D9B">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标项三</w:t>
      </w:r>
    </w:p>
    <w:p w14:paraId="788A591B">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标项名称：</w:t>
      </w:r>
      <w:r>
        <w:rPr>
          <w:rFonts w:hint="eastAsia" w:ascii="宋体" w:hAnsi="宋体" w:cs="宋体"/>
          <w:color w:val="000000" w:themeColor="text1"/>
          <w:sz w:val="18"/>
          <w:szCs w:val="18"/>
          <w:highlight w:val="none"/>
          <w14:textFill>
            <w14:solidFill>
              <w14:schemeClr w14:val="tx1"/>
            </w14:solidFill>
          </w14:textFill>
        </w:rPr>
        <w:t>氯化锶[89Sr]注射液配送服务采购</w:t>
      </w:r>
    </w:p>
    <w:p w14:paraId="6E894AAE">
      <w:pPr>
        <w:tabs>
          <w:tab w:val="left" w:pos="3780"/>
        </w:tabs>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数量：1</w:t>
      </w:r>
    </w:p>
    <w:p w14:paraId="2402E861">
      <w:pPr>
        <w:spacing w:line="360" w:lineRule="auto"/>
        <w:ind w:firstLine="351" w:firstLineChars="195"/>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预算金额（元）：</w:t>
      </w:r>
      <w:r>
        <w:rPr>
          <w:rFonts w:ascii="宋体" w:hAnsi="宋体" w:cs="宋体"/>
          <w:color w:val="000000" w:themeColor="text1"/>
          <w:sz w:val="18"/>
          <w:szCs w:val="18"/>
          <w:highlight w:val="none"/>
          <w14:textFill>
            <w14:solidFill>
              <w14:schemeClr w14:val="tx1"/>
            </w14:solidFill>
          </w14:textFill>
        </w:rPr>
        <w:t>128000</w:t>
      </w:r>
    </w:p>
    <w:p w14:paraId="1E998BC2">
      <w:pPr>
        <w:spacing w:line="360" w:lineRule="auto"/>
        <w:ind w:firstLine="36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简要规格描述或项目基本概况介绍、用途：</w:t>
      </w:r>
      <w:r>
        <w:rPr>
          <w:rFonts w:hint="eastAsia" w:ascii="宋体" w:hAnsi="宋体" w:cs="仿宋"/>
          <w:color w:val="000000" w:themeColor="text1"/>
          <w:sz w:val="18"/>
          <w:szCs w:val="18"/>
          <w:highlight w:val="none"/>
          <w14:textFill>
            <w14:solidFill>
              <w14:schemeClr w14:val="tx1"/>
            </w14:solidFill>
          </w14:textFill>
        </w:rPr>
        <w:t>拟采购</w:t>
      </w:r>
      <w:r>
        <w:rPr>
          <w:rFonts w:hint="eastAsia" w:ascii="宋体" w:hAnsi="宋体" w:cs="宋体"/>
          <w:color w:val="000000" w:themeColor="text1"/>
          <w:sz w:val="18"/>
          <w:szCs w:val="18"/>
          <w:highlight w:val="none"/>
          <w14:textFill>
            <w14:solidFill>
              <w14:schemeClr w14:val="tx1"/>
            </w14:solidFill>
          </w14:textFill>
        </w:rPr>
        <w:t>氯化锶[89Sr]注射液配送服务</w:t>
      </w:r>
      <w:r>
        <w:rPr>
          <w:rFonts w:hint="eastAsia" w:ascii="宋体" w:hAnsi="宋体" w:cs="仿宋"/>
          <w:color w:val="000000" w:themeColor="text1"/>
          <w:sz w:val="18"/>
          <w:szCs w:val="18"/>
          <w:highlight w:val="none"/>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如需进一步了解详细内容，详见竞争性磋商文件。</w:t>
      </w:r>
    </w:p>
    <w:p w14:paraId="03936600">
      <w:pPr>
        <w:spacing w:line="360" w:lineRule="auto"/>
        <w:ind w:firstLine="360"/>
        <w:rPr>
          <w:rFonts w:ascii="宋体"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最高限价（如有）：</w:t>
      </w:r>
      <w:r>
        <w:rPr>
          <w:rFonts w:ascii="宋体" w:hAnsi="宋体" w:cs="宋体"/>
          <w:color w:val="000000" w:themeColor="text1"/>
          <w:sz w:val="18"/>
          <w:szCs w:val="18"/>
          <w:highlight w:val="none"/>
          <w14:textFill>
            <w14:solidFill>
              <w14:schemeClr w14:val="tx1"/>
            </w14:solidFill>
          </w14:textFill>
        </w:rPr>
        <w:t>128000</w:t>
      </w:r>
    </w:p>
    <w:p w14:paraId="48BCBD48">
      <w:pPr>
        <w:snapToGrid w:val="0"/>
        <w:spacing w:line="360" w:lineRule="auto"/>
        <w:ind w:firstLine="360"/>
        <w:rPr>
          <w:rFonts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合同履约期限：</w:t>
      </w:r>
      <w:r>
        <w:rPr>
          <w:rFonts w:hint="eastAsia" w:ascii="宋体" w:hAnsi="宋体" w:cs="宋体"/>
          <w:color w:val="000000" w:themeColor="text1"/>
          <w:sz w:val="18"/>
          <w:szCs w:val="18"/>
          <w:highlight w:val="none"/>
          <w14:textFill>
            <w14:solidFill>
              <w14:schemeClr w14:val="tx1"/>
            </w14:solidFill>
          </w14:textFill>
        </w:rPr>
        <w:t>自签订合同之日起2年或2年内采购金额达到本项目合同总金额，合同自动终止</w:t>
      </w:r>
      <w:r>
        <w:rPr>
          <w:rFonts w:hint="eastAsia" w:ascii="宋体" w:hAnsi="宋体" w:cs="宋体"/>
          <w:color w:val="000000" w:themeColor="text1"/>
          <w:sz w:val="18"/>
          <w:szCs w:val="18"/>
          <w:highlight w:val="none"/>
          <w14:textFill>
            <w14:solidFill>
              <w14:schemeClr w14:val="tx1"/>
            </w14:solidFill>
          </w14:textFill>
        </w:rPr>
        <w:t xml:space="preserve">。 </w:t>
      </w:r>
    </w:p>
    <w:p w14:paraId="0BB63E3D">
      <w:pPr>
        <w:spacing w:line="360" w:lineRule="auto"/>
        <w:ind w:firstLine="36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本标项（否）接受联合体投标</w:t>
      </w:r>
    </w:p>
    <w:p w14:paraId="697E5DC9">
      <w:pPr>
        <w:spacing w:after="120" w:afterLines="50"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r>
        <w:rPr>
          <w:rFonts w:hint="eastAsia" w:ascii="宋体" w:hAnsi="宋体" w:cs="宋体"/>
          <w:color w:val="000000" w:themeColor="text1"/>
          <w:sz w:val="18"/>
          <w:szCs w:val="18"/>
          <w:highlight w:val="none"/>
          <w14:textFill>
            <w14:solidFill>
              <w14:schemeClr w14:val="tx1"/>
            </w14:solidFill>
          </w14:textFill>
        </w:rPr>
        <w:t>本项目为全流程电子化采购项目，有意向参与本项目竞标的潜在供应商应当做好参与全流程电子招投标交易的充分准备。</w:t>
      </w:r>
    </w:p>
    <w:p w14:paraId="0056C63D">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14" w:name="_Toc35393799"/>
      <w:bookmarkStart w:id="15" w:name="_Toc28359090"/>
      <w:bookmarkStart w:id="16" w:name="_Toc28359013"/>
      <w:bookmarkStart w:id="17" w:name="_Toc44405610"/>
      <w:bookmarkStart w:id="18" w:name="_Toc35393630"/>
      <w:bookmarkStart w:id="19" w:name="_Toc55053341"/>
      <w:bookmarkStart w:id="20" w:name="_Toc118483107"/>
      <w:bookmarkStart w:id="21" w:name="_Toc153444875"/>
      <w:bookmarkStart w:id="22" w:name="_Toc89760758"/>
      <w:r>
        <w:rPr>
          <w:rFonts w:hint="eastAsia" w:ascii="宋体" w:hAnsi="宋体" w:cs="宋体"/>
          <w:b/>
          <w:color w:val="000000" w:themeColor="text1"/>
          <w:szCs w:val="21"/>
          <w:highlight w:val="none"/>
          <w14:textFill>
            <w14:solidFill>
              <w14:schemeClr w14:val="tx1"/>
            </w14:solidFill>
          </w14:textFill>
        </w:rPr>
        <w:t>二、</w:t>
      </w:r>
      <w:bookmarkEnd w:id="14"/>
      <w:bookmarkEnd w:id="15"/>
      <w:bookmarkEnd w:id="16"/>
      <w:bookmarkEnd w:id="17"/>
      <w:bookmarkEnd w:id="18"/>
      <w:bookmarkEnd w:id="19"/>
      <w:bookmarkStart w:id="23" w:name="OLE_LINK5"/>
      <w:bookmarkStart w:id="24" w:name="OLE_LINK6"/>
      <w:r>
        <w:rPr>
          <w:rFonts w:hint="eastAsia" w:ascii="宋体" w:hAnsi="宋体" w:cs="宋体"/>
          <w:b/>
          <w:color w:val="000000" w:themeColor="text1"/>
          <w:szCs w:val="21"/>
          <w:highlight w:val="none"/>
          <w14:textFill>
            <w14:solidFill>
              <w14:schemeClr w14:val="tx1"/>
            </w14:solidFill>
          </w14:textFill>
        </w:rPr>
        <w:t>申请人的资格要求</w:t>
      </w:r>
      <w:bookmarkEnd w:id="23"/>
      <w:bookmarkEnd w:id="24"/>
      <w:r>
        <w:rPr>
          <w:rFonts w:hint="eastAsia" w:ascii="宋体" w:hAnsi="宋体" w:cs="宋体"/>
          <w:b/>
          <w:color w:val="000000" w:themeColor="text1"/>
          <w:szCs w:val="21"/>
          <w:highlight w:val="none"/>
          <w14:textFill>
            <w14:solidFill>
              <w14:schemeClr w14:val="tx1"/>
            </w14:solidFill>
          </w14:textFill>
        </w:rPr>
        <w:t>：</w:t>
      </w:r>
      <w:bookmarkEnd w:id="20"/>
      <w:bookmarkEnd w:id="21"/>
      <w:bookmarkEnd w:id="22"/>
    </w:p>
    <w:p w14:paraId="1BFFCC3B">
      <w:pPr>
        <w:spacing w:line="440" w:lineRule="exact"/>
        <w:ind w:firstLine="42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1.满足《中华人民共和国政府采购法》第二十二条规定；</w:t>
      </w:r>
    </w:p>
    <w:p w14:paraId="3F4AC482">
      <w:pPr>
        <w:spacing w:line="440" w:lineRule="exact"/>
        <w:ind w:right="-105" w:rightChars="-50" w:firstLine="42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2.落实政府采购政策需满足的资格要求：</w:t>
      </w:r>
      <w:r>
        <w:rPr>
          <w:rFonts w:hint="eastAsia" w:ascii="宋体" w:hAnsi="宋体" w:cs="仿宋"/>
          <w:color w:val="000000" w:themeColor="text1"/>
          <w:szCs w:val="21"/>
          <w:highlight w:val="none"/>
          <w14:textFill>
            <w14:solidFill>
              <w14:schemeClr w14:val="tx1"/>
            </w14:solidFill>
          </w14:textFill>
        </w:rPr>
        <w:t>分标1、2、</w:t>
      </w:r>
      <w:r>
        <w:rPr>
          <w:rFonts w:ascii="宋体" w:hAnsi="宋体" w:cs="仿宋"/>
          <w:color w:val="000000" w:themeColor="text1"/>
          <w:szCs w:val="21"/>
          <w:highlight w:val="none"/>
          <w14:textFill>
            <w14:solidFill>
              <w14:schemeClr w14:val="tx1"/>
            </w14:solidFill>
          </w14:textFill>
        </w:rPr>
        <w:t>3</w:t>
      </w:r>
      <w:r>
        <w:rPr>
          <w:rFonts w:hint="eastAsia" w:ascii="宋体" w:hAnsi="宋体" w:cs="仿宋"/>
          <w:color w:val="000000" w:themeColor="text1"/>
          <w:szCs w:val="21"/>
          <w:highlight w:val="none"/>
          <w14:textFill>
            <w14:solidFill>
              <w14:schemeClr w14:val="tx1"/>
            </w14:solidFill>
          </w14:textFill>
        </w:rPr>
        <w:t>：本项目（分标）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3261859F">
      <w:pPr>
        <w:spacing w:line="440" w:lineRule="exact"/>
        <w:ind w:firstLine="420"/>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3.本项目的特定资格要求：</w:t>
      </w:r>
      <w:bookmarkStart w:id="25" w:name="_Toc89760759"/>
      <w:bookmarkStart w:id="26" w:name="_Toc44405611"/>
      <w:bookmarkStart w:id="27" w:name="_Toc153444876"/>
      <w:bookmarkStart w:id="28" w:name="_Toc35393800"/>
      <w:bookmarkStart w:id="29" w:name="_Toc55053342"/>
      <w:bookmarkStart w:id="30" w:name="_Toc35393631"/>
      <w:r>
        <w:rPr>
          <w:rFonts w:hint="eastAsia" w:asciiTheme="minorEastAsia" w:hAnsiTheme="minorEastAsia" w:eastAsiaTheme="minorEastAsia"/>
          <w:color w:val="000000" w:themeColor="text1"/>
          <w:highlight w:val="none"/>
          <w14:textFill>
            <w14:solidFill>
              <w14:schemeClr w14:val="tx1"/>
            </w14:solidFill>
          </w14:textFill>
        </w:rPr>
        <w:t>【分标1、2、3】供应商须具有有效的</w:t>
      </w:r>
      <w:r>
        <w:rPr>
          <w:rFonts w:hint="eastAsia" w:cs="仿宋" w:asciiTheme="minorEastAsia" w:hAnsiTheme="minorEastAsia" w:eastAsiaTheme="minorEastAsia"/>
          <w:color w:val="000000" w:themeColor="text1"/>
          <w:szCs w:val="21"/>
          <w:highlight w:val="none"/>
          <w14:textFill>
            <w14:solidFill>
              <w14:schemeClr w14:val="tx1"/>
            </w14:solidFill>
          </w14:textFill>
        </w:rPr>
        <w:t>放射性药品</w:t>
      </w:r>
      <w:r>
        <w:rPr>
          <w:rFonts w:hint="eastAsia" w:asciiTheme="minorEastAsia" w:hAnsiTheme="minorEastAsia" w:eastAsiaTheme="minorEastAsia"/>
          <w:color w:val="000000" w:themeColor="text1"/>
          <w:highlight w:val="none"/>
          <w14:textFill>
            <w14:solidFill>
              <w14:schemeClr w14:val="tx1"/>
            </w14:solidFill>
          </w14:textFill>
        </w:rPr>
        <w:t>经营（生产）及</w:t>
      </w:r>
      <w:r>
        <w:rPr>
          <w:rFonts w:hint="eastAsia" w:cs="仿宋" w:asciiTheme="minorEastAsia" w:hAnsiTheme="minorEastAsia" w:eastAsiaTheme="minorEastAsia"/>
          <w:color w:val="000000" w:themeColor="text1"/>
          <w:szCs w:val="21"/>
          <w:highlight w:val="none"/>
          <w14:textFill>
            <w14:solidFill>
              <w14:schemeClr w14:val="tx1"/>
            </w14:solidFill>
          </w14:textFill>
        </w:rPr>
        <w:t>辐射安全</w:t>
      </w:r>
      <w:r>
        <w:rPr>
          <w:rFonts w:hint="eastAsia" w:asciiTheme="minorEastAsia" w:hAnsiTheme="minorEastAsia" w:eastAsiaTheme="minorEastAsia"/>
          <w:color w:val="000000" w:themeColor="text1"/>
          <w:highlight w:val="none"/>
          <w14:textFill>
            <w14:solidFill>
              <w14:schemeClr w14:val="tx1"/>
            </w14:solidFill>
          </w14:textFill>
        </w:rPr>
        <w:t>相关证明：①供应商为生产企业：须提供《放射性药品生产许可证》、《放射性药品经营许可证》及《辐射安全许可证》。②供应商为经销商：须提供《放射性药品经营许可证》及《辐射安全许可证》</w:t>
      </w:r>
      <w:r>
        <w:rPr>
          <w:rFonts w:hint="eastAsia" w:cs="Arial" w:asciiTheme="minorEastAsia" w:hAnsiTheme="minorEastAsia" w:eastAsiaTheme="minorEastAsia"/>
          <w:color w:val="000000" w:themeColor="text1"/>
          <w:szCs w:val="21"/>
          <w:highlight w:val="none"/>
          <w14:textFill>
            <w14:solidFill>
              <w14:schemeClr w14:val="tx1"/>
            </w14:solidFill>
          </w14:textFill>
        </w:rPr>
        <w:t>。</w:t>
      </w:r>
    </w:p>
    <w:p w14:paraId="624FE8CB">
      <w:pPr>
        <w:keepNext/>
        <w:keepLines/>
        <w:spacing w:line="440" w:lineRule="exact"/>
        <w:ind w:firstLine="422"/>
        <w:outlineLvl w:val="1"/>
        <w:rPr>
          <w:rFonts w:ascii="宋体" w:hAnsi="宋体" w:cs="仿宋"/>
          <w:b/>
          <w:color w:val="000000" w:themeColor="text1"/>
          <w:szCs w:val="21"/>
          <w:highlight w:val="none"/>
          <w14:textFill>
            <w14:solidFill>
              <w14:schemeClr w14:val="tx1"/>
            </w14:solidFill>
          </w14:textFill>
        </w:rPr>
      </w:pPr>
      <w:r>
        <w:rPr>
          <w:rFonts w:hint="eastAsia" w:ascii="宋体" w:hAnsi="宋体" w:cs="仿宋"/>
          <w:b/>
          <w:color w:val="000000" w:themeColor="text1"/>
          <w:szCs w:val="21"/>
          <w:highlight w:val="none"/>
          <w14:textFill>
            <w14:solidFill>
              <w14:schemeClr w14:val="tx1"/>
            </w14:solidFill>
          </w14:textFill>
        </w:rPr>
        <w:t>三、获取采购文件</w:t>
      </w:r>
      <w:bookmarkEnd w:id="25"/>
      <w:bookmarkEnd w:id="26"/>
      <w:bookmarkEnd w:id="27"/>
      <w:bookmarkEnd w:id="28"/>
      <w:bookmarkEnd w:id="29"/>
      <w:bookmarkEnd w:id="30"/>
    </w:p>
    <w:p w14:paraId="2EA2B141">
      <w:pPr>
        <w:spacing w:line="440" w:lineRule="exact"/>
        <w:ind w:right="-105" w:rightChars="-50"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s="宋体"/>
          <w:bCs/>
          <w:color w:val="000000" w:themeColor="text1"/>
          <w:szCs w:val="21"/>
          <w:highlight w:val="none"/>
          <w14:textFill>
            <w14:solidFill>
              <w14:schemeClr w14:val="tx1"/>
            </w14:solidFill>
          </w14:textFill>
        </w:rPr>
        <w:t>2025年</w:t>
      </w:r>
      <w:r>
        <w:rPr>
          <w:rFonts w:ascii="宋体" w:hAnsi="宋体" w:cs="宋体"/>
          <w:bCs/>
          <w:color w:val="000000" w:themeColor="text1"/>
          <w:szCs w:val="21"/>
          <w:highlight w:val="none"/>
          <w14:textFill>
            <w14:solidFill>
              <w14:schemeClr w14:val="tx1"/>
            </w14:solidFill>
          </w14:textFill>
        </w:rPr>
        <w:t>05</w:t>
      </w:r>
      <w:r>
        <w:rPr>
          <w:rFonts w:hint="eastAsia" w:ascii="宋体" w:hAnsi="宋体" w:cs="宋体"/>
          <w:bCs/>
          <w:color w:val="000000" w:themeColor="text1"/>
          <w:szCs w:val="21"/>
          <w:highlight w:val="none"/>
          <w14:textFill>
            <w14:solidFill>
              <w14:schemeClr w14:val="tx1"/>
            </w14:solidFill>
          </w14:textFill>
        </w:rPr>
        <w:t>月</w:t>
      </w:r>
      <w:r>
        <w:rPr>
          <w:rFonts w:ascii="宋体" w:hAnsi="宋体" w:cs="宋体"/>
          <w:bCs/>
          <w:color w:val="000000" w:themeColor="text1"/>
          <w:szCs w:val="21"/>
          <w:highlight w:val="none"/>
          <w14:textFill>
            <w14:solidFill>
              <w14:schemeClr w14:val="tx1"/>
            </w14:solidFill>
          </w14:textFill>
        </w:rPr>
        <w:t>13</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至</w:t>
      </w:r>
      <w:r>
        <w:rPr>
          <w:rFonts w:hint="eastAsia" w:ascii="宋体" w:hAnsi="宋体" w:cs="宋体"/>
          <w:bCs/>
          <w:color w:val="000000" w:themeColor="text1"/>
          <w:szCs w:val="21"/>
          <w:highlight w:val="none"/>
          <w14:textFill>
            <w14:solidFill>
              <w14:schemeClr w14:val="tx1"/>
            </w14:solidFill>
          </w14:textFill>
        </w:rPr>
        <w:t>2025年</w:t>
      </w:r>
      <w:r>
        <w:rPr>
          <w:rFonts w:ascii="宋体" w:hAnsi="宋体" w:cs="宋体"/>
          <w:bCs/>
          <w:color w:val="000000" w:themeColor="text1"/>
          <w:szCs w:val="21"/>
          <w:highlight w:val="none"/>
          <w14:textFill>
            <w14:solidFill>
              <w14:schemeClr w14:val="tx1"/>
            </w14:solidFill>
          </w14:textFill>
        </w:rPr>
        <w:t>05</w:t>
      </w:r>
      <w:r>
        <w:rPr>
          <w:rFonts w:hint="eastAsia" w:ascii="宋体" w:hAnsi="宋体" w:cs="宋体"/>
          <w:bCs/>
          <w:color w:val="000000" w:themeColor="text1"/>
          <w:szCs w:val="21"/>
          <w:highlight w:val="none"/>
          <w14:textFill>
            <w14:solidFill>
              <w14:schemeClr w14:val="tx1"/>
            </w14:solidFill>
          </w14:textFill>
        </w:rPr>
        <w:t>月</w:t>
      </w:r>
      <w:r>
        <w:rPr>
          <w:rFonts w:ascii="宋体" w:hAnsi="宋体" w:cs="宋体"/>
          <w:bCs/>
          <w:color w:val="000000" w:themeColor="text1"/>
          <w:szCs w:val="21"/>
          <w:highlight w:val="none"/>
          <w14:textFill>
            <w14:solidFill>
              <w14:schemeClr w14:val="tx1"/>
            </w14:solidFill>
          </w14:textFill>
        </w:rPr>
        <w:t>20</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，每天上午00：00至12：00，下午12：00至23：59（北京时间，法定节假日除外）</w:t>
      </w:r>
    </w:p>
    <w:p w14:paraId="3276C79B">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地点（网址）：广西政府采购云平台（https://www.gcy.zfcg.gxzf.gov.cn/）</w:t>
      </w:r>
    </w:p>
    <w:p w14:paraId="11D4599B">
      <w:pPr>
        <w:wordWrap w:val="0"/>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w:t>
      </w:r>
      <w:r>
        <w:rPr>
          <w:rFonts w:hint="eastAsia" w:ascii="宋体" w:hAnsi="宋体" w:cs="宋体"/>
          <w:b/>
          <w:color w:val="000000" w:themeColor="text1"/>
          <w:szCs w:val="21"/>
          <w:highlight w:val="none"/>
          <w14:textFill>
            <w14:solidFill>
              <w14:schemeClr w14:val="tx1"/>
            </w14:solidFill>
          </w14:textFill>
        </w:rPr>
        <w:t>在获取采购文件截止时间前登录广西政府采购云平台（https://www.gcy.zfcg.gxzf.gov.cn/）在线办理报名：“项目采购”</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“获取采购文件”。</w:t>
      </w:r>
      <w:r>
        <w:rPr>
          <w:rFonts w:hint="eastAsia" w:ascii="宋体" w:hAnsi="宋体" w:cs="宋体"/>
          <w:color w:val="000000" w:themeColor="text1"/>
          <w:szCs w:val="21"/>
          <w:highlight w:val="none"/>
          <w14:textFill>
            <w14:solidFill>
              <w14:schemeClr w14:val="tx1"/>
            </w14:solidFill>
          </w14:textFill>
        </w:rPr>
        <w:t>（注意事项：</w:t>
      </w:r>
      <w:r>
        <w:rPr>
          <w:rFonts w:hint="eastAsia" w:ascii="宋体" w:hAnsi="宋体" w:cs="宋体"/>
          <w:b/>
          <w:color w:val="000000" w:themeColor="text1"/>
          <w:szCs w:val="21"/>
          <w:highlight w:val="none"/>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000000" w:themeColor="text1"/>
          <w:szCs w:val="21"/>
          <w:highlight w:val="none"/>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cs="宋体"/>
          <w:bCs/>
          <w:color w:val="000000" w:themeColor="text1"/>
          <w:szCs w:val="21"/>
          <w:highlight w:val="none"/>
          <w14:textFill>
            <w14:solidFill>
              <w14:schemeClr w14:val="tx1"/>
            </w14:solidFill>
          </w14:textFill>
        </w:rPr>
        <w:t>95763</w:t>
      </w:r>
      <w:r>
        <w:rPr>
          <w:rFonts w:hint="eastAsia" w:ascii="宋体" w:hAnsi="宋体" w:cs="宋体"/>
          <w:color w:val="000000" w:themeColor="text1"/>
          <w:szCs w:val="21"/>
          <w:highlight w:val="none"/>
          <w14:textFill>
            <w14:solidFill>
              <w14:schemeClr w14:val="tx1"/>
            </w14:solidFill>
          </w14:textFill>
        </w:rPr>
        <w:t>。）</w:t>
      </w:r>
    </w:p>
    <w:p w14:paraId="1A7E500D">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售价（元）：0</w:t>
      </w:r>
    </w:p>
    <w:p w14:paraId="7AD1B3CC">
      <w:pPr>
        <w:spacing w:line="420" w:lineRule="exact"/>
        <w:ind w:firstLine="422"/>
        <w:rPr>
          <w:rFonts w:ascii="宋体" w:hAnsi="宋体" w:cs="宋体"/>
          <w:b/>
          <w:bCs/>
          <w:color w:val="000000" w:themeColor="text1"/>
          <w:szCs w:val="21"/>
          <w:highlight w:val="none"/>
          <w14:textFill>
            <w14:solidFill>
              <w14:schemeClr w14:val="tx1"/>
            </w14:solidFill>
          </w14:textFill>
        </w:rPr>
      </w:pPr>
      <w:bookmarkStart w:id="31" w:name="_Toc44405612"/>
      <w:bookmarkStart w:id="32" w:name="_Toc28359092"/>
      <w:bookmarkStart w:id="33" w:name="_Toc28359015"/>
      <w:bookmarkStart w:id="34" w:name="_Toc35393632"/>
      <w:bookmarkStart w:id="35" w:name="_Toc35393801"/>
      <w:bookmarkStart w:id="36" w:name="_Toc55053343"/>
      <w:r>
        <w:rPr>
          <w:rFonts w:hint="eastAsia" w:ascii="宋体" w:hAnsi="宋体" w:cs="宋体"/>
          <w:b/>
          <w:bCs/>
          <w:color w:val="000000" w:themeColor="text1"/>
          <w:szCs w:val="21"/>
          <w:highlight w:val="none"/>
          <w14:textFill>
            <w14:solidFill>
              <w14:schemeClr w14:val="tx1"/>
            </w14:solidFill>
          </w14:textFill>
        </w:rPr>
        <w:t>四、响应文件提交</w:t>
      </w:r>
      <w:bookmarkEnd w:id="31"/>
      <w:bookmarkEnd w:id="32"/>
      <w:bookmarkEnd w:id="33"/>
      <w:bookmarkEnd w:id="34"/>
      <w:bookmarkEnd w:id="35"/>
      <w:bookmarkEnd w:id="36"/>
    </w:p>
    <w:p w14:paraId="59EB9856">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w:t>
      </w:r>
      <w:r>
        <w:rPr>
          <w:rFonts w:hint="eastAsia" w:ascii="宋体" w:hAnsi="宋体" w:cs="宋体"/>
          <w:bCs/>
          <w:color w:val="000000" w:themeColor="text1"/>
          <w:szCs w:val="21"/>
          <w:highlight w:val="none"/>
          <w14:textFill>
            <w14:solidFill>
              <w14:schemeClr w14:val="tx1"/>
            </w14:solidFill>
          </w14:textFill>
        </w:rPr>
        <w:t>2025年05月26日</w:t>
      </w:r>
      <w:r>
        <w:rPr>
          <w:rFonts w:hint="eastAsia" w:ascii="宋体" w:hAnsi="宋体" w:cs="宋体"/>
          <w:bCs/>
          <w:color w:val="000000" w:themeColor="text1"/>
          <w:szCs w:val="21"/>
          <w:highlight w:val="none"/>
          <w14:textFill>
            <w14:solidFill>
              <w14:schemeClr w14:val="tx1"/>
            </w14:solidFill>
          </w14:textFill>
        </w:rPr>
        <w:t>09：20</w:t>
      </w:r>
      <w:r>
        <w:rPr>
          <w:rFonts w:hint="eastAsia" w:ascii="宋体" w:hAnsi="宋体" w:cs="宋体"/>
          <w:color w:val="000000" w:themeColor="text1"/>
          <w:szCs w:val="21"/>
          <w:highlight w:val="none"/>
          <w14:textFill>
            <w14:solidFill>
              <w14:schemeClr w14:val="tx1"/>
            </w14:solidFill>
          </w14:textFill>
        </w:rPr>
        <w:t>（北京时间）</w:t>
      </w:r>
    </w:p>
    <w:p w14:paraId="3E400591">
      <w:pPr>
        <w:snapToGrid w:val="0"/>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地点（网址）：广西政府采购云平台（https://www.gcy.zfcg.gxzf.gov.cn/）</w:t>
      </w:r>
    </w:p>
    <w:p w14:paraId="39225BDA">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37" w:name="_Toc118483109"/>
      <w:bookmarkStart w:id="38" w:name="_Toc153444877"/>
      <w:bookmarkStart w:id="39" w:name="_Toc44229882"/>
      <w:bookmarkStart w:id="40" w:name="_Toc44405623"/>
      <w:bookmarkStart w:id="41" w:name="_Toc55053344"/>
      <w:bookmarkStart w:id="42" w:name="_Toc89760760"/>
      <w:bookmarkStart w:id="43" w:name="_Toc44405614"/>
      <w:bookmarkStart w:id="44" w:name="_Toc35393803"/>
      <w:bookmarkStart w:id="45" w:name="_Toc28359017"/>
      <w:bookmarkStart w:id="46" w:name="_Toc28359094"/>
      <w:bookmarkStart w:id="47" w:name="_Toc35393634"/>
      <w:r>
        <w:rPr>
          <w:rFonts w:hint="eastAsia" w:ascii="宋体" w:hAnsi="宋体" w:cs="宋体"/>
          <w:b/>
          <w:color w:val="000000" w:themeColor="text1"/>
          <w:szCs w:val="21"/>
          <w:highlight w:val="none"/>
          <w14:textFill>
            <w14:solidFill>
              <w14:schemeClr w14:val="tx1"/>
            </w14:solidFill>
          </w14:textFill>
        </w:rPr>
        <w:t>五、响应文件开启</w:t>
      </w:r>
      <w:bookmarkEnd w:id="37"/>
      <w:bookmarkEnd w:id="38"/>
      <w:bookmarkEnd w:id="39"/>
      <w:bookmarkEnd w:id="40"/>
      <w:bookmarkEnd w:id="41"/>
      <w:bookmarkEnd w:id="42"/>
    </w:p>
    <w:p w14:paraId="762A7B4E">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开启时间：</w:t>
      </w:r>
      <w:r>
        <w:rPr>
          <w:rFonts w:hint="eastAsia" w:ascii="宋体" w:hAnsi="宋体" w:cs="宋体"/>
          <w:bCs/>
          <w:color w:val="000000" w:themeColor="text1"/>
          <w:szCs w:val="21"/>
          <w:highlight w:val="none"/>
          <w14:textFill>
            <w14:solidFill>
              <w14:schemeClr w14:val="tx1"/>
            </w14:solidFill>
          </w14:textFill>
        </w:rPr>
        <w:t>2025年05月26日</w:t>
      </w:r>
      <w:r>
        <w:rPr>
          <w:rFonts w:hint="eastAsia" w:ascii="宋体" w:hAnsi="宋体" w:cs="宋体"/>
          <w:bCs/>
          <w:color w:val="000000" w:themeColor="text1"/>
          <w:szCs w:val="21"/>
          <w:highlight w:val="none"/>
          <w14:textFill>
            <w14:solidFill>
              <w14:schemeClr w14:val="tx1"/>
            </w14:solidFill>
          </w14:textFill>
        </w:rPr>
        <w:t>09：20</w:t>
      </w:r>
      <w:r>
        <w:rPr>
          <w:rFonts w:hint="eastAsia" w:ascii="宋体" w:hAnsi="宋体" w:cs="宋体"/>
          <w:color w:val="000000" w:themeColor="text1"/>
          <w:szCs w:val="21"/>
          <w:highlight w:val="none"/>
          <w14:textFill>
            <w14:solidFill>
              <w14:schemeClr w14:val="tx1"/>
            </w14:solidFill>
          </w14:textFill>
        </w:rPr>
        <w:t>（北京时间）</w:t>
      </w:r>
    </w:p>
    <w:p w14:paraId="56C9599E">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地点：通过广西政府采购云平台（https://www.gcy.zfcg.gxzf.gov.cn/）在线解密开启响应文件。</w:t>
      </w:r>
    </w:p>
    <w:p w14:paraId="057FED06">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48" w:name="_Toc55053345"/>
      <w:bookmarkStart w:id="49" w:name="_Toc153444878"/>
      <w:bookmarkStart w:id="50" w:name="_Toc118483110"/>
      <w:bookmarkStart w:id="51" w:name="_Toc89760761"/>
      <w:r>
        <w:rPr>
          <w:rFonts w:hint="eastAsia" w:ascii="宋体" w:hAnsi="宋体" w:cs="宋体"/>
          <w:b/>
          <w:color w:val="000000" w:themeColor="text1"/>
          <w:szCs w:val="21"/>
          <w:highlight w:val="none"/>
          <w14:textFill>
            <w14:solidFill>
              <w14:schemeClr w14:val="tx1"/>
            </w14:solidFill>
          </w14:textFill>
        </w:rPr>
        <w:t>六、公告期限</w:t>
      </w:r>
      <w:bookmarkEnd w:id="43"/>
      <w:bookmarkEnd w:id="44"/>
      <w:bookmarkEnd w:id="45"/>
      <w:bookmarkEnd w:id="46"/>
      <w:bookmarkEnd w:id="47"/>
      <w:bookmarkEnd w:id="48"/>
      <w:bookmarkEnd w:id="49"/>
      <w:bookmarkEnd w:id="50"/>
      <w:bookmarkEnd w:id="51"/>
    </w:p>
    <w:p w14:paraId="17B4C4DE">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个工作日。</w:t>
      </w:r>
    </w:p>
    <w:p w14:paraId="0CF12948">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52" w:name="_Toc89760762"/>
      <w:bookmarkStart w:id="53" w:name="_Toc35393804"/>
      <w:bookmarkStart w:id="54" w:name="_Toc153444879"/>
      <w:bookmarkStart w:id="55" w:name="_Toc55053346"/>
      <w:bookmarkStart w:id="56" w:name="_Toc118483111"/>
      <w:bookmarkStart w:id="57" w:name="_Toc44405615"/>
      <w:bookmarkStart w:id="58" w:name="_Toc35393635"/>
      <w:r>
        <w:rPr>
          <w:rFonts w:hint="eastAsia" w:ascii="宋体" w:hAnsi="宋体" w:cs="宋体"/>
          <w:b/>
          <w:color w:val="000000" w:themeColor="text1"/>
          <w:szCs w:val="21"/>
          <w:highlight w:val="none"/>
          <w14:textFill>
            <w14:solidFill>
              <w14:schemeClr w14:val="tx1"/>
            </w14:solidFill>
          </w14:textFill>
        </w:rPr>
        <w:t>七、其他补充事宜</w:t>
      </w:r>
      <w:bookmarkEnd w:id="52"/>
      <w:bookmarkEnd w:id="53"/>
      <w:bookmarkEnd w:id="54"/>
      <w:bookmarkEnd w:id="55"/>
      <w:bookmarkEnd w:id="56"/>
      <w:bookmarkEnd w:id="57"/>
      <w:bookmarkEnd w:id="58"/>
    </w:p>
    <w:p w14:paraId="1AC95E37">
      <w:pPr>
        <w:spacing w:line="420" w:lineRule="exact"/>
        <w:ind w:firstLine="420"/>
        <w:rPr>
          <w:rFonts w:ascii="宋体" w:hAnsi="宋体" w:cs="宋体"/>
          <w:bCs/>
          <w:color w:val="000000" w:themeColor="text1"/>
          <w:szCs w:val="21"/>
          <w:highlight w:val="none"/>
          <w14:textFill>
            <w14:solidFill>
              <w14:schemeClr w14:val="tx1"/>
            </w14:solidFill>
          </w14:textFill>
        </w:rPr>
      </w:pPr>
      <w:bookmarkStart w:id="59" w:name="_Toc55053347"/>
      <w:bookmarkStart w:id="60" w:name="_Toc44405616"/>
      <w:bookmarkStart w:id="61" w:name="_Toc28359018"/>
      <w:bookmarkStart w:id="62" w:name="_Toc35393805"/>
      <w:bookmarkStart w:id="63" w:name="_Toc35393636"/>
      <w:bookmarkStart w:id="64" w:name="_Toc28359095"/>
      <w:bookmarkStart w:id="65" w:name="_Toc89760763"/>
      <w:r>
        <w:rPr>
          <w:rFonts w:hint="eastAsia" w:ascii="宋体" w:hAnsi="宋体" w:cs="宋体"/>
          <w:bCs/>
          <w:color w:val="000000" w:themeColor="text1"/>
          <w:szCs w:val="21"/>
          <w:highlight w:val="none"/>
          <w14:textFill>
            <w14:solidFill>
              <w14:schemeClr w14:val="tx1"/>
            </w14:solidFill>
          </w14:textFill>
        </w:rPr>
        <w:t>1.供应商竞标注意事项</w:t>
      </w:r>
    </w:p>
    <w:p w14:paraId="3A301A28">
      <w:pPr>
        <w:wordWrap w:val="0"/>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000000" w:themeColor="text1"/>
          <w:szCs w:val="21"/>
          <w:highlight w:val="none"/>
          <w14:textFill>
            <w14:solidFill>
              <w14:schemeClr w14:val="tx1"/>
            </w14:solidFill>
          </w14:textFill>
        </w:rPr>
        <w:t>供应商在广西政府采购云平台提交电子响应文件时，请填写参加远程采购活动经办人联系方式。</w:t>
      </w:r>
      <w:r>
        <w:rPr>
          <w:rFonts w:hint="eastAsia" w:ascii="宋体" w:hAnsi="宋体" w:cs="宋体"/>
          <w:bCs/>
          <w:color w:val="000000" w:themeColor="text1"/>
          <w:szCs w:val="21"/>
          <w:highlight w:val="none"/>
          <w14:textFill>
            <w14:solidFill>
              <w14:schemeClr w14:val="tx1"/>
            </w14:solidFill>
          </w14:textFill>
        </w:rPr>
        <w:t>供应商可登录广西政府采购云平台查看电子竞标具体操作流程。</w:t>
      </w:r>
    </w:p>
    <w:p w14:paraId="62683085">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21A3CCD">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539B602F">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620300F3">
      <w:pPr>
        <w:spacing w:line="4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磋商保证金：</w:t>
      </w:r>
      <w:r>
        <w:rPr>
          <w:rFonts w:hint="eastAsia" w:ascii="宋体" w:hAnsi="宋体" w:cs="宋体"/>
          <w:color w:val="000000" w:themeColor="text1"/>
          <w:szCs w:val="21"/>
          <w:highlight w:val="none"/>
          <w14:textFill>
            <w14:solidFill>
              <w14:schemeClr w14:val="tx1"/>
            </w14:solidFill>
          </w14:textFill>
        </w:rPr>
        <w:t>0元（本项目不收取</w:t>
      </w:r>
      <w:r>
        <w:rPr>
          <w:rFonts w:hint="eastAsia" w:ascii="宋体" w:hAnsi="宋体" w:cs="宋体"/>
          <w:color w:val="000000" w:themeColor="text1"/>
          <w:kern w:val="0"/>
          <w:szCs w:val="21"/>
          <w:highlight w:val="none"/>
          <w14:textFill>
            <w14:solidFill>
              <w14:schemeClr w14:val="tx1"/>
            </w14:solidFill>
          </w14:textFill>
        </w:rPr>
        <w:t>磋商保证金</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磋商保证金的交纳方式：</w:t>
      </w:r>
      <w:r>
        <w:rPr>
          <w:rFonts w:hint="eastAsia" w:ascii="宋体" w:hAnsi="宋体" w:cs="宋体"/>
          <w:color w:val="000000" w:themeColor="text1"/>
          <w:szCs w:val="21"/>
          <w:highlight w:val="none"/>
          <w14:textFill>
            <w14:solidFill>
              <w14:schemeClr w14:val="tx1"/>
            </w14:solidFill>
          </w14:textFill>
        </w:rPr>
        <w:t>银行转账、支票、汇票、本票或者金融机构、担保机构出具的保函、保险（含电子保函，下同）等，禁止采用现钞方式。</w:t>
      </w:r>
      <w:r>
        <w:rPr>
          <w:rFonts w:hint="eastAsia" w:ascii="宋体" w:hAnsi="宋体" w:cs="宋体"/>
          <w:color w:val="000000" w:themeColor="text1"/>
          <w:kern w:val="0"/>
          <w:szCs w:val="21"/>
          <w:highlight w:val="none"/>
          <w14:textFill>
            <w14:solidFill>
              <w14:schemeClr w14:val="tx1"/>
            </w14:solidFill>
          </w14:textFill>
        </w:rPr>
        <w:t>采用银行转账方式的，在首次响应文件提交截止时间前交至采购代理机构指定账户并且到账</w:t>
      </w:r>
      <w:r>
        <w:rPr>
          <w:rFonts w:hint="eastAsia" w:ascii="宋体" w:hAnsi="宋体" w:cs="宋体"/>
          <w:color w:val="000000" w:themeColor="text1"/>
          <w:szCs w:val="21"/>
          <w:highlight w:val="none"/>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000000" w:themeColor="text1"/>
          <w:highlight w:val="none"/>
          <w14:textFill>
            <w14:solidFill>
              <w14:schemeClr w14:val="tx1"/>
            </w14:solidFill>
          </w14:textFill>
        </w:rPr>
        <w:t>柳州市公共资源交易中心（柳州市龙湖路13号柳州市民服务中心北</w:t>
      </w:r>
      <w:r>
        <w:rPr>
          <w:rFonts w:hint="eastAsia" w:hAnsi="宋体"/>
          <w:color w:val="000000" w:themeColor="text1"/>
          <w:highlight w:val="none"/>
          <w14:textFill>
            <w14:solidFill>
              <w14:schemeClr w14:val="tx1"/>
            </w14:solidFill>
          </w14:textFill>
        </w:rPr>
        <w:t>楼4楼</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对应开标室</w:t>
      </w:r>
      <w:r>
        <w:rPr>
          <w:rFonts w:hint="eastAsia" w:ascii="宋体" w:hAnsi="宋体" w:cs="宋体"/>
          <w:color w:val="000000" w:themeColor="text1"/>
          <w:szCs w:val="21"/>
          <w:highlight w:val="none"/>
          <w14:textFill>
            <w14:solidFill>
              <w14:schemeClr w14:val="tx1"/>
            </w14:solidFill>
          </w14:textFill>
        </w:rPr>
        <w:t>，采用电子保函方式交纳磋商保证金的，不需提交]；否则视为无效磋商保证金。</w:t>
      </w:r>
    </w:p>
    <w:p w14:paraId="2848683C">
      <w:pPr>
        <w:spacing w:line="42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4.网上查询地址：www.ccgp.gov.cn（中国政府采购网）、zfcg.gxzf.gov.cn（广西壮族自治区政府采购网）、zfcg.lzscz.liuzhou.gov.cn（广西柳州政府采购网）。</w:t>
      </w:r>
    </w:p>
    <w:p w14:paraId="59D18DBA">
      <w:pPr>
        <w:spacing w:line="42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pPr>
        <w:keepNext/>
        <w:keepLines/>
        <w:spacing w:line="420" w:lineRule="exact"/>
        <w:ind w:firstLine="422"/>
        <w:outlineLvl w:val="1"/>
        <w:rPr>
          <w:rFonts w:ascii="宋体" w:hAnsi="宋体" w:cs="宋体"/>
          <w:b/>
          <w:color w:val="000000" w:themeColor="text1"/>
          <w:szCs w:val="21"/>
          <w:highlight w:val="none"/>
          <w14:textFill>
            <w14:solidFill>
              <w14:schemeClr w14:val="tx1"/>
            </w14:solidFill>
          </w14:textFill>
        </w:rPr>
      </w:pPr>
      <w:bookmarkStart w:id="66" w:name="_Toc153444880"/>
      <w:bookmarkStart w:id="67" w:name="_Toc118483112"/>
      <w:r>
        <w:rPr>
          <w:rFonts w:hint="eastAsia" w:ascii="宋体" w:hAnsi="宋体" w:cs="宋体"/>
          <w:b/>
          <w:color w:val="000000" w:themeColor="text1"/>
          <w:szCs w:val="21"/>
          <w:highlight w:val="none"/>
          <w14:textFill>
            <w14:solidFill>
              <w14:schemeClr w14:val="tx1"/>
            </w14:solidFill>
          </w14:textFill>
        </w:rPr>
        <w:t>八、</w:t>
      </w:r>
      <w:bookmarkEnd w:id="59"/>
      <w:bookmarkEnd w:id="60"/>
      <w:bookmarkEnd w:id="61"/>
      <w:bookmarkEnd w:id="62"/>
      <w:bookmarkEnd w:id="63"/>
      <w:bookmarkEnd w:id="64"/>
      <w:r>
        <w:rPr>
          <w:rFonts w:hint="eastAsia" w:ascii="宋体" w:hAnsi="宋体" w:cs="宋体"/>
          <w:b/>
          <w:color w:val="000000" w:themeColor="text1"/>
          <w:szCs w:val="21"/>
          <w:highlight w:val="none"/>
          <w14:textFill>
            <w14:solidFill>
              <w14:schemeClr w14:val="tx1"/>
            </w14:solidFill>
          </w14:textFill>
        </w:rPr>
        <w:t>凡对本次招标提出询问，请按以下方式联系</w:t>
      </w:r>
      <w:bookmarkEnd w:id="65"/>
      <w:bookmarkEnd w:id="66"/>
      <w:bookmarkEnd w:id="67"/>
    </w:p>
    <w:p w14:paraId="74545CEA">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1.采购人信息</w:t>
      </w:r>
    </w:p>
    <w:p w14:paraId="109B5396">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名称：柳州市中医医院（柳州市壮医医院）</w:t>
      </w:r>
    </w:p>
    <w:p w14:paraId="31E25A24">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地址：广西柳州市城中区东环大道延长线东侧红葫路6号</w:t>
      </w:r>
    </w:p>
    <w:p w14:paraId="53A8D6D7">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项目联系人：胡俊</w:t>
      </w:r>
    </w:p>
    <w:p w14:paraId="0F46E60D">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项目联系方式：</w:t>
      </w:r>
      <w:r>
        <w:rPr>
          <w:rFonts w:ascii="宋体" w:hAnsi="宋体"/>
          <w:color w:val="000000" w:themeColor="text1"/>
          <w:szCs w:val="21"/>
          <w:highlight w:val="none"/>
          <w14:textFill>
            <w14:solidFill>
              <w14:schemeClr w14:val="tx1"/>
            </w14:solidFill>
          </w14:textFill>
        </w:rPr>
        <w:t>0772-3357423</w:t>
      </w:r>
    </w:p>
    <w:p w14:paraId="75DB74D4">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2.采购代理机构信息</w:t>
      </w:r>
    </w:p>
    <w:p w14:paraId="7F1DCE64">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名称：广西大德项目管理有限公司</w:t>
      </w:r>
    </w:p>
    <w:p w14:paraId="3583C964">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地址：柳州市潭中东路17号华信国际B座910</w:t>
      </w:r>
    </w:p>
    <w:p w14:paraId="1BD1CCEF">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w:t>
      </w:r>
      <w:r>
        <w:rPr>
          <w:rFonts w:hint="eastAsia" w:ascii="宋体" w:hAnsi="宋体"/>
          <w:color w:val="000000" w:themeColor="text1"/>
          <w:szCs w:val="21"/>
          <w:highlight w:val="none"/>
          <w14:textFill>
            <w14:solidFill>
              <w14:schemeClr w14:val="tx1"/>
            </w14:solidFill>
          </w14:textFill>
        </w:rPr>
        <w:t>曾珺、韦华艳、梁斌雄、邱光旭</w:t>
      </w:r>
    </w:p>
    <w:p w14:paraId="5AAFAADD">
      <w:pPr>
        <w:snapToGrid w:val="0"/>
        <w:spacing w:line="39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项目联系方式：</w:t>
      </w:r>
      <w:r>
        <w:rPr>
          <w:rFonts w:ascii="宋体" w:hAnsi="宋体"/>
          <w:color w:val="000000" w:themeColor="text1"/>
          <w:szCs w:val="21"/>
          <w:highlight w:val="none"/>
          <w14:textFill>
            <w14:solidFill>
              <w14:schemeClr w14:val="tx1"/>
            </w14:solidFill>
          </w14:textFill>
        </w:rPr>
        <w:t>0772-2120191</w:t>
      </w:r>
    </w:p>
    <w:p w14:paraId="0A4D94EB">
      <w:pPr>
        <w:spacing w:line="420" w:lineRule="exact"/>
        <w:ind w:firstLine="630" w:firstLineChars="300"/>
        <w:jc w:val="right"/>
        <w:rPr>
          <w:rFonts w:ascii="宋体" w:hAnsi="宋体" w:cs="宋体"/>
          <w:color w:val="000000" w:themeColor="text1"/>
          <w:szCs w:val="21"/>
          <w:highlight w:val="none"/>
          <w:u w:val="single"/>
          <w14:textFill>
            <w14:solidFill>
              <w14:schemeClr w14:val="tx1"/>
            </w14:solidFill>
          </w14:textFill>
        </w:rPr>
      </w:pPr>
    </w:p>
    <w:p w14:paraId="5D56B1B1">
      <w:pPr>
        <w:ind w:firstLine="420"/>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广西大德项目管理有限公司</w:t>
      </w:r>
    </w:p>
    <w:p w14:paraId="0D3CD6B9">
      <w:pPr>
        <w:pStyle w:val="41"/>
        <w:ind w:firstLine="420"/>
        <w:jc w:val="right"/>
        <w:rPr>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2025年05月13日</w:t>
      </w:r>
    </w:p>
    <w:p w14:paraId="2D54C219">
      <w:pPr>
        <w:pStyle w:val="3"/>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68" w:name="_Hlt106033517"/>
      <w:bookmarkEnd w:id="68"/>
      <w:bookmarkStart w:id="69" w:name="_Toc3395202"/>
      <w:bookmarkStart w:id="70" w:name="_Toc153444881"/>
      <w:r>
        <w:rPr>
          <w:rFonts w:hint="eastAsia"/>
          <w:color w:val="000000" w:themeColor="text1"/>
          <w:highlight w:val="none"/>
          <w14:textFill>
            <w14:solidFill>
              <w14:schemeClr w14:val="tx1"/>
            </w14:solidFill>
          </w14:textFill>
        </w:rPr>
        <w:t>第二章  供应商须知</w:t>
      </w:r>
      <w:bookmarkEnd w:id="69"/>
      <w:bookmarkEnd w:id="70"/>
    </w:p>
    <w:p w14:paraId="27A7158C">
      <w:pPr>
        <w:spacing w:line="42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供应商须知前附表</w:t>
      </w:r>
    </w:p>
    <w:tbl>
      <w:tblPr>
        <w:tblStyle w:val="51"/>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7350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EAF1E59">
            <w:pPr>
              <w:spacing w:line="360" w:lineRule="auto"/>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992" w:type="dxa"/>
          </w:tcPr>
          <w:p w14:paraId="3F2BF14F">
            <w:pPr>
              <w:spacing w:line="360" w:lineRule="auto"/>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38" w:type="dxa"/>
          </w:tcPr>
          <w:p w14:paraId="13D5274A">
            <w:pPr>
              <w:spacing w:line="360" w:lineRule="auto"/>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321F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F5E6B4">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92" w:type="dxa"/>
            <w:vAlign w:val="center"/>
          </w:tcPr>
          <w:p w14:paraId="2EA0331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38" w:type="dxa"/>
            <w:vAlign w:val="center"/>
          </w:tcPr>
          <w:p w14:paraId="52D435C6">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供应商的资格条件</w:t>
            </w:r>
            <w:r>
              <w:rPr>
                <w:rFonts w:hint="eastAsia" w:ascii="宋体" w:hAnsi="宋体" w:cs="宋体"/>
                <w:color w:val="000000" w:themeColor="text1"/>
                <w:szCs w:val="21"/>
                <w:highlight w:val="none"/>
                <w14:textFill>
                  <w14:solidFill>
                    <w14:schemeClr w14:val="tx1"/>
                  </w14:solidFill>
                </w14:textFill>
              </w:rPr>
              <w:t>：详见竞争性磋商公告</w:t>
            </w:r>
          </w:p>
        </w:tc>
      </w:tr>
      <w:tr w14:paraId="5917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6B7B526">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92" w:type="dxa"/>
            <w:vAlign w:val="center"/>
          </w:tcPr>
          <w:p w14:paraId="50AD2DFF">
            <w:pPr>
              <w:spacing w:line="360" w:lineRule="auto"/>
              <w:ind w:firstLine="33" w:firstLineChars="16"/>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38" w:type="dxa"/>
            <w:vAlign w:val="center"/>
          </w:tcPr>
          <w:p w14:paraId="1ECA7C83">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是否接受联合体竞标：详见竞争性磋商公告</w:t>
            </w:r>
          </w:p>
        </w:tc>
      </w:tr>
      <w:tr w14:paraId="22D2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70837FE4">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92" w:type="dxa"/>
            <w:vAlign w:val="center"/>
          </w:tcPr>
          <w:p w14:paraId="7FCE2E7B">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38" w:type="dxa"/>
            <w:vAlign w:val="center"/>
          </w:tcPr>
          <w:p w14:paraId="23DA312D">
            <w:pPr>
              <w:pStyle w:val="17"/>
              <w:spacing w:line="400" w:lineRule="exact"/>
              <w:ind w:firstLine="33" w:firstLineChars="16"/>
              <w:rPr>
                <w:rFonts w:ascii="宋体" w:hAnsi="宋体"/>
                <w:color w:val="000000" w:themeColor="text1"/>
                <w:szCs w:val="21"/>
                <w:highlight w:val="none"/>
                <w14:textFill>
                  <w14:solidFill>
                    <w14:schemeClr w14:val="tx1"/>
                  </w14:solidFill>
                </w14:textFill>
              </w:rPr>
            </w:pPr>
            <w:r>
              <w:rPr>
                <w:rFonts w:hint="eastAsia" w:ascii="MS Gothic" w:hAnsi="MS Gothic" w:eastAsia="MS Gothic" w:cs="MS Gothic"/>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不允许分包</w:t>
            </w:r>
          </w:p>
          <w:p w14:paraId="049D5502">
            <w:pPr>
              <w:pStyle w:val="17"/>
              <w:spacing w:line="400" w:lineRule="exact"/>
              <w:ind w:firstLine="33" w:firstLineChars="1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□允许分包</w:t>
            </w:r>
          </w:p>
        </w:tc>
      </w:tr>
      <w:tr w14:paraId="095E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C84172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92" w:type="dxa"/>
            <w:vAlign w:val="center"/>
          </w:tcPr>
          <w:p w14:paraId="427A09B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w:t>
            </w:r>
          </w:p>
        </w:tc>
        <w:tc>
          <w:tcPr>
            <w:tcW w:w="7938" w:type="dxa"/>
            <w:vAlign w:val="center"/>
          </w:tcPr>
          <w:p w14:paraId="5ED4832E">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r>
              <w:rPr>
                <w:rFonts w:hint="eastAsia" w:ascii="宋体" w:hAnsi="宋体" w:cs="宋体"/>
                <w:b/>
                <w:color w:val="000000" w:themeColor="text1"/>
                <w:szCs w:val="21"/>
                <w:highlight w:val="none"/>
                <w14:textFill>
                  <w14:solidFill>
                    <w14:schemeClr w14:val="tx1"/>
                  </w14:solidFill>
                </w14:textFill>
              </w:rPr>
              <w:t>第1至</w:t>
            </w:r>
            <w:r>
              <w:rPr>
                <w:rFonts w:ascii="宋体" w:hAnsi="宋体" w:cs="宋体"/>
                <w:b/>
                <w:color w:val="000000" w:themeColor="text1"/>
                <w:szCs w:val="21"/>
                <w:highlight w:val="none"/>
                <w14:textFill>
                  <w14:solidFill>
                    <w14:schemeClr w14:val="tx1"/>
                  </w14:solidFill>
                </w14:textFill>
              </w:rPr>
              <w:t>9</w:t>
            </w:r>
            <w:r>
              <w:rPr>
                <w:rFonts w:hint="eastAsia" w:ascii="宋体" w:hAnsi="宋体" w:cs="宋体"/>
                <w:b/>
                <w:color w:val="000000" w:themeColor="text1"/>
                <w:szCs w:val="21"/>
                <w:highlight w:val="none"/>
                <w14:textFill>
                  <w14:solidFill>
                    <w14:schemeClr w14:val="tx1"/>
                  </w14:solidFill>
                </w14:textFill>
              </w:rPr>
              <w:t>项</w:t>
            </w:r>
            <w:r>
              <w:rPr>
                <w:rFonts w:hint="eastAsia" w:ascii="宋体" w:hAnsi="宋体" w:cs="宋体"/>
                <w:b/>
                <w:color w:val="000000" w:themeColor="text1"/>
                <w:szCs w:val="21"/>
                <w:highlight w:val="none"/>
                <w14:textFill>
                  <w14:solidFill>
                    <w14:schemeClr w14:val="tx1"/>
                  </w14:solidFill>
                </w14:textFill>
              </w:rPr>
              <w:t>必须提供</w:t>
            </w:r>
            <w:r>
              <w:rPr>
                <w:rFonts w:hint="eastAsia" w:hAnsi="宋体" w:cs="Courier New"/>
                <w:b/>
                <w:color w:val="000000" w:themeColor="text1"/>
                <w:highlight w:val="none"/>
                <w14:textFill>
                  <w14:solidFill>
                    <w14:schemeClr w14:val="tx1"/>
                  </w14:solidFill>
                </w14:textFill>
              </w:rPr>
              <w:t>（注明不需提供的情形除外）</w:t>
            </w:r>
            <w:r>
              <w:rPr>
                <w:rFonts w:hint="eastAsia" w:hAnsi="宋体" w:cs="Courier New"/>
                <w:b/>
                <w:color w:val="000000" w:themeColor="text1"/>
                <w:highlight w:val="none"/>
                <w14:textFill>
                  <w14:solidFill>
                    <w14:schemeClr w14:val="tx1"/>
                  </w14:solidFill>
                </w14:textFill>
              </w:rPr>
              <w:t>且均要由</w:t>
            </w:r>
            <w:r>
              <w:rPr>
                <w:rFonts w:hint="eastAsia" w:ascii="宋体" w:hAnsi="宋体" w:cs="宋体"/>
                <w:b/>
                <w:color w:val="000000" w:themeColor="text1"/>
                <w:szCs w:val="21"/>
                <w:highlight w:val="none"/>
                <w14:textFill>
                  <w14:solidFill>
                    <w14:schemeClr w14:val="tx1"/>
                  </w14:solidFill>
                </w14:textFill>
              </w:rPr>
              <w:t>法定代表人或委托代理人在规定签章处签字（或者电子签名或加盖电子印章）并加盖供应商电子公章</w:t>
            </w:r>
            <w:r>
              <w:rPr>
                <w:rFonts w:hint="eastAsia" w:ascii="宋体" w:hAnsi="宋体" w:cs="宋体"/>
                <w:b/>
                <w:color w:val="000000" w:themeColor="text1"/>
                <w:szCs w:val="21"/>
                <w:highlight w:val="none"/>
                <w14:textFill>
                  <w14:solidFill>
                    <w14:schemeClr w14:val="tx1"/>
                  </w14:solidFill>
                </w14:textFill>
              </w:rPr>
              <w:t>，</w:t>
            </w:r>
            <w:r>
              <w:rPr>
                <w:rFonts w:hint="eastAsia" w:hAnsi="宋体" w:cs="Courier New"/>
                <w:b/>
                <w:color w:val="000000" w:themeColor="text1"/>
                <w:highlight w:val="none"/>
                <w14:textFill>
                  <w14:solidFill>
                    <w14:schemeClr w14:val="tx1"/>
                  </w14:solidFill>
                </w14:textFill>
              </w:rPr>
              <w:t>证明文件有附件的须提供相应</w:t>
            </w:r>
            <w:r>
              <w:rPr>
                <w:rFonts w:hint="eastAsia" w:hAnsi="宋体"/>
                <w:b/>
                <w:color w:val="000000" w:themeColor="text1"/>
                <w:highlight w:val="none"/>
                <w14:textFill>
                  <w14:solidFill>
                    <w14:schemeClr w14:val="tx1"/>
                  </w14:solidFill>
                </w14:textFill>
              </w:rPr>
              <w:t>附件，</w:t>
            </w:r>
            <w:r>
              <w:rPr>
                <w:rFonts w:hint="eastAsia" w:ascii="宋体" w:hAnsi="宋体" w:cs="宋体"/>
                <w:b/>
                <w:color w:val="000000" w:themeColor="text1"/>
                <w:szCs w:val="21"/>
                <w:highlight w:val="none"/>
                <w14:textFill>
                  <w14:solidFill>
                    <w14:schemeClr w14:val="tx1"/>
                  </w14:solidFill>
                </w14:textFill>
              </w:rPr>
              <w:t>否则响应文件按竞标无效处理，其他如有请提供】</w:t>
            </w:r>
            <w:r>
              <w:rPr>
                <w:rFonts w:hint="eastAsia" w:ascii="宋体" w:hAnsi="宋体" w:cs="宋体"/>
                <w:color w:val="000000" w:themeColor="text1"/>
                <w:szCs w:val="21"/>
                <w:highlight w:val="none"/>
                <w14:textFill>
                  <w14:solidFill>
                    <w14:schemeClr w14:val="tx1"/>
                  </w14:solidFill>
                </w14:textFill>
              </w:rPr>
              <w:t>：</w:t>
            </w:r>
          </w:p>
          <w:p w14:paraId="19B96EA7">
            <w:pPr>
              <w:numPr>
                <w:ilvl w:val="0"/>
                <w:numId w:val="0"/>
              </w:numPr>
              <w:spacing w:line="360" w:lineRule="auto"/>
              <w:ind w:left="0" w:leftChars="0" w:firstLine="0" w:firstLineChars="0"/>
              <w:rPr>
                <w:rFonts w:ascii="宋体" w:hAnsi="宋体" w:cs="宋体"/>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供应商合法的主体资格证明（如营业执照、事业单位法人证书、执业许可证、个体工商户营业执照、自然人身份证等）；</w:t>
            </w:r>
          </w:p>
          <w:p w14:paraId="79D6C891">
            <w:pPr>
              <w:numPr>
                <w:ilvl w:val="0"/>
                <w:numId w:val="0"/>
              </w:numPr>
              <w:spacing w:line="360" w:lineRule="auto"/>
              <w:ind w:left="720" w:leftChars="0" w:hanging="720" w:firstLineChars="0"/>
              <w:rPr>
                <w:rFonts w:ascii="宋体" w:hAnsi="宋体" w:cs="宋体"/>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法定代表人身份证明（按第五章响应文件格式要求填写，自然人竞标的不需提供）；</w:t>
            </w:r>
          </w:p>
          <w:p w14:paraId="3FD962F4">
            <w:pPr>
              <w:numPr>
                <w:ilvl w:val="0"/>
                <w:numId w:val="0"/>
              </w:numPr>
              <w:spacing w:line="360" w:lineRule="auto"/>
              <w:ind w:left="0" w:leftChars="0" w:firstLine="0" w:firstLineChars="0"/>
              <w:rPr>
                <w:rFonts w:ascii="宋体" w:hAnsi="宋体" w:cs="宋体"/>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法定代表人授权委托书（</w:t>
            </w:r>
            <w:r>
              <w:rPr>
                <w:rFonts w:hint="eastAsia" w:ascii="宋体" w:hAnsi="宋体" w:cs="宋体"/>
                <w:color w:val="000000" w:themeColor="text1"/>
                <w:szCs w:val="21"/>
                <w:highlight w:val="none"/>
                <w14:textFill>
                  <w14:solidFill>
                    <w14:schemeClr w14:val="tx1"/>
                  </w14:solidFill>
                </w14:textFill>
              </w:rPr>
              <w:t>委托代理时，按第五章响应文件格式要求填写，法定代表人参加的不需提供</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11B60349">
            <w:pPr>
              <w:numPr>
                <w:ilvl w:val="0"/>
                <w:numId w:val="0"/>
              </w:numPr>
              <w:spacing w:line="360" w:lineRule="auto"/>
              <w:ind w:left="720" w:leftChars="0" w:hanging="720" w:firstLineChars="0"/>
              <w:rPr>
                <w:rFonts w:ascii="宋体" w:hAnsi="宋体" w:cs="宋体"/>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政府采购供应商资格信用承诺函（按第五章响应文件格式要求填写）；</w:t>
            </w:r>
          </w:p>
          <w:p w14:paraId="0EA8B66E">
            <w:pPr>
              <w:numPr>
                <w:ilvl w:val="0"/>
                <w:numId w:val="0"/>
              </w:numPr>
              <w:spacing w:line="360" w:lineRule="auto"/>
              <w:ind w:left="0" w:leftChars="0" w:firstLine="0" w:firstLineChars="0"/>
              <w:rPr>
                <w:rFonts w:ascii="宋体" w:hAnsi="宋体" w:cs="宋体"/>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供应商直接控股股东信息表（按第五章响应文件格式要求填写）；</w:t>
            </w:r>
          </w:p>
          <w:p w14:paraId="796B4232">
            <w:pPr>
              <w:numPr>
                <w:ilvl w:val="0"/>
                <w:numId w:val="0"/>
              </w:numPr>
              <w:spacing w:line="360" w:lineRule="auto"/>
              <w:ind w:left="0" w:leftChars="0" w:firstLine="0" w:firstLineChars="0"/>
              <w:rPr>
                <w:rFonts w:ascii="宋体" w:hAnsi="宋体" w:cs="宋体"/>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供应商直接管理关系信息表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22D766C3">
            <w:pPr>
              <w:numPr>
                <w:ilvl w:val="0"/>
                <w:numId w:val="0"/>
              </w:numPr>
              <w:spacing w:line="360" w:lineRule="auto"/>
              <w:ind w:left="0" w:leftChars="0" w:firstLine="0" w:firstLineChars="0"/>
              <w:rPr>
                <w:rFonts w:ascii="宋体" w:hAnsi="宋体" w:cs="宋体"/>
                <w:b/>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竞标声明</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05B92E93">
            <w:pPr>
              <w:numPr>
                <w:ilvl w:val="0"/>
                <w:numId w:val="0"/>
              </w:numPr>
              <w:spacing w:line="360" w:lineRule="auto"/>
              <w:ind w:left="0" w:leftChars="0" w:firstLine="0" w:firstLineChars="0"/>
              <w:rPr>
                <w:rFonts w:ascii="宋体" w:hAnsi="宋体" w:cs="宋体"/>
                <w:b/>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8.</w:t>
            </w:r>
            <w:r>
              <w:rPr>
                <w:rFonts w:hint="eastAsia" w:asciiTheme="minorEastAsia" w:hAnsiTheme="minorEastAsia" w:eastAsiaTheme="minorEastAsia"/>
                <w:color w:val="000000" w:themeColor="text1"/>
                <w:highlight w:val="none"/>
                <w14:textFill>
                  <w14:solidFill>
                    <w14:schemeClr w14:val="tx1"/>
                  </w14:solidFill>
                </w14:textFill>
              </w:rPr>
              <w:t>供应商有效的</w:t>
            </w:r>
            <w:r>
              <w:rPr>
                <w:rFonts w:hint="eastAsia" w:cs="仿宋" w:asciiTheme="minorEastAsia" w:hAnsiTheme="minorEastAsia" w:eastAsiaTheme="minorEastAsia"/>
                <w:color w:val="000000" w:themeColor="text1"/>
                <w:szCs w:val="21"/>
                <w:highlight w:val="none"/>
                <w14:textFill>
                  <w14:solidFill>
                    <w14:schemeClr w14:val="tx1"/>
                  </w14:solidFill>
                </w14:textFill>
              </w:rPr>
              <w:t>放射性药品</w:t>
            </w:r>
            <w:r>
              <w:rPr>
                <w:rFonts w:hint="eastAsia" w:asciiTheme="minorEastAsia" w:hAnsiTheme="minorEastAsia" w:eastAsiaTheme="minorEastAsia"/>
                <w:color w:val="000000" w:themeColor="text1"/>
                <w:highlight w:val="none"/>
                <w14:textFill>
                  <w14:solidFill>
                    <w14:schemeClr w14:val="tx1"/>
                  </w14:solidFill>
                </w14:textFill>
              </w:rPr>
              <w:t>经营（生产）及</w:t>
            </w:r>
            <w:r>
              <w:rPr>
                <w:rFonts w:hint="eastAsia" w:cs="仿宋" w:asciiTheme="minorEastAsia" w:hAnsiTheme="minorEastAsia" w:eastAsiaTheme="minorEastAsia"/>
                <w:color w:val="000000" w:themeColor="text1"/>
                <w:szCs w:val="21"/>
                <w:highlight w:val="none"/>
                <w14:textFill>
                  <w14:solidFill>
                    <w14:schemeClr w14:val="tx1"/>
                  </w14:solidFill>
                </w14:textFill>
              </w:rPr>
              <w:t>辐射安全</w:t>
            </w:r>
            <w:r>
              <w:rPr>
                <w:rFonts w:hint="eastAsia" w:asciiTheme="minorEastAsia" w:hAnsiTheme="minorEastAsia" w:eastAsiaTheme="minorEastAsia"/>
                <w:color w:val="000000" w:themeColor="text1"/>
                <w:highlight w:val="none"/>
                <w14:textFill>
                  <w14:solidFill>
                    <w14:schemeClr w14:val="tx1"/>
                  </w14:solidFill>
                </w14:textFill>
              </w:rPr>
              <w:t>相关证明：①供应商为生产企业：须提供《放射性药品生产许可证》、《放射性药品经营许可证》及《辐射安全许可证》；②供应商为经销商：须提供《放射性药品经营许可证》及《辐射安全许可证》</w:t>
            </w:r>
            <w:r>
              <w:rPr>
                <w:rFonts w:hint="eastAsia" w:ascii="宋体" w:hAnsi="宋体" w:cs="仿宋"/>
                <w:color w:val="000000" w:themeColor="text1"/>
                <w:szCs w:val="21"/>
                <w:highlight w:val="none"/>
                <w14:textFill>
                  <w14:solidFill>
                    <w14:schemeClr w14:val="tx1"/>
                  </w14:solidFill>
                </w14:textFill>
              </w:rPr>
              <w:t>；</w:t>
            </w:r>
          </w:p>
          <w:p w14:paraId="3C8DFE36">
            <w:pPr>
              <w:numPr>
                <w:ilvl w:val="0"/>
                <w:numId w:val="0"/>
              </w:numPr>
              <w:spacing w:line="360" w:lineRule="auto"/>
              <w:ind w:left="0" w:leftChars="0" w:firstLine="0" w:firstLineChars="0"/>
              <w:rPr>
                <w:rFonts w:ascii="宋体" w:hAnsi="宋体" w:cs="宋体"/>
                <w:b/>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中小企业声明函或残疾人福利性单位声明函或供应商属于监狱企业的证明材料[省级以上监狱管理局、戒毒管理局(含新疆生产建设兵团)出具]；</w:t>
            </w:r>
          </w:p>
          <w:p w14:paraId="2E5E4060">
            <w:pPr>
              <w:numPr>
                <w:ilvl w:val="0"/>
                <w:numId w:val="0"/>
              </w:numPr>
              <w:spacing w:line="360" w:lineRule="auto"/>
              <w:ind w:left="720" w:leftChars="0" w:hanging="720" w:firstLineChars="0"/>
              <w:rPr>
                <w:rFonts w:ascii="宋体" w:hAnsi="宋体" w:cs="宋体"/>
                <w:color w:val="000000" w:themeColor="text1"/>
                <w:szCs w:val="21"/>
                <w:highlight w:val="none"/>
                <w14:textFill>
                  <w14:solidFill>
                    <w14:schemeClr w14:val="tx1"/>
                  </w14:solidFill>
                </w14:textFill>
              </w:rPr>
            </w:pPr>
            <w:r>
              <w:rPr>
                <w:rFonts w:hint="default" w:ascii="宋体" w:hAnsi="宋体" w:eastAsia="宋体" w:cs="宋体"/>
                <w:b w:val="0"/>
                <w:i w:val="0"/>
                <w:color w:val="000000" w:themeColor="text1"/>
                <w:kern w:val="2"/>
                <w:sz w:val="21"/>
                <w:szCs w:val="21"/>
                <w:highlight w:val="none"/>
                <w:lang w:val="en-US" w:eastAsia="zh-CN" w:bidi="ar-SA"/>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除竞争性磋商文件规定必须提供以外，供应商认为需要提供的其他证明材料。</w:t>
            </w:r>
          </w:p>
          <w:p w14:paraId="70D865C9">
            <w:pPr>
              <w:spacing w:line="360" w:lineRule="auto"/>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1973C521">
            <w:pPr>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分公司参加竞标的，须取得总公司授权（授权书附在主体资格证明之后），否则竞标无效，并认可以总公司名义获得的获奖证书或证明材料作为评审依据及评审要素得分项。</w:t>
            </w:r>
          </w:p>
        </w:tc>
      </w:tr>
      <w:tr w14:paraId="16C7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83D50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92" w:type="dxa"/>
            <w:vAlign w:val="center"/>
          </w:tcPr>
          <w:p w14:paraId="169136DB">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12.1.2</w:t>
            </w:r>
          </w:p>
        </w:tc>
        <w:tc>
          <w:tcPr>
            <w:tcW w:w="7938" w:type="dxa"/>
            <w:vAlign w:val="center"/>
          </w:tcPr>
          <w:p w14:paraId="5BF22EF3">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bookmarkStart w:id="71" w:name="OLE_LINK8"/>
            <w:bookmarkStart w:id="72" w:name="OLE_LINK7"/>
            <w:r>
              <w:rPr>
                <w:rFonts w:hint="eastAsia" w:ascii="宋体" w:hAnsi="宋体" w:cs="宋体"/>
                <w:b/>
                <w:color w:val="000000" w:themeColor="text1"/>
                <w:szCs w:val="21"/>
                <w:highlight w:val="none"/>
                <w14:textFill>
                  <w14:solidFill>
                    <w14:schemeClr w14:val="tx1"/>
                  </w14:solidFill>
                </w14:textFill>
              </w:rPr>
              <w:t>商务技术文件</w:t>
            </w:r>
            <w:bookmarkEnd w:id="71"/>
            <w:bookmarkEnd w:id="72"/>
            <w:r>
              <w:rPr>
                <w:rFonts w:hint="eastAsia" w:ascii="宋体" w:hAnsi="宋体" w:cs="宋体"/>
                <w:b/>
                <w:color w:val="000000" w:themeColor="text1"/>
                <w:szCs w:val="21"/>
                <w:highlight w:val="none"/>
                <w14:textFill>
                  <w14:solidFill>
                    <w14:schemeClr w14:val="tx1"/>
                  </w14:solidFill>
                </w14:textFill>
              </w:rPr>
              <w:t>【第1至6项必须提供</w:t>
            </w:r>
            <w:r>
              <w:rPr>
                <w:rFonts w:hint="eastAsia" w:ascii="宋体" w:hAnsi="宋体" w:cs="宋体"/>
                <w:b/>
                <w:color w:val="000000" w:themeColor="text1"/>
                <w:szCs w:val="21"/>
                <w:highlight w:val="none"/>
                <w14:textFill>
                  <w14:solidFill>
                    <w14:schemeClr w14:val="tx1"/>
                  </w14:solidFill>
                </w14:textFill>
              </w:rPr>
              <w:t>且</w:t>
            </w:r>
            <w:r>
              <w:rPr>
                <w:rFonts w:hint="eastAsia" w:hAnsi="宋体" w:cs="Courier New"/>
                <w:b/>
                <w:color w:val="000000" w:themeColor="text1"/>
                <w:highlight w:val="none"/>
                <w14:textFill>
                  <w14:solidFill>
                    <w14:schemeClr w14:val="tx1"/>
                  </w14:solidFill>
                </w14:textFill>
              </w:rPr>
              <w:t>均要由</w:t>
            </w:r>
            <w:r>
              <w:rPr>
                <w:rFonts w:hint="eastAsia" w:ascii="宋体" w:hAnsi="宋体" w:cs="宋体"/>
                <w:b/>
                <w:color w:val="000000" w:themeColor="text1"/>
                <w:szCs w:val="21"/>
                <w:highlight w:val="none"/>
                <w14:textFill>
                  <w14:solidFill>
                    <w14:schemeClr w14:val="tx1"/>
                  </w14:solidFill>
                </w14:textFill>
              </w:rPr>
              <w:t>法定代表人或委托代理人在规定签章处签字（或者电子签名或加盖电子印章）并加盖供应商电子公章</w:t>
            </w:r>
            <w:r>
              <w:rPr>
                <w:rFonts w:hint="eastAsia" w:ascii="宋体" w:hAnsi="宋体" w:cs="宋体"/>
                <w:b/>
                <w:color w:val="000000" w:themeColor="text1"/>
                <w:szCs w:val="21"/>
                <w:highlight w:val="none"/>
                <w14:textFill>
                  <w14:solidFill>
                    <w14:schemeClr w14:val="tx1"/>
                  </w14:solidFill>
                </w14:textFill>
              </w:rPr>
              <w:t>，否则响应文件按竞标无效处理</w:t>
            </w: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其他如有请提供】：</w:t>
            </w:r>
          </w:p>
          <w:p w14:paraId="67D4A6D0">
            <w:pPr>
              <w:numPr>
                <w:ilvl w:val="0"/>
                <w:numId w:val="8"/>
              </w:numPr>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报价表（按第五章响应文件格式要求填写）；</w:t>
            </w:r>
          </w:p>
          <w:p w14:paraId="1CB4F0DB">
            <w:pPr>
              <w:numPr>
                <w:ilvl w:val="0"/>
                <w:numId w:val="8"/>
              </w:numPr>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无串通竞标行为的承诺函</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6488BF86">
            <w:pPr>
              <w:numPr>
                <w:ilvl w:val="0"/>
                <w:numId w:val="8"/>
              </w:numPr>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商务条款偏离表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6D2859D5">
            <w:pPr>
              <w:numPr>
                <w:ilvl w:val="0"/>
                <w:numId w:val="8"/>
              </w:numPr>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服务需求偏离表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400B3EA2">
            <w:pPr>
              <w:numPr>
                <w:ilvl w:val="0"/>
                <w:numId w:val="8"/>
              </w:numPr>
              <w:spacing w:line="360" w:lineRule="auto"/>
              <w:ind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项目拟投入人员一览表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p>
          <w:p w14:paraId="0A6EA93E">
            <w:pPr>
              <w:numPr>
                <w:ilvl w:val="0"/>
                <w:numId w:val="8"/>
              </w:numPr>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技术方案</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525F6193">
            <w:pPr>
              <w:numPr>
                <w:ilvl w:val="0"/>
                <w:numId w:val="8"/>
              </w:numPr>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对应采购需求的服务需求、商务条款提供的其他文件资料（如有，格式自拟）；</w:t>
            </w:r>
          </w:p>
          <w:p w14:paraId="231925B0">
            <w:pPr>
              <w:numPr>
                <w:ilvl w:val="0"/>
                <w:numId w:val="8"/>
              </w:numPr>
              <w:spacing w:line="360" w:lineRule="auto"/>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供应商认为需要提供的其他有关资料（如有，格式自拟）。</w:t>
            </w:r>
          </w:p>
        </w:tc>
      </w:tr>
      <w:tr w14:paraId="6129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4097051">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92" w:type="dxa"/>
            <w:vAlign w:val="center"/>
          </w:tcPr>
          <w:p w14:paraId="792676D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38" w:type="dxa"/>
            <w:vAlign w:val="center"/>
          </w:tcPr>
          <w:p w14:paraId="3C54A709">
            <w:pPr>
              <w:spacing w:line="360" w:lineRule="auto"/>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000000" w:themeColor="text1"/>
                <w:szCs w:val="21"/>
                <w:highlight w:val="none"/>
                <w14:textFill>
                  <w14:solidFill>
                    <w14:schemeClr w14:val="tx1"/>
                  </w14:solidFill>
                </w14:textFill>
              </w:rPr>
              <w:t>（采购需求另有约定的，从其约定）</w:t>
            </w:r>
          </w:p>
        </w:tc>
      </w:tr>
      <w:tr w14:paraId="14DC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FEC4AB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92" w:type="dxa"/>
            <w:vAlign w:val="center"/>
          </w:tcPr>
          <w:p w14:paraId="76FB5952">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16.2</w:t>
            </w:r>
          </w:p>
        </w:tc>
        <w:tc>
          <w:tcPr>
            <w:tcW w:w="7938" w:type="dxa"/>
            <w:vAlign w:val="center"/>
          </w:tcPr>
          <w:p w14:paraId="239E8EE2">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竞标有效期：自首次响应文件提交截止之日起120日。</w:t>
            </w:r>
          </w:p>
        </w:tc>
      </w:tr>
      <w:tr w14:paraId="0621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11FF9CF">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992" w:type="dxa"/>
            <w:vAlign w:val="center"/>
          </w:tcPr>
          <w:p w14:paraId="22BF6AF8">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17.1</w:t>
            </w:r>
          </w:p>
        </w:tc>
        <w:tc>
          <w:tcPr>
            <w:tcW w:w="7938" w:type="dxa"/>
            <w:vAlign w:val="center"/>
          </w:tcPr>
          <w:p w14:paraId="24776DBC">
            <w:pPr>
              <w:snapToGrid w:val="0"/>
              <w:spacing w:line="360" w:lineRule="auto"/>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磋商保证金金额：应按第一章“竞争性磋商公告”规定交纳（如有），</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p>
          <w:p w14:paraId="14B97D45">
            <w:pPr>
              <w:snapToGrid w:val="0"/>
              <w:spacing w:line="360" w:lineRule="auto"/>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磋商保证金应在竞标有效期内保持有效。</w:t>
            </w:r>
          </w:p>
          <w:p w14:paraId="2B078DD8">
            <w:pPr>
              <w:snapToGrid w:val="0"/>
              <w:spacing w:line="360" w:lineRule="auto"/>
              <w:ind w:firstLine="0" w:firstLineChars="0"/>
              <w:rPr>
                <w:rFonts w:hAnsi="宋体" w:cs="Arial"/>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磋商保证金交纳方式：</w:t>
            </w:r>
            <w:r>
              <w:rPr>
                <w:rFonts w:hint="eastAsia" w:cs="宋体"/>
                <w:color w:val="000000" w:themeColor="text1"/>
                <w:highlight w:val="none"/>
                <w14:textFill>
                  <w14:solidFill>
                    <w14:schemeClr w14:val="tx1"/>
                  </w14:solidFill>
                </w14:textFill>
              </w:rPr>
              <w:t>银行转账、支票、汇票、本票或者金融机构、担保机构出具的保函、保险（含电子保函，下同）等非现金形式交提交，禁止采用现钞交纳方式</w:t>
            </w:r>
            <w:r>
              <w:rPr>
                <w:rFonts w:hint="eastAsia" w:hAnsi="宋体" w:cs="Arial"/>
                <w:color w:val="000000" w:themeColor="text1"/>
                <w:highlight w:val="none"/>
                <w14:textFill>
                  <w14:solidFill>
                    <w14:schemeClr w14:val="tx1"/>
                  </w14:solidFill>
                </w14:textFill>
              </w:rPr>
              <w:t>。</w:t>
            </w:r>
          </w:p>
          <w:p w14:paraId="5BD95FC6">
            <w:pPr>
              <w:snapToGrid w:val="0"/>
              <w:spacing w:line="360" w:lineRule="auto"/>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磋商保证金交纳截止时间：首次响应文件提交截止时间前。</w:t>
            </w:r>
          </w:p>
          <w:p w14:paraId="3D3C13A2">
            <w:pPr>
              <w:snapToGrid w:val="0"/>
              <w:spacing w:line="360" w:lineRule="auto"/>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相关要求：</w:t>
            </w:r>
          </w:p>
          <w:p w14:paraId="44CA0C7C">
            <w:pPr>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64DDAB3">
            <w:pPr>
              <w:snapToGrid w:val="0"/>
              <w:spacing w:line="360" w:lineRule="auto"/>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2.磋商保证金采用支票、汇票、本票或者金融机构、担保机构出具的保函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交纳方式的，供应商应将支票、汇票、本票或者金融机构、担保机构出具的保函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的复印件作为磋商保证金交纳证明，放置于</w:t>
            </w:r>
            <w:r>
              <w:rPr>
                <w:rFonts w:hint="eastAsia" w:ascii="宋体" w:hAnsi="宋体" w:cs="宋体"/>
                <w:color w:val="000000" w:themeColor="text1"/>
                <w:szCs w:val="21"/>
                <w:highlight w:val="none"/>
                <w14:textFill>
                  <w14:solidFill>
                    <w14:schemeClr w14:val="tx1"/>
                  </w14:solidFill>
                </w14:textFill>
              </w:rPr>
              <w:t>报价商务技术文件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在首次响应文件提交截止时间前，供应商应当提交单独密封的支票、汇票、本票或者金融机构、担保机构出具的保函</w:t>
            </w:r>
            <w:r>
              <w:rPr>
                <w:rFonts w:hint="eastAsia" w:hAnsi="宋体" w:cs="Arial"/>
                <w:b/>
                <w:color w:val="000000" w:themeColor="text1"/>
                <w:highlight w:val="none"/>
                <w14:textFill>
                  <w14:solidFill>
                    <w14:schemeClr w14:val="tx1"/>
                  </w14:solidFill>
                </w14:textFill>
              </w:rPr>
              <w:t>、保险</w:t>
            </w:r>
            <w:r>
              <w:rPr>
                <w:rFonts w:hint="eastAsia" w:ascii="宋体" w:hAnsi="宋体"/>
                <w:b/>
                <w:color w:val="000000" w:themeColor="text1"/>
                <w:szCs w:val="21"/>
                <w:highlight w:val="none"/>
                <w14:textFill>
                  <w14:solidFill>
                    <w14:schemeClr w14:val="tx1"/>
                  </w14:solidFill>
                </w14:textFill>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000000" w:themeColor="text1"/>
                <w:highlight w:val="none"/>
                <w14:textFill>
                  <w14:solidFill>
                    <w14:schemeClr w14:val="tx1"/>
                  </w14:solidFill>
                </w14:textFill>
              </w:rPr>
              <w:t>无效的或未能在</w:t>
            </w:r>
            <w:r>
              <w:rPr>
                <w:rFonts w:hint="eastAsia" w:ascii="宋体" w:hAnsi="宋体"/>
                <w:b/>
                <w:color w:val="000000" w:themeColor="text1"/>
                <w:szCs w:val="21"/>
                <w:highlight w:val="none"/>
                <w14:textFill>
                  <w14:solidFill>
                    <w14:schemeClr w14:val="tx1"/>
                  </w14:solidFill>
                </w14:textFill>
              </w:rPr>
              <w:t>首次响应文件提交截止</w:t>
            </w:r>
            <w:r>
              <w:rPr>
                <w:rFonts w:hint="eastAsia"/>
                <w:b/>
                <w:color w:val="000000" w:themeColor="text1"/>
                <w:highlight w:val="none"/>
                <w14:textFill>
                  <w14:solidFill>
                    <w14:schemeClr w14:val="tx1"/>
                  </w14:solidFill>
                </w14:textFill>
              </w:rPr>
              <w:t>时间前提交的，其竞标无效。</w:t>
            </w:r>
            <w:r>
              <w:rPr>
                <w:rFonts w:hint="eastAsia" w:ascii="宋体" w:hAnsi="宋体"/>
                <w:b/>
                <w:color w:val="000000" w:themeColor="text1"/>
                <w:szCs w:val="21"/>
                <w:highlight w:val="none"/>
                <w14:textFill>
                  <w14:solidFill>
                    <w14:schemeClr w14:val="tx1"/>
                  </w14:solidFill>
                </w14:textFill>
              </w:rPr>
              <w:t>支票、汇票、本票或者金融机构、担保机构出具的保函、保险</w:t>
            </w:r>
            <w:r>
              <w:rPr>
                <w:rFonts w:hint="eastAsia"/>
                <w:b/>
                <w:color w:val="000000" w:themeColor="text1"/>
                <w:highlight w:val="none"/>
                <w14:textFill>
                  <w14:solidFill>
                    <w14:schemeClr w14:val="tx1"/>
                  </w14:solidFill>
                </w14:textFill>
              </w:rPr>
              <w:t>必须为无条件的，否则其竞标无效。</w:t>
            </w:r>
          </w:p>
          <w:p w14:paraId="43CBBCD9">
            <w:pPr>
              <w:snapToGrid w:val="0"/>
              <w:spacing w:line="360" w:lineRule="auto"/>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3.供应商为联合体的，可以由联合体中的一方或者多方共同交纳磋商保证金，其交纳的保证金对联合体各方均具有约束力。</w:t>
            </w:r>
          </w:p>
          <w:p w14:paraId="7A18B708">
            <w:pPr>
              <w:snapToGrid w:val="0"/>
              <w:spacing w:line="360" w:lineRule="auto"/>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p w14:paraId="2132A4D2">
            <w:pPr>
              <w:snapToGrid w:val="0"/>
              <w:spacing w:line="360" w:lineRule="auto"/>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1.磋商保证金在响应文件提交截止时间后提交的，或者不按规定交纳方式交纳的，或者未足额交纳的（包含保函、保险额度不足的），视为无效磋商保证金。</w:t>
            </w:r>
          </w:p>
          <w:p w14:paraId="2EE9C9F5">
            <w:pPr>
              <w:snapToGrid w:val="0"/>
              <w:spacing w:line="360" w:lineRule="auto"/>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2.供应商采用现钞方式或者从个人账户（自然人竞标除外）转出的磋商保证金，视为无效磋商保证金。</w:t>
            </w:r>
          </w:p>
          <w:p w14:paraId="59F58249">
            <w:pPr>
              <w:snapToGrid w:val="0"/>
              <w:spacing w:line="360" w:lineRule="auto"/>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3.支票、汇票或者本票出现无效或者背书情形的，视为无效磋商保证金。</w:t>
            </w:r>
          </w:p>
          <w:p w14:paraId="3A9412E5">
            <w:pPr>
              <w:snapToGrid w:val="0"/>
              <w:spacing w:line="360" w:lineRule="auto"/>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4.保函、保险有效期低于竞标有效期的，视为无效磋商保证金。</w:t>
            </w:r>
          </w:p>
          <w:p w14:paraId="5DA5B601">
            <w:pPr>
              <w:snapToGrid w:val="0"/>
              <w:spacing w:line="360" w:lineRule="auto"/>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5.采用金融机构、担保机构出具保函、保险的，必须为无条</w:t>
            </w:r>
            <w:r>
              <w:rPr>
                <w:rFonts w:hint="eastAsia" w:ascii="宋体" w:hAnsi="宋体" w:cs="宋体"/>
                <w:b/>
                <w:color w:val="000000" w:themeColor="text1"/>
                <w:szCs w:val="21"/>
                <w:highlight w:val="none"/>
                <w14:textFill>
                  <w14:solidFill>
                    <w14:schemeClr w14:val="tx1"/>
                  </w14:solidFill>
                </w14:textFill>
              </w:rPr>
              <w:t>件保函</w:t>
            </w:r>
            <w:r>
              <w:rPr>
                <w:rFonts w:hint="eastAsia" w:ascii="宋体" w:hAnsi="宋体"/>
                <w:b/>
                <w:color w:val="000000" w:themeColor="text1"/>
                <w:szCs w:val="21"/>
                <w:highlight w:val="none"/>
                <w14:textFill>
                  <w14:solidFill>
                    <w14:schemeClr w14:val="tx1"/>
                  </w14:solidFill>
                </w14:textFill>
              </w:rPr>
              <w:t>、保险</w:t>
            </w:r>
            <w:r>
              <w:rPr>
                <w:rFonts w:hint="eastAsia" w:ascii="宋体" w:hAnsi="宋体" w:cs="宋体"/>
                <w:b/>
                <w:color w:val="000000" w:themeColor="text1"/>
                <w:szCs w:val="21"/>
                <w:highlight w:val="none"/>
                <w14:textFill>
                  <w14:solidFill>
                    <w14:schemeClr w14:val="tx1"/>
                  </w14:solidFill>
                </w14:textFill>
              </w:rPr>
              <w:t>，否则视为无效磋商保证金。</w:t>
            </w:r>
          </w:p>
          <w:p w14:paraId="394423E6">
            <w:pPr>
              <w:snapToGrid w:val="0"/>
              <w:spacing w:line="360" w:lineRule="auto"/>
              <w:ind w:firstLine="0" w:firstLineChars="0"/>
              <w:rPr>
                <w:rFonts w:ascii="宋体" w:hAnsi="宋体"/>
                <w:b/>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采用磋商保证保险的，保单确定的受益人（本项目采购人）的权益应与采用银行保函形式同等，否则视为无效磋商保证金。</w:t>
            </w:r>
          </w:p>
        </w:tc>
      </w:tr>
      <w:tr w14:paraId="214D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0501764">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92" w:type="dxa"/>
            <w:vAlign w:val="center"/>
          </w:tcPr>
          <w:p w14:paraId="7B9E4206">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18.2</w:t>
            </w:r>
          </w:p>
        </w:tc>
        <w:tc>
          <w:tcPr>
            <w:tcW w:w="7938" w:type="dxa"/>
            <w:vAlign w:val="center"/>
          </w:tcPr>
          <w:p w14:paraId="0157D333">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响应文件份数：按政府采购云平台在线编制要求。</w:t>
            </w:r>
          </w:p>
        </w:tc>
      </w:tr>
      <w:tr w14:paraId="12CB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473426EF">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92" w:type="dxa"/>
            <w:vAlign w:val="center"/>
          </w:tcPr>
          <w:p w14:paraId="36C67F38">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38" w:type="dxa"/>
            <w:vAlign w:val="center"/>
          </w:tcPr>
          <w:p w14:paraId="780B6826">
            <w:pPr>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首次响应文件提交截止时间：详见竞争性磋商公告。</w:t>
            </w:r>
          </w:p>
          <w:p w14:paraId="68A76DB7">
            <w:pPr>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首次响应文件提交地点：详见竞争性磋商公告。</w:t>
            </w:r>
          </w:p>
          <w:p w14:paraId="7A2905AE">
            <w:pPr>
              <w:snapToGrid w:val="0"/>
              <w:spacing w:line="360" w:lineRule="auto"/>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680D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1CD366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992" w:type="dxa"/>
            <w:vAlign w:val="center"/>
          </w:tcPr>
          <w:p w14:paraId="28ADCFC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24.1</w:t>
            </w:r>
          </w:p>
        </w:tc>
        <w:tc>
          <w:tcPr>
            <w:tcW w:w="7938" w:type="dxa"/>
            <w:vAlign w:val="center"/>
          </w:tcPr>
          <w:p w14:paraId="2F082F5A">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w:t>
            </w:r>
          </w:p>
        </w:tc>
      </w:tr>
      <w:tr w14:paraId="3E6A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39F7512">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992" w:type="dxa"/>
            <w:vAlign w:val="center"/>
          </w:tcPr>
          <w:p w14:paraId="775B2B92">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38" w:type="dxa"/>
            <w:vAlign w:val="center"/>
          </w:tcPr>
          <w:p w14:paraId="7FA37FCA">
            <w:pPr>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000000" w:themeColor="text1"/>
                <w:szCs w:val="21"/>
                <w:highlight w:val="none"/>
                <w14:textFill>
                  <w14:solidFill>
                    <w14:schemeClr w14:val="tx1"/>
                  </w14:solidFill>
                </w14:textFill>
              </w:rPr>
              <w:t>响应文件按无效响应处理</w:t>
            </w:r>
            <w:r>
              <w:rPr>
                <w:rFonts w:hint="eastAsia" w:ascii="宋体" w:hAnsi="宋体" w:cs="宋体"/>
                <w:color w:val="000000" w:themeColor="text1"/>
                <w:szCs w:val="21"/>
                <w:highlight w:val="none"/>
                <w14:textFill>
                  <w14:solidFill>
                    <w14:schemeClr w14:val="tx1"/>
                  </w14:solidFill>
                </w14:textFill>
              </w:rPr>
              <w:t xml:space="preserve">。 </w:t>
            </w:r>
          </w:p>
        </w:tc>
      </w:tr>
      <w:tr w14:paraId="6FBD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10" w:type="dxa"/>
            <w:vMerge w:val="restart"/>
            <w:vAlign w:val="center"/>
          </w:tcPr>
          <w:p w14:paraId="1180682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992" w:type="dxa"/>
            <w:vMerge w:val="restart"/>
            <w:vAlign w:val="center"/>
          </w:tcPr>
          <w:p w14:paraId="0628955C">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6.2</w:t>
            </w:r>
          </w:p>
        </w:tc>
        <w:tc>
          <w:tcPr>
            <w:tcW w:w="7938" w:type="dxa"/>
            <w:vAlign w:val="center"/>
          </w:tcPr>
          <w:p w14:paraId="5DF6A131">
            <w:pPr>
              <w:snapToGrid w:val="0"/>
              <w:spacing w:line="360" w:lineRule="auto"/>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商务条款评审中允许负偏离的条款数为</w:t>
            </w:r>
            <w:r>
              <w:rPr>
                <w:rFonts w:hint="eastAsia" w:ascii="宋体" w:hAnsi="宋体" w:cs="宋体"/>
                <w:b/>
                <w:color w:val="000000" w:themeColor="text1"/>
                <w:szCs w:val="21"/>
                <w:highlight w:val="none"/>
                <w:u w:val="single"/>
                <w14:textFill>
                  <w14:solidFill>
                    <w14:schemeClr w14:val="tx1"/>
                  </w14:solidFill>
                </w14:textFill>
              </w:rPr>
              <w:t xml:space="preserve"> 0 </w:t>
            </w:r>
            <w:r>
              <w:rPr>
                <w:rFonts w:hint="eastAsia" w:ascii="宋体" w:hAnsi="宋体" w:cs="宋体"/>
                <w:b/>
                <w:color w:val="000000" w:themeColor="text1"/>
                <w:szCs w:val="21"/>
                <w:highlight w:val="none"/>
                <w14:textFill>
                  <w14:solidFill>
                    <w14:schemeClr w14:val="tx1"/>
                  </w14:solidFill>
                </w14:textFill>
              </w:rPr>
              <w:t>项。</w:t>
            </w:r>
          </w:p>
          <w:p w14:paraId="5992CC89">
            <w:pPr>
              <w:spacing w:line="360" w:lineRule="auto"/>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服务需求评审中允许负偏离的条款数为</w:t>
            </w:r>
            <w:r>
              <w:rPr>
                <w:rFonts w:hint="eastAsia" w:ascii="宋体" w:hAnsi="宋体" w:cs="宋体"/>
                <w:b/>
                <w:color w:val="000000" w:themeColor="text1"/>
                <w:szCs w:val="21"/>
                <w:highlight w:val="none"/>
                <w:u w:val="single"/>
                <w14:textFill>
                  <w14:solidFill>
                    <w14:schemeClr w14:val="tx1"/>
                  </w14:solidFill>
                </w14:textFill>
              </w:rPr>
              <w:t xml:space="preserve"> 0 </w:t>
            </w:r>
            <w:r>
              <w:rPr>
                <w:rFonts w:hint="eastAsia" w:ascii="宋体" w:hAnsi="宋体" w:cs="宋体"/>
                <w:b/>
                <w:color w:val="000000" w:themeColor="text1"/>
                <w:szCs w:val="21"/>
                <w:highlight w:val="none"/>
                <w14:textFill>
                  <w14:solidFill>
                    <w14:schemeClr w14:val="tx1"/>
                  </w14:solidFill>
                </w14:textFill>
              </w:rPr>
              <w:t>项。</w:t>
            </w:r>
          </w:p>
        </w:tc>
      </w:tr>
      <w:tr w14:paraId="314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5509CA0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992" w:type="dxa"/>
            <w:vMerge w:val="continue"/>
            <w:vAlign w:val="center"/>
          </w:tcPr>
          <w:p w14:paraId="7397C5B4">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7938" w:type="dxa"/>
            <w:vAlign w:val="center"/>
          </w:tcPr>
          <w:p w14:paraId="20888AD2">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磋商的顺序：</w:t>
            </w:r>
            <w:r>
              <w:rPr>
                <w:rFonts w:hint="eastAsia" w:ascii="宋体" w:hAnsi="宋体"/>
                <w:color w:val="000000" w:themeColor="text1"/>
                <w:szCs w:val="21"/>
                <w:highlight w:val="none"/>
                <w14:textFill>
                  <w14:solidFill>
                    <w14:schemeClr w14:val="tx1"/>
                  </w14:solidFill>
                </w14:textFill>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50C1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99C93A1">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992" w:type="dxa"/>
            <w:vAlign w:val="center"/>
          </w:tcPr>
          <w:p w14:paraId="66D874F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38" w:type="dxa"/>
            <w:vAlign w:val="center"/>
          </w:tcPr>
          <w:p w14:paraId="46C80E28">
            <w:pPr>
              <w:snapToGrid w:val="0"/>
              <w:spacing w:line="360" w:lineRule="auto"/>
              <w:ind w:firstLine="422"/>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□本项目不收取履约保证金。</w:t>
            </w:r>
          </w:p>
          <w:p w14:paraId="03D3ECBA">
            <w:pPr>
              <w:snapToGrid w:val="0"/>
              <w:spacing w:line="360" w:lineRule="auto"/>
              <w:ind w:firstLine="422"/>
              <w:jc w:val="left"/>
              <w:rPr>
                <w:rFonts w:ascii="宋体" w:hAnsi="宋体"/>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fldChar w:fldCharType="begin"/>
            </w:r>
            <w:r>
              <w:rPr>
                <w:rFonts w:ascii="宋体" w:hAnsi="宋体"/>
                <w:b/>
                <w:bCs/>
                <w:color w:val="000000" w:themeColor="text1"/>
                <w:szCs w:val="21"/>
                <w:highlight w:val="none"/>
                <w14:textFill>
                  <w14:solidFill>
                    <w14:schemeClr w14:val="tx1"/>
                  </w14:solidFill>
                </w14:textFill>
              </w:rPr>
              <w:instrText xml:space="preserve"> </w:instrText>
            </w:r>
            <w:r>
              <w:rPr>
                <w:rFonts w:hint="eastAsia" w:ascii="宋体" w:hAnsi="宋体"/>
                <w:b/>
                <w:bCs/>
                <w:color w:val="000000" w:themeColor="text1"/>
                <w:szCs w:val="21"/>
                <w:highlight w:val="none"/>
                <w14:textFill>
                  <w14:solidFill>
                    <w14:schemeClr w14:val="tx1"/>
                  </w14:solidFill>
                </w14:textFill>
              </w:rPr>
              <w:instrText xml:space="preserve">eq \o\ac(□,√)</w:instrText>
            </w:r>
            <w:r>
              <w:rPr>
                <w:rFonts w:ascii="宋体" w:hAnsi="宋体"/>
                <w:b/>
                <w:bCs/>
                <w:color w:val="000000" w:themeColor="text1"/>
                <w:szCs w:val="21"/>
                <w:highlight w:val="none"/>
                <w14:textFill>
                  <w14:solidFill>
                    <w14:schemeClr w14:val="tx1"/>
                  </w14:solidFill>
                </w14:textFill>
              </w:rPr>
              <w:fldChar w:fldCharType="end"/>
            </w:r>
            <w:r>
              <w:rPr>
                <w:rFonts w:hint="eastAsia" w:ascii="宋体" w:hAnsi="宋体"/>
                <w:b/>
                <w:bCs/>
                <w:color w:val="000000" w:themeColor="text1"/>
                <w:szCs w:val="21"/>
                <w:highlight w:val="none"/>
                <w14:textFill>
                  <w14:solidFill>
                    <w14:schemeClr w14:val="tx1"/>
                  </w14:solidFill>
                </w14:textFill>
              </w:rPr>
              <w:t>本项目收取履约保证金，具体规定如下</w:t>
            </w:r>
            <w:r>
              <w:rPr>
                <w:rFonts w:hint="eastAsia" w:ascii="宋体" w:hAnsi="宋体"/>
                <w:color w:val="000000" w:themeColor="text1"/>
                <w:szCs w:val="21"/>
                <w:highlight w:val="none"/>
                <w14:textFill>
                  <w14:solidFill>
                    <w14:schemeClr w14:val="tx1"/>
                  </w14:solidFill>
                </w14:textFill>
              </w:rPr>
              <w:t>：</w:t>
            </w:r>
          </w:p>
          <w:p w14:paraId="742D4707">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w:t>
            </w:r>
            <w:r>
              <w:rPr>
                <w:rFonts w:hint="eastAsia" w:ascii="宋体" w:hAnsi="宋体" w:cs="宋体"/>
                <w:bCs/>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14:textFill>
                  <w14:solidFill>
                    <w14:schemeClr w14:val="tx1"/>
                  </w14:solidFill>
                </w14:textFill>
              </w:rPr>
              <w:t>金额：</w:t>
            </w:r>
          </w:p>
          <w:p w14:paraId="080ABEDF">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成交供应商为大型企业，须缴纳履约保证金金额：</w:t>
            </w:r>
            <w:r>
              <w:rPr>
                <w:rFonts w:hint="eastAsia" w:ascii="宋体" w:hAnsi="宋体"/>
                <w:b/>
                <w:bCs/>
                <w:color w:val="000000" w:themeColor="text1"/>
                <w:szCs w:val="21"/>
                <w:highlight w:val="none"/>
                <w14:textFill>
                  <w14:solidFill>
                    <w14:schemeClr w14:val="tx1"/>
                  </w14:solidFill>
                </w14:textFill>
              </w:rPr>
              <w:t>合同金额的5</w:t>
            </w:r>
            <w:r>
              <w:rPr>
                <w:rFonts w:ascii="宋体" w:hAnsi="宋体"/>
                <w:b/>
                <w:bCs/>
                <w:color w:val="000000" w:themeColor="text1"/>
                <w:szCs w:val="21"/>
                <w:highlight w:val="none"/>
                <w14:textFill>
                  <w14:solidFill>
                    <w14:schemeClr w14:val="tx1"/>
                  </w14:solidFill>
                </w14:textFill>
              </w:rPr>
              <w:t>%；</w:t>
            </w:r>
          </w:p>
          <w:p w14:paraId="1F493712">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成交供应商为中型企业，须缴纳履约保证金金额：</w:t>
            </w:r>
            <w:r>
              <w:rPr>
                <w:rFonts w:hint="eastAsia" w:ascii="宋体" w:hAnsi="宋体"/>
                <w:b/>
                <w:bCs/>
                <w:color w:val="000000" w:themeColor="text1"/>
                <w:szCs w:val="21"/>
                <w:highlight w:val="none"/>
                <w14:textFill>
                  <w14:solidFill>
                    <w14:schemeClr w14:val="tx1"/>
                  </w14:solidFill>
                </w14:textFill>
              </w:rPr>
              <w:t>合同金额的</w:t>
            </w:r>
            <w:r>
              <w:rPr>
                <w:rFonts w:ascii="宋体" w:hAnsi="宋体"/>
                <w:b/>
                <w:bCs/>
                <w:color w:val="000000" w:themeColor="text1"/>
                <w:szCs w:val="21"/>
                <w:highlight w:val="none"/>
                <w14:textFill>
                  <w14:solidFill>
                    <w14:schemeClr w14:val="tx1"/>
                  </w14:solidFill>
                </w14:textFill>
              </w:rPr>
              <w:t>2%；</w:t>
            </w:r>
          </w:p>
          <w:p w14:paraId="56D28102">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w:t>
            </w:r>
            <w:r>
              <w:rPr>
                <w:rFonts w:hint="eastAsia" w:ascii="宋体" w:hAnsi="宋体" w:cs="宋体"/>
                <w:color w:val="000000" w:themeColor="text1"/>
                <w:szCs w:val="21"/>
                <w:highlight w:val="none"/>
                <w14:textFill>
                  <w14:solidFill>
                    <w14:schemeClr w14:val="tx1"/>
                  </w14:solidFill>
                </w14:textFill>
              </w:rPr>
              <w:t>小微企业或</w:t>
            </w:r>
            <w:r>
              <w:rPr>
                <w:rFonts w:hint="eastAsia" w:ascii="宋体" w:hAnsi="宋体"/>
                <w:color w:val="000000" w:themeColor="text1"/>
                <w:szCs w:val="21"/>
                <w:highlight w:val="none"/>
                <w14:textFill>
                  <w14:solidFill>
                    <w14:schemeClr w14:val="tx1"/>
                  </w14:solidFill>
                </w14:textFill>
              </w:rPr>
              <w:t>监狱</w:t>
            </w:r>
            <w:r>
              <w:rPr>
                <w:rFonts w:hint="eastAsia" w:ascii="宋体" w:hAnsi="宋体" w:cs="宋体"/>
                <w:color w:val="000000" w:themeColor="text1"/>
                <w:szCs w:val="21"/>
                <w:highlight w:val="none"/>
                <w14:textFill>
                  <w14:solidFill>
                    <w14:schemeClr w14:val="tx1"/>
                  </w14:solidFill>
                </w14:textFill>
              </w:rPr>
              <w:t>企业或残疾人福利性单位：</w:t>
            </w:r>
            <w:r>
              <w:rPr>
                <w:rFonts w:hint="eastAsia" w:ascii="宋体" w:hAnsi="宋体" w:cs="宋体"/>
                <w:b/>
                <w:bCs/>
                <w:color w:val="000000" w:themeColor="text1"/>
                <w:szCs w:val="21"/>
                <w:highlight w:val="none"/>
                <w14:textFill>
                  <w14:solidFill>
                    <w14:schemeClr w14:val="tx1"/>
                  </w14:solidFill>
                </w14:textFill>
              </w:rPr>
              <w:t>免收履约保证金。</w:t>
            </w:r>
          </w:p>
          <w:p w14:paraId="64AC10E7">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履约保证金提交及退付方式、时间及条件：</w:t>
            </w:r>
          </w:p>
          <w:p w14:paraId="38114C54">
            <w:pPr>
              <w:snapToGrid w:val="0"/>
              <w:spacing w:line="360" w:lineRule="auto"/>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成交供应商接到成交通知后，必</w:t>
            </w:r>
            <w:r>
              <w:rPr>
                <w:rFonts w:hint="eastAsia" w:ascii="宋体" w:hAnsi="宋体"/>
                <w:color w:val="000000" w:themeColor="text1"/>
                <w:szCs w:val="21"/>
                <w:highlight w:val="none"/>
                <w14:textFill>
                  <w14:solidFill>
                    <w14:schemeClr w14:val="tx1"/>
                  </w14:solidFill>
                </w14:textFill>
              </w:rPr>
              <w:t>须在合同签订前</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日内，成交供应商以银行转账、支票、汇票、本票或者金融机构、担保机构出具的保险、保函（含电子保函，下同）等非现金方式向采购人提交履约保证金</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履约保证金缴纳成功后，</w:t>
            </w:r>
            <w:r>
              <w:rPr>
                <w:rFonts w:hint="eastAsia" w:ascii="宋体" w:hAnsi="宋体"/>
                <w:color w:val="000000" w:themeColor="text1"/>
                <w:szCs w:val="21"/>
                <w:highlight w:val="none"/>
                <w14:textFill>
                  <w14:solidFill>
                    <w14:schemeClr w14:val="tx1"/>
                  </w14:solidFill>
                </w14:textFill>
              </w:rPr>
              <w:t>成交供应商</w:t>
            </w:r>
            <w:r>
              <w:rPr>
                <w:rFonts w:hint="eastAsia" w:ascii="宋体" w:hAnsi="宋体" w:cs="宋体"/>
                <w:bCs/>
                <w:color w:val="000000" w:themeColor="text1"/>
                <w:szCs w:val="21"/>
                <w:highlight w:val="none"/>
                <w14:textFill>
                  <w14:solidFill>
                    <w14:schemeClr w14:val="tx1"/>
                  </w14:solidFill>
                </w14:textFill>
              </w:rPr>
              <w:t>应妥当保管</w:t>
            </w:r>
            <w:r>
              <w:rPr>
                <w:rFonts w:hint="eastAsia" w:ascii="宋体" w:hAnsi="宋体"/>
                <w:color w:val="000000" w:themeColor="text1"/>
                <w:szCs w:val="21"/>
                <w:highlight w:val="none"/>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财务部门提供的收费收据，在合同到期前，提前一个月将收费收据提交至</w:t>
            </w:r>
            <w:r>
              <w:rPr>
                <w:rFonts w:hint="eastAsia" w:ascii="宋体" w:hAnsi="宋体"/>
                <w:color w:val="000000" w:themeColor="text1"/>
                <w:szCs w:val="21"/>
                <w:highlight w:val="none"/>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履约保证金在</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提供所承诺的货物及服务期满后，并收到成交供应商申请后5个工作日内退还全部履约保证金</w:t>
            </w:r>
            <w:r>
              <w:rPr>
                <w:rFonts w:hint="eastAsia" w:ascii="宋体" w:hAnsi="宋体"/>
                <w:color w:val="000000" w:themeColor="text1"/>
                <w:szCs w:val="21"/>
                <w:highlight w:val="none"/>
                <w14:textFill>
                  <w14:solidFill>
                    <w14:schemeClr w14:val="tx1"/>
                  </w14:solidFill>
                </w14:textFill>
              </w:rPr>
              <w:t>（不计利息，如在合同执行过程中违反合同规定或违约，则扣除相应履约保证金后退还剩下履约保证金）。若因</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供应商的原因未在规定时限内缴纳履约保证金的，则视为违约，采购人有权取消其成交资格、拒绝签订合同。若因</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供应商的原因不能签订合同的，不退还履约保证金。在履约保证金退还日期前，若成交供应商的开户名称、开户银行、账号有变动的，请以书面形式通知采购人，否则由此产生的后果由</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供应商自负。</w:t>
            </w:r>
            <w:r>
              <w:rPr>
                <w:rFonts w:hint="eastAsia" w:ascii="宋体" w:hAnsi="宋体"/>
                <w:bCs/>
                <w:color w:val="000000" w:themeColor="text1"/>
                <w:szCs w:val="21"/>
                <w:highlight w:val="none"/>
                <w14:textFill>
                  <w14:solidFill>
                    <w14:schemeClr w14:val="tx1"/>
                  </w14:solidFill>
                </w14:textFill>
              </w:rPr>
              <w:t>若因供应商丢失履约保证金收费收据，导致无法退还或不能及时退还履约保证金的，由供应商自行负责并承担全部责任。</w:t>
            </w:r>
          </w:p>
          <w:p w14:paraId="0AAA0743">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w:t>
            </w:r>
            <w:r>
              <w:rPr>
                <w:rFonts w:hint="eastAsia" w:ascii="宋体" w:hAnsi="宋体" w:cs="宋体"/>
                <w:color w:val="000000" w:themeColor="text1"/>
                <w:szCs w:val="21"/>
                <w:highlight w:val="none"/>
                <w14:textFill>
                  <w14:solidFill>
                    <w14:schemeClr w14:val="tx1"/>
                  </w14:solidFill>
                </w14:textFill>
              </w:rPr>
              <w:t>保证金账户：</w:t>
            </w:r>
          </w:p>
          <w:p w14:paraId="37E55987">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称：柳州市中医医院(柳州市壮医医院）</w:t>
            </w:r>
          </w:p>
          <w:p w14:paraId="74A84EC1">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开户行：交通银行柳州中山东支行</w:t>
            </w:r>
          </w:p>
          <w:p w14:paraId="77E24396">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  号：</w:t>
            </w:r>
            <w:r>
              <w:rPr>
                <w:rFonts w:ascii="宋体" w:hAnsi="宋体" w:cs="宋体"/>
                <w:color w:val="000000" w:themeColor="text1"/>
                <w:szCs w:val="21"/>
                <w:highlight w:val="none"/>
                <w14:textFill>
                  <w14:solidFill>
                    <w14:schemeClr w14:val="tx1"/>
                  </w14:solidFill>
                </w14:textFill>
              </w:rPr>
              <w:t>4520 6050 1018 0000 77552</w:t>
            </w:r>
          </w:p>
          <w:p w14:paraId="3E47CCE6">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转账时注明：××××项目，项目编号××××履约保证金</w:t>
            </w:r>
          </w:p>
          <w:p w14:paraId="638C73B0">
            <w:pPr>
              <w:snapToGrid w:val="0"/>
              <w:spacing w:line="360" w:lineRule="auto"/>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转账的持银行回执复印件（非转账的出具其他保证金递交证明文件）、</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通知书及合同到</w:t>
            </w:r>
            <w:r>
              <w:rPr>
                <w:rFonts w:hint="eastAsia" w:ascii="宋体" w:hAnsi="宋体" w:cs="宋体"/>
                <w:color w:val="000000" w:themeColor="text1"/>
                <w:szCs w:val="21"/>
                <w:highlight w:val="none"/>
                <w14:textFill>
                  <w14:solidFill>
                    <w14:schemeClr w14:val="tx1"/>
                  </w14:solidFill>
                </w14:textFill>
              </w:rPr>
              <w:t>柳州市中医医院(柳州市壮医医院）</w:t>
            </w:r>
            <w:r>
              <w:rPr>
                <w:rFonts w:hint="eastAsia" w:ascii="宋体" w:hAnsi="宋体" w:cs="宋体"/>
                <w:color w:val="000000" w:themeColor="text1"/>
                <w:szCs w:val="21"/>
                <w:highlight w:val="none"/>
                <w14:textFill>
                  <w14:solidFill>
                    <w14:schemeClr w14:val="tx1"/>
                  </w14:solidFill>
                </w14:textFill>
              </w:rPr>
              <w:t>签订合同。</w:t>
            </w:r>
          </w:p>
          <w:p w14:paraId="1E3F0281">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备注：</w:t>
            </w:r>
          </w:p>
          <w:p w14:paraId="724FC0FD">
            <w:pPr>
              <w:snapToGrid w:val="0"/>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1）履约保证金不足额缴纳的，或金融机构、担保机构出具的保险、保函额度不足的或者保险、保函有效期低于合同履行期限（即签订采购合同之日起至履行完合同约定的权利及义务之日止）的，不予签订合同。</w:t>
            </w:r>
          </w:p>
          <w:p w14:paraId="78AB979A">
            <w:pPr>
              <w:snapToGrid w:val="0"/>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（2）采用金融机构、担保机构出具的保险、保函的，必须为无条件保险、保函，否则不予签订合同。</w:t>
            </w:r>
          </w:p>
          <w:p w14:paraId="36B4CA4E">
            <w:pPr>
              <w:spacing w:line="360" w:lineRule="auto"/>
              <w:ind w:firstLine="422"/>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（3）供应商为联合体的，由联合体任意一方</w:t>
            </w:r>
            <w:r>
              <w:rPr>
                <w:rFonts w:hint="eastAsia" w:ascii="宋体" w:hAnsi="宋体"/>
                <w:b/>
                <w:color w:val="000000" w:themeColor="text1"/>
                <w:szCs w:val="21"/>
                <w:highlight w:val="none"/>
                <w14:textFill>
                  <w14:solidFill>
                    <w14:schemeClr w14:val="tx1"/>
                  </w14:solidFill>
                </w14:textFill>
              </w:rPr>
              <w:t>按规定提交的履约保证金，视为有效履约保证金。</w:t>
            </w:r>
          </w:p>
        </w:tc>
      </w:tr>
      <w:tr w14:paraId="3DAA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78ECE8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92" w:type="dxa"/>
            <w:vAlign w:val="center"/>
          </w:tcPr>
          <w:p w14:paraId="7C96C46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38" w:type="dxa"/>
            <w:vAlign w:val="center"/>
          </w:tcPr>
          <w:p w14:paraId="3EF95A57">
            <w:pPr>
              <w:autoSpaceDE w:val="0"/>
              <w:autoSpaceDN w:val="0"/>
              <w:snapToGrid w:val="0"/>
              <w:spacing w:line="360" w:lineRule="auto"/>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7F0B9AFC">
            <w:pPr>
              <w:autoSpaceDE w:val="0"/>
              <w:autoSpaceDN w:val="0"/>
              <w:snapToGrid w:val="0"/>
              <w:spacing w:line="360" w:lineRule="auto"/>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w:t>
            </w:r>
          </w:p>
          <w:p w14:paraId="7B45BE83">
            <w:pPr>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w:t>
            </w:r>
          </w:p>
        </w:tc>
      </w:tr>
      <w:tr w14:paraId="304E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72D65E8">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992" w:type="dxa"/>
            <w:vAlign w:val="center"/>
          </w:tcPr>
          <w:p w14:paraId="03AB4FF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38" w:type="dxa"/>
            <w:vAlign w:val="center"/>
          </w:tcPr>
          <w:p w14:paraId="5E26C882">
            <w:pPr>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14:paraId="10E71C04">
            <w:pPr>
              <w:pStyle w:val="26"/>
              <w:snapToGrid w:val="0"/>
              <w:spacing w:line="360" w:lineRule="auto"/>
              <w:ind w:firstLine="0" w:firstLineChars="0"/>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质疑联系部门及联系方式：广西大德项目管理有限公司招标部，联系电话：0772-2120191，通讯地址：柳州市潭中东路17号华信国际B座910。</w:t>
            </w:r>
          </w:p>
          <w:p w14:paraId="0D2A7171">
            <w:pPr>
              <w:autoSpaceDE w:val="0"/>
              <w:autoSpaceDN w:val="0"/>
              <w:snapToGrid w:val="0"/>
              <w:spacing w:line="360" w:lineRule="auto"/>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业务时间：8时00分到12时00分，1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时00分到</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时00分，</w:t>
            </w:r>
            <w:r>
              <w:rPr>
                <w:rFonts w:hint="eastAsia" w:ascii="宋体" w:hAnsi="宋体"/>
                <w:color w:val="000000" w:themeColor="text1"/>
                <w:szCs w:val="21"/>
                <w:highlight w:val="none"/>
                <w14:textFill>
                  <w14:solidFill>
                    <w14:schemeClr w14:val="tx1"/>
                  </w14:solidFill>
                </w14:textFill>
              </w:rPr>
              <w:t>业务时间以外、双休日和法定节假日不办理业务。</w:t>
            </w:r>
          </w:p>
        </w:tc>
      </w:tr>
      <w:tr w14:paraId="164E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10" w:type="dxa"/>
            <w:vAlign w:val="center"/>
          </w:tcPr>
          <w:p w14:paraId="5385D8A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992" w:type="dxa"/>
            <w:vAlign w:val="center"/>
          </w:tcPr>
          <w:p w14:paraId="50D633F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38" w:type="dxa"/>
            <w:vAlign w:val="center"/>
          </w:tcPr>
          <w:p w14:paraId="4494AA1A">
            <w:pPr>
              <w:snapToGrid w:val="0"/>
              <w:spacing w:line="360" w:lineRule="auto"/>
              <w:ind w:firstLine="0" w:firstLineChars="0"/>
              <w:rPr>
                <w:rFonts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代理服务收费标准：</w:t>
            </w:r>
            <w:r>
              <w:rPr>
                <w:rFonts w:hint="eastAsia" w:hAnsi="宋体"/>
                <w:color w:val="000000" w:themeColor="text1"/>
                <w:highlight w:val="none"/>
                <w14:textFill>
                  <w14:solidFill>
                    <w14:schemeClr w14:val="tx1"/>
                  </w14:solidFill>
                </w14:textFill>
              </w:rPr>
              <w:t>本项目</w:t>
            </w:r>
            <w:r>
              <w:rPr>
                <w:rFonts w:hint="eastAsia" w:hAnsi="宋体"/>
                <w:color w:val="000000" w:themeColor="text1"/>
                <w:highlight w:val="none"/>
                <w14:textFill>
                  <w14:solidFill>
                    <w14:schemeClr w14:val="tx1"/>
                  </w14:solidFill>
                </w14:textFill>
              </w:rPr>
              <w:t>每分标的</w:t>
            </w:r>
            <w:r>
              <w:rPr>
                <w:rFonts w:hint="eastAsia" w:hAnsi="宋体"/>
                <w:color w:val="000000" w:themeColor="text1"/>
                <w:highlight w:val="none"/>
                <w14:textFill>
                  <w14:solidFill>
                    <w14:schemeClr w14:val="tx1"/>
                  </w14:solidFill>
                </w14:textFill>
              </w:rPr>
              <w:t>代理服务费按本须知第32.2款规定的标准采用差额定率累进计费方式下浮20%计算（取整到元），由</w:t>
            </w:r>
            <w:r>
              <w:rPr>
                <w:rFonts w:hint="eastAsia" w:ascii="宋体" w:hAnsi="宋体" w:cs="宋体"/>
                <w:color w:val="000000" w:themeColor="text1"/>
                <w:szCs w:val="21"/>
                <w:highlight w:val="none"/>
                <w14:textFill>
                  <w14:solidFill>
                    <w14:schemeClr w14:val="tx1"/>
                  </w14:solidFill>
                </w14:textFill>
              </w:rPr>
              <w:t>成交供应商在领取成交通知书时，一次性向采购代理机构支付。</w:t>
            </w:r>
          </w:p>
        </w:tc>
      </w:tr>
      <w:tr w14:paraId="3486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EC5280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992" w:type="dxa"/>
            <w:vAlign w:val="center"/>
          </w:tcPr>
          <w:p w14:paraId="4C9DFE9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38" w:type="dxa"/>
            <w:vAlign w:val="center"/>
          </w:tcPr>
          <w:p w14:paraId="643DDE52">
            <w:pPr>
              <w:pStyle w:val="26"/>
              <w:snapToGrid w:val="0"/>
              <w:spacing w:line="360" w:lineRule="auto"/>
              <w:ind w:firstLine="0" w:firstLineChars="0"/>
              <w:rPr>
                <w:rFonts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的各个组成文件应互为解释，互为说明；除</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14:paraId="1648D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31A09D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92" w:type="dxa"/>
            <w:vAlign w:val="center"/>
          </w:tcPr>
          <w:p w14:paraId="08F8540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38" w:type="dxa"/>
            <w:vAlign w:val="center"/>
          </w:tcPr>
          <w:p w14:paraId="39BC38A1">
            <w:pPr>
              <w:pStyle w:val="26"/>
              <w:snapToGrid w:val="0"/>
              <w:spacing w:line="36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4D55926">
            <w:pPr>
              <w:pStyle w:val="26"/>
              <w:snapToGrid w:val="0"/>
              <w:spacing w:line="36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7C9C66C">
            <w:pPr>
              <w:pStyle w:val="26"/>
              <w:snapToGrid w:val="0"/>
              <w:spacing w:line="36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62CDD8E0">
            <w:pPr>
              <w:pStyle w:val="26"/>
              <w:snapToGrid w:val="0"/>
              <w:spacing w:line="36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4.本竞争性磋商文件中描述供应商的“签字”是指供应商的法定代表人或者委托代理人亲自在文件规定签署处亲笔写上个人的名字的行为，私章、签字章、印鉴、影印等其他形式均不能代替亲笔签字。</w:t>
            </w:r>
          </w:p>
          <w:p w14:paraId="0E05F9B2">
            <w:pPr>
              <w:pStyle w:val="26"/>
              <w:snapToGrid w:val="0"/>
              <w:spacing w:line="36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5.本竞争性磋商文件所称的“以上”“以下”“以内”“届满”，包括本数；所称的“不满”“超过”“以外”，不包括本数。</w:t>
            </w:r>
          </w:p>
        </w:tc>
      </w:tr>
    </w:tbl>
    <w:p w14:paraId="04C0A543">
      <w:pPr>
        <w:spacing w:line="48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供应商须知</w:t>
      </w:r>
      <w:r>
        <w:rPr>
          <w:rFonts w:hint="eastAsia" w:ascii="宋体" w:hAnsi="宋体"/>
          <w:b/>
          <w:color w:val="000000" w:themeColor="text1"/>
          <w:sz w:val="32"/>
          <w:szCs w:val="32"/>
          <w:highlight w:val="none"/>
          <w14:textFill>
            <w14:solidFill>
              <w14:schemeClr w14:val="tx1"/>
            </w14:solidFill>
          </w14:textFill>
        </w:rPr>
        <w:t>正文</w:t>
      </w:r>
    </w:p>
    <w:p w14:paraId="6D90A080">
      <w:pPr>
        <w:spacing w:line="480" w:lineRule="exact"/>
        <w:ind w:firstLine="420"/>
        <w:jc w:val="center"/>
        <w:rPr>
          <w:rFonts w:ascii="宋体" w:hAnsi="宋体" w:cs="宋体"/>
          <w:color w:val="000000" w:themeColor="text1"/>
          <w:szCs w:val="21"/>
          <w:highlight w:val="none"/>
          <w14:textFill>
            <w14:solidFill>
              <w14:schemeClr w14:val="tx1"/>
            </w14:solidFill>
          </w14:textFill>
        </w:rPr>
      </w:pPr>
    </w:p>
    <w:p w14:paraId="606A524C">
      <w:pPr>
        <w:spacing w:line="400" w:lineRule="exact"/>
        <w:ind w:firstLine="0"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69E41AED">
      <w:pPr>
        <w:spacing w:line="400" w:lineRule="exact"/>
        <w:ind w:firstLine="420"/>
        <w:rPr>
          <w:rFonts w:ascii="宋体" w:hAnsi="宋体"/>
          <w:color w:val="000000" w:themeColor="text1"/>
          <w:szCs w:val="21"/>
          <w:highlight w:val="none"/>
          <w14:textFill>
            <w14:solidFill>
              <w14:schemeClr w14:val="tx1"/>
            </w14:solidFill>
          </w14:textFill>
        </w:rPr>
      </w:pPr>
    </w:p>
    <w:p w14:paraId="6EE9F6D2">
      <w:pPr>
        <w:spacing w:line="360" w:lineRule="auto"/>
        <w:ind w:firstLine="422"/>
        <w:rPr>
          <w:rFonts w:ascii="黑体" w:hAnsi="黑体" w:eastAsia="黑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1.适用范围</w:t>
      </w:r>
    </w:p>
    <w:p w14:paraId="20AED8B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14:paraId="6EBDADA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本竞争性磋商文件适用于本项目的所有采购程序和环节（法律、法规另有规定的，从其规定）。</w:t>
      </w:r>
    </w:p>
    <w:p w14:paraId="7DBB4464">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2.定义</w:t>
      </w:r>
    </w:p>
    <w:p w14:paraId="143BAC0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14:paraId="5043AAE9">
      <w:pPr>
        <w:spacing w:line="360" w:lineRule="auto"/>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2.2“采购代理机构”是广西大德项目管理有限公司。</w:t>
      </w:r>
    </w:p>
    <w:p w14:paraId="4F009E1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65BD8BFB">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“货物”是指各种形态和种类的物品，包括原材料、燃料、设备、产品等。</w:t>
      </w:r>
    </w:p>
    <w:p w14:paraId="33AFFBC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“服务”是指除货物和工程以外的其他政府采购对象。</w:t>
      </w:r>
    </w:p>
    <w:p w14:paraId="015B6BE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2.6“竞标”是指供应商按照本项目竞争性磋商公告规定的方式获取磋商文件、提交响应文件并希望获得标的的行为。</w:t>
      </w:r>
    </w:p>
    <w:p w14:paraId="2B46FF2B">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14:paraId="5DB7D954">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是指：供应商根据本竞争性磋商文件要求，编制包含资格证明、报价商务技术等所有内容的文件。</w:t>
      </w:r>
    </w:p>
    <w:p w14:paraId="71196682">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2.9“实质性要求”是指竞争性磋商文件中已经指明不满足则响应文件按无效响应处理的条款，或者不允许负偏离的条款，或者采购需求中带“▲”的条款。</w:t>
      </w:r>
    </w:p>
    <w:p w14:paraId="767E7C77">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2.10“正偏离”，是指响应文件对竞争性磋商文件“采购需求”中有关条款作出的响应优于条款要求并有利于采购人的情形。</w:t>
      </w:r>
    </w:p>
    <w:p w14:paraId="6D79C927">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11“负偏离”，是指响应文件对竞争性磋商文件“采购需求”中有关条款作出的响应不满足条款要求，导致采购人要求不能得到满足的情形。</w:t>
      </w:r>
    </w:p>
    <w:p w14:paraId="7426DAF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14:paraId="11AB5B66">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3“首次报价”是指供应商提交的首次响应文件中的报价。</w:t>
      </w:r>
    </w:p>
    <w:p w14:paraId="75DE22E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2.14“评审价”是指供应商提交的最后报价并经修正和政策功能价格扣除后的价格。</w:t>
      </w:r>
    </w:p>
    <w:p w14:paraId="65EE09BA">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3.供应商的资格条件</w:t>
      </w:r>
    </w:p>
    <w:p w14:paraId="77F810B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02A53444">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4.竞标费用</w:t>
      </w:r>
    </w:p>
    <w:p w14:paraId="16D2BFC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供应商应承担参与本次采购活动有关的所有费用，包括但不限于获取竞争性磋商文件、勘查现场、编制和提交响应文件、参加磋商与应答、签订合同等，不论竞标结果如何，均应自行承担。</w:t>
      </w:r>
    </w:p>
    <w:p w14:paraId="2E146CDF">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5.联合体竞标</w:t>
      </w:r>
    </w:p>
    <w:p w14:paraId="60A1723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2CA8761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55C7015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73"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%的扣除，用扣除后的价格参加评审。</w:t>
      </w:r>
      <w:bookmarkEnd w:id="73"/>
    </w:p>
    <w:p w14:paraId="4E8BF851">
      <w:pPr>
        <w:spacing w:line="360" w:lineRule="auto"/>
        <w:ind w:firstLine="422"/>
        <w:rPr>
          <w:rFonts w:ascii="黑体" w:hAnsi="黑体" w:eastAsia="黑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6.转包与分包</w:t>
      </w:r>
      <w:r>
        <w:rPr>
          <w:rFonts w:hint="eastAsia" w:ascii="黑体" w:hAnsi="黑体" w:eastAsia="黑体" w:cs="宋体"/>
          <w:b/>
          <w:bCs/>
          <w:color w:val="000000" w:themeColor="text1"/>
          <w:sz w:val="24"/>
          <w:highlight w:val="none"/>
          <w14:textFill>
            <w14:solidFill>
              <w14:schemeClr w14:val="tx1"/>
            </w14:solidFill>
          </w14:textFill>
        </w:rPr>
        <w:t xml:space="preserve"> </w:t>
      </w:r>
    </w:p>
    <w:p w14:paraId="6AC229B8">
      <w:pPr>
        <w:spacing w:line="360" w:lineRule="auto"/>
        <w:ind w:firstLine="420"/>
        <w:rPr>
          <w:rFonts w:ascii="宋体" w:hAnsi="宋体"/>
          <w:color w:val="000000" w:themeColor="text1"/>
          <w:szCs w:val="21"/>
          <w:highlight w:val="none"/>
          <w14:textFill>
            <w14:solidFill>
              <w14:schemeClr w14:val="tx1"/>
            </w14:solidFill>
          </w14:textFill>
        </w:rPr>
      </w:pPr>
      <w:bookmarkStart w:id="74" w:name="_Toc254970532"/>
      <w:bookmarkStart w:id="75" w:name="_Toc254970673"/>
      <w:r>
        <w:rPr>
          <w:rFonts w:hint="eastAsia" w:ascii="宋体" w:hAnsi="宋体"/>
          <w:color w:val="000000" w:themeColor="text1"/>
          <w:szCs w:val="21"/>
          <w:highlight w:val="none"/>
          <w14:textFill>
            <w14:solidFill>
              <w14:schemeClr w14:val="tx1"/>
            </w14:solidFill>
          </w14:textFill>
        </w:rPr>
        <w:t>6.1本项目不允许转包。</w:t>
      </w:r>
    </w:p>
    <w:p w14:paraId="35C7601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CBD5F6B">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48024D49">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7.特别说明</w:t>
      </w:r>
      <w:bookmarkEnd w:id="74"/>
      <w:bookmarkEnd w:id="75"/>
    </w:p>
    <w:p w14:paraId="1B5BB2F4">
      <w:pPr>
        <w:spacing w:line="360" w:lineRule="auto"/>
        <w:ind w:firstLine="420"/>
        <w:rPr>
          <w:rFonts w:ascii="宋体" w:hAnsi="宋体" w:cs="宋体"/>
          <w:color w:val="000000" w:themeColor="text1"/>
          <w:szCs w:val="21"/>
          <w:highlight w:val="none"/>
          <w14:textFill>
            <w14:solidFill>
              <w14:schemeClr w14:val="tx1"/>
            </w14:solidFill>
          </w14:textFill>
        </w:rPr>
      </w:pPr>
      <w:bookmarkStart w:id="76" w:name="_8.1提供相同品牌产品且通过资格审查、符合性审查的不同投标人参加同一合"/>
      <w:bookmarkEnd w:id="76"/>
      <w:bookmarkStart w:id="77" w:name="_Hlk65832145"/>
      <w:r>
        <w:rPr>
          <w:rFonts w:hint="eastAsia" w:ascii="宋体" w:hAnsi="宋体" w:cs="宋体"/>
          <w:color w:val="000000" w:themeColor="text1"/>
          <w:szCs w:val="21"/>
          <w:highlight w:val="none"/>
          <w14:textFill>
            <w14:solidFill>
              <w14:schemeClr w14:val="tx1"/>
            </w14:solidFill>
          </w14:textFill>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27ECEE6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14:paraId="4783460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7.2服务类项目不设置核心产品，不执行本须知正文第7.1条的规定。</w:t>
      </w:r>
    </w:p>
    <w:p w14:paraId="12234FF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w:t>
      </w:r>
      <w:r>
        <w:rPr>
          <w:rFonts w:hint="eastAsia" w:ascii="宋体" w:hAnsi="宋体"/>
          <w:color w:val="000000" w:themeColor="text1"/>
          <w:szCs w:val="21"/>
          <w:highlight w:val="none"/>
          <w14:textFill>
            <w14:solidFill>
              <w14:schemeClr w14:val="tx1"/>
            </w14:solidFill>
          </w14:textFill>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Cs w:val="21"/>
          <w:highlight w:val="none"/>
          <w14:textFill>
            <w14:solidFill>
              <w14:schemeClr w14:val="tx1"/>
            </w14:solidFill>
          </w14:textFill>
        </w:rPr>
        <w:t>。</w:t>
      </w:r>
    </w:p>
    <w:bookmarkEnd w:id="77"/>
    <w:p w14:paraId="6FC092F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7.4供应商应仔细阅读竞争性磋商文件的所有内容，按照竞争性磋商文件的要求提交响应文件，并对所提供的全部资料的真实性承担法律责任。</w:t>
      </w:r>
    </w:p>
    <w:p w14:paraId="49D424A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A8F7A7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7.6在政府采购活动中，采购人员及相关人员与供应商有下列利害关系之一的，应当回避：</w:t>
      </w:r>
    </w:p>
    <w:p w14:paraId="1D5A89A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3560157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4223BCB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700A7298">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5BDB161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7EEA9D4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9FDC5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7.7有下列情形之一的视为供应商相互串通竞标，响应文件将被视为无效：</w:t>
      </w:r>
    </w:p>
    <w:p w14:paraId="54D40CA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14:paraId="65F56A55">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12FD23A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144DC9A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073D316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519C34CC">
      <w:pPr>
        <w:tabs>
          <w:tab w:val="left" w:pos="6931"/>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14:paraId="70A258C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7.8供应商有下列情形之一的，属于恶意串通行为，将报同级监督管理部门：</w:t>
      </w:r>
    </w:p>
    <w:p w14:paraId="1F351FB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540D88C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26449B4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31059EA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3FA343E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7571D93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2BA66E4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2AE1008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7.9关联供应商不得参加同一合同项下政府采购活动，否则响应文件将被视为无效：</w:t>
      </w:r>
    </w:p>
    <w:p w14:paraId="14DEA62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（1）单位负责人为同一人或者存在直接控股、管理关系的不同的供应商，不得参加同一合同项下的政府采购活动；</w:t>
      </w:r>
    </w:p>
    <w:p w14:paraId="3C99990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（2）生产厂商授权给供应商后自己不得参加同一合同项下的政府采购活动。</w:t>
      </w:r>
    </w:p>
    <w:p w14:paraId="6B8FD650">
      <w:pPr>
        <w:spacing w:line="360" w:lineRule="auto"/>
        <w:ind w:firstLine="420"/>
        <w:rPr>
          <w:rFonts w:ascii="宋体" w:hAnsi="宋体" w:cs="宋体"/>
          <w:color w:val="000000" w:themeColor="text1"/>
          <w:szCs w:val="21"/>
          <w:highlight w:val="none"/>
          <w14:textFill>
            <w14:solidFill>
              <w14:schemeClr w14:val="tx1"/>
            </w14:solidFill>
          </w14:textFill>
        </w:rPr>
      </w:pPr>
    </w:p>
    <w:p w14:paraId="081DAD2F">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bookmarkStart w:id="78" w:name="_Toc254970675"/>
      <w:bookmarkStart w:id="79" w:name="_Toc254970534"/>
      <w:r>
        <w:rPr>
          <w:rFonts w:hint="eastAsia" w:ascii="宋体" w:hAnsi="宋体"/>
          <w:b/>
          <w:bCs/>
          <w:color w:val="000000" w:themeColor="text1"/>
          <w:sz w:val="32"/>
          <w:szCs w:val="32"/>
          <w:highlight w:val="none"/>
          <w14:textFill>
            <w14:solidFill>
              <w14:schemeClr w14:val="tx1"/>
            </w14:solidFill>
          </w14:textFill>
        </w:rPr>
        <w:t>二、磋商文件</w:t>
      </w:r>
      <w:bookmarkEnd w:id="78"/>
      <w:bookmarkEnd w:id="79"/>
    </w:p>
    <w:p w14:paraId="758989C3">
      <w:pPr>
        <w:spacing w:line="360" w:lineRule="auto"/>
        <w:ind w:firstLine="420"/>
        <w:rPr>
          <w:rFonts w:ascii="宋体" w:hAnsi="宋体"/>
          <w:color w:val="000000" w:themeColor="text1"/>
          <w:szCs w:val="21"/>
          <w:highlight w:val="none"/>
          <w14:textFill>
            <w14:solidFill>
              <w14:schemeClr w14:val="tx1"/>
            </w14:solidFill>
          </w14:textFill>
        </w:rPr>
      </w:pPr>
    </w:p>
    <w:p w14:paraId="3876E5B1">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8.磋商文件的构成</w:t>
      </w:r>
    </w:p>
    <w:p w14:paraId="445687D9">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（1）竞争性磋商公告；</w:t>
      </w:r>
    </w:p>
    <w:p w14:paraId="46A673C9">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14:paraId="7AB4CBB2">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14:paraId="04F7582A">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（4）评审程序、评审方法和评审标准；</w:t>
      </w:r>
    </w:p>
    <w:p w14:paraId="1FFDF756">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（5）响应文件格式；</w:t>
      </w:r>
    </w:p>
    <w:p w14:paraId="6D065AEF">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（6）合同文本。</w:t>
      </w:r>
    </w:p>
    <w:p w14:paraId="27DB619C">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9.供应商的询问</w:t>
      </w:r>
    </w:p>
    <w:p w14:paraId="263C6EF9">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供应商应认真阅读竞争性磋商文件的采购需求，如供应商对竞争性磋商文件有疑问的，如要求采购人作出澄清或者修改的，供应商尽可能在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7779FD00">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10.磋商文件的澄清和修改</w:t>
      </w:r>
    </w:p>
    <w:p w14:paraId="1DEBF232">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竞争性磋商文件的供应商，不足3个工作日的，应当顺延提交首次响应文件截止之日。</w:t>
      </w:r>
    </w:p>
    <w:p w14:paraId="7FB7321D">
      <w:pPr>
        <w:spacing w:line="360" w:lineRule="auto"/>
        <w:ind w:firstLine="420"/>
        <w:rPr>
          <w:rFonts w:ascii="宋体" w:hAnsi="宋体"/>
          <w:color w:val="000000" w:themeColor="text1"/>
          <w:szCs w:val="21"/>
          <w:highlight w:val="none"/>
          <w14:textFill>
            <w14:solidFill>
              <w14:schemeClr w14:val="tx1"/>
            </w14:solidFill>
          </w14:textFill>
        </w:rPr>
      </w:pPr>
    </w:p>
    <w:p w14:paraId="320A8D74">
      <w:pPr>
        <w:spacing w:line="360" w:lineRule="auto"/>
        <w:ind w:firstLine="0" w:firstLineChars="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14:paraId="59E16BFD">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11.响应文件的编制原则</w:t>
      </w:r>
    </w:p>
    <w:p w14:paraId="37F8A26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供应商必须按照竞争性磋商文件的要求编制响应文件，并对其提交的响应文件的真实性、合法性承担法律责任。响应文件必须对竞争性磋商文件作出实质性响应。</w:t>
      </w:r>
    </w:p>
    <w:p w14:paraId="587A1211">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12.响应文件的组成</w:t>
      </w:r>
    </w:p>
    <w:p w14:paraId="5E14042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12.1响应文件由资格证明文件、报价商务技术文件两部分组成。</w:t>
      </w:r>
    </w:p>
    <w:p w14:paraId="40F0D856">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2.1.1</w:t>
      </w:r>
      <w:r>
        <w:rPr>
          <w:rFonts w:hint="eastAsia" w:ascii="宋体" w:hAnsi="宋体" w:cs="宋体"/>
          <w:color w:val="000000" w:themeColor="text1"/>
          <w:szCs w:val="21"/>
          <w:highlight w:val="none"/>
          <w14:textFill>
            <w14:solidFill>
              <w14:schemeClr w14:val="tx1"/>
            </w14:solidFill>
          </w14:textFill>
        </w:rPr>
        <w:t>资格证明文件：详见须知前附表</w:t>
      </w:r>
    </w:p>
    <w:p w14:paraId="72A8389A">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2.1.2</w:t>
      </w:r>
      <w:r>
        <w:rPr>
          <w:rFonts w:hint="eastAsia" w:ascii="宋体" w:hAnsi="宋体" w:cs="宋体"/>
          <w:color w:val="000000" w:themeColor="text1"/>
          <w:szCs w:val="21"/>
          <w:highlight w:val="none"/>
          <w14:textFill>
            <w14:solidFill>
              <w14:schemeClr w14:val="tx1"/>
            </w14:solidFill>
          </w14:textFill>
        </w:rPr>
        <w:t>报价商务技术文件：详见须知前附表</w:t>
      </w:r>
    </w:p>
    <w:p w14:paraId="3A905239">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13.计量单位</w:t>
      </w:r>
    </w:p>
    <w:p w14:paraId="4DAF2C4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竞争性磋商文件已有明确规定的，使用竞争性磋商文件规定的计量单位；竞争性磋商文件没有规定的，应采用中华人民共和国法定计量单位，货币种类为人民币，否则视同未响应。</w:t>
      </w:r>
    </w:p>
    <w:p w14:paraId="54434669">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14.竞标的风险</w:t>
      </w:r>
    </w:p>
    <w:p w14:paraId="33F10C1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供应商没有按照竞争性磋商文件要求提供全部资料，或者供应商没有对竞争性磋商文件在各方面作出实质性响应可能导致其响应无效，是供应商应当考虑的风险。</w:t>
      </w:r>
    </w:p>
    <w:p w14:paraId="41691E40">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15.竞标报价</w:t>
      </w:r>
    </w:p>
    <w:p w14:paraId="78BA65EC">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15.1竞标报价应按竞争性磋商文件中“报价表”格式填写。</w:t>
      </w:r>
    </w:p>
    <w:p w14:paraId="21E5056C">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14:paraId="6A0DCF48">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14:paraId="2ED5EF3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14:paraId="60463C89">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（1）供应商必须就“采购需求”中所竞标的全部内容分别作完整唯一总价报价，不得存在漏项报价；</w:t>
      </w:r>
    </w:p>
    <w:p w14:paraId="018D38C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）供应商必须就所竞标的标项的单项内容作唯一报价。</w:t>
      </w:r>
    </w:p>
    <w:p w14:paraId="21C7D81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竞标报价（包含首次报价、最后报价）超过所竞标项（分标）规定的采购预算金额或者最高限价的（如本项目公布了最高限价），其响应文件将作无效处理。</w:t>
      </w:r>
    </w:p>
    <w:p w14:paraId="0AB92A1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3</w:t>
      </w:r>
      <w:bookmarkStart w:id="80"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竞标报价（包含首次报价、最后报价）超过分项采购预算金额或者最高限价的（如本项目公布了最高限价），其响应文件将作无效处理。</w:t>
      </w:r>
    </w:p>
    <w:bookmarkEnd w:id="80"/>
    <w:p w14:paraId="7C8FB95B">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16.竞标有效期</w:t>
      </w:r>
    </w:p>
    <w:p w14:paraId="30C6E53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59532DB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670E9A8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364C0CD5">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17.磋商保证金</w:t>
      </w:r>
    </w:p>
    <w:p w14:paraId="1E9519A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5905E01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517232E3">
      <w:pPr>
        <w:spacing w:line="360" w:lineRule="auto"/>
        <w:ind w:firstLine="420"/>
        <w:rPr>
          <w:rFonts w:ascii="宋体" w:hAnsi="宋体" w:cs="宋体"/>
          <w:color w:val="000000" w:themeColor="text1"/>
          <w:szCs w:val="21"/>
          <w:highlight w:val="none"/>
          <w14:textFill>
            <w14:solidFill>
              <w14:schemeClr w14:val="tx1"/>
            </w14:solidFill>
          </w14:textFill>
        </w:rPr>
      </w:pPr>
      <w:bookmarkStart w:id="81" w:name="_Hlk66782243"/>
      <w:r>
        <w:rPr>
          <w:rFonts w:hint="eastAsia" w:ascii="宋体" w:hAnsi="宋体" w:cs="宋体"/>
          <w:color w:val="000000" w:themeColor="text1"/>
          <w:szCs w:val="21"/>
          <w:highlight w:val="none"/>
          <w14:textFill>
            <w14:solidFill>
              <w14:schemeClr w14:val="tx1"/>
            </w14:solidFill>
          </w14:textFill>
        </w:rPr>
        <w:t>未成交供应商的竞标保证金自成交通知书发出之日起5个工作日内退还；成交供应商的磋商保证金自签订合同之日起5个工作日内退还。</w:t>
      </w:r>
      <w:bookmarkEnd w:id="81"/>
    </w:p>
    <w:p w14:paraId="2516FD3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（1）采用银行转账支付方式的，均以转账方式退回到供应商银行账户。</w:t>
      </w:r>
    </w:p>
    <w:p w14:paraId="7DFCFD25">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（2）采用支票、汇票或本票方式的，以转账方式退回到供应商银行账户或由供应商代表持相关授权证明材料至采购人或采购代理机构办理支票、汇票或本票原件退还手续。 </w:t>
      </w:r>
    </w:p>
    <w:p w14:paraId="6D88704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（3）采用金融机构、担保机构出具的保函、保险方式的，由供应商代表持相关授权证明材料至采购人或采购代理机构办理保函、保险原件退还手续。</w:t>
      </w:r>
    </w:p>
    <w:p w14:paraId="2648F73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14:paraId="583FD5B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23F688D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14:paraId="43EBDB1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（2）未按规定提交履约保证金的；</w:t>
      </w:r>
    </w:p>
    <w:p w14:paraId="4A411CC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14:paraId="3EF90DA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p>
    <w:p w14:paraId="738E7F7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14:paraId="3CBCB4F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2E788077">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18.响应文件编制的要求</w:t>
      </w:r>
    </w:p>
    <w:p w14:paraId="5FE5294C">
      <w:pPr>
        <w:wordWrap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000000" w:themeColor="text1"/>
          <w:spacing w:val="-6"/>
          <w:szCs w:val="21"/>
          <w:highlight w:val="none"/>
          <w14:textFill>
            <w14:solidFill>
              <w14:schemeClr w14:val="tx1"/>
            </w14:solidFill>
          </w14:textFill>
        </w:rPr>
        <w:t>。</w:t>
      </w:r>
    </w:p>
    <w:p w14:paraId="756E412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18.2确保网上操作合法、有效和安全，供应商应当在提交响应文件截止时间前完成在广西政府采购云平台的身份认证，确保在电子竞标过程中能够对相关数据电文进行加密和使用电子签章。</w:t>
      </w:r>
    </w:p>
    <w:p w14:paraId="21C6F26E">
      <w:pPr>
        <w:spacing w:line="360" w:lineRule="auto"/>
        <w:ind w:firstLine="42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w:t>
      </w:r>
      <w:r>
        <w:rPr>
          <w:rFonts w:hint="eastAsia" w:ascii="宋体" w:hAnsi="宋体" w:cs="宋体"/>
          <w:b/>
          <w:color w:val="000000" w:themeColor="text1"/>
          <w:szCs w:val="21"/>
          <w:highlight w:val="none"/>
          <w14:textFill>
            <w14:solidFill>
              <w14:schemeClr w14:val="tx1"/>
            </w14:solidFill>
          </w14:textFill>
        </w:rPr>
        <w:t>响应文件须由供应商在规定位置签字、盖章（具体以供应商须知前附表或响应文件格式规定为准），否则按无效响应处理。</w:t>
      </w:r>
    </w:p>
    <w:p w14:paraId="684F1756">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18.4</w:t>
      </w:r>
      <w:r>
        <w:rPr>
          <w:rFonts w:hint="eastAsia" w:ascii="宋体" w:hAnsi="宋体"/>
          <w:b/>
          <w:color w:val="000000" w:themeColor="text1"/>
          <w:szCs w:val="21"/>
          <w:highlight w:val="none"/>
          <w14:textFill>
            <w14:solidFill>
              <w14:schemeClr w14:val="tx1"/>
            </w14:solidFill>
          </w14:textFill>
        </w:rPr>
        <w:t>供应商应准确设置评审关联点。未设置或设置错误导致响应文件被误读、漏读或者查找不到相关内容的，是供应商的责任</w:t>
      </w:r>
      <w:r>
        <w:rPr>
          <w:rFonts w:hint="eastAsia" w:ascii="宋体" w:hAnsi="宋体" w:cs="宋体"/>
          <w:b/>
          <w:color w:val="000000" w:themeColor="text1"/>
          <w:szCs w:val="21"/>
          <w:highlight w:val="none"/>
          <w14:textFill>
            <w14:solidFill>
              <w14:schemeClr w14:val="tx1"/>
            </w14:solidFill>
          </w14:textFill>
        </w:rPr>
        <w:t>。</w:t>
      </w:r>
    </w:p>
    <w:p w14:paraId="3D3F32F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w:t>
      </w:r>
      <w:r>
        <w:rPr>
          <w:rFonts w:hint="eastAsia" w:ascii="宋体" w:hAnsi="宋体" w:cs="宋体"/>
          <w:b/>
          <w:color w:val="000000" w:themeColor="text1"/>
          <w:szCs w:val="21"/>
          <w:highlight w:val="none"/>
          <w14:textFill>
            <w14:solidFill>
              <w14:schemeClr w14:val="tx1"/>
            </w14:solidFill>
          </w14:textFill>
        </w:rPr>
        <w:t>响应文件所提供的相关材料清晰度应该能够在电脑上被阅读、识别和判断</w:t>
      </w:r>
      <w:r>
        <w:rPr>
          <w:rFonts w:hint="eastAsia" w:ascii="宋体" w:hAnsi="宋体" w:cs="宋体"/>
          <w:color w:val="000000" w:themeColor="text1"/>
          <w:szCs w:val="21"/>
          <w:highlight w:val="none"/>
          <w14:textFill>
            <w14:solidFill>
              <w14:schemeClr w14:val="tx1"/>
            </w14:solidFill>
          </w14:textFill>
        </w:rPr>
        <w:t>。</w:t>
      </w:r>
    </w:p>
    <w:p w14:paraId="3C93A0E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18.6响应文件中标注的供应商名称应与营业执照（事业单位法人证书、执业许可证、自然人身份证）及公章一致，否则其响应文件按无效响应处理。</w:t>
      </w:r>
    </w:p>
    <w:p w14:paraId="068F751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488C94CE">
      <w:pPr>
        <w:wordWrap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19.响应文件应在规定的时间内加密并上传至广西政府采购云平台（https://www.gcy.zfcg.gxzf.gov.cn/）。</w:t>
      </w:r>
    </w:p>
    <w:p w14:paraId="54357050">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20.响应文件的提交</w:t>
      </w:r>
    </w:p>
    <w:p w14:paraId="21227FD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0.1</w:t>
      </w:r>
      <w:r>
        <w:rPr>
          <w:rFonts w:hint="eastAsia" w:ascii="宋体" w:hAnsi="宋体" w:cs="宋体"/>
          <w:color w:val="000000" w:themeColor="text1"/>
          <w:szCs w:val="21"/>
          <w:highlight w:val="none"/>
          <w14:textFill>
            <w14:solidFill>
              <w14:schemeClr w14:val="tx1"/>
            </w14:solidFill>
          </w14:textFill>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438FE9B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0.2</w:t>
      </w:r>
      <w:r>
        <w:rPr>
          <w:rFonts w:hint="eastAsia" w:ascii="宋体" w:hAnsi="宋体" w:cs="宋体"/>
          <w:b/>
          <w:color w:val="000000" w:themeColor="text1"/>
          <w:szCs w:val="21"/>
          <w:highlight w:val="none"/>
          <w14:textFill>
            <w14:solidFill>
              <w14:schemeClr w14:val="tx1"/>
            </w14:solidFill>
          </w14:textFill>
        </w:rPr>
        <w:t>未在规定时间内提交或者未按照磋商文件要求加密的电子响应文件，广西政府采购云平台将拒收。</w:t>
      </w:r>
    </w:p>
    <w:p w14:paraId="03072187">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21.首次响应文件的补充、修改与撤回</w:t>
      </w:r>
    </w:p>
    <w:p w14:paraId="439DE30D">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B1C4D9B">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21.2在提交响应文件截止时间前，除供应商补充、修改或者撤回响应文件外，任何单位和个人不得解密或提取响应文件</w:t>
      </w:r>
    </w:p>
    <w:p w14:paraId="27DA02A9">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22.响应文件的退回</w:t>
      </w:r>
    </w:p>
    <w:p w14:paraId="71A4CE94">
      <w:pPr>
        <w:spacing w:line="360" w:lineRule="auto"/>
        <w:ind w:firstLine="420"/>
        <w:rPr>
          <w:rFonts w:ascii="宋体" w:hAns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采购人和采购代理机构对已提交的响应文件概不退回</w:t>
      </w:r>
      <w:r>
        <w:rPr>
          <w:rFonts w:hint="eastAsia" w:ascii="宋体" w:hAnsi="宋体" w:cs="宋体"/>
          <w:color w:val="000000" w:themeColor="text1"/>
          <w:szCs w:val="21"/>
          <w:highlight w:val="none"/>
          <w14:textFill>
            <w14:solidFill>
              <w14:schemeClr w14:val="tx1"/>
            </w14:solidFill>
          </w14:textFill>
        </w:rPr>
        <w:t>。</w:t>
      </w:r>
    </w:p>
    <w:p w14:paraId="5A960504">
      <w:p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23.截止时间后的撤回</w:t>
      </w:r>
    </w:p>
    <w:p w14:paraId="484B5108">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供应商在响应文件提交截止时间后向采购人、采购代理机构书面申请撤回响应文件的，将根据本须知正文17.4的规定不予退还其磋商保证金。</w:t>
      </w:r>
    </w:p>
    <w:p w14:paraId="0C706CF0">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p>
    <w:p w14:paraId="500FDC2C">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14:paraId="0B7E6B8A">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24.磋商小组成立及响应文件的开启</w:t>
      </w:r>
    </w:p>
    <w:p w14:paraId="0BF041A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13B08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683DD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24.3采购代理机构应当基于广西政府采购云平台抽（选）取评审专家。</w:t>
      </w:r>
    </w:p>
    <w:p w14:paraId="0318C17D">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25.</w:t>
      </w:r>
      <w:r>
        <w:rPr>
          <w:rFonts w:hint="eastAsia" w:ascii="宋体" w:hAnsi="宋体" w:cs="宋体"/>
          <w:b/>
          <w:color w:val="000000" w:themeColor="text1"/>
          <w:szCs w:val="21"/>
          <w:highlight w:val="none"/>
          <w14:textFill>
            <w14:solidFill>
              <w14:schemeClr w14:val="tx1"/>
            </w14:solidFill>
          </w14:textFill>
        </w:rPr>
        <w:t>首次响应文件的开启：</w:t>
      </w:r>
      <w:r>
        <w:rPr>
          <w:rFonts w:hint="eastAsia" w:ascii="宋体" w:hAnsi="宋体" w:cs="宋体"/>
          <w:color w:val="000000" w:themeColor="text1"/>
          <w:szCs w:val="21"/>
          <w:highlight w:val="none"/>
          <w14:textFill>
            <w14:solidFill>
              <w14:schemeClr w14:val="tx1"/>
            </w14:solidFill>
          </w14:textFill>
        </w:rPr>
        <w:t>具体详见“供应商须知前附表”。</w:t>
      </w:r>
    </w:p>
    <w:p w14:paraId="67C39939">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26</w:t>
      </w:r>
      <w:r>
        <w:rPr>
          <w:rFonts w:hint="eastAsia" w:ascii="宋体" w:hAnsi="宋体" w:cs="宋体"/>
          <w:b/>
          <w:color w:val="000000" w:themeColor="text1"/>
          <w:szCs w:val="21"/>
          <w:highlight w:val="none"/>
          <w14:textFill>
            <w14:solidFill>
              <w14:schemeClr w14:val="tx1"/>
            </w14:solidFill>
          </w14:textFill>
        </w:rPr>
        <w:t>.评审程序、评审方法和评审标准</w:t>
      </w:r>
    </w:p>
    <w:p w14:paraId="55D9FE1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14:paraId="26F6B0A6">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p>
    <w:p w14:paraId="60E38B6C">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27</w:t>
      </w:r>
      <w:r>
        <w:rPr>
          <w:rFonts w:hint="eastAsia" w:ascii="宋体" w:hAnsi="宋体" w:cs="宋体"/>
          <w:b/>
          <w:color w:val="000000" w:themeColor="text1"/>
          <w:szCs w:val="21"/>
          <w:highlight w:val="none"/>
          <w14:textFill>
            <w14:solidFill>
              <w14:schemeClr w14:val="tx1"/>
            </w14:solidFill>
          </w14:textFill>
        </w:rPr>
        <w:t>.确定成交供应商及结果公告</w:t>
      </w:r>
    </w:p>
    <w:p w14:paraId="14689424">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07DDC2">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2"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82"/>
    </w:p>
    <w:p w14:paraId="47D3033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7.3</w:t>
      </w:r>
      <w:r>
        <w:rPr>
          <w:rFonts w:hint="eastAsia" w:ascii="宋体" w:hAnsi="宋体" w:cs="宋体"/>
          <w:color w:val="000000" w:themeColor="text1"/>
          <w:szCs w:val="21"/>
          <w:highlight w:val="none"/>
          <w14:textFill>
            <w14:solidFill>
              <w14:schemeClr w14:val="tx1"/>
            </w14:solidFill>
          </w14:textFill>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52E2C9F">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27.4</w:t>
      </w:r>
      <w:r>
        <w:rPr>
          <w:rFonts w:hint="eastAsia" w:ascii="宋体" w:hAnsi="宋体"/>
          <w:bCs/>
          <w:color w:val="000000" w:themeColor="text1"/>
          <w:szCs w:val="21"/>
          <w:highlight w:val="none"/>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7727D9E">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28</w:t>
      </w:r>
      <w:r>
        <w:rPr>
          <w:rFonts w:hint="eastAsia" w:ascii="宋体" w:hAnsi="宋体" w:cs="宋体"/>
          <w:b/>
          <w:color w:val="000000" w:themeColor="text1"/>
          <w:szCs w:val="21"/>
          <w:highlight w:val="none"/>
          <w14:textFill>
            <w14:solidFill>
              <w14:schemeClr w14:val="tx1"/>
            </w14:solidFill>
          </w14:textFill>
        </w:rPr>
        <w:t>.履约保证金</w:t>
      </w:r>
    </w:p>
    <w:p w14:paraId="5E49F688">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.1履约保证金的金额、提交方式、退付的时间和条件详见“供应商须知前附表”。成交供应商未按规定提交履约保证金的，视为拒绝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签订合同，采购人可以按照评审报告推荐的成交候选人名单排序，确定下一候选人为成交供应商，也可以重新开展政府采购活动。</w:t>
      </w:r>
    </w:p>
    <w:p w14:paraId="56839AF8">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14:paraId="11DCF496">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14:paraId="649FE5D2">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29</w:t>
      </w:r>
      <w:r>
        <w:rPr>
          <w:rFonts w:hint="eastAsia" w:ascii="宋体" w:hAnsi="宋体" w:cs="宋体"/>
          <w:b/>
          <w:color w:val="000000" w:themeColor="text1"/>
          <w:szCs w:val="21"/>
          <w:highlight w:val="none"/>
          <w14:textFill>
            <w14:solidFill>
              <w14:schemeClr w14:val="tx1"/>
            </w14:solidFill>
          </w14:textFill>
        </w:rPr>
        <w:t>.签订合同</w:t>
      </w:r>
    </w:p>
    <w:p w14:paraId="6540A67E">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r>
        <w:rPr>
          <w:rFonts w:hint="eastAsia" w:ascii="宋体" w:hAnsi="宋体" w:cs="宋体"/>
          <w:color w:val="000000" w:themeColor="text1"/>
          <w:szCs w:val="21"/>
          <w:highlight w:val="none"/>
          <w14:textFill>
            <w14:solidFill>
              <w14:schemeClr w14:val="tx1"/>
            </w14:solidFill>
          </w14:textFill>
        </w:rPr>
        <w:t>成交供应商在收到成交通知书后，应当在签订合同时向采购人出示相关证明材料，具体内容详见 “供应商须知前附表”，经采购人核验合格后方可签订合同。</w:t>
      </w:r>
    </w:p>
    <w:p w14:paraId="7C401D9D">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.2签订合同时间：按成交通知书规定的时间与采购人签订政府采购合同。</w:t>
      </w:r>
    </w:p>
    <w:p w14:paraId="42BD1B2D">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Courier New"/>
          <w:color w:val="000000" w:themeColor="text1"/>
          <w:szCs w:val="21"/>
          <w:highlight w:val="none"/>
          <w14:textFill>
            <w14:solidFill>
              <w14:schemeClr w14:val="tx1"/>
            </w14:solidFill>
          </w14:textFill>
        </w:rPr>
        <w:t>成交供应商拒绝签订政府采购和或者放弃成交或者因不可抗力提出不能履行合同</w:t>
      </w:r>
      <w:r>
        <w:rPr>
          <w:rFonts w:hint="eastAsia" w:ascii="宋体" w:hAnsi="宋体" w:cs="宋体"/>
          <w:color w:val="000000" w:themeColor="text1"/>
          <w:szCs w:val="21"/>
          <w:highlight w:val="none"/>
          <w14:textFill>
            <w14:solidFill>
              <w14:schemeClr w14:val="tx1"/>
            </w14:solidFill>
          </w14:textFill>
        </w:rPr>
        <w:t>，采购人可以按照评审报告推荐的成交候选人名单排序，确定下一候选人为成交供应商，也可以重新开展政府采购活动。拒绝签订政府采购合同的成交供应商不得参加对该合同项重新开展的采购活动。</w:t>
      </w:r>
    </w:p>
    <w:p w14:paraId="6BC87306">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30</w:t>
      </w:r>
      <w:r>
        <w:rPr>
          <w:rFonts w:hint="eastAsia" w:ascii="宋体" w:hAnsi="宋体" w:cs="宋体"/>
          <w:b/>
          <w:color w:val="000000" w:themeColor="text1"/>
          <w:szCs w:val="21"/>
          <w:highlight w:val="none"/>
          <w14:textFill>
            <w14:solidFill>
              <w14:schemeClr w14:val="tx1"/>
            </w14:solidFill>
          </w14:textFill>
        </w:rPr>
        <w:t>.政府采购合同公告</w:t>
      </w:r>
    </w:p>
    <w:p w14:paraId="03F199A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6A15C49">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31</w:t>
      </w:r>
      <w:r>
        <w:rPr>
          <w:rFonts w:hint="eastAsia" w:ascii="宋体" w:hAnsi="宋体" w:cs="宋体"/>
          <w:b/>
          <w:color w:val="000000" w:themeColor="text1"/>
          <w:szCs w:val="21"/>
          <w:highlight w:val="none"/>
          <w14:textFill>
            <w14:solidFill>
              <w14:schemeClr w14:val="tx1"/>
            </w14:solidFill>
          </w14:textFill>
        </w:rPr>
        <w:t>.询问、质疑和投诉</w:t>
      </w:r>
    </w:p>
    <w:p w14:paraId="575E3F93">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14:paraId="55B9C930">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536807A9">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（1）对可以质疑的竞争性磋商文件提出质疑的，为收到竞争性磋商文件之日或者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14:textFill>
            <w14:solidFill>
              <w14:schemeClr w14:val="tx1"/>
            </w14:solidFill>
          </w14:textFill>
        </w:rPr>
        <w:t>；</w:t>
      </w:r>
    </w:p>
    <w:p w14:paraId="58FAB456">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14:paraId="24E52E32">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0729FDAC">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0F56A3A">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.4供应商提出质疑应当提交质疑函和必要的证明材料，针对同一采购程序环节的质疑必须在法定质疑期内一次性提出。质疑函应当包括下列内容：</w:t>
      </w:r>
    </w:p>
    <w:p w14:paraId="11F91C7F">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1CC6FD7E">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18F79DF2">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6E731837">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5074E4E0">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2F7D389F">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71F1FE08">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6BAB63AD">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291BDDE8">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（1）对竞争性磋商文件提出的质疑，依法通过澄清或者修改可以继续开展采购活动的，澄清或者修改竞争性磋商文件后继续开展采购活动；否则应当修改竞争性磋商文件后重新开展采购活动。</w:t>
      </w:r>
    </w:p>
    <w:p w14:paraId="2D1CE313">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（2）对采购过程或者成交结果提出的质疑，合格供应商符合法定数量时，可以从合格的成交候选人中另行确定成交供应商的，应当依法另行确定成交供应商；否则应当重新开展采购活动。</w:t>
      </w:r>
    </w:p>
    <w:p w14:paraId="484028EB">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606E911E">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CC20C42">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32</w:t>
      </w:r>
      <w:r>
        <w:rPr>
          <w:rFonts w:hint="eastAsia" w:ascii="宋体" w:hAnsi="宋体" w:cs="宋体"/>
          <w:b/>
          <w:color w:val="000000" w:themeColor="text1"/>
          <w:szCs w:val="21"/>
          <w:highlight w:val="none"/>
          <w14:textFill>
            <w14:solidFill>
              <w14:schemeClr w14:val="tx1"/>
            </w14:solidFill>
          </w14:textFill>
        </w:rPr>
        <w:t>.其他内容</w:t>
      </w:r>
    </w:p>
    <w:p w14:paraId="0B5D0A16">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.1代理服务收费标准详见“供应商须知前附表”，供应商为联合体的，可以由联合体中的一方或者多方共同交纳代理服务费。</w:t>
      </w:r>
    </w:p>
    <w:p w14:paraId="0B5893C2">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522E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02941E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14:paraId="29D33A1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842" w:type="dxa"/>
            <w:vAlign w:val="center"/>
          </w:tcPr>
          <w:p w14:paraId="2768CDD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843" w:type="dxa"/>
            <w:vAlign w:val="center"/>
          </w:tcPr>
          <w:p w14:paraId="7AAD752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843" w:type="dxa"/>
            <w:vAlign w:val="center"/>
          </w:tcPr>
          <w:p w14:paraId="6B73BD38">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14:paraId="0BC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DD7B74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842" w:type="dxa"/>
          </w:tcPr>
          <w:p w14:paraId="079E95A8">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1.5%                </w:t>
            </w:r>
          </w:p>
        </w:tc>
        <w:tc>
          <w:tcPr>
            <w:tcW w:w="1843" w:type="dxa"/>
          </w:tcPr>
          <w:p w14:paraId="69DFFB8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843" w:type="dxa"/>
          </w:tcPr>
          <w:p w14:paraId="50C0B43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1.0% </w:t>
            </w:r>
          </w:p>
        </w:tc>
      </w:tr>
      <w:tr w14:paraId="47E1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07C2E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842" w:type="dxa"/>
          </w:tcPr>
          <w:p w14:paraId="3FCD8A50">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843" w:type="dxa"/>
          </w:tcPr>
          <w:p w14:paraId="4B3FE9D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0.8%</w:t>
            </w:r>
          </w:p>
        </w:tc>
        <w:tc>
          <w:tcPr>
            <w:tcW w:w="1843" w:type="dxa"/>
          </w:tcPr>
          <w:p w14:paraId="6DFAC19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0.7% </w:t>
            </w:r>
          </w:p>
        </w:tc>
      </w:tr>
      <w:tr w14:paraId="4730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5B975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842" w:type="dxa"/>
          </w:tcPr>
          <w:p w14:paraId="50CA5B1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0.8%                </w:t>
            </w:r>
          </w:p>
        </w:tc>
        <w:tc>
          <w:tcPr>
            <w:tcW w:w="1843" w:type="dxa"/>
          </w:tcPr>
          <w:p w14:paraId="7E167EA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0.45%</w:t>
            </w:r>
          </w:p>
        </w:tc>
        <w:tc>
          <w:tcPr>
            <w:tcW w:w="1843" w:type="dxa"/>
          </w:tcPr>
          <w:p w14:paraId="400627C2">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0.55%</w:t>
            </w:r>
          </w:p>
        </w:tc>
      </w:tr>
      <w:tr w14:paraId="780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A7C85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842" w:type="dxa"/>
          </w:tcPr>
          <w:p w14:paraId="0EBD79E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w:t>
            </w:r>
          </w:p>
        </w:tc>
        <w:tc>
          <w:tcPr>
            <w:tcW w:w="1843" w:type="dxa"/>
          </w:tcPr>
          <w:p w14:paraId="15FAC45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0.25%</w:t>
            </w:r>
          </w:p>
        </w:tc>
        <w:tc>
          <w:tcPr>
            <w:tcW w:w="1843" w:type="dxa"/>
          </w:tcPr>
          <w:p w14:paraId="504B68F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0.35% </w:t>
            </w:r>
          </w:p>
        </w:tc>
      </w:tr>
      <w:tr w14:paraId="27EB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69286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842" w:type="dxa"/>
          </w:tcPr>
          <w:p w14:paraId="41409D8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0.25%</w:t>
            </w:r>
          </w:p>
        </w:tc>
        <w:tc>
          <w:tcPr>
            <w:tcW w:w="1843" w:type="dxa"/>
          </w:tcPr>
          <w:p w14:paraId="66E7821B">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0.1%</w:t>
            </w:r>
          </w:p>
        </w:tc>
        <w:tc>
          <w:tcPr>
            <w:tcW w:w="1843" w:type="dxa"/>
          </w:tcPr>
          <w:p w14:paraId="5A7725A4">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w:t>
            </w:r>
          </w:p>
        </w:tc>
      </w:tr>
      <w:tr w14:paraId="7AE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950B7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842" w:type="dxa"/>
          </w:tcPr>
          <w:p w14:paraId="10E59A11">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43" w:type="dxa"/>
          </w:tcPr>
          <w:p w14:paraId="53543CB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43" w:type="dxa"/>
          </w:tcPr>
          <w:p w14:paraId="61AB123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r>
      <w:tr w14:paraId="22BA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6009D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842" w:type="dxa"/>
          </w:tcPr>
          <w:p w14:paraId="0D678BA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43" w:type="dxa"/>
          </w:tcPr>
          <w:p w14:paraId="58653EC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43" w:type="dxa"/>
          </w:tcPr>
          <w:p w14:paraId="3F25A86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14:paraId="3084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A6C08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842" w:type="dxa"/>
          </w:tcPr>
          <w:p w14:paraId="2534F19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43" w:type="dxa"/>
          </w:tcPr>
          <w:p w14:paraId="7B24A26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43" w:type="dxa"/>
          </w:tcPr>
          <w:p w14:paraId="4776B82F">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14:paraId="50A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9D9FA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842" w:type="dxa"/>
          </w:tcPr>
          <w:p w14:paraId="6A039DE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43" w:type="dxa"/>
          </w:tcPr>
          <w:p w14:paraId="27CE13C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43" w:type="dxa"/>
          </w:tcPr>
          <w:p w14:paraId="27D9266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14:paraId="41AA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8CFD38">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842" w:type="dxa"/>
          </w:tcPr>
          <w:p w14:paraId="43DB150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43" w:type="dxa"/>
          </w:tcPr>
          <w:p w14:paraId="46C3670B">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43" w:type="dxa"/>
          </w:tcPr>
          <w:p w14:paraId="5154EA3C">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14:paraId="404C8028">
      <w:pPr>
        <w:spacing w:line="360" w:lineRule="auto"/>
        <w:ind w:firstLine="42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14:paraId="51DD6675">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按本表费率计算的收费为</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代理的收费基准价格</w:t>
      </w:r>
      <w:r>
        <w:rPr>
          <w:rFonts w:hint="eastAsia" w:ascii="宋体" w:hAnsi="宋体" w:cs="宋体"/>
          <w:color w:val="000000" w:themeColor="text1"/>
          <w:szCs w:val="21"/>
          <w:highlight w:val="none"/>
          <w14:textFill>
            <w14:solidFill>
              <w14:schemeClr w14:val="tx1"/>
            </w14:solidFill>
          </w14:textFill>
        </w:rPr>
        <w:t>；</w:t>
      </w:r>
    </w:p>
    <w:p w14:paraId="35B06DDF">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w:t>
      </w:r>
      <w:r>
        <w:rPr>
          <w:rFonts w:ascii="宋体" w:hAnsi="宋体" w:cs="宋体"/>
          <w:color w:val="000000" w:themeColor="text1"/>
          <w:szCs w:val="21"/>
          <w:highlight w:val="none"/>
          <w14:textFill>
            <w14:solidFill>
              <w14:schemeClr w14:val="tx1"/>
            </w14:solidFill>
          </w14:textFill>
        </w:rPr>
        <w:t>代理收费按差额定率累进法计算。</w:t>
      </w:r>
    </w:p>
    <w:p w14:paraId="4C73D5E8">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例如：某</w:t>
      </w:r>
      <w:r>
        <w:rPr>
          <w:rFonts w:hint="eastAsia" w:ascii="宋体" w:hAnsi="宋体" w:cs="宋体"/>
          <w:color w:val="000000" w:themeColor="text1"/>
          <w:szCs w:val="21"/>
          <w:highlight w:val="none"/>
          <w14:textFill>
            <w14:solidFill>
              <w14:schemeClr w14:val="tx1"/>
            </w14:solidFill>
          </w14:textFill>
        </w:rPr>
        <w:t>服务采购</w:t>
      </w:r>
      <w:r>
        <w:rPr>
          <w:rFonts w:ascii="宋体" w:hAnsi="宋体" w:cs="宋体"/>
          <w:color w:val="000000" w:themeColor="text1"/>
          <w:szCs w:val="21"/>
          <w:highlight w:val="none"/>
          <w14:textFill>
            <w14:solidFill>
              <w14:schemeClr w14:val="tx1"/>
            </w14:solidFill>
          </w14:textFill>
        </w:rPr>
        <w:t>代理业务</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金额</w:t>
      </w:r>
      <w:r>
        <w:rPr>
          <w:rFonts w:hint="eastAsia" w:ascii="宋体" w:hAnsi="宋体" w:cs="宋体"/>
          <w:color w:val="000000" w:themeColor="text1"/>
          <w:szCs w:val="21"/>
          <w:highlight w:val="none"/>
          <w14:textFill>
            <w14:solidFill>
              <w14:schemeClr w14:val="tx1"/>
            </w14:solidFill>
          </w14:textFill>
        </w:rPr>
        <w:t>或者暂定价</w:t>
      </w:r>
      <w:r>
        <w:rPr>
          <w:rFonts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14:textFill>
            <w14:solidFill>
              <w14:schemeClr w14:val="tx1"/>
            </w14:solidFill>
          </w14:textFill>
        </w:rPr>
        <w:t>200</w:t>
      </w:r>
      <w:r>
        <w:rPr>
          <w:rFonts w:ascii="宋体" w:hAnsi="宋体" w:cs="宋体"/>
          <w:color w:val="000000" w:themeColor="text1"/>
          <w:szCs w:val="21"/>
          <w:highlight w:val="none"/>
          <w14:textFill>
            <w14:solidFill>
              <w14:schemeClr w14:val="tx1"/>
            </w14:solidFill>
          </w14:textFill>
        </w:rPr>
        <w:t>万元，计算</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代理收费额如下：</w:t>
      </w:r>
    </w:p>
    <w:p w14:paraId="12E21394">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100万元×l.5%＝1.5万元</w:t>
      </w:r>
    </w:p>
    <w:p w14:paraId="0615D6A2">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200</w:t>
      </w:r>
      <w:r>
        <w:rPr>
          <w:rFonts w:ascii="宋体" w:hAnsi="宋体" w:cs="宋体"/>
          <w:color w:val="000000" w:themeColor="text1"/>
          <w:szCs w:val="21"/>
          <w:highlight w:val="none"/>
          <w14:textFill>
            <w14:solidFill>
              <w14:schemeClr w14:val="tx1"/>
            </w14:solidFill>
          </w14:textFill>
        </w:rPr>
        <w:t>－100）万元×0.8%＝0.</w:t>
      </w: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万元</w:t>
      </w:r>
    </w:p>
    <w:p w14:paraId="0ED7AB5E">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合计收费＝1.5＋0.</w:t>
      </w: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2.3</w:t>
      </w:r>
      <w:r>
        <w:rPr>
          <w:rFonts w:ascii="宋体" w:hAnsi="宋体" w:cs="宋体"/>
          <w:color w:val="000000" w:themeColor="text1"/>
          <w:szCs w:val="21"/>
          <w:highlight w:val="none"/>
          <w14:textFill>
            <w14:solidFill>
              <w14:schemeClr w14:val="tx1"/>
            </w14:solidFill>
          </w14:textFill>
        </w:rPr>
        <w:t>万元</w:t>
      </w:r>
    </w:p>
    <w:p w14:paraId="02D5F691">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ascii="宋体" w:hAnsi="宋体" w:cs="宋体"/>
          <w:b/>
          <w:color w:val="000000" w:themeColor="text1"/>
          <w:szCs w:val="21"/>
          <w:highlight w:val="none"/>
          <w14:textFill>
            <w14:solidFill>
              <w14:schemeClr w14:val="tx1"/>
            </w14:solidFill>
          </w14:textFill>
        </w:rPr>
        <w:t>3.需要补充的其他内容</w:t>
      </w:r>
    </w:p>
    <w:p w14:paraId="6560BBBE">
      <w:pPr>
        <w:pStyle w:val="26"/>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本竞争性磋商文件解释规则详见“供应商须知前附表”。</w:t>
      </w:r>
    </w:p>
    <w:p w14:paraId="4B0F422A">
      <w:pPr>
        <w:pStyle w:val="26"/>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33.2</w:t>
      </w:r>
      <w:r>
        <w:rPr>
          <w:rFonts w:hint="eastAsia" w:hAnsi="宋体" w:cs="宋体"/>
          <w:color w:val="000000" w:themeColor="text1"/>
          <w:kern w:val="2"/>
          <w:sz w:val="21"/>
          <w:highlight w:val="none"/>
          <w14:textFill>
            <w14:solidFill>
              <w14:schemeClr w14:val="tx1"/>
            </w14:solidFill>
          </w14:textFill>
        </w:rPr>
        <w:t>其他事项详见“供应商须知前附表”。</w:t>
      </w:r>
    </w:p>
    <w:p w14:paraId="236A2372">
      <w:pPr>
        <w:pStyle w:val="26"/>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9DE8C41">
      <w:pPr>
        <w:pStyle w:val="26"/>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29B76A2A">
      <w:pPr>
        <w:pStyle w:val="26"/>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7C708AD8">
      <w:pPr>
        <w:pStyle w:val="26"/>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48B8C84">
      <w:pPr>
        <w:pStyle w:val="26"/>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89A43CB">
      <w:pPr>
        <w:tabs>
          <w:tab w:val="left" w:pos="2835"/>
        </w:tabs>
        <w:spacing w:line="360" w:lineRule="auto"/>
        <w:ind w:firstLine="422" w:firstLineChars="201"/>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依据本文件规定享受扶持政策获得政府采购合同的，小微企业不得将合同分包给大中型企业，中型企业不得将合同分包给大型企业。</w:t>
      </w:r>
      <w:r>
        <w:rPr>
          <w:rFonts w:hAnsi="宋体" w:cs="宋体"/>
          <w:color w:val="000000" w:themeColor="text1"/>
          <w:highlight w:val="none"/>
          <w14:textFill>
            <w14:solidFill>
              <w14:schemeClr w14:val="tx1"/>
            </w14:solidFill>
          </w14:textFill>
        </w:rPr>
        <w:br w:type="page"/>
      </w:r>
    </w:p>
    <w:p w14:paraId="6880B197">
      <w:pPr>
        <w:tabs>
          <w:tab w:val="left" w:pos="2835"/>
        </w:tabs>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附件1</w:t>
      </w:r>
    </w:p>
    <w:p w14:paraId="2C29E78A">
      <w:pPr>
        <w:pStyle w:val="26"/>
        <w:snapToGrid w:val="0"/>
        <w:spacing w:line="360" w:lineRule="auto"/>
        <w:ind w:firstLine="0" w:firstLineChars="0"/>
        <w:jc w:val="center"/>
        <w:rPr>
          <w:rFonts w:hAnsi="宋体" w:cs="宋体"/>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广西壮族自治区政府采购项目合同验收书</w:t>
      </w:r>
      <w:r>
        <w:rPr>
          <w:rFonts w:hint="eastAsia" w:hAnsi="宋体" w:cs="宋体"/>
          <w:color w:val="000000" w:themeColor="text1"/>
          <w:sz w:val="36"/>
          <w:szCs w:val="36"/>
          <w:highlight w:val="none"/>
          <w14:textFill>
            <w14:solidFill>
              <w14:schemeClr w14:val="tx1"/>
            </w14:solidFill>
          </w14:textFill>
        </w:rPr>
        <w:t>（格式）</w:t>
      </w:r>
    </w:p>
    <w:p w14:paraId="5EA4725F">
      <w:pPr>
        <w:widowControl/>
        <w:shd w:val="clear" w:color="auto" w:fill="FFFFFF"/>
        <w:snapToGrid w:val="0"/>
        <w:spacing w:line="360" w:lineRule="auto"/>
        <w:ind w:firstLine="424" w:firstLineChars="202"/>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根据政府采购项目（</w:t>
      </w:r>
      <w:r>
        <w:rPr>
          <w:rFonts w:hint="eastAsia" w:ascii="宋体" w:hAnsi="宋体" w:cs="宋体"/>
          <w:color w:val="000000" w:themeColor="text1"/>
          <w:kern w:val="0"/>
          <w:szCs w:val="21"/>
          <w:highlight w:val="none"/>
          <w:u w:val="single"/>
          <w14:textFill>
            <w14:solidFill>
              <w14:schemeClr w14:val="tx1"/>
            </w14:solidFill>
          </w14:textFill>
        </w:rPr>
        <w:t>采购合同编号：</w:t>
      </w:r>
      <w:r>
        <w:rPr>
          <w:rFonts w:hint="eastAsia" w:ascii="宋体" w:hAnsi="宋体" w:cs="宋体"/>
          <w:color w:val="000000" w:themeColor="text1"/>
          <w:kern w:val="0"/>
          <w:szCs w:val="21"/>
          <w:highlight w:val="none"/>
          <w:u w:val="single"/>
          <w14:textFill>
            <w14:solidFill>
              <w14:schemeClr w14:val="tx1"/>
            </w14:solidFill>
          </w14:textFill>
        </w:rPr>
        <w:softHyphen/>
      </w:r>
      <w:r>
        <w:rPr>
          <w:rFonts w:hint="eastAsia" w:ascii="宋体" w:hAnsi="宋体" w:cs="宋体"/>
          <w:color w:val="000000" w:themeColor="text1"/>
          <w:kern w:val="0"/>
          <w:szCs w:val="21"/>
          <w:highlight w:val="none"/>
          <w14:textFill>
            <w14:solidFill>
              <w14:schemeClr w14:val="tx1"/>
            </w14:solidFill>
          </w14:textFill>
        </w:rPr>
        <w:t>）的约定，我单位对（</w:t>
      </w:r>
      <w:r>
        <w:rPr>
          <w:rFonts w:hint="eastAsia" w:ascii="宋体" w:hAnsi="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cs="宋体"/>
          <w:color w:val="000000" w:themeColor="text1"/>
          <w:kern w:val="0"/>
          <w:szCs w:val="21"/>
          <w:highlight w:val="none"/>
          <w14:textFill>
            <w14:solidFill>
              <w14:schemeClr w14:val="tx1"/>
            </w14:solidFill>
          </w14:textFill>
        </w:rPr>
        <w:t>） 政府采购项目中标（或成交）供应商（</w:t>
      </w:r>
      <w:r>
        <w:rPr>
          <w:rFonts w:hint="eastAsia" w:ascii="宋体" w:hAnsi="宋体" w:cs="宋体"/>
          <w:color w:val="000000" w:themeColor="text1"/>
          <w:kern w:val="0"/>
          <w:szCs w:val="21"/>
          <w:highlight w:val="none"/>
          <w:u w:val="single"/>
          <w14:textFill>
            <w14:solidFill>
              <w14:schemeClr w14:val="tx1"/>
            </w14:solidFill>
          </w14:textFill>
        </w:rPr>
        <w:t xml:space="preserve"> 公司名称 </w:t>
      </w:r>
      <w:r>
        <w:rPr>
          <w:rFonts w:hint="eastAsia" w:ascii="宋体" w:hAnsi="宋体" w:cs="宋体"/>
          <w:color w:val="000000" w:themeColor="text1"/>
          <w:kern w:val="0"/>
          <w:szCs w:val="21"/>
          <w:highlight w:val="none"/>
          <w14:textFill>
            <w14:solidFill>
              <w14:schemeClr w14:val="tx1"/>
            </w14:solidFill>
          </w14:textFill>
        </w:rPr>
        <w:t>） 提供的货物（或工程、服务）进行了验收，验收情况如下：</w:t>
      </w:r>
    </w:p>
    <w:tbl>
      <w:tblPr>
        <w:tblStyle w:val="51"/>
        <w:tblW w:w="0" w:type="auto"/>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14:paraId="7E0E80D6">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14:paraId="65C48D29">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验收方式：</w:t>
            </w:r>
          </w:p>
        </w:tc>
        <w:tc>
          <w:tcPr>
            <w:tcW w:w="5927" w:type="dxa"/>
            <w:gridSpan w:val="6"/>
            <w:tcBorders>
              <w:top w:val="single" w:color="auto" w:sz="8" w:space="0"/>
              <w:left w:val="nil"/>
              <w:bottom w:val="single" w:color="auto" w:sz="8" w:space="0"/>
              <w:right w:val="single" w:color="auto" w:sz="8" w:space="0"/>
            </w:tcBorders>
            <w:vAlign w:val="center"/>
          </w:tcPr>
          <w:p w14:paraId="40685841">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□自行验收 □委托验收</w:t>
            </w:r>
          </w:p>
        </w:tc>
      </w:tr>
      <w:tr w14:paraId="0CE3C3D4">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14:paraId="0D71A009">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2193" w:type="dxa"/>
            <w:tcBorders>
              <w:top w:val="nil"/>
              <w:left w:val="nil"/>
              <w:bottom w:val="single" w:color="auto" w:sz="8" w:space="0"/>
              <w:right w:val="single" w:color="auto" w:sz="8" w:space="0"/>
            </w:tcBorders>
            <w:vAlign w:val="center"/>
          </w:tcPr>
          <w:p w14:paraId="5B152A59">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w:t>
            </w:r>
          </w:p>
        </w:tc>
        <w:tc>
          <w:tcPr>
            <w:tcW w:w="3312" w:type="dxa"/>
            <w:gridSpan w:val="3"/>
            <w:tcBorders>
              <w:top w:val="nil"/>
              <w:left w:val="nil"/>
              <w:bottom w:val="single" w:color="auto" w:sz="8" w:space="0"/>
              <w:right w:val="single" w:color="auto" w:sz="8" w:space="0"/>
            </w:tcBorders>
            <w:vAlign w:val="center"/>
          </w:tcPr>
          <w:p w14:paraId="56067132">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14:paraId="50317556">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630" w:type="dxa"/>
            <w:tcBorders>
              <w:top w:val="nil"/>
              <w:left w:val="nil"/>
              <w:bottom w:val="single" w:color="auto" w:sz="8" w:space="0"/>
              <w:right w:val="single" w:color="auto" w:sz="8" w:space="0"/>
            </w:tcBorders>
            <w:vAlign w:val="center"/>
          </w:tcPr>
          <w:p w14:paraId="146F4CD8">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金额</w:t>
            </w:r>
          </w:p>
        </w:tc>
      </w:tr>
      <w:tr w14:paraId="05CBB1DB">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18DC48D3">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14:paraId="55E291F4">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14:paraId="70062C88">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14:paraId="37E75704">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410206CD">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27E4F240">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7272C7B1">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14:paraId="3863C6CA">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14:paraId="66CE0607">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14:paraId="08CA21CC">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4D7F4E20">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768B0176">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14:paraId="152E45D0">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w:t>
            </w:r>
          </w:p>
        </w:tc>
        <w:tc>
          <w:tcPr>
            <w:tcW w:w="985" w:type="dxa"/>
            <w:gridSpan w:val="2"/>
            <w:tcBorders>
              <w:top w:val="nil"/>
              <w:left w:val="nil"/>
              <w:bottom w:val="single" w:color="auto" w:sz="8" w:space="0"/>
              <w:right w:val="single" w:color="auto" w:sz="8" w:space="0"/>
            </w:tcBorders>
            <w:vAlign w:val="center"/>
          </w:tcPr>
          <w:p w14:paraId="2B38F7C2">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438593FC">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735AF3F1">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14:paraId="4DC400AE">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合计大写金额：    仟   佰   拾   万   仟   佰   拾   元</w:t>
            </w:r>
          </w:p>
        </w:tc>
      </w:tr>
      <w:tr w14:paraId="69401A22">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14:paraId="034D5180">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实际供货日期</w:t>
            </w:r>
          </w:p>
        </w:tc>
        <w:tc>
          <w:tcPr>
            <w:tcW w:w="3104" w:type="dxa"/>
            <w:gridSpan w:val="2"/>
            <w:tcBorders>
              <w:top w:val="nil"/>
              <w:left w:val="nil"/>
              <w:bottom w:val="single" w:color="auto" w:sz="8" w:space="0"/>
              <w:right w:val="single" w:color="auto" w:sz="8" w:space="0"/>
            </w:tcBorders>
            <w:vAlign w:val="center"/>
          </w:tcPr>
          <w:p w14:paraId="483C532C">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14:paraId="4D4F9740">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合同交货验收日期</w:t>
            </w:r>
          </w:p>
        </w:tc>
        <w:tc>
          <w:tcPr>
            <w:tcW w:w="2412" w:type="dxa"/>
            <w:gridSpan w:val="2"/>
            <w:tcBorders>
              <w:top w:val="nil"/>
              <w:left w:val="nil"/>
              <w:bottom w:val="single" w:color="auto" w:sz="8" w:space="0"/>
              <w:right w:val="single" w:color="auto" w:sz="8" w:space="0"/>
            </w:tcBorders>
            <w:vAlign w:val="center"/>
          </w:tcPr>
          <w:p w14:paraId="016A620C">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6058E2A4">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14:paraId="5B3777E6">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104" w:type="dxa"/>
            <w:gridSpan w:val="2"/>
            <w:tcBorders>
              <w:top w:val="nil"/>
              <w:left w:val="nil"/>
              <w:bottom w:val="single" w:color="auto" w:sz="8" w:space="0"/>
              <w:right w:val="single" w:color="auto" w:sz="8" w:space="0"/>
            </w:tcBorders>
            <w:vAlign w:val="center"/>
          </w:tcPr>
          <w:p w14:paraId="79FF86EC">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14:paraId="5AE7F9CD">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412" w:type="dxa"/>
            <w:gridSpan w:val="2"/>
            <w:tcBorders>
              <w:top w:val="nil"/>
              <w:left w:val="nil"/>
              <w:bottom w:val="single" w:color="auto" w:sz="8" w:space="0"/>
              <w:right w:val="single" w:color="auto" w:sz="8" w:space="0"/>
            </w:tcBorders>
            <w:vAlign w:val="center"/>
          </w:tcPr>
          <w:p w14:paraId="1067273C">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1208DA35">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FB901C">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9D4568A">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5DBB3849">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A7D035">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验收小组意见</w:t>
            </w:r>
          </w:p>
        </w:tc>
        <w:tc>
          <w:tcPr>
            <w:tcW w:w="8120" w:type="dxa"/>
            <w:gridSpan w:val="7"/>
            <w:tcBorders>
              <w:top w:val="nil"/>
              <w:left w:val="nil"/>
              <w:bottom w:val="single" w:color="auto" w:sz="8" w:space="0"/>
              <w:right w:val="single" w:color="auto" w:sz="8" w:space="0"/>
            </w:tcBorders>
            <w:vAlign w:val="center"/>
          </w:tcPr>
          <w:p w14:paraId="58EB80DB">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验收结论性意见：</w:t>
            </w:r>
          </w:p>
        </w:tc>
      </w:tr>
      <w:tr w14:paraId="186C5A50">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14:paraId="726B237B">
            <w:pPr>
              <w:widowControl/>
              <w:spacing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p>
        </w:tc>
        <w:tc>
          <w:tcPr>
            <w:tcW w:w="8120" w:type="dxa"/>
            <w:gridSpan w:val="7"/>
            <w:tcBorders>
              <w:top w:val="nil"/>
              <w:left w:val="nil"/>
              <w:bottom w:val="single" w:color="auto" w:sz="8" w:space="0"/>
              <w:right w:val="single" w:color="auto" w:sz="8" w:space="0"/>
            </w:tcBorders>
            <w:vAlign w:val="center"/>
          </w:tcPr>
          <w:p w14:paraId="133D1328">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有异议的意见和说明理由：</w:t>
            </w:r>
          </w:p>
          <w:p w14:paraId="2914A78B">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w:t>
            </w:r>
          </w:p>
        </w:tc>
      </w:tr>
      <w:tr w14:paraId="6F988FF9">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D1683C">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验收小组成员签字：</w:t>
            </w:r>
          </w:p>
        </w:tc>
      </w:tr>
      <w:tr w14:paraId="46EE1747">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D83CEA">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监督人员或其他相关人员签字：</w:t>
            </w:r>
          </w:p>
          <w:p w14:paraId="64A5C7C7">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或受邀机构的意见（盖章）：</w:t>
            </w:r>
          </w:p>
        </w:tc>
      </w:tr>
      <w:tr w14:paraId="37A0D658">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36FFCD8B">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中标或者成交供应商负责人签字或盖章：</w:t>
            </w:r>
          </w:p>
          <w:p w14:paraId="0E7D23AB">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c>
          <w:tcPr>
            <w:tcW w:w="4900" w:type="dxa"/>
            <w:gridSpan w:val="4"/>
            <w:tcBorders>
              <w:top w:val="nil"/>
              <w:left w:val="nil"/>
              <w:bottom w:val="single" w:color="auto" w:sz="8" w:space="0"/>
              <w:right w:val="single" w:color="auto" w:sz="8" w:space="0"/>
            </w:tcBorders>
            <w:vAlign w:val="center"/>
          </w:tcPr>
          <w:p w14:paraId="71CE0640">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采购人或受托机构的意见（盖章）：</w:t>
            </w:r>
          </w:p>
          <w:p w14:paraId="07D2A8C2">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r>
    </w:tbl>
    <w:p w14:paraId="304BCCD4">
      <w:pPr>
        <w:ind w:firstLine="422"/>
        <w:jc w:val="left"/>
        <w:rPr>
          <w:rFonts w:hAnsi="宋体"/>
          <w:b/>
          <w:color w:val="000000" w:themeColor="text1"/>
          <w:highlight w:val="none"/>
          <w14:textFill>
            <w14:solidFill>
              <w14:schemeClr w14:val="tx1"/>
            </w14:solidFill>
          </w14:textFill>
        </w:rPr>
      </w:pPr>
    </w:p>
    <w:p w14:paraId="0D06B489">
      <w:pPr>
        <w:tabs>
          <w:tab w:val="left" w:pos="2835"/>
        </w:tabs>
        <w:spacing w:line="360" w:lineRule="auto"/>
        <w:ind w:firstLine="422" w:firstLineChars="201"/>
        <w:rPr>
          <w:rFonts w:ascii="宋体" w:hAnsi="宋体" w:cs="宋体"/>
          <w:color w:val="000000" w:themeColor="text1"/>
          <w:szCs w:val="21"/>
          <w:highlight w:val="none"/>
          <w14:textFill>
            <w14:solidFill>
              <w14:schemeClr w14:val="tx1"/>
            </w14:solidFill>
          </w14:textFill>
        </w:rPr>
      </w:pPr>
    </w:p>
    <w:p w14:paraId="743C205B">
      <w:pPr>
        <w:tabs>
          <w:tab w:val="left" w:pos="2835"/>
        </w:tabs>
        <w:ind w:firstLine="0" w:firstLineChars="0"/>
        <w:rPr>
          <w:rFonts w:ascii="宋体" w:hAnsi="宋体" w:cs="宋体"/>
          <w:b/>
          <w:color w:val="000000" w:themeColor="text1"/>
          <w:highlight w:val="none"/>
          <w14:textFill>
            <w14:solidFill>
              <w14:schemeClr w14:val="tx1"/>
            </w14:solidFill>
          </w14:textFill>
        </w:rPr>
      </w:pPr>
      <w:bookmarkStart w:id="83" w:name="_Toc3395203"/>
      <w:r>
        <w:rPr>
          <w:rFonts w:ascii="宋体" w:hAnsi="宋体" w:cs="宋体"/>
          <w:b/>
          <w:color w:val="000000" w:themeColor="text1"/>
          <w:highlight w:val="none"/>
          <w14:textFill>
            <w14:solidFill>
              <w14:schemeClr w14:val="tx1"/>
            </w14:solidFill>
          </w14:textFill>
        </w:rPr>
        <w:br w:type="page"/>
      </w:r>
    </w:p>
    <w:p w14:paraId="365C3ABF">
      <w:pPr>
        <w:pStyle w:val="3"/>
        <w:spacing w:line="415" w:lineRule="auto"/>
        <w:ind w:firstLine="0" w:firstLineChars="0"/>
        <w:jc w:val="center"/>
        <w:rPr>
          <w:color w:val="000000" w:themeColor="text1"/>
          <w:highlight w:val="none"/>
          <w14:textFill>
            <w14:solidFill>
              <w14:schemeClr w14:val="tx1"/>
            </w14:solidFill>
          </w14:textFill>
        </w:rPr>
      </w:pPr>
      <w:bookmarkStart w:id="84" w:name="_Toc153444882"/>
      <w:r>
        <w:rPr>
          <w:rFonts w:hint="eastAsia"/>
          <w:color w:val="000000" w:themeColor="text1"/>
          <w:highlight w:val="none"/>
          <w14:textFill>
            <w14:solidFill>
              <w14:schemeClr w14:val="tx1"/>
            </w14:solidFill>
          </w14:textFill>
        </w:rPr>
        <w:t>第三章 采购需求</w:t>
      </w:r>
      <w:bookmarkEnd w:id="83"/>
      <w:bookmarkEnd w:id="84"/>
    </w:p>
    <w:p w14:paraId="0B466F0E">
      <w:pPr>
        <w:spacing w:line="44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说明：</w:t>
      </w:r>
    </w:p>
    <w:p w14:paraId="281F325F">
      <w:pPr>
        <w:spacing w:line="440" w:lineRule="exact"/>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000000" w:themeColor="text1"/>
          <w:szCs w:val="21"/>
          <w:highlight w:val="none"/>
          <w14:textFill>
            <w14:solidFill>
              <w14:schemeClr w14:val="tx1"/>
            </w14:solidFill>
          </w14:textFill>
        </w:rPr>
        <w:t>按照《财政部 民政部 中国残疾人联合会关于促进残疾人就业政府采购政策的通知》（财库〔2017〕141号）之规定，残疾人福利性单位视同小型、微型企业。</w:t>
      </w:r>
    </w:p>
    <w:p w14:paraId="21232CE1">
      <w:pPr>
        <w:spacing w:line="440" w:lineRule="exact"/>
        <w:ind w:firstLine="42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.本采购需求中技术要求所使用的标准或应用标准如与供应商所执行的标准不一致时，按最新标准或较高标准执行。</w:t>
      </w:r>
    </w:p>
    <w:p w14:paraId="5D7D86FB">
      <w:pPr>
        <w:spacing w:line="440" w:lineRule="exact"/>
        <w:ind w:firstLine="426" w:firstLineChars="202"/>
        <w:rPr>
          <w:rFonts w:ascii="宋体" w:hAnsi="宋体" w:cs="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.本采购项目所属行业：</w:t>
      </w:r>
      <w:r>
        <w:rPr>
          <w:rFonts w:hint="eastAsia" w:asciiTheme="minorEastAsia" w:hAnsiTheme="minorEastAsia" w:eastAsiaTheme="minorEastAsia"/>
          <w:b/>
          <w:color w:val="000000" w:themeColor="text1"/>
          <w:highlight w:val="none"/>
          <w14:textFill>
            <w14:solidFill>
              <w14:schemeClr w14:val="tx1"/>
            </w14:solidFill>
          </w14:textFill>
        </w:rPr>
        <w:t>其他未列明行业</w:t>
      </w:r>
      <w:r>
        <w:rPr>
          <w:rFonts w:hint="eastAsia" w:ascii="宋体" w:hAnsi="宋体" w:cs="宋体"/>
          <w:b/>
          <w:color w:val="000000" w:themeColor="text1"/>
          <w:szCs w:val="21"/>
          <w:highlight w:val="none"/>
          <w14:textFill>
            <w14:solidFill>
              <w14:schemeClr w14:val="tx1"/>
            </w14:solidFill>
          </w14:textFill>
        </w:rPr>
        <w:t>。</w:t>
      </w:r>
    </w:p>
    <w:p w14:paraId="5959C409">
      <w:pPr>
        <w:spacing w:line="440" w:lineRule="exact"/>
        <w:ind w:firstLine="426" w:firstLineChars="20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分标1：碘[125I]密封籽源配送服务采购</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702"/>
        <w:gridCol w:w="680"/>
        <w:gridCol w:w="29"/>
        <w:gridCol w:w="7535"/>
        <w:gridCol w:w="29"/>
      </w:tblGrid>
      <w:tr w14:paraId="0A01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 w:type="dxa"/>
          <w:jc w:val="center"/>
        </w:trPr>
        <w:tc>
          <w:tcPr>
            <w:tcW w:w="427" w:type="dxa"/>
            <w:tcBorders>
              <w:top w:val="single" w:color="auto" w:sz="4" w:space="0"/>
              <w:left w:val="single" w:color="auto" w:sz="4" w:space="0"/>
              <w:bottom w:val="single" w:color="auto" w:sz="4" w:space="0"/>
              <w:right w:val="single" w:color="auto" w:sz="4" w:space="0"/>
            </w:tcBorders>
            <w:vAlign w:val="center"/>
          </w:tcPr>
          <w:p w14:paraId="33B043D2">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bookmarkStart w:id="85" w:name="_Toc3395204"/>
            <w:r>
              <w:rPr>
                <w:rFonts w:hint="eastAsia" w:ascii="宋体" w:hAnsi="宋体" w:cs="宋体"/>
                <w:b/>
                <w:color w:val="000000" w:themeColor="text1"/>
                <w:kern w:val="0"/>
                <w:szCs w:val="21"/>
                <w:highlight w:val="none"/>
                <w14:textFill>
                  <w14:solidFill>
                    <w14:schemeClr w14:val="tx1"/>
                  </w14:solidFill>
                </w14:textFill>
              </w:rPr>
              <w:t>项号</w:t>
            </w:r>
          </w:p>
        </w:tc>
        <w:tc>
          <w:tcPr>
            <w:tcW w:w="702" w:type="dxa"/>
            <w:tcBorders>
              <w:top w:val="single" w:color="auto" w:sz="4" w:space="0"/>
              <w:left w:val="single" w:color="auto" w:sz="4" w:space="0"/>
              <w:bottom w:val="single" w:color="auto" w:sz="4" w:space="0"/>
              <w:right w:val="single" w:color="auto" w:sz="4" w:space="0"/>
            </w:tcBorders>
            <w:vAlign w:val="center"/>
          </w:tcPr>
          <w:p w14:paraId="0C2693B4">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标的名称</w:t>
            </w:r>
          </w:p>
        </w:tc>
        <w:tc>
          <w:tcPr>
            <w:tcW w:w="680" w:type="dxa"/>
            <w:tcBorders>
              <w:top w:val="single" w:color="auto" w:sz="4" w:space="0"/>
              <w:left w:val="single" w:color="auto" w:sz="4" w:space="0"/>
              <w:bottom w:val="single" w:color="auto" w:sz="4" w:space="0"/>
              <w:right w:val="single" w:color="auto" w:sz="4" w:space="0"/>
            </w:tcBorders>
            <w:vAlign w:val="center"/>
          </w:tcPr>
          <w:p w14:paraId="3EFD0DA6">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数量及单位</w:t>
            </w:r>
          </w:p>
        </w:tc>
        <w:tc>
          <w:tcPr>
            <w:tcW w:w="7564" w:type="dxa"/>
            <w:gridSpan w:val="2"/>
            <w:tcBorders>
              <w:top w:val="single" w:color="auto" w:sz="4" w:space="0"/>
              <w:left w:val="single" w:color="auto" w:sz="4" w:space="0"/>
              <w:bottom w:val="single" w:color="auto" w:sz="4" w:space="0"/>
              <w:right w:val="single" w:color="auto" w:sz="4" w:space="0"/>
            </w:tcBorders>
            <w:vAlign w:val="center"/>
          </w:tcPr>
          <w:p w14:paraId="0D01680F">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服务需求</w:t>
            </w:r>
          </w:p>
        </w:tc>
      </w:tr>
      <w:tr w14:paraId="282CE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9" w:type="dxa"/>
          <w:jc w:val="center"/>
        </w:trPr>
        <w:tc>
          <w:tcPr>
            <w:tcW w:w="427" w:type="dxa"/>
            <w:tcBorders>
              <w:top w:val="single" w:color="auto" w:sz="4" w:space="0"/>
              <w:left w:val="single" w:color="auto" w:sz="4" w:space="0"/>
              <w:bottom w:val="single" w:color="auto" w:sz="4" w:space="0"/>
              <w:right w:val="single" w:color="auto" w:sz="4" w:space="0"/>
            </w:tcBorders>
            <w:vAlign w:val="center"/>
          </w:tcPr>
          <w:p w14:paraId="7EE00E1A">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02" w:type="dxa"/>
            <w:tcBorders>
              <w:top w:val="single" w:color="auto" w:sz="4" w:space="0"/>
              <w:left w:val="single" w:color="auto" w:sz="4" w:space="0"/>
              <w:bottom w:val="single" w:color="auto" w:sz="4" w:space="0"/>
              <w:right w:val="single" w:color="auto" w:sz="4" w:space="0"/>
            </w:tcBorders>
            <w:vAlign w:val="center"/>
          </w:tcPr>
          <w:p w14:paraId="748A054F">
            <w:pPr>
              <w:widowControl/>
              <w:wordWrap w:val="0"/>
              <w:topLinePunct/>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碘[125I]密封籽源配送服务</w:t>
            </w:r>
          </w:p>
        </w:tc>
        <w:tc>
          <w:tcPr>
            <w:tcW w:w="680" w:type="dxa"/>
            <w:tcBorders>
              <w:top w:val="single" w:color="auto" w:sz="4" w:space="0"/>
              <w:left w:val="single" w:color="auto" w:sz="4" w:space="0"/>
              <w:bottom w:val="single" w:color="auto" w:sz="4" w:space="0"/>
              <w:right w:val="single" w:color="auto" w:sz="4" w:space="0"/>
            </w:tcBorders>
            <w:vAlign w:val="center"/>
          </w:tcPr>
          <w:p w14:paraId="6DFAB04B">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7564" w:type="dxa"/>
            <w:gridSpan w:val="2"/>
            <w:tcBorders>
              <w:top w:val="single" w:color="auto" w:sz="4" w:space="0"/>
              <w:left w:val="single" w:color="auto" w:sz="4" w:space="0"/>
              <w:bottom w:val="single" w:color="auto" w:sz="4" w:space="0"/>
              <w:right w:val="single" w:color="auto" w:sz="4" w:space="0"/>
            </w:tcBorders>
            <w:vAlign w:val="center"/>
          </w:tcPr>
          <w:p w14:paraId="472C7BFA">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一、药品质量要求</w:t>
            </w:r>
          </w:p>
          <w:p w14:paraId="3B790CFE">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表1.药品需求明细表</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794"/>
              <w:gridCol w:w="1056"/>
              <w:gridCol w:w="779"/>
              <w:gridCol w:w="534"/>
              <w:gridCol w:w="794"/>
              <w:gridCol w:w="680"/>
              <w:gridCol w:w="850"/>
              <w:gridCol w:w="1134"/>
            </w:tblGrid>
            <w:tr w14:paraId="0005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2DC0BA98">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序号</w:t>
                  </w:r>
                </w:p>
              </w:tc>
              <w:tc>
                <w:tcPr>
                  <w:tcW w:w="794" w:type="dxa"/>
                  <w:vAlign w:val="center"/>
                </w:tcPr>
                <w:p w14:paraId="55C328B7">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药品名称</w:t>
                  </w:r>
                </w:p>
              </w:tc>
              <w:tc>
                <w:tcPr>
                  <w:tcW w:w="1056" w:type="dxa"/>
                  <w:vAlign w:val="center"/>
                </w:tcPr>
                <w:p w14:paraId="3AFDE9F8">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规格</w:t>
                  </w:r>
                </w:p>
              </w:tc>
              <w:tc>
                <w:tcPr>
                  <w:tcW w:w="779" w:type="dxa"/>
                  <w:vAlign w:val="center"/>
                </w:tcPr>
                <w:p w14:paraId="3A05A1BE">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外径*长径</w:t>
                  </w:r>
                </w:p>
              </w:tc>
              <w:tc>
                <w:tcPr>
                  <w:tcW w:w="534" w:type="dxa"/>
                  <w:vAlign w:val="center"/>
                </w:tcPr>
                <w:p w14:paraId="051AB6EA">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单位</w:t>
                  </w:r>
                </w:p>
              </w:tc>
              <w:tc>
                <w:tcPr>
                  <w:tcW w:w="794" w:type="dxa"/>
                  <w:vAlign w:val="center"/>
                </w:tcPr>
                <w:p w14:paraId="6CE7EE05">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预计采购数量/两年</w:t>
                  </w:r>
                </w:p>
              </w:tc>
              <w:tc>
                <w:tcPr>
                  <w:tcW w:w="680" w:type="dxa"/>
                  <w:vAlign w:val="center"/>
                </w:tcPr>
                <w:p w14:paraId="18A32CCE">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单</w:t>
                  </w:r>
                  <w:r>
                    <w:rPr>
                      <w:rFonts w:hint="eastAsia" w:ascii="宋体" w:hAnsi="宋体" w:cs="宋体"/>
                      <w:b/>
                      <w:bCs/>
                      <w:color w:val="000000" w:themeColor="text1"/>
                      <w:kern w:val="0"/>
                      <w:szCs w:val="21"/>
                      <w:highlight w:val="none"/>
                      <w:lang w:bidi="ar"/>
                      <w14:textFill>
                        <w14:solidFill>
                          <w14:schemeClr w14:val="tx1"/>
                        </w14:solidFill>
                      </w14:textFill>
                    </w:rPr>
                    <w:t>价</w:t>
                  </w:r>
                  <w:r>
                    <w:rPr>
                      <w:rFonts w:hint="eastAsia" w:ascii="宋体" w:hAnsi="宋体" w:cs="宋体"/>
                      <w:b/>
                      <w:bCs/>
                      <w:color w:val="000000" w:themeColor="text1"/>
                      <w:kern w:val="0"/>
                      <w:szCs w:val="21"/>
                      <w:highlight w:val="none"/>
                      <w:lang w:bidi="ar"/>
                      <w14:textFill>
                        <w14:solidFill>
                          <w14:schemeClr w14:val="tx1"/>
                        </w14:solidFill>
                      </w14:textFill>
                    </w:rPr>
                    <w:t>控制价/元</w:t>
                  </w:r>
                </w:p>
              </w:tc>
              <w:tc>
                <w:tcPr>
                  <w:tcW w:w="850" w:type="dxa"/>
                  <w:vAlign w:val="center"/>
                </w:tcPr>
                <w:p w14:paraId="5F211F0B">
                  <w:pPr>
                    <w:spacing w:line="360" w:lineRule="auto"/>
                    <w:ind w:firstLine="0" w:firstLineChars="0"/>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质量</w:t>
                  </w:r>
                </w:p>
                <w:p w14:paraId="46FA9F65">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标准</w:t>
                  </w:r>
                </w:p>
              </w:tc>
              <w:tc>
                <w:tcPr>
                  <w:tcW w:w="1134" w:type="dxa"/>
                  <w:vAlign w:val="center"/>
                </w:tcPr>
                <w:p w14:paraId="17C1C740">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备注</w:t>
                  </w:r>
                </w:p>
              </w:tc>
            </w:tr>
            <w:tr w14:paraId="1A79A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7427F164">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p>
              </w:tc>
              <w:tc>
                <w:tcPr>
                  <w:tcW w:w="794" w:type="dxa"/>
                  <w:vAlign w:val="center"/>
                </w:tcPr>
                <w:p w14:paraId="3B647E25">
                  <w:pPr>
                    <w:wordWrap w:val="0"/>
                    <w:topLinePunct/>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碘[125I]密封籽源</w:t>
                  </w:r>
                </w:p>
              </w:tc>
              <w:tc>
                <w:tcPr>
                  <w:tcW w:w="1056" w:type="dxa"/>
                  <w:vAlign w:val="center"/>
                </w:tcPr>
                <w:p w14:paraId="1948199A">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放射性活度</w:t>
                  </w:r>
                  <w:r>
                    <w:rPr>
                      <w:rFonts w:hint="eastAsia" w:ascii="宋体" w:hAnsi="宋体"/>
                      <w:color w:val="000000" w:themeColor="text1"/>
                      <w:kern w:val="0"/>
                      <w:szCs w:val="21"/>
                      <w:highlight w:val="none"/>
                      <w14:textFill>
                        <w14:solidFill>
                          <w14:schemeClr w14:val="tx1"/>
                        </w14:solidFill>
                      </w14:textFill>
                    </w:rPr>
                    <w:t>范围必须包含0.7mci、0.8mci</w:t>
                  </w:r>
                </w:p>
              </w:tc>
              <w:tc>
                <w:tcPr>
                  <w:tcW w:w="779" w:type="dxa"/>
                  <w:vAlign w:val="center"/>
                </w:tcPr>
                <w:p w14:paraId="7E0AD958">
                  <w:pPr>
                    <w:wordWrap w:val="0"/>
                    <w:topLinePunct/>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0.8mm*4.5mm</w:t>
                  </w:r>
                </w:p>
              </w:tc>
              <w:tc>
                <w:tcPr>
                  <w:tcW w:w="534" w:type="dxa"/>
                  <w:vAlign w:val="center"/>
                </w:tcPr>
                <w:p w14:paraId="01411236">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粒</w:t>
                  </w:r>
                </w:p>
              </w:tc>
              <w:tc>
                <w:tcPr>
                  <w:tcW w:w="794" w:type="dxa"/>
                  <w:vAlign w:val="center"/>
                </w:tcPr>
                <w:p w14:paraId="3864643B">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w:t>
                  </w:r>
                  <w:r>
                    <w:rPr>
                      <w:rFonts w:hint="eastAsia" w:ascii="宋体" w:hAnsi="宋体"/>
                      <w:color w:val="000000" w:themeColor="text1"/>
                      <w:kern w:val="0"/>
                      <w:szCs w:val="21"/>
                      <w:highlight w:val="none"/>
                      <w14:textFill>
                        <w14:solidFill>
                          <w14:schemeClr w14:val="tx1"/>
                        </w14:solidFill>
                      </w14:textFill>
                    </w:rPr>
                    <w:t>00</w:t>
                  </w:r>
                </w:p>
              </w:tc>
              <w:tc>
                <w:tcPr>
                  <w:tcW w:w="680" w:type="dxa"/>
                  <w:vAlign w:val="center"/>
                </w:tcPr>
                <w:p w14:paraId="7E65F144">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390</w:t>
                  </w:r>
                </w:p>
              </w:tc>
              <w:tc>
                <w:tcPr>
                  <w:tcW w:w="850" w:type="dxa"/>
                  <w:vAlign w:val="center"/>
                </w:tcPr>
                <w:p w14:paraId="27E5AE19">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2020年版《中华人民共和国药典》</w:t>
                  </w:r>
                </w:p>
              </w:tc>
              <w:tc>
                <w:tcPr>
                  <w:tcW w:w="1134" w:type="dxa"/>
                  <w:vMerge w:val="restart"/>
                  <w:vAlign w:val="center"/>
                </w:tcPr>
                <w:p w14:paraId="3154BA3E">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需提供相配套的粒子弹夹、植入枪。</w:t>
                  </w:r>
                </w:p>
              </w:tc>
            </w:tr>
            <w:tr w14:paraId="6860D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48591659">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p>
              </w:tc>
              <w:tc>
                <w:tcPr>
                  <w:tcW w:w="794" w:type="dxa"/>
                  <w:vAlign w:val="center"/>
                </w:tcPr>
                <w:p w14:paraId="1CBB2E40">
                  <w:pPr>
                    <w:wordWrap w:val="0"/>
                    <w:topLinePunct/>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碘[125I]密封籽源</w:t>
                  </w:r>
                </w:p>
              </w:tc>
              <w:tc>
                <w:tcPr>
                  <w:tcW w:w="1056" w:type="dxa"/>
                  <w:vAlign w:val="center"/>
                </w:tcPr>
                <w:p w14:paraId="53E9FF87">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放射性活度</w:t>
                  </w:r>
                  <w:r>
                    <w:rPr>
                      <w:rFonts w:hint="eastAsia" w:ascii="宋体" w:hAnsi="宋体"/>
                      <w:color w:val="000000" w:themeColor="text1"/>
                      <w:kern w:val="0"/>
                      <w:szCs w:val="21"/>
                      <w:highlight w:val="none"/>
                      <w14:textFill>
                        <w14:solidFill>
                          <w14:schemeClr w14:val="tx1"/>
                        </w14:solidFill>
                      </w14:textFill>
                    </w:rPr>
                    <w:t>范围必须包含0.7mci、0.8mci</w:t>
                  </w:r>
                </w:p>
              </w:tc>
              <w:tc>
                <w:tcPr>
                  <w:tcW w:w="779" w:type="dxa"/>
                  <w:vAlign w:val="center"/>
                </w:tcPr>
                <w:p w14:paraId="52FCB34F">
                  <w:pPr>
                    <w:wordWrap w:val="0"/>
                    <w:topLinePunct/>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0.6mm*4.5mm</w:t>
                  </w:r>
                </w:p>
              </w:tc>
              <w:tc>
                <w:tcPr>
                  <w:tcW w:w="534" w:type="dxa"/>
                  <w:vAlign w:val="center"/>
                </w:tcPr>
                <w:p w14:paraId="4377D2AA">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粒</w:t>
                  </w:r>
                </w:p>
              </w:tc>
              <w:tc>
                <w:tcPr>
                  <w:tcW w:w="794" w:type="dxa"/>
                  <w:vAlign w:val="center"/>
                </w:tcPr>
                <w:p w14:paraId="66D98BFD">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00</w:t>
                  </w:r>
                </w:p>
              </w:tc>
              <w:tc>
                <w:tcPr>
                  <w:tcW w:w="680" w:type="dxa"/>
                  <w:vAlign w:val="center"/>
                </w:tcPr>
                <w:p w14:paraId="42DC46A5">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390</w:t>
                  </w:r>
                </w:p>
              </w:tc>
              <w:tc>
                <w:tcPr>
                  <w:tcW w:w="850" w:type="dxa"/>
                  <w:vAlign w:val="center"/>
                </w:tcPr>
                <w:p w14:paraId="178F0AB3">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2020年版《中华人民共和国药典》</w:t>
                  </w:r>
                </w:p>
              </w:tc>
              <w:tc>
                <w:tcPr>
                  <w:tcW w:w="1134" w:type="dxa"/>
                  <w:vMerge w:val="continue"/>
                </w:tcPr>
                <w:p w14:paraId="659A37F0">
                  <w:pPr>
                    <w:spacing w:line="360" w:lineRule="auto"/>
                    <w:ind w:firstLine="0" w:firstLineChars="0"/>
                    <w:jc w:val="center"/>
                    <w:rPr>
                      <w:rFonts w:ascii="宋体" w:hAnsi="宋体"/>
                      <w:color w:val="000000" w:themeColor="text1"/>
                      <w:kern w:val="0"/>
                      <w:szCs w:val="21"/>
                      <w:highlight w:val="none"/>
                      <w14:textFill>
                        <w14:solidFill>
                          <w14:schemeClr w14:val="tx1"/>
                        </w14:solidFill>
                      </w14:textFill>
                    </w:rPr>
                  </w:pPr>
                </w:p>
              </w:tc>
            </w:tr>
          </w:tbl>
          <w:p w14:paraId="704AE22E">
            <w:pPr>
              <w:autoSpaceDE w:val="0"/>
              <w:autoSpaceDN w:val="0"/>
              <w:adjustRightInd w:val="0"/>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.所配送的药品必须为正规厂家生产的全新、合格、无侵权货品，符合国家有关安全、环保、包装标准。其剩余有效期不得少于标注有效期的80%。</w:t>
            </w:r>
          </w:p>
          <w:p w14:paraId="077654C4">
            <w:pPr>
              <w:autoSpaceDE w:val="0"/>
              <w:autoSpaceDN w:val="0"/>
              <w:adjustRightInd w:val="0"/>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.供应商按合同交付的</w:t>
            </w:r>
            <w:r>
              <w:rPr>
                <w:rFonts w:hint="eastAsia" w:ascii="宋体" w:hAnsi="宋体" w:cs="宋体"/>
                <w:color w:val="000000" w:themeColor="text1"/>
                <w:szCs w:val="21"/>
                <w:highlight w:val="none"/>
                <w14:textFill>
                  <w14:solidFill>
                    <w14:schemeClr w14:val="tx1"/>
                  </w14:solidFill>
                </w14:textFill>
              </w:rPr>
              <w:t>药品质量标准必须符合</w:t>
            </w:r>
            <w:r>
              <w:rPr>
                <w:rFonts w:hint="eastAsia" w:ascii="宋体" w:hAnsi="宋体"/>
                <w:bCs/>
                <w:color w:val="000000" w:themeColor="text1"/>
                <w:szCs w:val="21"/>
                <w:highlight w:val="none"/>
                <w14:textFill>
                  <w14:solidFill>
                    <w14:schemeClr w14:val="tx1"/>
                  </w14:solidFill>
                </w14:textFill>
              </w:rPr>
              <w:t>2020年版《中华人民共和国药典》及其他国家标准或行业标准，否则视为不合格产品，采购人有权退货、并拒付货款；如发生上述情况</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采购人不承担</w:t>
            </w:r>
            <w:r>
              <w:rPr>
                <w:rFonts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由此产生的任何费用。因药品质量不符合有关规定而造成相关后果的，按相关法律规定处理，如由此引发的纠纷，供应商有责任负责交涉处理，采购人有权要求供应商承担由此造成的损失。</w:t>
            </w:r>
          </w:p>
          <w:p w14:paraId="3451C9C1">
            <w:pPr>
              <w:autoSpaceDE w:val="0"/>
              <w:autoSpaceDN w:val="0"/>
              <w:adjustRightInd w:val="0"/>
              <w:spacing w:line="360" w:lineRule="auto"/>
              <w:ind w:firstLine="42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二、服务要求</w:t>
            </w:r>
          </w:p>
          <w:p w14:paraId="672B4B5E">
            <w:pPr>
              <w:numPr>
                <w:ilvl w:val="0"/>
                <w:numId w:val="9"/>
              </w:numPr>
              <w:spacing w:line="360" w:lineRule="auto"/>
              <w:ind w:firstLine="420" w:firstLineChars="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供货方式：</w:t>
            </w:r>
            <w:r>
              <w:rPr>
                <w:rFonts w:hint="eastAsia" w:ascii="宋体" w:hAnsi="宋体"/>
                <w:color w:val="000000" w:themeColor="text1"/>
                <w:szCs w:val="21"/>
                <w:highlight w:val="none"/>
                <w14:textFill>
                  <w14:solidFill>
                    <w14:schemeClr w14:val="tx1"/>
                  </w14:solidFill>
                </w14:textFill>
              </w:rPr>
              <w:t>根据采购</w:t>
            </w:r>
            <w:r>
              <w:rPr>
                <w:rFonts w:hint="eastAsia" w:hAnsi="宋体"/>
                <w:color w:val="000000" w:themeColor="text1"/>
                <w:szCs w:val="21"/>
                <w:highlight w:val="none"/>
                <w14:textFill>
                  <w14:solidFill>
                    <w14:schemeClr w14:val="tx1"/>
                  </w14:solidFill>
                </w14:textFill>
              </w:rPr>
              <w:t>人</w:t>
            </w:r>
            <w:r>
              <w:rPr>
                <w:rFonts w:ascii="宋体" w:hAnsi="宋体"/>
                <w:color w:val="000000" w:themeColor="text1"/>
                <w:szCs w:val="21"/>
                <w:highlight w:val="none"/>
                <w14:textFill>
                  <w14:solidFill>
                    <w14:schemeClr w14:val="tx1"/>
                  </w14:solidFill>
                </w14:textFill>
              </w:rPr>
              <w:t>需求</w:t>
            </w:r>
            <w:r>
              <w:rPr>
                <w:rFonts w:hint="eastAsia" w:ascii="宋体" w:hAnsi="宋体"/>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分</w:t>
            </w:r>
            <w:r>
              <w:rPr>
                <w:rFonts w:ascii="宋体" w:hAnsi="宋体" w:cs="仿宋"/>
                <w:color w:val="000000" w:themeColor="text1"/>
                <w:szCs w:val="21"/>
                <w:highlight w:val="none"/>
                <w14:textFill>
                  <w14:solidFill>
                    <w14:schemeClr w14:val="tx1"/>
                  </w14:solidFill>
                </w14:textFill>
              </w:rPr>
              <w:t>批次供货</w:t>
            </w:r>
            <w:r>
              <w:rPr>
                <w:rFonts w:hint="eastAsia" w:hAnsi="宋体" w:cs="仿宋"/>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采购人按需提前</w:t>
            </w:r>
            <w:r>
              <w:rPr>
                <w:rFonts w:ascii="宋体" w:hAnsi="宋体"/>
                <w:bCs/>
                <w:color w:val="000000" w:themeColor="text1"/>
                <w:szCs w:val="21"/>
                <w:highlight w:val="none"/>
                <w14:textFill>
                  <w14:solidFill>
                    <w14:schemeClr w14:val="tx1"/>
                  </w14:solidFill>
                </w14:textFill>
              </w:rPr>
              <w:t>作出采购</w:t>
            </w:r>
            <w:r>
              <w:rPr>
                <w:rFonts w:hint="eastAsia" w:ascii="宋体" w:hAnsi="宋体"/>
                <w:bCs/>
                <w:color w:val="000000" w:themeColor="text1"/>
                <w:szCs w:val="21"/>
                <w:highlight w:val="none"/>
                <w14:textFill>
                  <w14:solidFill>
                    <w14:schemeClr w14:val="tx1"/>
                  </w14:solidFill>
                </w14:textFill>
              </w:rPr>
              <w:t>计划，供应商须</w:t>
            </w:r>
            <w:r>
              <w:rPr>
                <w:rFonts w:ascii="宋体" w:hAnsi="宋体"/>
                <w:bCs/>
                <w:color w:val="000000" w:themeColor="text1"/>
                <w:szCs w:val="21"/>
                <w:highlight w:val="none"/>
                <w14:textFill>
                  <w14:solidFill>
                    <w14:schemeClr w14:val="tx1"/>
                  </w14:solidFill>
                </w14:textFill>
              </w:rPr>
              <w:t>保证</w:t>
            </w:r>
            <w:r>
              <w:rPr>
                <w:rFonts w:hint="eastAsia" w:ascii="宋体" w:hAnsi="宋体"/>
                <w:bCs/>
                <w:color w:val="000000" w:themeColor="text1"/>
                <w:szCs w:val="21"/>
                <w:highlight w:val="none"/>
                <w14:textFill>
                  <w14:solidFill>
                    <w14:schemeClr w14:val="tx1"/>
                  </w14:solidFill>
                </w14:textFill>
              </w:rPr>
              <w:t>在接到</w:t>
            </w:r>
            <w:r>
              <w:rPr>
                <w:rFonts w:ascii="宋体" w:hAnsi="宋体"/>
                <w:bCs/>
                <w:color w:val="000000" w:themeColor="text1"/>
                <w:szCs w:val="21"/>
                <w:highlight w:val="none"/>
                <w14:textFill>
                  <w14:solidFill>
                    <w14:schemeClr w14:val="tx1"/>
                  </w14:solidFill>
                </w14:textFill>
              </w:rPr>
              <w:t>采购计划</w:t>
            </w:r>
            <w:r>
              <w:rPr>
                <w:rFonts w:hint="eastAsia" w:ascii="宋体" w:hAnsi="宋体"/>
                <w:bCs/>
                <w:color w:val="000000" w:themeColor="text1"/>
                <w:szCs w:val="21"/>
                <w:highlight w:val="none"/>
                <w14:textFill>
                  <w14:solidFill>
                    <w14:schemeClr w14:val="tx1"/>
                  </w14:solidFill>
                </w14:textFill>
              </w:rPr>
              <w:t>后2日</w:t>
            </w:r>
            <w:r>
              <w:rPr>
                <w:rFonts w:ascii="宋体" w:hAnsi="宋体"/>
                <w:bCs/>
                <w:color w:val="000000" w:themeColor="text1"/>
                <w:szCs w:val="21"/>
                <w:highlight w:val="none"/>
                <w14:textFill>
                  <w14:solidFill>
                    <w14:schemeClr w14:val="tx1"/>
                  </w14:solidFill>
                </w14:textFill>
              </w:rPr>
              <w:t>内将货物送</w:t>
            </w:r>
            <w:r>
              <w:rPr>
                <w:rFonts w:hint="eastAsia" w:ascii="宋体" w:hAnsi="宋体"/>
                <w:bCs/>
                <w:color w:val="000000" w:themeColor="text1"/>
                <w:szCs w:val="21"/>
                <w:highlight w:val="none"/>
                <w14:textFill>
                  <w14:solidFill>
                    <w14:schemeClr w14:val="tx1"/>
                  </w14:solidFill>
                </w14:textFill>
              </w:rPr>
              <w:t>达采购人</w:t>
            </w:r>
            <w:r>
              <w:rPr>
                <w:rFonts w:ascii="宋体" w:hAnsi="宋体"/>
                <w:bCs/>
                <w:color w:val="000000" w:themeColor="text1"/>
                <w:szCs w:val="21"/>
                <w:highlight w:val="none"/>
                <w14:textFill>
                  <w14:solidFill>
                    <w14:schemeClr w14:val="tx1"/>
                  </w14:solidFill>
                </w14:textFill>
              </w:rPr>
              <w:t>指定地点</w:t>
            </w:r>
            <w:r>
              <w:rPr>
                <w:rFonts w:hint="eastAsia" w:ascii="宋体" w:hAnsi="宋体"/>
                <w:bCs/>
                <w:color w:val="000000" w:themeColor="text1"/>
                <w:szCs w:val="21"/>
                <w:highlight w:val="none"/>
                <w14:textFill>
                  <w14:solidFill>
                    <w14:schemeClr w14:val="tx1"/>
                  </w14:solidFill>
                </w14:textFill>
              </w:rPr>
              <w:t>（如：莲花山院区门诊负一楼核医学科）。</w:t>
            </w:r>
          </w:p>
          <w:p w14:paraId="02F73390">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供应商除不可抗力因素外，不得随意推迟供货，若因不可抗力因素无法按时供货的，供应商应与采购人及时沟通并采取相应措施（如供应商紧急调拨药品），以便将影响降到最低</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w:t>
            </w:r>
            <w:r>
              <w:rPr>
                <w:rFonts w:ascii="宋体" w:hAnsi="宋体"/>
                <w:bCs/>
                <w:color w:val="000000" w:themeColor="text1"/>
                <w:szCs w:val="21"/>
                <w:highlight w:val="none"/>
                <w14:textFill>
                  <w14:solidFill>
                    <w14:schemeClr w14:val="tx1"/>
                  </w14:solidFill>
                </w14:textFill>
              </w:rPr>
              <w:t>除不</w:t>
            </w:r>
            <w:r>
              <w:rPr>
                <w:rFonts w:hint="eastAsia" w:ascii="宋体" w:hAnsi="宋体"/>
                <w:bCs/>
                <w:color w:val="000000" w:themeColor="text1"/>
                <w:szCs w:val="21"/>
                <w:highlight w:val="none"/>
                <w14:textFill>
                  <w14:solidFill>
                    <w14:schemeClr w14:val="tx1"/>
                  </w14:solidFill>
                </w14:textFill>
              </w:rPr>
              <w:t>可抗力因素无法按时交货外，不得因</w:t>
            </w:r>
            <w:r>
              <w:rPr>
                <w:rFonts w:ascii="宋体" w:hAnsi="宋体"/>
                <w:bCs/>
                <w:color w:val="000000" w:themeColor="text1"/>
                <w:szCs w:val="21"/>
                <w:highlight w:val="none"/>
                <w14:textFill>
                  <w14:solidFill>
                    <w14:schemeClr w14:val="tx1"/>
                  </w14:solidFill>
                </w14:textFill>
              </w:rPr>
              <w:t>价格变动、货款未收到等原因</w:t>
            </w:r>
            <w:r>
              <w:rPr>
                <w:rFonts w:hint="eastAsia" w:ascii="宋体" w:hAnsi="宋体"/>
                <w:bCs/>
                <w:color w:val="000000" w:themeColor="text1"/>
                <w:szCs w:val="21"/>
                <w:highlight w:val="none"/>
                <w14:textFill>
                  <w14:solidFill>
                    <w14:schemeClr w14:val="tx1"/>
                  </w14:solidFill>
                </w14:textFill>
              </w:rPr>
              <w:t>延迟或</w:t>
            </w:r>
            <w:r>
              <w:rPr>
                <w:rFonts w:ascii="宋体" w:hAnsi="宋体"/>
                <w:bCs/>
                <w:color w:val="000000" w:themeColor="text1"/>
                <w:szCs w:val="21"/>
                <w:highlight w:val="none"/>
                <w14:textFill>
                  <w14:solidFill>
                    <w14:schemeClr w14:val="tx1"/>
                  </w14:solidFill>
                </w14:textFill>
              </w:rPr>
              <w:t>中</w:t>
            </w:r>
            <w:r>
              <w:rPr>
                <w:rFonts w:hint="eastAsia" w:ascii="宋体" w:hAnsi="宋体"/>
                <w:bCs/>
                <w:color w:val="000000" w:themeColor="text1"/>
                <w:szCs w:val="21"/>
                <w:highlight w:val="none"/>
                <w14:textFill>
                  <w14:solidFill>
                    <w14:schemeClr w14:val="tx1"/>
                  </w14:solidFill>
                </w14:textFill>
              </w:rPr>
              <w:t>断供货。如</w:t>
            </w:r>
            <w:r>
              <w:rPr>
                <w:rFonts w:ascii="宋体" w:hAnsi="宋体"/>
                <w:bCs/>
                <w:color w:val="000000" w:themeColor="text1"/>
                <w:szCs w:val="21"/>
                <w:highlight w:val="none"/>
                <w14:textFill>
                  <w14:solidFill>
                    <w14:schemeClr w14:val="tx1"/>
                  </w14:solidFill>
                </w14:textFill>
              </w:rPr>
              <w:t>中</w:t>
            </w:r>
            <w:r>
              <w:rPr>
                <w:rFonts w:hint="eastAsia" w:ascii="宋体" w:hAnsi="宋体"/>
                <w:bCs/>
                <w:color w:val="000000" w:themeColor="text1"/>
                <w:szCs w:val="21"/>
                <w:highlight w:val="none"/>
                <w14:textFill>
                  <w14:solidFill>
                    <w14:schemeClr w14:val="tx1"/>
                  </w14:solidFill>
                </w14:textFill>
              </w:rPr>
              <w:t>断供</w:t>
            </w:r>
            <w:r>
              <w:rPr>
                <w:rFonts w:ascii="宋体" w:hAnsi="宋体"/>
                <w:bCs/>
                <w:color w:val="000000" w:themeColor="text1"/>
                <w:szCs w:val="21"/>
                <w:highlight w:val="none"/>
                <w14:textFill>
                  <w14:solidFill>
                    <w14:schemeClr w14:val="tx1"/>
                  </w14:solidFill>
                </w14:textFill>
              </w:rPr>
              <w:t>货，</w:t>
            </w:r>
            <w:r>
              <w:rPr>
                <w:rFonts w:hint="eastAsia" w:ascii="宋体" w:hAnsi="宋体"/>
                <w:bCs/>
                <w:color w:val="000000" w:themeColor="text1"/>
                <w:szCs w:val="21"/>
                <w:highlight w:val="none"/>
                <w14:textFill>
                  <w14:solidFill>
                    <w14:schemeClr w14:val="tx1"/>
                  </w14:solidFill>
                </w14:textFill>
              </w:rPr>
              <w:t>影响临床用药的，</w:t>
            </w:r>
            <w:r>
              <w:rPr>
                <w:rFonts w:hint="eastAsia" w:ascii="宋体" w:hAnsi="宋体"/>
                <w:color w:val="000000" w:themeColor="text1"/>
                <w:szCs w:val="21"/>
                <w:highlight w:val="none"/>
                <w14:textFill>
                  <w14:solidFill>
                    <w14:schemeClr w14:val="tx1"/>
                  </w14:solidFill>
                </w14:textFill>
              </w:rPr>
              <w:t>采购人按“</w:t>
            </w:r>
            <w:r>
              <w:rPr>
                <w:rFonts w:hint="eastAsia" w:ascii="宋体" w:hAnsi="宋体"/>
                <w:bCs/>
                <w:color w:val="000000" w:themeColor="text1"/>
                <w:szCs w:val="21"/>
                <w:highlight w:val="none"/>
                <w14:textFill>
                  <w14:solidFill>
                    <w14:schemeClr w14:val="tx1"/>
                  </w14:solidFill>
                </w14:textFill>
              </w:rPr>
              <w:t>违约和相关处罚</w:t>
            </w:r>
            <w:r>
              <w:rPr>
                <w:rFonts w:hint="eastAsia" w:ascii="宋体" w:hAnsi="宋体"/>
                <w:color w:val="000000" w:themeColor="text1"/>
                <w:szCs w:val="21"/>
                <w:highlight w:val="none"/>
                <w14:textFill>
                  <w14:solidFill>
                    <w14:schemeClr w14:val="tx1"/>
                  </w14:solidFill>
                </w14:textFill>
              </w:rPr>
              <w:t>”的第2条处罚。</w:t>
            </w:r>
            <w:r>
              <w:rPr>
                <w:rFonts w:hint="eastAsia" w:ascii="宋体" w:hAnsi="宋体"/>
                <w:bCs/>
                <w:color w:val="000000" w:themeColor="text1"/>
                <w:szCs w:val="21"/>
                <w:highlight w:val="none"/>
                <w14:textFill>
                  <w14:solidFill>
                    <w14:schemeClr w14:val="tx1"/>
                  </w14:solidFill>
                </w14:textFill>
              </w:rPr>
              <w:t>如经证明确实因不可抗力无法按时交货，采购人仍然需要供应商供货的，供应商可以延迟交货，不按违约处理。</w:t>
            </w:r>
          </w:p>
          <w:p w14:paraId="6081C9B1">
            <w:pPr>
              <w:spacing w:line="360" w:lineRule="auto"/>
              <w:ind w:firstLine="420" w:firstLineChars="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成交</w:t>
            </w:r>
            <w:r>
              <w:rPr>
                <w:rFonts w:hint="eastAsia" w:ascii="宋体" w:hAnsi="宋体"/>
                <w:bCs/>
                <w:color w:val="000000" w:themeColor="text1"/>
                <w:szCs w:val="21"/>
                <w:highlight w:val="none"/>
                <w14:textFill>
                  <w14:solidFill>
                    <w14:schemeClr w14:val="tx1"/>
                  </w14:solidFill>
                </w14:textFill>
              </w:rPr>
              <w:t>并签订合同</w:t>
            </w:r>
            <w:r>
              <w:rPr>
                <w:rFonts w:hint="eastAsia" w:ascii="宋体" w:hAnsi="宋体"/>
                <w:bCs/>
                <w:color w:val="000000" w:themeColor="text1"/>
                <w:szCs w:val="21"/>
                <w:highlight w:val="none"/>
                <w14:textFill>
                  <w14:solidFill>
                    <w14:schemeClr w14:val="tx1"/>
                  </w14:solidFill>
                </w14:textFill>
              </w:rPr>
              <w:t>后</w:t>
            </w:r>
            <w:r>
              <w:rPr>
                <w:rFonts w:hint="eastAsia" w:ascii="宋体" w:hAnsi="宋体"/>
                <w:bCs/>
                <w:color w:val="000000" w:themeColor="text1"/>
                <w:szCs w:val="21"/>
                <w:highlight w:val="none"/>
                <w14:textFill>
                  <w14:solidFill>
                    <w14:schemeClr w14:val="tx1"/>
                  </w14:solidFill>
                </w14:textFill>
              </w:rPr>
              <w:t>须</w:t>
            </w:r>
            <w:r>
              <w:rPr>
                <w:rFonts w:hint="eastAsia" w:ascii="宋体" w:hAnsi="宋体"/>
                <w:bCs/>
                <w:color w:val="000000" w:themeColor="text1"/>
                <w:szCs w:val="21"/>
                <w:highlight w:val="none"/>
                <w14:textFill>
                  <w14:solidFill>
                    <w14:schemeClr w14:val="tx1"/>
                  </w14:solidFill>
                </w14:textFill>
              </w:rPr>
              <w:t>与采购人签订“质量保证协议书”，并严格遵照履行。</w:t>
            </w:r>
          </w:p>
          <w:p w14:paraId="6E2375D9">
            <w:pPr>
              <w:autoSpaceDE w:val="0"/>
              <w:autoSpaceDN w:val="0"/>
              <w:adjustRightInd w:val="0"/>
              <w:snapToGrid w:val="0"/>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4.供应商</w:t>
            </w:r>
            <w:r>
              <w:rPr>
                <w:rFonts w:hint="eastAsia" w:ascii="宋体" w:hAnsi="宋体" w:cs="宋体"/>
                <w:color w:val="000000" w:themeColor="text1"/>
                <w:kern w:val="0"/>
                <w:szCs w:val="21"/>
                <w:highlight w:val="none"/>
                <w14:textFill>
                  <w14:solidFill>
                    <w14:schemeClr w14:val="tx1"/>
                  </w14:solidFill>
                </w14:textFill>
              </w:rPr>
              <w:t>成交</w:t>
            </w:r>
            <w:r>
              <w:rPr>
                <w:rFonts w:hint="eastAsia"/>
                <w:color w:val="000000" w:themeColor="text1"/>
                <w:highlight w:val="none"/>
                <w14:textFill>
                  <w14:solidFill>
                    <w14:schemeClr w14:val="tx1"/>
                  </w14:solidFill>
                </w14:textFill>
              </w:rPr>
              <w:t>并签</w:t>
            </w:r>
            <w:r>
              <w:rPr>
                <w:rFonts w:hint="eastAsia" w:ascii="宋体" w:hAnsi="宋体"/>
                <w:bCs/>
                <w:color w:val="000000" w:themeColor="text1"/>
                <w:szCs w:val="21"/>
                <w:highlight w:val="none"/>
                <w14:textFill>
                  <w14:solidFill>
                    <w14:schemeClr w14:val="tx1"/>
                  </w14:solidFill>
                </w14:textFill>
              </w:rPr>
              <w:t>订</w:t>
            </w:r>
            <w:r>
              <w:rPr>
                <w:rFonts w:hint="eastAsia"/>
                <w:color w:val="000000" w:themeColor="text1"/>
                <w:highlight w:val="none"/>
                <w14:textFill>
                  <w14:solidFill>
                    <w14:schemeClr w14:val="tx1"/>
                  </w14:solidFill>
                </w14:textFill>
              </w:rPr>
              <w:t>合同</w:t>
            </w:r>
            <w:r>
              <w:rPr>
                <w:rFonts w:hint="eastAsia" w:ascii="宋体" w:hAnsi="宋体" w:cs="宋体"/>
                <w:color w:val="000000" w:themeColor="text1"/>
                <w:kern w:val="0"/>
                <w:szCs w:val="21"/>
                <w:highlight w:val="none"/>
                <w14:textFill>
                  <w14:solidFill>
                    <w14:schemeClr w14:val="tx1"/>
                  </w14:solidFill>
                </w14:textFill>
              </w:rPr>
              <w:t>后须向采购人提供供应商的《营业执照》、《放射性药品经营许可证》、《辐射安全许可证》；提供生产企业的《营业执照》、《放射性药品生产许可证》、《辐射安全许可证》、《药品注册证》或《药品再注册批件》；提供供应商或委托单位的</w:t>
            </w:r>
            <w:r>
              <w:rPr>
                <w:rFonts w:hint="eastAsia" w:ascii="宋体" w:hAnsi="宋体" w:cs="宋体"/>
                <w:bCs/>
                <w:color w:val="000000" w:themeColor="text1"/>
                <w:kern w:val="0"/>
                <w:szCs w:val="21"/>
                <w:highlight w:val="none"/>
                <w14:textFill>
                  <w14:solidFill>
                    <w14:schemeClr w14:val="tx1"/>
                  </w14:solidFill>
                </w14:textFill>
              </w:rPr>
              <w:t>《道路运输经营许可证》[经营范围须包含放射性物品或危险货物运输（7类）]、运输车辆的《道路运输证》、送货人员的《道路运输从业人员从业资格证》及《核技术利用辐射安全与防护培训合格证》，若为委托运输的，应提供合法有效的委托运输协议</w:t>
            </w:r>
            <w:r>
              <w:rPr>
                <w:rFonts w:hint="eastAsia" w:ascii="宋体" w:hAnsi="宋体" w:cs="宋体"/>
                <w:color w:val="000000" w:themeColor="text1"/>
                <w:kern w:val="0"/>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在合同期内，当上述材料</w:t>
            </w:r>
            <w:r>
              <w:rPr>
                <w:rFonts w:ascii="Segoe UI" w:hAnsi="Segoe UI" w:cs="Segoe UI"/>
                <w:color w:val="000000" w:themeColor="text1"/>
                <w:highlight w:val="none"/>
                <w:shd w:val="clear" w:color="auto" w:fill="FFFFFF"/>
                <w14:textFill>
                  <w14:solidFill>
                    <w14:schemeClr w14:val="tx1"/>
                  </w14:solidFill>
                </w14:textFill>
              </w:rPr>
              <w:t>临近有效期截止日期前，供应商</w:t>
            </w:r>
            <w:r>
              <w:rPr>
                <w:rFonts w:hint="eastAsia" w:ascii="Segoe UI" w:hAnsi="Segoe UI" w:cs="Segoe UI"/>
                <w:color w:val="000000" w:themeColor="text1"/>
                <w:highlight w:val="none"/>
                <w:shd w:val="clear" w:color="auto" w:fill="FFFFFF"/>
                <w14:textFill>
                  <w14:solidFill>
                    <w14:schemeClr w14:val="tx1"/>
                  </w14:solidFill>
                </w14:textFill>
              </w:rPr>
              <w:t>须</w:t>
            </w:r>
            <w:r>
              <w:rPr>
                <w:rFonts w:ascii="Segoe UI" w:hAnsi="Segoe UI" w:cs="Segoe UI"/>
                <w:color w:val="000000" w:themeColor="text1"/>
                <w:highlight w:val="none"/>
                <w:shd w:val="clear" w:color="auto" w:fill="FFFFFF"/>
                <w14:textFill>
                  <w14:solidFill>
                    <w14:schemeClr w14:val="tx1"/>
                  </w14:solidFill>
                </w14:textFill>
              </w:rPr>
              <w:t>主动提</w:t>
            </w:r>
            <w:r>
              <w:rPr>
                <w:rFonts w:hint="eastAsia" w:ascii="Segoe UI" w:hAnsi="Segoe UI" w:cs="Segoe UI"/>
                <w:color w:val="000000" w:themeColor="text1"/>
                <w:highlight w:val="none"/>
                <w:shd w:val="clear" w:color="auto" w:fill="FFFFFF"/>
                <w14:textFill>
                  <w14:solidFill>
                    <w14:schemeClr w14:val="tx1"/>
                  </w14:solidFill>
                </w14:textFill>
              </w:rPr>
              <w:t>供</w:t>
            </w:r>
            <w:r>
              <w:rPr>
                <w:rFonts w:ascii="Segoe UI" w:hAnsi="Segoe UI" w:cs="Segoe UI"/>
                <w:color w:val="000000" w:themeColor="text1"/>
                <w:highlight w:val="none"/>
                <w:shd w:val="clear" w:color="auto" w:fill="FFFFFF"/>
                <w14:textFill>
                  <w14:solidFill>
                    <w14:schemeClr w14:val="tx1"/>
                  </w14:solidFill>
                </w14:textFill>
              </w:rPr>
              <w:t>更新后的材料。</w:t>
            </w:r>
            <w:r>
              <w:rPr>
                <w:rFonts w:hint="eastAsia" w:hAnsi="宋体" w:cs="宋体"/>
                <w:color w:val="000000" w:themeColor="text1"/>
                <w:highlight w:val="none"/>
                <w14:textFill>
                  <w14:solidFill>
                    <w14:schemeClr w14:val="tx1"/>
                  </w14:solidFill>
                </w14:textFill>
              </w:rPr>
              <w:t>若拒绝提供或所提供资质证件不合格，报经财政部门同意后，采购人有权单方解除合同。</w:t>
            </w:r>
          </w:p>
          <w:p w14:paraId="616D01E9">
            <w:pPr>
              <w:autoSpaceDE w:val="0"/>
              <w:autoSpaceDN w:val="0"/>
              <w:adjustRightInd w:val="0"/>
              <w:snapToGrid w:val="0"/>
              <w:spacing w:line="360" w:lineRule="auto"/>
              <w:ind w:firstLine="42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5.如供应商发现所配送的药品存在质量问题或其他安全隐患的，应当立即停止销售，告知采购人停止销售和使用，并对其产品进行召回。</w:t>
            </w:r>
          </w:p>
          <w:p w14:paraId="2DEF400E">
            <w:pPr>
              <w:autoSpaceDE w:val="0"/>
              <w:autoSpaceDN w:val="0"/>
              <w:adjustRightInd w:val="0"/>
              <w:snapToGrid w:val="0"/>
              <w:spacing w:line="360" w:lineRule="auto"/>
              <w:ind w:firstLine="42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6.合同期内遇到药监部门抽查采购人的药品，其抽查数量由供应商补齐，对存在问题的药品所发生的查封、没收、罚款等，均由供应商承担责任。</w:t>
            </w:r>
          </w:p>
          <w:p w14:paraId="4E792EF4">
            <w:pPr>
              <w:autoSpaceDE w:val="0"/>
              <w:autoSpaceDN w:val="0"/>
              <w:adjustRightInd w:val="0"/>
              <w:snapToGrid w:val="0"/>
              <w:spacing w:line="360" w:lineRule="auto"/>
              <w:ind w:firstLine="42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7.供应商有义务在采购人指定的地点对放射性药品的临床应用进行现场讲解或培训。</w:t>
            </w:r>
          </w:p>
          <w:p w14:paraId="1A0B26A0">
            <w:pPr>
              <w:spacing w:line="360" w:lineRule="auto"/>
              <w:ind w:firstLine="420" w:firstLineChars="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8.供应商的送货</w:t>
            </w:r>
            <w:r>
              <w:rPr>
                <w:rFonts w:ascii="宋体" w:hAnsi="宋体"/>
                <w:bCs/>
                <w:color w:val="000000" w:themeColor="text1"/>
                <w:szCs w:val="21"/>
                <w:highlight w:val="none"/>
                <w14:textFill>
                  <w14:solidFill>
                    <w14:schemeClr w14:val="tx1"/>
                  </w14:solidFill>
                </w14:textFill>
              </w:rPr>
              <w:t>专员</w:t>
            </w:r>
            <w:r>
              <w:rPr>
                <w:rFonts w:hint="eastAsia" w:ascii="宋体" w:hAnsi="宋体"/>
                <w:bCs/>
                <w:color w:val="000000" w:themeColor="text1"/>
                <w:szCs w:val="21"/>
                <w:highlight w:val="none"/>
                <w14:textFill>
                  <w14:solidFill>
                    <w14:schemeClr w14:val="tx1"/>
                  </w14:solidFill>
                </w14:textFill>
              </w:rPr>
              <w:t>在院内活动必须严格遵守采购人各项规章制度，不得做出有损采购人形象和利益的事情。</w:t>
            </w:r>
          </w:p>
          <w:p w14:paraId="38D595C0">
            <w:pPr>
              <w:spacing w:line="360" w:lineRule="auto"/>
              <w:ind w:firstLine="420" w:firstLineChars="0"/>
              <w:rPr>
                <w:rFonts w:ascii="Calibri" w:hAnsi="Calibri"/>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售后服务：</w:t>
            </w:r>
            <w:r>
              <w:rPr>
                <w:rFonts w:ascii="宋体" w:hAnsi="宋体"/>
                <w:bCs/>
                <w:color w:val="000000" w:themeColor="text1"/>
                <w:szCs w:val="21"/>
                <w:highlight w:val="none"/>
                <w14:textFill>
                  <w14:solidFill>
                    <w14:schemeClr w14:val="tx1"/>
                  </w14:solidFill>
                </w14:textFill>
              </w:rPr>
              <w:t>提供</w:t>
            </w:r>
            <w:r>
              <w:rPr>
                <w:rFonts w:hint="eastAsia" w:ascii="宋体" w:hAnsi="宋体"/>
                <w:bCs/>
                <w:color w:val="000000" w:themeColor="text1"/>
                <w:szCs w:val="21"/>
                <w:highlight w:val="none"/>
                <w14:textFill>
                  <w14:solidFill>
                    <w14:schemeClr w14:val="tx1"/>
                  </w14:solidFill>
                </w14:textFill>
              </w:rPr>
              <w:t>服务专线</w:t>
            </w:r>
            <w:r>
              <w:rPr>
                <w:rFonts w:ascii="宋体" w:hAnsi="宋体"/>
                <w:bCs/>
                <w:color w:val="000000" w:themeColor="text1"/>
                <w:szCs w:val="21"/>
                <w:highlight w:val="none"/>
                <w14:textFill>
                  <w14:solidFill>
                    <w14:schemeClr w14:val="tx1"/>
                  </w14:solidFill>
                </w14:textFill>
              </w:rPr>
              <w:t>，并有专人负责以方便工作联系和服务。</w:t>
            </w:r>
          </w:p>
          <w:p w14:paraId="1F430DCA">
            <w:pPr>
              <w:numPr>
                <w:ilvl w:val="0"/>
                <w:numId w:val="10"/>
              </w:numPr>
              <w:spacing w:line="360" w:lineRule="auto"/>
              <w:ind w:firstLine="420" w:firstLineChars="0"/>
              <w:rPr>
                <w:rFonts w:ascii="Calibri" w:hAnsi="Calibri"/>
                <w:b/>
                <w:bCs/>
                <w:color w:val="000000" w:themeColor="text1"/>
                <w:highlight w:val="none"/>
                <w14:textFill>
                  <w14:solidFill>
                    <w14:schemeClr w14:val="tx1"/>
                  </w14:solidFill>
                </w14:textFill>
              </w:rPr>
            </w:pPr>
            <w:r>
              <w:rPr>
                <w:rFonts w:hint="eastAsia" w:ascii="Calibri" w:hAnsi="Calibri"/>
                <w:b/>
                <w:bCs/>
                <w:color w:val="000000" w:themeColor="text1"/>
                <w:highlight w:val="none"/>
                <w14:textFill>
                  <w14:solidFill>
                    <w14:schemeClr w14:val="tx1"/>
                  </w14:solidFill>
                </w14:textFill>
              </w:rPr>
              <w:t>配送及验收要求</w:t>
            </w:r>
          </w:p>
          <w:p w14:paraId="6A74B4B4">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1A4551AF">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放射性药品的运输，按国家运输、邮政等部门制订的有关规定执行。</w:t>
            </w:r>
            <w:r>
              <w:rPr>
                <w:rFonts w:hint="eastAsia" w:ascii="宋体" w:hAnsi="宋体"/>
                <w:bCs/>
                <w:color w:val="000000" w:themeColor="text1"/>
                <w:szCs w:val="21"/>
                <w:highlight w:val="none"/>
                <w14:textFill>
                  <w14:solidFill>
                    <w14:schemeClr w14:val="tx1"/>
                  </w14:solidFill>
                </w14:textFill>
              </w:rPr>
              <w:t>用于药品运输的车辆及设备必须符合《放射性物品道路运输管理规定》中的相关规定，且由专车运送至采购人指定地点，送货人员持有《道路运输从业人员从业资格证》及《辐射安全与防护培训合格证》。</w:t>
            </w:r>
          </w:p>
          <w:p w14:paraId="705B5673">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供应商所供药品应按相关要求包装并实施保护措施，以防止药品在转运中损坏或变质，确保药品安全无损运抵指定地点。如发现药品出现损坏（包括表面损坏），或出现水渍、受潮等导致药品性质改变或含量不足的，</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必须2日内完成无条件退货。药品在交付采购人前发生的风险均由供应商负责。</w:t>
            </w:r>
          </w:p>
          <w:p w14:paraId="7B107C99">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供应商根据采购计划按规定送达货物后，</w:t>
            </w:r>
            <w:r>
              <w:rPr>
                <w:rFonts w:hint="eastAsia" w:ascii="宋体" w:hAnsi="宋体"/>
                <w:bCs/>
                <w:color w:val="000000" w:themeColor="text1"/>
                <w:szCs w:val="21"/>
                <w:highlight w:val="none"/>
                <w14:textFill>
                  <w14:solidFill>
                    <w14:schemeClr w14:val="tx1"/>
                  </w14:solidFill>
                </w14:textFill>
              </w:rPr>
              <w:t>将检验报告等验收资料以及一式四份的送货清单交使用部门验收，验收人员验收无误后将送货清单交西药库入库，供应商及使用部门各留一份，剩余两份交由西药库</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按照《中华人民共和国药品管理法》、《放射性药品管理办法》等有关规定，对供应商提供的药品进行验收，验收项目包括：品名、规格、放射性活度、厂家、批号、数量、有效期及外观质量、货物包装等。同时查验供应商及药品资质证件（药品合格证明、检验报告等），若出现质量、有效期、包装不符合要求或证书无效、证书不全等情况，采购人有权拒绝接收，并拒付货款，</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应当在2日内处理退货并负责收回所退药品，退款从当月货款中扣除，退货不及时的按逾期交货处罚。如发生上述情况</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采购人不承担</w:t>
            </w:r>
            <w:r>
              <w:rPr>
                <w:rFonts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由此产生的任何费用，并对其给采购人造成的损失</w:t>
            </w:r>
            <w:r>
              <w:rPr>
                <w:rFonts w:ascii="宋体" w:hAnsi="宋体"/>
                <w:bCs/>
                <w:color w:val="000000" w:themeColor="text1"/>
                <w:szCs w:val="21"/>
                <w:highlight w:val="none"/>
                <w14:textFill>
                  <w14:solidFill>
                    <w14:schemeClr w14:val="tx1"/>
                  </w14:solidFill>
                </w14:textFill>
              </w:rPr>
              <w:t>保留追索</w:t>
            </w:r>
            <w:r>
              <w:rPr>
                <w:rFonts w:hint="eastAsia" w:ascii="宋体" w:hAnsi="宋体"/>
                <w:bCs/>
                <w:color w:val="000000" w:themeColor="text1"/>
                <w:szCs w:val="21"/>
                <w:highlight w:val="none"/>
                <w14:textFill>
                  <w14:solidFill>
                    <w14:schemeClr w14:val="tx1"/>
                  </w14:solidFill>
                </w14:textFill>
              </w:rPr>
              <w:t>权利。</w:t>
            </w:r>
          </w:p>
          <w:p w14:paraId="4288FF7B">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5.使用科室验收后，根据病人具体情况使用碘[125I]密封籽源，手术结束后未用完的药品供应商承诺无条件退货并安排专业人员收回所退药品。</w:t>
            </w:r>
          </w:p>
          <w:p w14:paraId="1CBDDBF1">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6.供应商应具备解决紧急问题的能力，如采购人在使用放射性药品的过程中发现问题，供应商应及时到现场解决。</w:t>
            </w:r>
          </w:p>
          <w:p w14:paraId="3AAB6041">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7.药品有异常情况（例如：剂量不符、目测药物异常、溢岀</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外漏、包装破损、过期等），供应商必须</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完全回收，并重新提供合格的药品。所有发生的费用由供应商承担。</w:t>
            </w:r>
          </w:p>
          <w:p w14:paraId="5B985DD3">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8.供应商定期并及时</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回收所使用药品的防护容器。</w:t>
            </w:r>
          </w:p>
          <w:p w14:paraId="7F545B0A">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供应商每次供货应同时提供该批次药品清单（送货单），提供的送货单上须包含药品名称、规格、单价、数量、总金额、生产厂家、生产批号、有效期、国药准字等信息，同时加盖公章或供应商出库专用章。送货单不得涂改，标记不清的，采购人将拒绝签收。</w:t>
            </w:r>
          </w:p>
          <w:p w14:paraId="4664E834">
            <w:pPr>
              <w:adjustRightInd w:val="0"/>
              <w:spacing w:line="360" w:lineRule="auto"/>
              <w:ind w:firstLine="420" w:firstLineChars="0"/>
              <w:rPr>
                <w:rFonts w:ascii="Calibri" w:hAnsi="Calibri"/>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10.在药品有效期内，如采购人发现药品存在质量问题的，该批次药品剩余库存供应商应在2日内完成无条件退货，</w:t>
            </w:r>
            <w:r>
              <w:rPr>
                <w:rFonts w:hint="eastAsia" w:ascii="宋体" w:hAnsi="宋体"/>
                <w:color w:val="000000" w:themeColor="text1"/>
                <w:szCs w:val="21"/>
                <w:highlight w:val="none"/>
                <w14:textFill>
                  <w14:solidFill>
                    <w14:schemeClr w14:val="tx1"/>
                  </w14:solidFill>
                </w14:textFill>
              </w:rPr>
              <w:t>采购人按“</w:t>
            </w:r>
            <w:r>
              <w:rPr>
                <w:rFonts w:hint="eastAsia" w:ascii="宋体" w:hAnsi="宋体"/>
                <w:bCs/>
                <w:color w:val="000000" w:themeColor="text1"/>
                <w:szCs w:val="21"/>
                <w:highlight w:val="none"/>
                <w14:textFill>
                  <w14:solidFill>
                    <w14:schemeClr w14:val="tx1"/>
                  </w14:solidFill>
                </w14:textFill>
              </w:rPr>
              <w:t>违约和相关处罚</w:t>
            </w:r>
            <w:r>
              <w:rPr>
                <w:rFonts w:hint="eastAsia" w:ascii="宋体" w:hAnsi="宋体"/>
                <w:color w:val="000000" w:themeColor="text1"/>
                <w:szCs w:val="21"/>
                <w:highlight w:val="none"/>
                <w14:textFill>
                  <w14:solidFill>
                    <w14:schemeClr w14:val="tx1"/>
                  </w14:solidFill>
                </w14:textFill>
              </w:rPr>
              <w:t>”的第5条处罚，如由此造成的一切损失（包括经济损失、消除影响等）均由</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无条件承担</w:t>
            </w:r>
            <w:r>
              <w:rPr>
                <w:rFonts w:ascii="宋体" w:hAnsi="宋体"/>
                <w:color w:val="000000" w:themeColor="text1"/>
                <w:szCs w:val="21"/>
                <w:highlight w:val="none"/>
                <w14:textFill>
                  <w14:solidFill>
                    <w14:schemeClr w14:val="tx1"/>
                  </w14:solidFill>
                </w14:textFill>
              </w:rPr>
              <w:t>。</w:t>
            </w:r>
          </w:p>
        </w:tc>
      </w:tr>
      <w:tr w14:paraId="194BD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14:paraId="5E77141F">
            <w:pPr>
              <w:widowControl/>
              <w:spacing w:line="360" w:lineRule="auto"/>
              <w:ind w:firstLine="0" w:firstLineChars="0"/>
              <w:rPr>
                <w:rFonts w:ascii="宋体" w:hAnsi="宋体"/>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商务条款</w:t>
            </w:r>
          </w:p>
        </w:tc>
      </w:tr>
      <w:tr w14:paraId="2D62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14:paraId="0CEFB272">
            <w:pPr>
              <w:snapToGrid w:val="0"/>
              <w:spacing w:before="120" w:beforeLines="50" w:line="360" w:lineRule="auto"/>
              <w:ind w:firstLine="6" w:firstLineChars="3"/>
              <w:jc w:val="center"/>
              <w:rPr>
                <w:rFonts w:hAnsi="宋体"/>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服务</w:t>
            </w:r>
            <w:r>
              <w:rPr>
                <w:rFonts w:hAnsi="宋体"/>
                <w:b/>
                <w:bCs/>
                <w:color w:val="000000" w:themeColor="text1"/>
                <w:highlight w:val="none"/>
                <w14:textFill>
                  <w14:solidFill>
                    <w14:schemeClr w14:val="tx1"/>
                  </w14:solidFill>
                </w14:textFill>
              </w:rPr>
              <w:t>期限</w:t>
            </w:r>
            <w:r>
              <w:rPr>
                <w:b/>
                <w:color w:val="000000" w:themeColor="text1"/>
                <w:highlight w:val="none"/>
                <w14:textFill>
                  <w14:solidFill>
                    <w14:schemeClr w14:val="tx1"/>
                  </w14:solidFill>
                </w14:textFill>
              </w:rPr>
              <w:t>及地点</w:t>
            </w:r>
          </w:p>
        </w:tc>
        <w:tc>
          <w:tcPr>
            <w:tcW w:w="7564" w:type="dxa"/>
            <w:gridSpan w:val="2"/>
            <w:tcBorders>
              <w:top w:val="single" w:color="auto" w:sz="4" w:space="0"/>
              <w:left w:val="single" w:color="auto" w:sz="4" w:space="0"/>
              <w:bottom w:val="single" w:color="auto" w:sz="4" w:space="0"/>
              <w:right w:val="single" w:color="auto" w:sz="4" w:space="0"/>
            </w:tcBorders>
            <w:vAlign w:val="center"/>
          </w:tcPr>
          <w:p w14:paraId="629D72E3">
            <w:pPr>
              <w:snapToGrid w:val="0"/>
              <w:spacing w:line="4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服务</w:t>
            </w:r>
            <w:r>
              <w:rPr>
                <w:rFonts w:hint="eastAsia" w:hAnsi="宋体"/>
                <w:bCs/>
                <w:color w:val="000000" w:themeColor="text1"/>
                <w:highlight w:val="none"/>
                <w14:textFill>
                  <w14:solidFill>
                    <w14:schemeClr w14:val="tx1"/>
                  </w14:solidFill>
                </w14:textFill>
              </w:rPr>
              <w:t>期限</w:t>
            </w:r>
            <w:r>
              <w:rPr>
                <w:rFonts w:hint="eastAsia" w:hAnsi="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自签订合同之日起2年或2年内采购金额达到本项目合同总金额，合同自动终止。</w:t>
            </w:r>
          </w:p>
          <w:p w14:paraId="4D4D6680">
            <w:pPr>
              <w:spacing w:line="400" w:lineRule="exact"/>
              <w:ind w:firstLine="420"/>
              <w:rPr>
                <w:rStyle w:val="190"/>
                <w:rFonts w:hint="default"/>
                <w:color w:val="000000" w:themeColor="text1"/>
                <w:sz w:val="21"/>
                <w:szCs w:val="21"/>
                <w:highlight w:val="none"/>
                <w:lang w:bidi="ar"/>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服务地点：柳州市采购人指定地点，</w:t>
            </w:r>
            <w:r>
              <w:rPr>
                <w:rFonts w:hint="eastAsia" w:ascii="宋体" w:hAnsi="宋体" w:cs="仿宋"/>
                <w:color w:val="000000" w:themeColor="text1"/>
                <w:szCs w:val="21"/>
                <w:highlight w:val="none"/>
                <w14:textFill>
                  <w14:solidFill>
                    <w14:schemeClr w14:val="tx1"/>
                  </w14:solidFill>
                </w14:textFill>
              </w:rPr>
              <w:t>如柳州市中医院</w:t>
            </w:r>
            <w:r>
              <w:rPr>
                <w:rFonts w:hint="eastAsia" w:ascii="宋体" w:hAnsi="宋体"/>
                <w:bCs/>
                <w:color w:val="000000" w:themeColor="text1"/>
                <w:szCs w:val="21"/>
                <w:highlight w:val="none"/>
                <w14:textFill>
                  <w14:solidFill>
                    <w14:schemeClr w14:val="tx1"/>
                  </w14:solidFill>
                </w14:textFill>
              </w:rPr>
              <w:t>莲花山院区门诊负一楼核医学科</w:t>
            </w:r>
            <w:r>
              <w:rPr>
                <w:rFonts w:hint="eastAsia" w:hAnsi="宋体"/>
                <w:color w:val="000000" w:themeColor="text1"/>
                <w:highlight w:val="none"/>
                <w14:textFill>
                  <w14:solidFill>
                    <w14:schemeClr w14:val="tx1"/>
                  </w14:solidFill>
                </w14:textFill>
              </w:rPr>
              <w:t>。</w:t>
            </w:r>
          </w:p>
        </w:tc>
      </w:tr>
      <w:tr w14:paraId="12CD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14:paraId="694B0B6D">
            <w:pPr>
              <w:snapToGrid w:val="0"/>
              <w:spacing w:before="120" w:beforeLines="50" w:line="360" w:lineRule="auto"/>
              <w:ind w:firstLine="6" w:firstLineChars="3"/>
              <w:jc w:val="center"/>
              <w:rPr>
                <w:b/>
                <w:color w:val="000000" w:themeColor="text1"/>
                <w:highlight w:val="none"/>
                <w14:textFill>
                  <w14:solidFill>
                    <w14:schemeClr w14:val="tx1"/>
                  </w14:solidFill>
                </w14:textFill>
              </w:rPr>
            </w:pPr>
            <w:r>
              <w:rPr>
                <w:rFonts w:hint="eastAsia" w:hAnsi="宋体" w:cs="仿宋"/>
                <w:b/>
                <w:color w:val="000000" w:themeColor="text1"/>
                <w:highlight w:val="none"/>
                <w14:textFill>
                  <w14:solidFill>
                    <w14:schemeClr w14:val="tx1"/>
                  </w14:solidFill>
                </w14:textFill>
              </w:rPr>
              <w:t>报价要求</w:t>
            </w:r>
          </w:p>
        </w:tc>
        <w:tc>
          <w:tcPr>
            <w:tcW w:w="7564" w:type="dxa"/>
            <w:gridSpan w:val="2"/>
            <w:tcBorders>
              <w:top w:val="single" w:color="auto" w:sz="4" w:space="0"/>
              <w:left w:val="single" w:color="auto" w:sz="4" w:space="0"/>
              <w:bottom w:val="single" w:color="auto" w:sz="4" w:space="0"/>
              <w:right w:val="single" w:color="auto" w:sz="4" w:space="0"/>
            </w:tcBorders>
            <w:vAlign w:val="center"/>
          </w:tcPr>
          <w:p w14:paraId="3D7B742B">
            <w:pPr>
              <w:autoSpaceDE w:val="0"/>
              <w:autoSpaceDN w:val="0"/>
              <w:adjustRightInd w:val="0"/>
              <w:spacing w:line="400" w:lineRule="exact"/>
              <w:ind w:right="-23" w:firstLine="420"/>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1</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供应商应当充分考虑市场价格变动和自身实际情况进行报价，并承诺所报固定单价在合同期内有效。</w:t>
            </w:r>
          </w:p>
          <w:p w14:paraId="4424639F">
            <w:pPr>
              <w:autoSpaceDE w:val="0"/>
              <w:autoSpaceDN w:val="0"/>
              <w:adjustRightInd w:val="0"/>
              <w:spacing w:line="400" w:lineRule="exact"/>
              <w:ind w:right="-23" w:firstLine="420"/>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供应商的报价须包括：货物送达指定地点，验收合格至正常使用前所有可能发生的费用。即包含：货物本身费用、运输费、装卸搬运费、人工劳务费、税金等。供应商认为必须的费用也需综合考虑在报价中，在合同期间，采购人不予提高供货单价，如遇国家或自治区等政策性降价，则应按最低价格执行。</w:t>
            </w:r>
          </w:p>
          <w:p w14:paraId="430EA7F9">
            <w:pPr>
              <w:autoSpaceDE w:val="0"/>
              <w:autoSpaceDN w:val="0"/>
              <w:adjustRightInd w:val="0"/>
              <w:spacing w:line="400" w:lineRule="exact"/>
              <w:ind w:right="-23" w:firstLine="422"/>
              <w:rPr>
                <w:rFonts w:ascii="Calibri" w:hAnsi="宋体" w:cs="宋体"/>
                <w:b/>
                <w:bCs/>
                <w:color w:val="000000" w:themeColor="text1"/>
                <w:szCs w:val="21"/>
                <w:highlight w:val="none"/>
                <w14:textFill>
                  <w14:solidFill>
                    <w14:schemeClr w14:val="tx1"/>
                  </w14:solidFill>
                </w14:textFill>
              </w:rPr>
            </w:pPr>
            <w:r>
              <w:rPr>
                <w:rFonts w:hint="eastAsia" w:ascii="Calibri" w:hAnsi="宋体" w:cs="宋体"/>
                <w:b/>
                <w:color w:val="000000" w:themeColor="text1"/>
                <w:szCs w:val="21"/>
                <w:highlight w:val="none"/>
                <w14:textFill>
                  <w14:solidFill>
                    <w14:schemeClr w14:val="tx1"/>
                  </w14:solidFill>
                </w14:textFill>
              </w:rPr>
              <w:t>3</w:t>
            </w:r>
            <w:r>
              <w:rPr>
                <w:rFonts w:ascii="宋体" w:hAnsi="宋体"/>
                <w:b/>
                <w:bCs/>
                <w:color w:val="000000" w:themeColor="text1"/>
                <w:szCs w:val="21"/>
                <w:highlight w:val="none"/>
                <w14:textFill>
                  <w14:solidFill>
                    <w14:schemeClr w14:val="tx1"/>
                  </w14:solidFill>
                </w14:textFill>
              </w:rPr>
              <w:t>.</w:t>
            </w:r>
            <w:r>
              <w:rPr>
                <w:rFonts w:hint="eastAsia" w:ascii="Calibri" w:hAnsi="宋体" w:cs="宋体"/>
                <w:b/>
                <w:bCs/>
                <w:color w:val="000000" w:themeColor="text1"/>
                <w:szCs w:val="21"/>
                <w:highlight w:val="none"/>
                <w14:textFill>
                  <w14:solidFill>
                    <w14:schemeClr w14:val="tx1"/>
                  </w14:solidFill>
                </w14:textFill>
              </w:rPr>
              <w:t>产品单价不得超过单</w:t>
            </w:r>
            <w:r>
              <w:rPr>
                <w:rFonts w:hint="eastAsia" w:ascii="Calibri" w:hAnsi="宋体" w:cs="宋体"/>
                <w:b/>
                <w:bCs/>
                <w:color w:val="000000" w:themeColor="text1"/>
                <w:szCs w:val="21"/>
                <w:highlight w:val="none"/>
                <w14:textFill>
                  <w14:solidFill>
                    <w14:schemeClr w14:val="tx1"/>
                  </w14:solidFill>
                </w14:textFill>
              </w:rPr>
              <w:t>价</w:t>
            </w:r>
            <w:r>
              <w:rPr>
                <w:rFonts w:hint="eastAsia" w:ascii="Calibri" w:hAnsi="宋体" w:cs="宋体"/>
                <w:b/>
                <w:bCs/>
                <w:color w:val="000000" w:themeColor="text1"/>
                <w:szCs w:val="21"/>
                <w:highlight w:val="none"/>
                <w14:textFill>
                  <w14:solidFill>
                    <w14:schemeClr w14:val="tx1"/>
                  </w14:solidFill>
                </w14:textFill>
              </w:rPr>
              <w:t>控制价，否则，响应文件</w:t>
            </w:r>
            <w:r>
              <w:rPr>
                <w:rFonts w:hint="eastAsia" w:ascii="Calibri" w:hAnsi="宋体" w:cs="宋体"/>
                <w:b/>
                <w:bCs/>
                <w:color w:val="000000" w:themeColor="text1"/>
                <w:szCs w:val="21"/>
                <w:highlight w:val="none"/>
                <w14:textFill>
                  <w14:solidFill>
                    <w14:schemeClr w14:val="tx1"/>
                  </w14:solidFill>
                </w14:textFill>
              </w:rPr>
              <w:t>按竞标无效处理</w:t>
            </w:r>
            <w:r>
              <w:rPr>
                <w:rFonts w:hint="eastAsia" w:ascii="Calibri" w:hAnsi="宋体" w:cs="宋体"/>
                <w:b/>
                <w:bCs/>
                <w:color w:val="000000" w:themeColor="text1"/>
                <w:szCs w:val="21"/>
                <w:highlight w:val="none"/>
                <w14:textFill>
                  <w14:solidFill>
                    <w14:schemeClr w14:val="tx1"/>
                  </w14:solidFill>
                </w14:textFill>
              </w:rPr>
              <w:t>。</w:t>
            </w:r>
          </w:p>
          <w:p w14:paraId="7F02358D">
            <w:pPr>
              <w:autoSpaceDE w:val="0"/>
              <w:autoSpaceDN w:val="0"/>
              <w:adjustRightInd w:val="0"/>
              <w:spacing w:line="400" w:lineRule="exact"/>
              <w:ind w:right="-23" w:firstLine="420"/>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本项目的年预估量仅为供应商报价提供参考依据，并非实际采购数量。采购数量由采购人按实际工作需要作出采购计划进行采购，货款按照供应商实际配送并验收合格的数量及本项目所报的固定单价进行定期结算。</w:t>
            </w:r>
          </w:p>
        </w:tc>
      </w:tr>
      <w:tr w14:paraId="76A8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14:paraId="1B008084">
            <w:pPr>
              <w:widowControl/>
              <w:spacing w:before="48" w:beforeLines="20" w:line="360" w:lineRule="auto"/>
              <w:ind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付款方式</w:t>
            </w:r>
          </w:p>
        </w:tc>
        <w:tc>
          <w:tcPr>
            <w:tcW w:w="7564" w:type="dxa"/>
            <w:gridSpan w:val="2"/>
            <w:tcBorders>
              <w:top w:val="single" w:color="auto" w:sz="4" w:space="0"/>
              <w:left w:val="single" w:color="auto" w:sz="4" w:space="0"/>
              <w:bottom w:val="single" w:color="auto" w:sz="4" w:space="0"/>
              <w:right w:val="single" w:color="auto" w:sz="4" w:space="0"/>
            </w:tcBorders>
          </w:tcPr>
          <w:p w14:paraId="3002CE15">
            <w:pPr>
              <w:tabs>
                <w:tab w:val="left" w:pos="312"/>
              </w:tabs>
              <w:spacing w:line="40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本项目无预付款，采取定期结算方式进行结算。即供应商按采购人要求完成供货，验收合格后，向采购人提供真实、准确、正式、全额发票以及相关资料</w:t>
            </w:r>
            <w:r>
              <w:rPr>
                <w:rFonts w:hint="eastAsia" w:ascii="宋体" w:hAnsi="宋体" w:cs="宋体"/>
                <w:bCs/>
                <w:color w:val="000000" w:themeColor="text1"/>
                <w:szCs w:val="21"/>
                <w:highlight w:val="none"/>
                <w14:textFill>
                  <w14:solidFill>
                    <w14:schemeClr w14:val="tx1"/>
                  </w14:solidFill>
                </w14:textFill>
              </w:rPr>
              <w:t>，采购人</w:t>
            </w:r>
            <w:r>
              <w:rPr>
                <w:rFonts w:hint="eastAsia" w:hAnsi="宋体" w:cs="宋体"/>
                <w:color w:val="000000" w:themeColor="text1"/>
                <w:kern w:val="0"/>
                <w:highlight w:val="none"/>
                <w14:textFill>
                  <w14:solidFill>
                    <w14:schemeClr w14:val="tx1"/>
                  </w14:solidFill>
                </w14:textFill>
              </w:rPr>
              <w:t>从签订合同后从第七个月开始按实际采购量逐月支付货款</w:t>
            </w:r>
            <w:r>
              <w:rPr>
                <w:rFonts w:hint="eastAsia" w:ascii="宋体" w:hAnsi="宋体" w:cs="宋体"/>
                <w:bCs/>
                <w:color w:val="000000" w:themeColor="text1"/>
                <w:szCs w:val="21"/>
                <w:highlight w:val="none"/>
                <w14:textFill>
                  <w14:solidFill>
                    <w14:schemeClr w14:val="tx1"/>
                  </w14:solidFill>
                </w14:textFill>
              </w:rPr>
              <w:t>。如因供应商自身无法及时提供资料导致无法按时结算，由供应商自行承担责任。如供应商向采购人提供虚假税务发票或委托第三方进行结算，采购人有权拒绝支付供应商的所有货款，</w:t>
            </w:r>
            <w:r>
              <w:rPr>
                <w:rFonts w:hint="eastAsia" w:hAnsi="宋体" w:cs="宋体"/>
                <w:color w:val="000000" w:themeColor="text1"/>
                <w:kern w:val="0"/>
                <w:highlight w:val="none"/>
                <w14:textFill>
                  <w14:solidFill>
                    <w14:schemeClr w14:val="tx1"/>
                  </w14:solidFill>
                </w14:textFill>
              </w:rPr>
              <w:t>报经财政部门同意后，</w:t>
            </w:r>
            <w:r>
              <w:rPr>
                <w:rFonts w:hint="eastAsia"/>
                <w:color w:val="000000" w:themeColor="text1"/>
                <w:highlight w:val="none"/>
                <w14:textFill>
                  <w14:solidFill>
                    <w14:schemeClr w14:val="tx1"/>
                  </w14:solidFill>
                </w14:textFill>
              </w:rPr>
              <w:t>解除</w:t>
            </w:r>
            <w:r>
              <w:rPr>
                <w:rFonts w:hint="eastAsia" w:hAnsi="宋体" w:cs="宋体"/>
                <w:color w:val="000000" w:themeColor="text1"/>
                <w:kern w:val="0"/>
                <w:highlight w:val="none"/>
                <w14:textFill>
                  <w14:solidFill>
                    <w14:schemeClr w14:val="tx1"/>
                  </w14:solidFill>
                </w14:textFill>
              </w:rPr>
              <w:t>合同。</w:t>
            </w:r>
            <w:r>
              <w:rPr>
                <w:rFonts w:hint="eastAsia" w:ascii="宋体" w:hAnsi="宋体" w:cs="宋体"/>
                <w:bCs/>
                <w:color w:val="000000" w:themeColor="text1"/>
                <w:szCs w:val="21"/>
                <w:highlight w:val="none"/>
                <w14:textFill>
                  <w14:solidFill>
                    <w14:schemeClr w14:val="tx1"/>
                  </w14:solidFill>
                </w14:textFill>
              </w:rPr>
              <w:t>如有政策变化等特殊原因，再行商议。</w:t>
            </w:r>
          </w:p>
        </w:tc>
      </w:tr>
      <w:tr w14:paraId="0CD0B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14:paraId="41638432">
            <w:pPr>
              <w:spacing w:line="360" w:lineRule="auto"/>
              <w:ind w:firstLine="0" w:firstLineChars="0"/>
              <w:jc w:val="center"/>
              <w:rPr>
                <w:rFonts w:ascii="Calibri" w:hAnsi="Calibri"/>
                <w:b/>
                <w:bCs/>
                <w:color w:val="000000" w:themeColor="text1"/>
                <w:highlight w:val="none"/>
                <w14:textFill>
                  <w14:solidFill>
                    <w14:schemeClr w14:val="tx1"/>
                  </w14:solidFill>
                </w14:textFill>
              </w:rPr>
            </w:pPr>
            <w:r>
              <w:rPr>
                <w:rFonts w:hint="eastAsia" w:ascii="Calibri" w:hAnsi="Calibri"/>
                <w:b/>
                <w:bCs/>
                <w:color w:val="000000" w:themeColor="text1"/>
                <w:highlight w:val="none"/>
                <w14:textFill>
                  <w14:solidFill>
                    <w14:schemeClr w14:val="tx1"/>
                  </w14:solidFill>
                </w14:textFill>
              </w:rPr>
              <w:t>违约和相关处罚</w:t>
            </w:r>
          </w:p>
        </w:tc>
        <w:tc>
          <w:tcPr>
            <w:tcW w:w="7564" w:type="dxa"/>
            <w:gridSpan w:val="2"/>
            <w:tcBorders>
              <w:top w:val="single" w:color="auto" w:sz="4" w:space="0"/>
              <w:left w:val="single" w:color="auto" w:sz="4" w:space="0"/>
              <w:bottom w:val="single" w:color="auto" w:sz="4" w:space="0"/>
              <w:right w:val="single" w:color="auto" w:sz="4" w:space="0"/>
            </w:tcBorders>
            <w:vAlign w:val="center"/>
          </w:tcPr>
          <w:p w14:paraId="217A3A71">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1.供应商提供的货物如侵犯了第三方合法权益而引发的任何纠纷或诉讼，均由供应商自行负责交涉并承担全部责任。</w:t>
            </w:r>
          </w:p>
          <w:p w14:paraId="6920BECA">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2.采购人发出供货通知后，供应商未在</w:t>
            </w:r>
            <w:r>
              <w:rPr>
                <w:rFonts w:hint="eastAsia" w:ascii="宋体" w:hAnsi="宋体" w:cs="宋体"/>
                <w:bCs/>
                <w:color w:val="000000" w:themeColor="text1"/>
                <w:szCs w:val="21"/>
                <w:highlight w:val="none"/>
                <w14:textFill>
                  <w14:solidFill>
                    <w14:schemeClr w14:val="tx1"/>
                  </w14:solidFill>
                </w14:textFill>
              </w:rPr>
              <w:t>2日</w:t>
            </w:r>
            <w:r>
              <w:rPr>
                <w:rFonts w:hint="eastAsia" w:ascii="宋体" w:hAnsi="宋体" w:cs="宋体"/>
                <w:bCs/>
                <w:color w:val="000000" w:themeColor="text1"/>
                <w:szCs w:val="21"/>
                <w:highlight w:val="none"/>
                <w14:textFill>
                  <w14:solidFill>
                    <w14:schemeClr w14:val="tx1"/>
                  </w14:solidFill>
                </w14:textFill>
              </w:rPr>
              <w:t>内送达指定地点的，影响临床用药的，每逾期一天按本批货物金额的5%计算违约金，从履约保证金中扣罚，</w:t>
            </w:r>
            <w:r>
              <w:rPr>
                <w:rFonts w:hint="eastAsia" w:ascii="宋体" w:hAnsi="宋体" w:cs="宋体"/>
                <w:color w:val="000000" w:themeColor="text1"/>
                <w:szCs w:val="21"/>
                <w:highlight w:val="none"/>
                <w14:textFill>
                  <w14:solidFill>
                    <w14:schemeClr w14:val="tx1"/>
                  </w14:solidFill>
                </w14:textFill>
              </w:rPr>
              <w:t>不足的从货款中扣罚。</w:t>
            </w:r>
            <w:r>
              <w:rPr>
                <w:rFonts w:hint="eastAsia" w:ascii="宋体" w:hAnsi="宋体" w:cs="宋体"/>
                <w:bCs/>
                <w:color w:val="000000" w:themeColor="text1"/>
                <w:szCs w:val="21"/>
                <w:highlight w:val="none"/>
                <w14:textFill>
                  <w14:solidFill>
                    <w14:schemeClr w14:val="tx1"/>
                  </w14:solidFill>
                </w14:textFill>
              </w:rPr>
              <w:t>如逾期达3次，报经财政部门同意后，采购人有权单方</w:t>
            </w:r>
            <w:r>
              <w:rPr>
                <w:rFonts w:hint="eastAsia"/>
                <w:color w:val="000000" w:themeColor="text1"/>
                <w:highlight w:val="none"/>
                <w14:textFill>
                  <w14:solidFill>
                    <w14:schemeClr w14:val="tx1"/>
                  </w14:solidFill>
                </w14:textFill>
              </w:rPr>
              <w:t>解除</w:t>
            </w:r>
            <w:r>
              <w:rPr>
                <w:rFonts w:hint="eastAsia" w:ascii="宋体" w:hAnsi="宋体" w:cs="宋体"/>
                <w:bCs/>
                <w:color w:val="000000" w:themeColor="text1"/>
                <w:szCs w:val="21"/>
                <w:highlight w:val="none"/>
                <w14:textFill>
                  <w14:solidFill>
                    <w14:schemeClr w14:val="tx1"/>
                  </w14:solidFill>
                </w14:textFill>
              </w:rPr>
              <w:t>合同。</w:t>
            </w:r>
          </w:p>
          <w:p w14:paraId="28443F00">
            <w:pPr>
              <w:spacing w:line="400" w:lineRule="exact"/>
              <w:ind w:firstLine="420" w:firstLineChars="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3.供应商送货工作人员不遵守采购人管理规定，做出有损采购人形象和利益的事情,</w:t>
            </w:r>
            <w:r>
              <w:rPr>
                <w:rFonts w:hint="eastAsia" w:ascii="宋体" w:hAnsi="宋体" w:cs="宋体"/>
                <w:color w:val="000000" w:themeColor="text1"/>
                <w:highlight w:val="none"/>
                <w14:textFill>
                  <w14:solidFill>
                    <w14:schemeClr w14:val="tx1"/>
                  </w14:solidFill>
                </w14:textFill>
              </w:rPr>
              <w:t>每次按本批货物金额的5%计算违约金。</w:t>
            </w:r>
          </w:p>
          <w:p w14:paraId="5D31A0E4">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4.在包装、运输、装卸等环节不符合国家相关要求的，采购人有权拒收货物，每次按本批货物金额的5%计算违约金。</w:t>
            </w:r>
          </w:p>
          <w:p w14:paraId="53F62604">
            <w:pPr>
              <w:spacing w:line="400" w:lineRule="exact"/>
              <w:ind w:firstLine="420" w:firstLineChars="0"/>
              <w:rPr>
                <w:rFonts w:ascii="宋体" w:hAnsi="宋体"/>
                <w:bCs/>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货物质量验收不合格，每次按本批货物金额的10%计算违约金，达两次的按下文第6条处理。</w:t>
            </w:r>
          </w:p>
          <w:p w14:paraId="251D4378">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6.有下列行为之一的，报经财政部门同意后，采购人有权单方取消其成交资格、解除合同，按本项目的合同总金额的</w:t>
            </w:r>
            <w:r>
              <w:rPr>
                <w:rFonts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计算扣减违约金，因所供产品质量不合格导致其他损失的，供应商应赔偿所有相关损失。</w:t>
            </w:r>
          </w:p>
          <w:p w14:paraId="6EB2082A">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（1）提供任何虚假资料的。</w:t>
            </w:r>
          </w:p>
          <w:p w14:paraId="3EF02E97">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（2）未经采购人同意，擅自</w:t>
            </w:r>
            <w:r>
              <w:rPr>
                <w:rFonts w:hint="eastAsia" w:ascii="宋体" w:hAnsi="宋体" w:cs="宋体"/>
                <w:color w:val="000000" w:themeColor="text1"/>
                <w:szCs w:val="21"/>
                <w:highlight w:val="none"/>
                <w14:textFill>
                  <w14:solidFill>
                    <w14:schemeClr w14:val="tx1"/>
                  </w14:solidFill>
                </w14:textFill>
              </w:rPr>
              <w:t>提高药品供货价格的</w:t>
            </w:r>
            <w:r>
              <w:rPr>
                <w:rFonts w:hint="eastAsia" w:ascii="宋体" w:hAnsi="宋体" w:cs="宋体"/>
                <w:bCs/>
                <w:color w:val="000000" w:themeColor="text1"/>
                <w:szCs w:val="21"/>
                <w:highlight w:val="none"/>
                <w14:textFill>
                  <w14:solidFill>
                    <w14:schemeClr w14:val="tx1"/>
                  </w14:solidFill>
                </w14:textFill>
              </w:rPr>
              <w:t>；</w:t>
            </w:r>
          </w:p>
          <w:p w14:paraId="1F383019">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（3）私自转让协议给其他厂商进行供货的；</w:t>
            </w:r>
          </w:p>
          <w:p w14:paraId="4999EF5F">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（4）验收发现所供药品质量不合格达两次以上的；</w:t>
            </w:r>
          </w:p>
          <w:p w14:paraId="3180E382">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（5）把采购人验收不合格退货的药品重新供应给采购人的；</w:t>
            </w:r>
          </w:p>
          <w:p w14:paraId="38A4BD75">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（6）所供应的药品为假药、劣药的；</w:t>
            </w:r>
          </w:p>
          <w:p w14:paraId="2304F311">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对药品安全及药品质量等各项检查不严格，造成</w:t>
            </w:r>
            <w:r>
              <w:rPr>
                <w:rFonts w:hint="eastAsia" w:ascii="宋体" w:hAnsi="宋体" w:cs="宋体"/>
                <w:color w:val="000000" w:themeColor="text1"/>
                <w:szCs w:val="21"/>
                <w:highlight w:val="none"/>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重大损失，影响监管安全的</w:t>
            </w:r>
            <w:r>
              <w:rPr>
                <w:rFonts w:hint="eastAsia" w:ascii="宋体" w:hAnsi="宋体" w:cs="宋体"/>
                <w:color w:val="000000" w:themeColor="text1"/>
                <w:szCs w:val="21"/>
                <w:highlight w:val="none"/>
                <w14:textFill>
                  <w14:solidFill>
                    <w14:schemeClr w14:val="tx1"/>
                  </w14:solidFill>
                </w14:textFill>
              </w:rPr>
              <w:t>；</w:t>
            </w:r>
          </w:p>
          <w:p w14:paraId="0FEDAA8C">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（8）在合同期内，非采购人原因，不能按合同及采购要求供货次数达到3次；</w:t>
            </w:r>
          </w:p>
          <w:p w14:paraId="2BB46865">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（9）将本项目转让、分包给他人的；</w:t>
            </w:r>
          </w:p>
          <w:p w14:paraId="4315B29F">
            <w:pPr>
              <w:spacing w:line="400" w:lineRule="exact"/>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（10）不按</w:t>
            </w:r>
            <w:r>
              <w:rPr>
                <w:rFonts w:hint="eastAsia" w:ascii="宋体" w:hAnsi="宋体" w:cs="宋体"/>
                <w:bCs/>
                <w:color w:val="000000" w:themeColor="text1"/>
                <w:szCs w:val="21"/>
                <w:highlight w:val="none"/>
                <w14:textFill>
                  <w14:solidFill>
                    <w14:schemeClr w14:val="tx1"/>
                  </w14:solidFill>
                </w14:textFill>
              </w:rPr>
              <w:t>响应</w:t>
            </w:r>
            <w:r>
              <w:rPr>
                <w:rFonts w:hint="eastAsia" w:ascii="宋体" w:hAnsi="宋体" w:cs="宋体"/>
                <w:bCs/>
                <w:color w:val="000000" w:themeColor="text1"/>
                <w:szCs w:val="21"/>
                <w:highlight w:val="none"/>
                <w14:textFill>
                  <w14:solidFill>
                    <w14:schemeClr w14:val="tx1"/>
                  </w14:solidFill>
                </w14:textFill>
              </w:rPr>
              <w:t>文件服务承诺有关条款约定履行的。</w:t>
            </w:r>
          </w:p>
          <w:p w14:paraId="27874E39">
            <w:pPr>
              <w:spacing w:line="40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7.如</w:t>
            </w:r>
            <w:r>
              <w:rPr>
                <w:rFonts w:hint="eastAsia" w:ascii="宋体" w:hAnsi="宋体" w:cs="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供应商存在以上违约情形，违约金优先从履约保证金中扣减，如因小微企业或监狱企业或残疾人福利性单位无需缴纳履约保证金或履约保证金扣除后不足部分，则从货款中扣减。</w:t>
            </w:r>
          </w:p>
        </w:tc>
      </w:tr>
      <w:tr w14:paraId="60AF9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14:paraId="596E1DAD">
            <w:pPr>
              <w:spacing w:line="360" w:lineRule="auto"/>
              <w:ind w:firstLine="0" w:firstLineChars="0"/>
              <w:jc w:val="center"/>
              <w:rPr>
                <w:rFonts w:ascii="Calibri" w:hAnsi="Calibri"/>
                <w:b/>
                <w:bCs/>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签订合同日期</w:t>
            </w:r>
          </w:p>
        </w:tc>
        <w:tc>
          <w:tcPr>
            <w:tcW w:w="7564" w:type="dxa"/>
            <w:gridSpan w:val="2"/>
            <w:tcBorders>
              <w:top w:val="single" w:color="auto" w:sz="4" w:space="0"/>
              <w:left w:val="single" w:color="auto" w:sz="4" w:space="0"/>
              <w:bottom w:val="single" w:color="auto" w:sz="4" w:space="0"/>
              <w:right w:val="single" w:color="auto" w:sz="4" w:space="0"/>
            </w:tcBorders>
            <w:vAlign w:val="center"/>
          </w:tcPr>
          <w:p w14:paraId="707557A0">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自</w:t>
            </w:r>
            <w:r>
              <w:rPr>
                <w:rFonts w:hint="eastAsia"/>
                <w:bCs/>
                <w:color w:val="000000" w:themeColor="text1"/>
                <w:highlight w:val="none"/>
                <w14:textFill>
                  <w14:solidFill>
                    <w14:schemeClr w14:val="tx1"/>
                  </w14:solidFill>
                </w14:textFill>
              </w:rPr>
              <w:t>成交</w:t>
            </w:r>
            <w:r>
              <w:rPr>
                <w:bCs/>
                <w:color w:val="000000" w:themeColor="text1"/>
                <w:highlight w:val="none"/>
                <w14:textFill>
                  <w14:solidFill>
                    <w14:schemeClr w14:val="tx1"/>
                  </w14:solidFill>
                </w14:textFill>
              </w:rPr>
              <w:t>通知书发出之日起</w:t>
            </w:r>
            <w:r>
              <w:rPr>
                <w:rFonts w:hint="eastAsia"/>
                <w:bCs/>
                <w:color w:val="000000" w:themeColor="text1"/>
                <w:highlight w:val="none"/>
                <w14:textFill>
                  <w14:solidFill>
                    <w14:schemeClr w14:val="tx1"/>
                  </w14:solidFill>
                </w14:textFill>
              </w:rPr>
              <w:t>25</w:t>
            </w:r>
            <w:r>
              <w:rPr>
                <w:bCs/>
                <w:color w:val="000000" w:themeColor="text1"/>
                <w:highlight w:val="none"/>
                <w14:textFill>
                  <w14:solidFill>
                    <w14:schemeClr w14:val="tx1"/>
                  </w14:solidFill>
                </w14:textFill>
              </w:rPr>
              <w:t>日内。</w:t>
            </w:r>
          </w:p>
        </w:tc>
      </w:tr>
      <w:tr w14:paraId="01B2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14:paraId="3D7D7673">
            <w:pPr>
              <w:widowControl/>
              <w:spacing w:line="360" w:lineRule="auto"/>
              <w:ind w:firstLine="0" w:firstLineChars="0"/>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采购标的验收标准</w:t>
            </w:r>
          </w:p>
        </w:tc>
        <w:tc>
          <w:tcPr>
            <w:tcW w:w="7564" w:type="dxa"/>
            <w:gridSpan w:val="2"/>
            <w:tcBorders>
              <w:top w:val="single" w:color="auto" w:sz="4" w:space="0"/>
              <w:left w:val="single" w:color="auto" w:sz="4" w:space="0"/>
              <w:bottom w:val="single" w:color="auto" w:sz="4" w:space="0"/>
              <w:right w:val="single" w:color="auto" w:sz="4" w:space="0"/>
            </w:tcBorders>
            <w:vAlign w:val="center"/>
          </w:tcPr>
          <w:p w14:paraId="1A9C7711">
            <w:pPr>
              <w:widowControl/>
              <w:spacing w:line="400" w:lineRule="exact"/>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验收方式：书面验收。</w:t>
            </w:r>
          </w:p>
          <w:p w14:paraId="7F908331">
            <w:pPr>
              <w:widowControl/>
              <w:spacing w:line="400" w:lineRule="exact"/>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验收标准：①符合现行国家相关标准、行业标准、地方标准或者其他标准、规范；②符合采购文件要求和响应文件承诺。</w:t>
            </w:r>
          </w:p>
          <w:p w14:paraId="6605DB98">
            <w:pPr>
              <w:widowControl/>
              <w:spacing w:line="400" w:lineRule="exact"/>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验收方式和程序：由采购人组织验收小组检查服务需求的落实情况。</w:t>
            </w:r>
          </w:p>
          <w:p w14:paraId="64FAB9AE">
            <w:pPr>
              <w:widowControl/>
              <w:spacing w:line="400" w:lineRule="exact"/>
              <w:ind w:firstLine="422"/>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采购人有权委托第三方进行履约验收，履约验收费用由成交供应商支付。供应商在竞标报价时自行考虑。</w:t>
            </w:r>
          </w:p>
        </w:tc>
      </w:tr>
      <w:tr w14:paraId="52059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6"/>
            <w:tcBorders>
              <w:top w:val="single" w:color="auto" w:sz="4" w:space="0"/>
              <w:left w:val="single" w:color="auto" w:sz="4" w:space="0"/>
              <w:bottom w:val="single" w:color="auto" w:sz="4" w:space="0"/>
              <w:right w:val="single" w:color="auto" w:sz="4" w:space="0"/>
            </w:tcBorders>
            <w:vAlign w:val="center"/>
          </w:tcPr>
          <w:p w14:paraId="5EAA9AE8">
            <w:pPr>
              <w:widowControl/>
              <w:spacing w:line="360" w:lineRule="auto"/>
              <w:ind w:firstLine="0" w:firstLineChars="0"/>
              <w:rPr>
                <w:rFonts w:ascii="宋体" w:hAnsi="宋体"/>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项目的特殊要求</w:t>
            </w:r>
          </w:p>
        </w:tc>
      </w:tr>
      <w:tr w14:paraId="6F673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8" w:type="dxa"/>
            <w:gridSpan w:val="4"/>
            <w:tcBorders>
              <w:top w:val="single" w:color="auto" w:sz="4" w:space="0"/>
              <w:left w:val="single" w:color="auto" w:sz="4" w:space="0"/>
              <w:bottom w:val="single" w:color="auto" w:sz="4" w:space="0"/>
              <w:right w:val="single" w:color="auto" w:sz="4" w:space="0"/>
            </w:tcBorders>
            <w:vAlign w:val="center"/>
          </w:tcPr>
          <w:p w14:paraId="4BA09F6F">
            <w:pPr>
              <w:widowControl/>
              <w:spacing w:line="360" w:lineRule="auto"/>
              <w:ind w:firstLine="0" w:firstLineChars="0"/>
              <w:jc w:val="center"/>
              <w:rPr>
                <w:rFonts w:ascii="宋体" w:hAnsi="宋体"/>
                <w:b/>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特殊要求</w:t>
            </w:r>
          </w:p>
        </w:tc>
        <w:tc>
          <w:tcPr>
            <w:tcW w:w="7564" w:type="dxa"/>
            <w:gridSpan w:val="2"/>
            <w:tcBorders>
              <w:top w:val="single" w:color="auto" w:sz="4" w:space="0"/>
              <w:left w:val="single" w:color="auto" w:sz="4" w:space="0"/>
              <w:bottom w:val="single" w:color="auto" w:sz="4" w:space="0"/>
              <w:right w:val="single" w:color="auto" w:sz="4" w:space="0"/>
            </w:tcBorders>
            <w:vAlign w:val="center"/>
          </w:tcPr>
          <w:p w14:paraId="6C115142">
            <w:pPr>
              <w:widowControl/>
              <w:spacing w:line="360" w:lineRule="auto"/>
              <w:ind w:firstLine="422"/>
              <w:rPr>
                <w:rFonts w:ascii="宋体" w:hAnsi="宋体"/>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供应商须提供拟配送放射性药品由国家主管部门颁发的有效的《药品注册证》或《药品再注册批件》并加盖供应商电子公章，否则竞标无效。</w:t>
            </w:r>
          </w:p>
        </w:tc>
      </w:tr>
    </w:tbl>
    <w:p w14:paraId="7B8BFDE4">
      <w:pPr>
        <w:autoSpaceDE w:val="0"/>
        <w:autoSpaceDN w:val="0"/>
        <w:adjustRightInd w:val="0"/>
        <w:spacing w:line="240" w:lineRule="auto"/>
        <w:ind w:firstLine="0" w:firstLineChars="0"/>
        <w:rPr>
          <w:color w:val="000000" w:themeColor="text1"/>
          <w:highlight w:val="none"/>
          <w14:textFill>
            <w14:solidFill>
              <w14:schemeClr w14:val="tx1"/>
            </w14:solidFill>
          </w14:textFill>
        </w:rPr>
        <w:sectPr>
          <w:pgSz w:w="11906" w:h="16838"/>
          <w:pgMar w:top="1418" w:right="1247" w:bottom="1418" w:left="1247" w:header="851" w:footer="992" w:gutter="0"/>
          <w:pgNumType w:start="0"/>
          <w:cols w:space="720" w:num="1"/>
          <w:titlePg/>
          <w:docGrid w:linePitch="312" w:charSpace="0"/>
        </w:sectPr>
      </w:pPr>
    </w:p>
    <w:p w14:paraId="5EB5F543">
      <w:pPr>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分标</w:t>
      </w: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：碘[131I]化钠口服溶液配送服务采购</w:t>
      </w: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
        <w:gridCol w:w="867"/>
        <w:gridCol w:w="437"/>
        <w:gridCol w:w="7887"/>
      </w:tblGrid>
      <w:tr w14:paraId="496A3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058F00E8">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项号</w:t>
            </w:r>
          </w:p>
        </w:tc>
        <w:tc>
          <w:tcPr>
            <w:tcW w:w="450" w:type="pct"/>
            <w:tcBorders>
              <w:top w:val="single" w:color="auto" w:sz="4" w:space="0"/>
              <w:left w:val="single" w:color="auto" w:sz="4" w:space="0"/>
              <w:bottom w:val="single" w:color="auto" w:sz="4" w:space="0"/>
              <w:right w:val="single" w:color="auto" w:sz="4" w:space="0"/>
            </w:tcBorders>
            <w:vAlign w:val="center"/>
          </w:tcPr>
          <w:p w14:paraId="5A227788">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标的名称</w:t>
            </w:r>
          </w:p>
        </w:tc>
        <w:tc>
          <w:tcPr>
            <w:tcW w:w="227" w:type="pct"/>
            <w:tcBorders>
              <w:top w:val="single" w:color="auto" w:sz="4" w:space="0"/>
              <w:left w:val="single" w:color="auto" w:sz="4" w:space="0"/>
              <w:bottom w:val="single" w:color="auto" w:sz="4" w:space="0"/>
              <w:right w:val="single" w:color="auto" w:sz="4" w:space="0"/>
            </w:tcBorders>
            <w:vAlign w:val="center"/>
          </w:tcPr>
          <w:p w14:paraId="77507F89">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数量及单位</w:t>
            </w:r>
          </w:p>
        </w:tc>
        <w:tc>
          <w:tcPr>
            <w:tcW w:w="4096" w:type="pct"/>
            <w:tcBorders>
              <w:top w:val="single" w:color="auto" w:sz="4" w:space="0"/>
              <w:left w:val="single" w:color="auto" w:sz="4" w:space="0"/>
              <w:bottom w:val="single" w:color="auto" w:sz="4" w:space="0"/>
              <w:right w:val="single" w:color="auto" w:sz="4" w:space="0"/>
            </w:tcBorders>
            <w:vAlign w:val="center"/>
          </w:tcPr>
          <w:p w14:paraId="66399085">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服务需求</w:t>
            </w:r>
          </w:p>
        </w:tc>
      </w:tr>
      <w:tr w14:paraId="3B325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0A0A5BB8">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450" w:type="pct"/>
            <w:tcBorders>
              <w:top w:val="single" w:color="auto" w:sz="4" w:space="0"/>
              <w:left w:val="single" w:color="auto" w:sz="4" w:space="0"/>
              <w:bottom w:val="single" w:color="auto" w:sz="4" w:space="0"/>
              <w:right w:val="single" w:color="auto" w:sz="4" w:space="0"/>
            </w:tcBorders>
            <w:vAlign w:val="center"/>
          </w:tcPr>
          <w:p w14:paraId="4A6D56AB">
            <w:pPr>
              <w:widowControl/>
              <w:wordWrap w:val="0"/>
              <w:topLinePunct/>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碘[131I]化钠口服溶液配送服务</w:t>
            </w:r>
          </w:p>
        </w:tc>
        <w:tc>
          <w:tcPr>
            <w:tcW w:w="227" w:type="pct"/>
            <w:tcBorders>
              <w:top w:val="single" w:color="auto" w:sz="4" w:space="0"/>
              <w:left w:val="single" w:color="auto" w:sz="4" w:space="0"/>
              <w:bottom w:val="single" w:color="auto" w:sz="4" w:space="0"/>
              <w:right w:val="single" w:color="auto" w:sz="4" w:space="0"/>
            </w:tcBorders>
            <w:vAlign w:val="center"/>
          </w:tcPr>
          <w:p w14:paraId="5FA2BA22">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4096" w:type="pct"/>
            <w:tcBorders>
              <w:top w:val="single" w:color="auto" w:sz="4" w:space="0"/>
              <w:left w:val="single" w:color="auto" w:sz="4" w:space="0"/>
              <w:bottom w:val="single" w:color="auto" w:sz="4" w:space="0"/>
              <w:right w:val="single" w:color="auto" w:sz="4" w:space="0"/>
            </w:tcBorders>
            <w:vAlign w:val="center"/>
          </w:tcPr>
          <w:p w14:paraId="77BB393F">
            <w:pPr>
              <w:spacing w:line="360" w:lineRule="auto"/>
              <w:ind w:firstLine="42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一、药品质量要求</w:t>
            </w:r>
          </w:p>
          <w:p w14:paraId="64900C76">
            <w:pPr>
              <w:pStyle w:val="49"/>
              <w:ind w:firstLine="210"/>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表1.药品需求明细表</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540"/>
              <w:gridCol w:w="1016"/>
              <w:gridCol w:w="726"/>
              <w:gridCol w:w="1022"/>
              <w:gridCol w:w="870"/>
              <w:gridCol w:w="1966"/>
            </w:tblGrid>
            <w:tr w14:paraId="12C9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0" w:type="pct"/>
                  <w:vAlign w:val="center"/>
                </w:tcPr>
                <w:p w14:paraId="053AFE56">
                  <w:pPr>
                    <w:pStyle w:val="49"/>
                    <w:ind w:firstLine="0" w:firstLineChars="0"/>
                    <w:jc w:val="center"/>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序号</w:t>
                  </w:r>
                </w:p>
              </w:tc>
              <w:tc>
                <w:tcPr>
                  <w:tcW w:w="1005" w:type="pct"/>
                  <w:vAlign w:val="center"/>
                </w:tcPr>
                <w:p w14:paraId="433BD932">
                  <w:pPr>
                    <w:pStyle w:val="49"/>
                    <w:ind w:firstLine="0" w:firstLineChars="0"/>
                    <w:jc w:val="center"/>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药品名称</w:t>
                  </w:r>
                </w:p>
              </w:tc>
              <w:tc>
                <w:tcPr>
                  <w:tcW w:w="663" w:type="pct"/>
                  <w:vAlign w:val="center"/>
                </w:tcPr>
                <w:p w14:paraId="6A083697">
                  <w:pPr>
                    <w:pStyle w:val="49"/>
                    <w:ind w:firstLine="0" w:firstLineChars="0"/>
                    <w:jc w:val="center"/>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规格</w:t>
                  </w:r>
                </w:p>
              </w:tc>
              <w:tc>
                <w:tcPr>
                  <w:tcW w:w="474" w:type="pct"/>
                  <w:vAlign w:val="center"/>
                </w:tcPr>
                <w:p w14:paraId="5823407B">
                  <w:pPr>
                    <w:pStyle w:val="49"/>
                    <w:ind w:firstLine="0" w:firstLineChars="0"/>
                    <w:jc w:val="center"/>
                    <w:rPr>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lang w:bidi="ar"/>
                      <w14:textFill>
                        <w14:solidFill>
                          <w14:schemeClr w14:val="tx1"/>
                        </w14:solidFill>
                      </w14:textFill>
                    </w:rPr>
                    <w:t>单位</w:t>
                  </w:r>
                </w:p>
              </w:tc>
              <w:tc>
                <w:tcPr>
                  <w:tcW w:w="667" w:type="pct"/>
                  <w:vAlign w:val="center"/>
                </w:tcPr>
                <w:p w14:paraId="5B6D91AA">
                  <w:pPr>
                    <w:pStyle w:val="49"/>
                    <w:ind w:firstLine="0" w:firstLineChars="0"/>
                    <w:jc w:val="center"/>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预计采购数量/两年</w:t>
                  </w:r>
                </w:p>
              </w:tc>
              <w:tc>
                <w:tcPr>
                  <w:tcW w:w="568" w:type="pct"/>
                  <w:vAlign w:val="center"/>
                </w:tcPr>
                <w:p w14:paraId="1579FE94">
                  <w:pPr>
                    <w:pStyle w:val="49"/>
                    <w:ind w:firstLine="0" w:firstLineChars="0"/>
                    <w:jc w:val="center"/>
                    <w:rPr>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lang w:bidi="ar"/>
                      <w14:textFill>
                        <w14:solidFill>
                          <w14:schemeClr w14:val="tx1"/>
                        </w14:solidFill>
                      </w14:textFill>
                    </w:rPr>
                    <w:t>单</w:t>
                  </w:r>
                  <w:r>
                    <w:rPr>
                      <w:rFonts w:hint="eastAsia" w:hAnsi="宋体" w:cs="宋体"/>
                      <w:b/>
                      <w:bCs/>
                      <w:color w:val="000000" w:themeColor="text1"/>
                      <w:sz w:val="21"/>
                      <w:highlight w:val="none"/>
                      <w:lang w:bidi="ar"/>
                      <w14:textFill>
                        <w14:solidFill>
                          <w14:schemeClr w14:val="tx1"/>
                        </w14:solidFill>
                      </w14:textFill>
                    </w:rPr>
                    <w:t>价</w:t>
                  </w:r>
                  <w:r>
                    <w:rPr>
                      <w:rFonts w:hint="eastAsia" w:hAnsi="宋体" w:cs="宋体"/>
                      <w:b/>
                      <w:bCs/>
                      <w:color w:val="000000" w:themeColor="text1"/>
                      <w:sz w:val="21"/>
                      <w:highlight w:val="none"/>
                      <w:lang w:bidi="ar"/>
                      <w14:textFill>
                        <w14:solidFill>
                          <w14:schemeClr w14:val="tx1"/>
                        </w14:solidFill>
                      </w14:textFill>
                    </w:rPr>
                    <w:t>控制价/元</w:t>
                  </w:r>
                </w:p>
              </w:tc>
              <w:tc>
                <w:tcPr>
                  <w:tcW w:w="1283" w:type="pct"/>
                  <w:vAlign w:val="center"/>
                </w:tcPr>
                <w:p w14:paraId="042822C0">
                  <w:pPr>
                    <w:pStyle w:val="49"/>
                    <w:ind w:firstLine="0" w:firstLineChars="0"/>
                    <w:jc w:val="center"/>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质量标准</w:t>
                  </w:r>
                </w:p>
              </w:tc>
            </w:tr>
            <w:tr w14:paraId="1845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40" w:type="pct"/>
                  <w:vAlign w:val="center"/>
                </w:tcPr>
                <w:p w14:paraId="6315511D">
                  <w:pPr>
                    <w:pStyle w:val="49"/>
                    <w:ind w:firstLine="0" w:firstLineChars="0"/>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w:t>
                  </w:r>
                </w:p>
              </w:tc>
              <w:tc>
                <w:tcPr>
                  <w:tcW w:w="1005" w:type="pct"/>
                  <w:vAlign w:val="center"/>
                </w:tcPr>
                <w:p w14:paraId="43D5A3A5">
                  <w:pPr>
                    <w:pStyle w:val="49"/>
                    <w:ind w:firstLine="0" w:firstLineChars="0"/>
                    <w:jc w:val="center"/>
                    <w:rPr>
                      <w:color w:val="000000" w:themeColor="text1"/>
                      <w:szCs w:val="20"/>
                      <w:highlight w:val="none"/>
                      <w14:textFill>
                        <w14:solidFill>
                          <w14:schemeClr w14:val="tx1"/>
                        </w14:solidFill>
                      </w14:textFill>
                    </w:rPr>
                  </w:pPr>
                  <w:r>
                    <w:rPr>
                      <w:rFonts w:hint="eastAsia" w:hAnsi="宋体"/>
                      <w:bCs/>
                      <w:color w:val="000000" w:themeColor="text1"/>
                      <w:kern w:val="2"/>
                      <w:szCs w:val="20"/>
                      <w:highlight w:val="none"/>
                      <w14:textFill>
                        <w14:solidFill>
                          <w14:schemeClr w14:val="tx1"/>
                        </w14:solidFill>
                      </w14:textFill>
                    </w:rPr>
                    <w:t>碘[131I]化钠口服溶液</w:t>
                  </w:r>
                </w:p>
              </w:tc>
              <w:tc>
                <w:tcPr>
                  <w:tcW w:w="663" w:type="pct"/>
                  <w:vAlign w:val="center"/>
                </w:tcPr>
                <w:p w14:paraId="75F3D02C">
                  <w:pPr>
                    <w:pStyle w:val="49"/>
                    <w:spacing w:after="0"/>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1850MBq</w:t>
                  </w:r>
                </w:p>
              </w:tc>
              <w:tc>
                <w:tcPr>
                  <w:tcW w:w="474" w:type="pct"/>
                  <w:vAlign w:val="center"/>
                </w:tcPr>
                <w:p w14:paraId="25862305">
                  <w:pPr>
                    <w:pStyle w:val="49"/>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盒</w:t>
                  </w:r>
                </w:p>
              </w:tc>
              <w:tc>
                <w:tcPr>
                  <w:tcW w:w="667" w:type="pct"/>
                  <w:vAlign w:val="center"/>
                </w:tcPr>
                <w:p w14:paraId="25FA342F">
                  <w:pPr>
                    <w:pStyle w:val="49"/>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24</w:t>
                  </w:r>
                </w:p>
              </w:tc>
              <w:tc>
                <w:tcPr>
                  <w:tcW w:w="568" w:type="pct"/>
                  <w:vAlign w:val="center"/>
                </w:tcPr>
                <w:p w14:paraId="0AB0BFDA">
                  <w:pPr>
                    <w:pStyle w:val="49"/>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3000</w:t>
                  </w:r>
                </w:p>
              </w:tc>
              <w:tc>
                <w:tcPr>
                  <w:tcW w:w="1283" w:type="pct"/>
                  <w:vAlign w:val="center"/>
                </w:tcPr>
                <w:p w14:paraId="39BCBA54">
                  <w:pPr>
                    <w:pStyle w:val="49"/>
                    <w:wordWrap w:val="0"/>
                    <w:topLinePunct/>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2020年版《中华人民共和国药典》</w:t>
                  </w:r>
                </w:p>
              </w:tc>
            </w:tr>
          </w:tbl>
          <w:p w14:paraId="5BB8B016">
            <w:pPr>
              <w:autoSpaceDE w:val="0"/>
              <w:autoSpaceDN w:val="0"/>
              <w:adjustRightInd w:val="0"/>
              <w:spacing w:line="360" w:lineRule="auto"/>
              <w:ind w:right="-23"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1.所配送的药品必须为正规厂家生产的全新、合格、无侵权货品，符合国家有关安全、环保、包装标准。其剩余有效期不得少于标注有效期的80%。</w:t>
            </w:r>
          </w:p>
          <w:p w14:paraId="57482DF5">
            <w:pPr>
              <w:autoSpaceDE w:val="0"/>
              <w:autoSpaceDN w:val="0"/>
              <w:adjustRightInd w:val="0"/>
              <w:spacing w:line="360" w:lineRule="auto"/>
              <w:ind w:right="-23" w:firstLine="420"/>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2.供应商按合同交付的</w:t>
            </w:r>
            <w:r>
              <w:rPr>
                <w:rFonts w:hint="eastAsia" w:hAnsi="宋体" w:cs="宋体"/>
                <w:color w:val="000000" w:themeColor="text1"/>
                <w:szCs w:val="21"/>
                <w:highlight w:val="none"/>
                <w14:textFill>
                  <w14:solidFill>
                    <w14:schemeClr w14:val="tx1"/>
                  </w14:solidFill>
                </w14:textFill>
              </w:rPr>
              <w:t>药品质量标准必须符合</w:t>
            </w:r>
            <w:r>
              <w:rPr>
                <w:rFonts w:hint="eastAsia" w:ascii="宋体" w:hAnsi="宋体"/>
                <w:bCs/>
                <w:color w:val="000000" w:themeColor="text1"/>
                <w:szCs w:val="21"/>
                <w:highlight w:val="none"/>
                <w14:textFill>
                  <w14:solidFill>
                    <w14:schemeClr w14:val="tx1"/>
                  </w14:solidFill>
                </w14:textFill>
              </w:rPr>
              <w:t>2020年版《中华人民共和国药典》及其他国家标准或行业标准，否则视为不合格产品，采购人有权退货、并拒付货款；如发生上述情况</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采购人不承担</w:t>
            </w:r>
            <w:r>
              <w:rPr>
                <w:rFonts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由此产生的任何费用。因药品质量不符合有关规定而造成相关后果的，按相关法律规定处理，如由此引发的纠纷，供应商有责任负责交涉处理，采购人有权要求供应商承担由此造成的损失。</w:t>
            </w:r>
          </w:p>
          <w:p w14:paraId="0717F469">
            <w:pPr>
              <w:spacing w:line="360" w:lineRule="auto"/>
              <w:ind w:left="422" w:firstLine="0" w:firstLineChars="0"/>
              <w:rPr>
                <w:b/>
                <w:bCs/>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二、服</w:t>
            </w:r>
            <w:r>
              <w:rPr>
                <w:rFonts w:ascii="宋体" w:hAnsi="宋体"/>
                <w:b/>
                <w:bCs/>
                <w:color w:val="000000" w:themeColor="text1"/>
                <w:szCs w:val="21"/>
                <w:highlight w:val="none"/>
                <w14:textFill>
                  <w14:solidFill>
                    <w14:schemeClr w14:val="tx1"/>
                  </w14:solidFill>
                </w14:textFill>
              </w:rPr>
              <w:t>务要求</w:t>
            </w:r>
          </w:p>
          <w:p w14:paraId="3D0822E8">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1.供货方式：</w:t>
            </w:r>
            <w:r>
              <w:rPr>
                <w:rFonts w:hint="eastAsia" w:ascii="宋体" w:hAnsi="宋体"/>
                <w:color w:val="000000" w:themeColor="text1"/>
                <w:szCs w:val="21"/>
                <w:highlight w:val="none"/>
                <w14:textFill>
                  <w14:solidFill>
                    <w14:schemeClr w14:val="tx1"/>
                  </w14:solidFill>
                </w14:textFill>
              </w:rPr>
              <w:t>根据采购</w:t>
            </w:r>
            <w:r>
              <w:rPr>
                <w:rFonts w:hint="eastAsia" w:hAnsi="宋体"/>
                <w:color w:val="000000" w:themeColor="text1"/>
                <w:szCs w:val="21"/>
                <w:highlight w:val="none"/>
                <w14:textFill>
                  <w14:solidFill>
                    <w14:schemeClr w14:val="tx1"/>
                  </w14:solidFill>
                </w14:textFill>
              </w:rPr>
              <w:t>人</w:t>
            </w:r>
            <w:r>
              <w:rPr>
                <w:rFonts w:ascii="宋体" w:hAnsi="宋体"/>
                <w:color w:val="000000" w:themeColor="text1"/>
                <w:szCs w:val="21"/>
                <w:highlight w:val="none"/>
                <w14:textFill>
                  <w14:solidFill>
                    <w14:schemeClr w14:val="tx1"/>
                  </w14:solidFill>
                </w14:textFill>
              </w:rPr>
              <w:t>需求</w:t>
            </w:r>
            <w:r>
              <w:rPr>
                <w:rFonts w:hint="eastAsia" w:ascii="宋体" w:hAnsi="宋体"/>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分</w:t>
            </w:r>
            <w:r>
              <w:rPr>
                <w:rFonts w:ascii="宋体" w:hAnsi="宋体" w:cs="仿宋"/>
                <w:color w:val="000000" w:themeColor="text1"/>
                <w:szCs w:val="21"/>
                <w:highlight w:val="none"/>
                <w14:textFill>
                  <w14:solidFill>
                    <w14:schemeClr w14:val="tx1"/>
                  </w14:solidFill>
                </w14:textFill>
              </w:rPr>
              <w:t>批次供货</w:t>
            </w:r>
            <w:r>
              <w:rPr>
                <w:rFonts w:hint="eastAsia" w:hAnsi="宋体" w:cs="仿宋"/>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采购人按需提前</w:t>
            </w:r>
            <w:r>
              <w:rPr>
                <w:rFonts w:ascii="宋体" w:hAnsi="宋体"/>
                <w:bCs/>
                <w:color w:val="000000" w:themeColor="text1"/>
                <w:szCs w:val="21"/>
                <w:highlight w:val="none"/>
                <w14:textFill>
                  <w14:solidFill>
                    <w14:schemeClr w14:val="tx1"/>
                  </w14:solidFill>
                </w14:textFill>
              </w:rPr>
              <w:t>作出采购</w:t>
            </w:r>
            <w:r>
              <w:rPr>
                <w:rFonts w:hint="eastAsia" w:ascii="宋体" w:hAnsi="宋体"/>
                <w:bCs/>
                <w:color w:val="000000" w:themeColor="text1"/>
                <w:szCs w:val="21"/>
                <w:highlight w:val="none"/>
                <w14:textFill>
                  <w14:solidFill>
                    <w14:schemeClr w14:val="tx1"/>
                  </w14:solidFill>
                </w14:textFill>
              </w:rPr>
              <w:t>计划，供应商须</w:t>
            </w:r>
            <w:r>
              <w:rPr>
                <w:rFonts w:ascii="宋体" w:hAnsi="宋体"/>
                <w:bCs/>
                <w:color w:val="000000" w:themeColor="text1"/>
                <w:szCs w:val="21"/>
                <w:highlight w:val="none"/>
                <w14:textFill>
                  <w14:solidFill>
                    <w14:schemeClr w14:val="tx1"/>
                  </w14:solidFill>
                </w14:textFill>
              </w:rPr>
              <w:t>保证</w:t>
            </w:r>
            <w:r>
              <w:rPr>
                <w:rFonts w:hint="eastAsia" w:ascii="宋体" w:hAnsi="宋体"/>
                <w:bCs/>
                <w:color w:val="000000" w:themeColor="text1"/>
                <w:szCs w:val="21"/>
                <w:highlight w:val="none"/>
                <w14:textFill>
                  <w14:solidFill>
                    <w14:schemeClr w14:val="tx1"/>
                  </w14:solidFill>
                </w14:textFill>
              </w:rPr>
              <w:t>在接到</w:t>
            </w:r>
            <w:r>
              <w:rPr>
                <w:rFonts w:ascii="宋体" w:hAnsi="宋体"/>
                <w:bCs/>
                <w:color w:val="000000" w:themeColor="text1"/>
                <w:szCs w:val="21"/>
                <w:highlight w:val="none"/>
                <w14:textFill>
                  <w14:solidFill>
                    <w14:schemeClr w14:val="tx1"/>
                  </w14:solidFill>
                </w14:textFill>
              </w:rPr>
              <w:t>采购计划</w:t>
            </w:r>
            <w:r>
              <w:rPr>
                <w:rFonts w:hint="eastAsia" w:ascii="宋体" w:hAnsi="宋体"/>
                <w:bCs/>
                <w:color w:val="000000" w:themeColor="text1"/>
                <w:szCs w:val="21"/>
                <w:highlight w:val="none"/>
                <w14:textFill>
                  <w14:solidFill>
                    <w14:schemeClr w14:val="tx1"/>
                  </w14:solidFill>
                </w14:textFill>
              </w:rPr>
              <w:t>后2日</w:t>
            </w:r>
            <w:r>
              <w:rPr>
                <w:rFonts w:ascii="宋体" w:hAnsi="宋体"/>
                <w:bCs/>
                <w:color w:val="000000" w:themeColor="text1"/>
                <w:szCs w:val="21"/>
                <w:highlight w:val="none"/>
                <w14:textFill>
                  <w14:solidFill>
                    <w14:schemeClr w14:val="tx1"/>
                  </w14:solidFill>
                </w14:textFill>
              </w:rPr>
              <w:t>内将货物送</w:t>
            </w:r>
            <w:r>
              <w:rPr>
                <w:rFonts w:hint="eastAsia" w:ascii="宋体" w:hAnsi="宋体"/>
                <w:bCs/>
                <w:color w:val="000000" w:themeColor="text1"/>
                <w:szCs w:val="21"/>
                <w:highlight w:val="none"/>
                <w14:textFill>
                  <w14:solidFill>
                    <w14:schemeClr w14:val="tx1"/>
                  </w14:solidFill>
                </w14:textFill>
              </w:rPr>
              <w:t>达采购人</w:t>
            </w:r>
            <w:r>
              <w:rPr>
                <w:rFonts w:ascii="宋体" w:hAnsi="宋体"/>
                <w:bCs/>
                <w:color w:val="000000" w:themeColor="text1"/>
                <w:szCs w:val="21"/>
                <w:highlight w:val="none"/>
                <w14:textFill>
                  <w14:solidFill>
                    <w14:schemeClr w14:val="tx1"/>
                  </w14:solidFill>
                </w14:textFill>
              </w:rPr>
              <w:t>指定地点</w:t>
            </w:r>
            <w:r>
              <w:rPr>
                <w:rFonts w:hint="eastAsia" w:ascii="宋体" w:hAnsi="宋体"/>
                <w:bCs/>
                <w:color w:val="000000" w:themeColor="text1"/>
                <w:szCs w:val="21"/>
                <w:highlight w:val="none"/>
                <w14:textFill>
                  <w14:solidFill>
                    <w14:schemeClr w14:val="tx1"/>
                  </w14:solidFill>
                </w14:textFill>
              </w:rPr>
              <w:t>（如：莲花山院区门诊负一楼核医学科）。</w:t>
            </w:r>
          </w:p>
          <w:p w14:paraId="7C2FF20C">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供应商除不可抗力因素外，不得随意推迟供货，若因不可抗力因素无法按时供货的，供应商应与采购人及时沟通并采取相应措施（如供应商紧急调拨药品），以便将影响降到最低</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w:t>
            </w:r>
            <w:r>
              <w:rPr>
                <w:rFonts w:ascii="宋体" w:hAnsi="宋体"/>
                <w:bCs/>
                <w:color w:val="000000" w:themeColor="text1"/>
                <w:szCs w:val="21"/>
                <w:highlight w:val="none"/>
                <w14:textFill>
                  <w14:solidFill>
                    <w14:schemeClr w14:val="tx1"/>
                  </w14:solidFill>
                </w14:textFill>
              </w:rPr>
              <w:t>除不</w:t>
            </w:r>
            <w:r>
              <w:rPr>
                <w:rFonts w:hint="eastAsia" w:ascii="宋体" w:hAnsi="宋体"/>
                <w:bCs/>
                <w:color w:val="000000" w:themeColor="text1"/>
                <w:szCs w:val="21"/>
                <w:highlight w:val="none"/>
                <w14:textFill>
                  <w14:solidFill>
                    <w14:schemeClr w14:val="tx1"/>
                  </w14:solidFill>
                </w14:textFill>
              </w:rPr>
              <w:t>可抗力因素无法按时交货外，不得因</w:t>
            </w:r>
            <w:r>
              <w:rPr>
                <w:rFonts w:ascii="宋体" w:hAnsi="宋体"/>
                <w:bCs/>
                <w:color w:val="000000" w:themeColor="text1"/>
                <w:szCs w:val="21"/>
                <w:highlight w:val="none"/>
                <w14:textFill>
                  <w14:solidFill>
                    <w14:schemeClr w14:val="tx1"/>
                  </w14:solidFill>
                </w14:textFill>
              </w:rPr>
              <w:t>价格变动、货款未收到等原因</w:t>
            </w:r>
            <w:r>
              <w:rPr>
                <w:rFonts w:hint="eastAsia" w:ascii="宋体" w:hAnsi="宋体"/>
                <w:bCs/>
                <w:color w:val="000000" w:themeColor="text1"/>
                <w:szCs w:val="21"/>
                <w:highlight w:val="none"/>
                <w14:textFill>
                  <w14:solidFill>
                    <w14:schemeClr w14:val="tx1"/>
                  </w14:solidFill>
                </w14:textFill>
              </w:rPr>
              <w:t>延迟或</w:t>
            </w:r>
            <w:r>
              <w:rPr>
                <w:rFonts w:ascii="宋体" w:hAnsi="宋体"/>
                <w:bCs/>
                <w:color w:val="000000" w:themeColor="text1"/>
                <w:szCs w:val="21"/>
                <w:highlight w:val="none"/>
                <w14:textFill>
                  <w14:solidFill>
                    <w14:schemeClr w14:val="tx1"/>
                  </w14:solidFill>
                </w14:textFill>
              </w:rPr>
              <w:t>中</w:t>
            </w:r>
            <w:r>
              <w:rPr>
                <w:rFonts w:hint="eastAsia" w:ascii="宋体" w:hAnsi="宋体"/>
                <w:bCs/>
                <w:color w:val="000000" w:themeColor="text1"/>
                <w:szCs w:val="21"/>
                <w:highlight w:val="none"/>
                <w14:textFill>
                  <w14:solidFill>
                    <w14:schemeClr w14:val="tx1"/>
                  </w14:solidFill>
                </w14:textFill>
              </w:rPr>
              <w:t>断供货。如</w:t>
            </w:r>
            <w:r>
              <w:rPr>
                <w:rFonts w:ascii="宋体" w:hAnsi="宋体"/>
                <w:bCs/>
                <w:color w:val="000000" w:themeColor="text1"/>
                <w:szCs w:val="21"/>
                <w:highlight w:val="none"/>
                <w14:textFill>
                  <w14:solidFill>
                    <w14:schemeClr w14:val="tx1"/>
                  </w14:solidFill>
                </w14:textFill>
              </w:rPr>
              <w:t>中</w:t>
            </w:r>
            <w:r>
              <w:rPr>
                <w:rFonts w:hint="eastAsia" w:ascii="宋体" w:hAnsi="宋体"/>
                <w:bCs/>
                <w:color w:val="000000" w:themeColor="text1"/>
                <w:szCs w:val="21"/>
                <w:highlight w:val="none"/>
                <w14:textFill>
                  <w14:solidFill>
                    <w14:schemeClr w14:val="tx1"/>
                  </w14:solidFill>
                </w14:textFill>
              </w:rPr>
              <w:t>断供</w:t>
            </w:r>
            <w:r>
              <w:rPr>
                <w:rFonts w:ascii="宋体" w:hAnsi="宋体"/>
                <w:bCs/>
                <w:color w:val="000000" w:themeColor="text1"/>
                <w:szCs w:val="21"/>
                <w:highlight w:val="none"/>
                <w14:textFill>
                  <w14:solidFill>
                    <w14:schemeClr w14:val="tx1"/>
                  </w14:solidFill>
                </w14:textFill>
              </w:rPr>
              <w:t>货，</w:t>
            </w:r>
            <w:r>
              <w:rPr>
                <w:rFonts w:hint="eastAsia" w:ascii="宋体" w:hAnsi="宋体"/>
                <w:bCs/>
                <w:color w:val="000000" w:themeColor="text1"/>
                <w:szCs w:val="21"/>
                <w:highlight w:val="none"/>
                <w14:textFill>
                  <w14:solidFill>
                    <w14:schemeClr w14:val="tx1"/>
                  </w14:solidFill>
                </w14:textFill>
              </w:rPr>
              <w:t>影响临床用药的，</w:t>
            </w:r>
            <w:r>
              <w:rPr>
                <w:rFonts w:hint="eastAsia" w:ascii="宋体" w:hAnsi="宋体"/>
                <w:color w:val="000000" w:themeColor="text1"/>
                <w:szCs w:val="21"/>
                <w:highlight w:val="none"/>
                <w14:textFill>
                  <w14:solidFill>
                    <w14:schemeClr w14:val="tx1"/>
                  </w14:solidFill>
                </w14:textFill>
              </w:rPr>
              <w:t>采购人按“</w:t>
            </w:r>
            <w:r>
              <w:rPr>
                <w:rFonts w:hint="eastAsia" w:ascii="宋体" w:hAnsi="宋体"/>
                <w:bCs/>
                <w:color w:val="000000" w:themeColor="text1"/>
                <w:szCs w:val="21"/>
                <w:highlight w:val="none"/>
                <w14:textFill>
                  <w14:solidFill>
                    <w14:schemeClr w14:val="tx1"/>
                  </w14:solidFill>
                </w14:textFill>
              </w:rPr>
              <w:t>违约和相关处罚</w:t>
            </w:r>
            <w:r>
              <w:rPr>
                <w:rFonts w:hint="eastAsia" w:ascii="宋体" w:hAnsi="宋体"/>
                <w:color w:val="000000" w:themeColor="text1"/>
                <w:szCs w:val="21"/>
                <w:highlight w:val="none"/>
                <w14:textFill>
                  <w14:solidFill>
                    <w14:schemeClr w14:val="tx1"/>
                  </w14:solidFill>
                </w14:textFill>
              </w:rPr>
              <w:t>”的第2条处罚。</w:t>
            </w:r>
            <w:r>
              <w:rPr>
                <w:rFonts w:hint="eastAsia" w:ascii="宋体" w:hAnsi="宋体"/>
                <w:bCs/>
                <w:color w:val="000000" w:themeColor="text1"/>
                <w:szCs w:val="21"/>
                <w:highlight w:val="none"/>
                <w14:textFill>
                  <w14:solidFill>
                    <w14:schemeClr w14:val="tx1"/>
                  </w14:solidFill>
                </w14:textFill>
              </w:rPr>
              <w:t>如经证明确实因不可抗力无法按时交货，采购人仍然需要供应商供货的，供应商可以延迟交货，不按违约处理。</w:t>
            </w:r>
          </w:p>
          <w:p w14:paraId="5665B968">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成交</w:t>
            </w:r>
            <w:r>
              <w:rPr>
                <w:rFonts w:hint="eastAsia"/>
                <w:color w:val="000000" w:themeColor="text1"/>
                <w:highlight w:val="none"/>
                <w14:textFill>
                  <w14:solidFill>
                    <w14:schemeClr w14:val="tx1"/>
                  </w14:solidFill>
                </w14:textFill>
              </w:rPr>
              <w:t>并签</w:t>
            </w:r>
            <w:r>
              <w:rPr>
                <w:rFonts w:hint="eastAsia" w:ascii="宋体" w:hAnsi="宋体"/>
                <w:bCs/>
                <w:color w:val="000000" w:themeColor="text1"/>
                <w:szCs w:val="21"/>
                <w:highlight w:val="none"/>
                <w14:textFill>
                  <w14:solidFill>
                    <w14:schemeClr w14:val="tx1"/>
                  </w14:solidFill>
                </w14:textFill>
              </w:rPr>
              <w:t>订</w:t>
            </w:r>
            <w:r>
              <w:rPr>
                <w:rFonts w:hint="eastAsia"/>
                <w:color w:val="000000" w:themeColor="text1"/>
                <w:highlight w:val="none"/>
                <w14:textFill>
                  <w14:solidFill>
                    <w14:schemeClr w14:val="tx1"/>
                  </w14:solidFill>
                </w14:textFill>
              </w:rPr>
              <w:t>合同</w:t>
            </w:r>
            <w:r>
              <w:rPr>
                <w:rFonts w:hint="eastAsia" w:ascii="宋体" w:hAnsi="宋体"/>
                <w:bCs/>
                <w:color w:val="000000" w:themeColor="text1"/>
                <w:szCs w:val="21"/>
                <w:highlight w:val="none"/>
                <w14:textFill>
                  <w14:solidFill>
                    <w14:schemeClr w14:val="tx1"/>
                  </w14:solidFill>
                </w14:textFill>
              </w:rPr>
              <w:t>后</w:t>
            </w:r>
            <w:r>
              <w:rPr>
                <w:rFonts w:hint="eastAsia" w:ascii="宋体" w:hAnsi="宋体"/>
                <w:bCs/>
                <w:color w:val="000000" w:themeColor="text1"/>
                <w:szCs w:val="21"/>
                <w:highlight w:val="none"/>
                <w14:textFill>
                  <w14:solidFill>
                    <w14:schemeClr w14:val="tx1"/>
                  </w14:solidFill>
                </w14:textFill>
              </w:rPr>
              <w:t>须</w:t>
            </w:r>
            <w:r>
              <w:rPr>
                <w:rFonts w:hint="eastAsia" w:ascii="宋体" w:hAnsi="宋体"/>
                <w:bCs/>
                <w:color w:val="000000" w:themeColor="text1"/>
                <w:szCs w:val="21"/>
                <w:highlight w:val="none"/>
                <w14:textFill>
                  <w14:solidFill>
                    <w14:schemeClr w14:val="tx1"/>
                  </w14:solidFill>
                </w14:textFill>
              </w:rPr>
              <w:t>与采购人签订“质量保证协议书”，并严格遵照履行。</w:t>
            </w:r>
          </w:p>
          <w:p w14:paraId="1786BF26">
            <w:pPr>
              <w:pStyle w:val="117"/>
              <w:snapToGrid w:val="0"/>
              <w:spacing w:line="360" w:lineRule="auto"/>
              <w:ind w:firstLine="42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4.供应商</w:t>
            </w:r>
            <w:r>
              <w:rPr>
                <w:rFonts w:hint="eastAsia" w:hAnsi="宋体"/>
                <w:color w:val="000000" w:themeColor="text1"/>
                <w:sz w:val="21"/>
                <w:szCs w:val="21"/>
                <w:highlight w:val="none"/>
                <w14:textFill>
                  <w14:solidFill>
                    <w14:schemeClr w14:val="tx1"/>
                  </w14:solidFill>
                </w14:textFill>
              </w:rPr>
              <w:t>成交</w:t>
            </w:r>
            <w:r>
              <w:rPr>
                <w:rFonts w:hint="eastAsia"/>
                <w:color w:val="000000" w:themeColor="text1"/>
                <w:kern w:val="2"/>
                <w:sz w:val="21"/>
                <w:highlight w:val="none"/>
                <w14:textFill>
                  <w14:solidFill>
                    <w14:schemeClr w14:val="tx1"/>
                  </w14:solidFill>
                </w14:textFill>
              </w:rPr>
              <w:t>并签订合同</w:t>
            </w:r>
            <w:r>
              <w:rPr>
                <w:rFonts w:hint="eastAsia" w:hAnsi="宋体"/>
                <w:color w:val="000000" w:themeColor="text1"/>
                <w:sz w:val="21"/>
                <w:szCs w:val="21"/>
                <w:highlight w:val="none"/>
                <w14:textFill>
                  <w14:solidFill>
                    <w14:schemeClr w14:val="tx1"/>
                  </w14:solidFill>
                </w14:textFill>
              </w:rPr>
              <w:t>后须向采购人提供供应商的《营业执照》、《放射性药品经营许可证》、《辐射安全许可证》；提供生产企业的《营业执照》、《放射性药品生产许可证》、《辐射安全许可证》、《药品注册证》或《药品再注册批件》；提供供应商或委托单位的</w:t>
            </w:r>
            <w:r>
              <w:rPr>
                <w:rFonts w:hint="eastAsia" w:ascii="宋体" w:hAnsi="宋体"/>
                <w:bCs/>
                <w:color w:val="000000" w:themeColor="text1"/>
                <w:sz w:val="21"/>
                <w:szCs w:val="21"/>
                <w:highlight w:val="none"/>
                <w14:textFill>
                  <w14:solidFill>
                    <w14:schemeClr w14:val="tx1"/>
                  </w14:solidFill>
                </w14:textFill>
              </w:rPr>
              <w:t>《道路运输经营许可证》（经营范围须包含放射性物品或危险货物运输（7类））、</w:t>
            </w:r>
            <w:r>
              <w:rPr>
                <w:rFonts w:hint="eastAsia" w:hAnsi="宋体"/>
                <w:bCs/>
                <w:color w:val="000000" w:themeColor="text1"/>
                <w:sz w:val="21"/>
                <w:szCs w:val="21"/>
                <w:highlight w:val="none"/>
                <w14:textFill>
                  <w14:solidFill>
                    <w14:schemeClr w14:val="tx1"/>
                  </w14:solidFill>
                </w14:textFill>
              </w:rPr>
              <w:t>运输车辆的</w:t>
            </w:r>
            <w:r>
              <w:rPr>
                <w:rFonts w:hint="eastAsia" w:ascii="宋体" w:hAnsi="宋体"/>
                <w:bCs/>
                <w:color w:val="000000" w:themeColor="text1"/>
                <w:sz w:val="21"/>
                <w:szCs w:val="21"/>
                <w:highlight w:val="none"/>
                <w14:textFill>
                  <w14:solidFill>
                    <w14:schemeClr w14:val="tx1"/>
                  </w14:solidFill>
                </w14:textFill>
              </w:rPr>
              <w:t>《道路运输证》</w:t>
            </w:r>
            <w:r>
              <w:rPr>
                <w:rFonts w:hint="eastAsia" w:hAnsi="宋体"/>
                <w:bCs/>
                <w:color w:val="000000" w:themeColor="text1"/>
                <w:sz w:val="21"/>
                <w:szCs w:val="21"/>
                <w:highlight w:val="none"/>
                <w14:textFill>
                  <w14:solidFill>
                    <w14:schemeClr w14:val="tx1"/>
                  </w14:solidFill>
                </w14:textFill>
              </w:rPr>
              <w:t>、送货人员的《道路运输从业人员从业资格证》及《核技术利用辐射安全与防护培训合格证》，若为委托运输的，应提供合法有效的委托运输协议</w:t>
            </w:r>
            <w:r>
              <w:rPr>
                <w:rFonts w:hint="eastAsia" w:hAnsi="宋体"/>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在合同期内，当上述材料</w:t>
            </w:r>
            <w:r>
              <w:rPr>
                <w:rFonts w:ascii="Segoe UI" w:hAnsi="Segoe UI" w:cs="Segoe UI"/>
                <w:color w:val="000000" w:themeColor="text1"/>
                <w:sz w:val="21"/>
                <w:szCs w:val="21"/>
                <w:highlight w:val="none"/>
                <w:shd w:val="clear" w:color="auto" w:fill="FFFFFF"/>
                <w14:textFill>
                  <w14:solidFill>
                    <w14:schemeClr w14:val="tx1"/>
                  </w14:solidFill>
                </w14:textFill>
              </w:rPr>
              <w:t>临近有效期截止日期前，供应商</w:t>
            </w:r>
            <w:r>
              <w:rPr>
                <w:rFonts w:hint="eastAsia" w:ascii="Segoe UI" w:hAnsi="Segoe UI" w:cs="Segoe UI"/>
                <w:color w:val="000000" w:themeColor="text1"/>
                <w:sz w:val="21"/>
                <w:szCs w:val="21"/>
                <w:highlight w:val="none"/>
                <w:shd w:val="clear" w:color="auto" w:fill="FFFFFF"/>
                <w14:textFill>
                  <w14:solidFill>
                    <w14:schemeClr w14:val="tx1"/>
                  </w14:solidFill>
                </w14:textFill>
              </w:rPr>
              <w:t>须</w:t>
            </w:r>
            <w:r>
              <w:rPr>
                <w:rFonts w:ascii="Segoe UI" w:hAnsi="Segoe UI" w:cs="Segoe UI"/>
                <w:color w:val="000000" w:themeColor="text1"/>
                <w:sz w:val="21"/>
                <w:szCs w:val="21"/>
                <w:highlight w:val="none"/>
                <w:shd w:val="clear" w:color="auto" w:fill="FFFFFF"/>
                <w14:textFill>
                  <w14:solidFill>
                    <w14:schemeClr w14:val="tx1"/>
                  </w14:solidFill>
                </w14:textFill>
              </w:rPr>
              <w:t>主动提</w:t>
            </w:r>
            <w:r>
              <w:rPr>
                <w:rFonts w:hint="eastAsia" w:ascii="Segoe UI" w:hAnsi="Segoe UI" w:cs="Segoe UI"/>
                <w:color w:val="000000" w:themeColor="text1"/>
                <w:sz w:val="21"/>
                <w:szCs w:val="21"/>
                <w:highlight w:val="none"/>
                <w:shd w:val="clear" w:color="auto" w:fill="FFFFFF"/>
                <w14:textFill>
                  <w14:solidFill>
                    <w14:schemeClr w14:val="tx1"/>
                  </w14:solidFill>
                </w14:textFill>
              </w:rPr>
              <w:t>供</w:t>
            </w:r>
            <w:r>
              <w:rPr>
                <w:rFonts w:ascii="Segoe UI" w:hAnsi="Segoe UI" w:cs="Segoe UI"/>
                <w:color w:val="000000" w:themeColor="text1"/>
                <w:sz w:val="21"/>
                <w:szCs w:val="21"/>
                <w:highlight w:val="none"/>
                <w:shd w:val="clear" w:color="auto" w:fill="FFFFFF"/>
                <w14:textFill>
                  <w14:solidFill>
                    <w14:schemeClr w14:val="tx1"/>
                  </w14:solidFill>
                </w14:textFill>
              </w:rPr>
              <w:t>更新后的材料。</w:t>
            </w:r>
            <w:r>
              <w:rPr>
                <w:rFonts w:hint="eastAsia" w:hAnsi="宋体" w:cs="宋体"/>
                <w:color w:val="000000" w:themeColor="text1"/>
                <w:sz w:val="21"/>
                <w:szCs w:val="21"/>
                <w:highlight w:val="none"/>
                <w14:textFill>
                  <w14:solidFill>
                    <w14:schemeClr w14:val="tx1"/>
                  </w14:solidFill>
                </w14:textFill>
              </w:rPr>
              <w:t>若拒绝提供或所提供资质证件不合格，报经财政部门同意后，采购人有权单方解除合同。</w:t>
            </w:r>
          </w:p>
          <w:p w14:paraId="275FCBA7">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5.如供应商发现所配送的药品存在质量问题或其他安全隐患的，应当立即停止销售，告知采购人停止销售和使用，并对其产品进行召回。</w:t>
            </w:r>
          </w:p>
          <w:p w14:paraId="21149E03">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6.合同期内遇到药监部门抽查采购人的药品，其抽查数量由供应商补齐，对存在问题的药品所发生的查封、没收、罚款等，均由供应商承担责任。</w:t>
            </w:r>
          </w:p>
          <w:p w14:paraId="2EFE927C">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7.供应商有义务在采购人指定的地点对放射性药品的临床应用进行现场讲解或培训。</w:t>
            </w:r>
          </w:p>
          <w:p w14:paraId="77467E21">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8.供应商的送货</w:t>
            </w:r>
            <w:r>
              <w:rPr>
                <w:rFonts w:ascii="宋体" w:hAnsi="宋体"/>
                <w:bCs/>
                <w:color w:val="000000" w:themeColor="text1"/>
                <w:szCs w:val="21"/>
                <w:highlight w:val="none"/>
                <w14:textFill>
                  <w14:solidFill>
                    <w14:schemeClr w14:val="tx1"/>
                  </w14:solidFill>
                </w14:textFill>
              </w:rPr>
              <w:t>专员</w:t>
            </w:r>
            <w:r>
              <w:rPr>
                <w:rFonts w:hint="eastAsia" w:ascii="宋体" w:hAnsi="宋体"/>
                <w:bCs/>
                <w:color w:val="000000" w:themeColor="text1"/>
                <w:szCs w:val="21"/>
                <w:highlight w:val="none"/>
                <w14:textFill>
                  <w14:solidFill>
                    <w14:schemeClr w14:val="tx1"/>
                  </w14:solidFill>
                </w14:textFill>
              </w:rPr>
              <w:t>在院内活动必须严格遵守采购人各项规章制度，不得做出有损采购人形象和利益的事情。</w:t>
            </w:r>
          </w:p>
          <w:p w14:paraId="6661A515">
            <w:pPr>
              <w:spacing w:line="360" w:lineRule="auto"/>
              <w:ind w:firstLine="42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售后服务：</w:t>
            </w:r>
            <w:r>
              <w:rPr>
                <w:rFonts w:ascii="宋体" w:hAnsi="宋体"/>
                <w:bCs/>
                <w:color w:val="000000" w:themeColor="text1"/>
                <w:szCs w:val="21"/>
                <w:highlight w:val="none"/>
                <w14:textFill>
                  <w14:solidFill>
                    <w14:schemeClr w14:val="tx1"/>
                  </w14:solidFill>
                </w14:textFill>
              </w:rPr>
              <w:t>提供</w:t>
            </w:r>
            <w:r>
              <w:rPr>
                <w:rFonts w:hint="eastAsia" w:ascii="宋体" w:hAnsi="宋体"/>
                <w:bCs/>
                <w:color w:val="000000" w:themeColor="text1"/>
                <w:szCs w:val="21"/>
                <w:highlight w:val="none"/>
                <w14:textFill>
                  <w14:solidFill>
                    <w14:schemeClr w14:val="tx1"/>
                  </w14:solidFill>
                </w14:textFill>
              </w:rPr>
              <w:t>服务专线</w:t>
            </w:r>
            <w:r>
              <w:rPr>
                <w:rFonts w:ascii="宋体" w:hAnsi="宋体"/>
                <w:bCs/>
                <w:color w:val="000000" w:themeColor="text1"/>
                <w:szCs w:val="21"/>
                <w:highlight w:val="none"/>
                <w14:textFill>
                  <w14:solidFill>
                    <w14:schemeClr w14:val="tx1"/>
                  </w14:solidFill>
                </w14:textFill>
              </w:rPr>
              <w:t>，并有专人负责以方便工作联系和服务。</w:t>
            </w:r>
          </w:p>
          <w:p w14:paraId="4B070273">
            <w:pPr>
              <w:spacing w:line="360" w:lineRule="auto"/>
              <w:ind w:left="422" w:firstLine="0" w:firstLineChars="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三、配送及验收要求</w:t>
            </w:r>
          </w:p>
          <w:p w14:paraId="66F5DE3A">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015B38DB">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放射性药品的运输，按国家运输、邮政等部门制订的有关规定执行。</w:t>
            </w:r>
            <w:r>
              <w:rPr>
                <w:rFonts w:hint="eastAsia" w:ascii="宋体" w:hAnsi="宋体"/>
                <w:bCs/>
                <w:color w:val="000000" w:themeColor="text1"/>
                <w:szCs w:val="21"/>
                <w:highlight w:val="none"/>
                <w14:textFill>
                  <w14:solidFill>
                    <w14:schemeClr w14:val="tx1"/>
                  </w14:solidFill>
                </w14:textFill>
              </w:rPr>
              <w:t>用于药品运输的车辆及设备必须符合《放射性物品道路运输管理规定》中的相关规定，且由专车运送至采购人指定地点，送货人员持有《道路运输从业人员从业资格证》及《辐射安全与防护培训合格证》。</w:t>
            </w:r>
          </w:p>
          <w:p w14:paraId="23A0DE9C">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3.放射性药品进入院区运输过程中，供应商提供铅防护，防护标准符合国家环保要求。</w:t>
            </w:r>
          </w:p>
          <w:p w14:paraId="6D88D139">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供应商所供药品应按相关要求包装并实施保护措施，以防止药品在转运中损坏或变质，确保药品安全无损运抵指定地点。如发现药品出现损坏（包括表面损坏），或出现水渍、受潮等导致药品性质改变或含量不足的，</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必须2日内完成无条件退货。药品在交付采购人前发生的风险均由供应商负责。</w:t>
            </w:r>
          </w:p>
          <w:p w14:paraId="34CF7926">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供应商根据采购计划按规定送达货物后，</w:t>
            </w:r>
            <w:r>
              <w:rPr>
                <w:rFonts w:hint="eastAsia" w:ascii="宋体" w:hAnsi="宋体"/>
                <w:bCs/>
                <w:color w:val="000000" w:themeColor="text1"/>
                <w:szCs w:val="21"/>
                <w:highlight w:val="none"/>
                <w14:textFill>
                  <w14:solidFill>
                    <w14:schemeClr w14:val="tx1"/>
                  </w14:solidFill>
                </w14:textFill>
              </w:rPr>
              <w:t>将检验报告等验收资料以及一式四份的送货清单交使用部门验收，验收人员验收无误后将送货清单交西药库入库，供应商及使用部门各留一份，剩余两份交由西药库</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按照《中华人民共和国药品管理法》、《放射性药品管理办法》等有关规定，对供应商提供的药品进行验收，验收项目包括：品名、规格、放射性活度、厂家、批号、数量、有效期及外观质量、货物包装等。同时查验供应商及药品资质证件（药品合格证明、检验报告等），若出现质量、有效期、包装不符合要求或证书无效、证书不全等情况，采购人有权拒绝接收，并拒付货款，</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应当在2日内处理退货并负责收回所退药品，退款从当月货款中扣除，退货不及时的按逾期交货处罚。如发生上述情况</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采购人不承担</w:t>
            </w:r>
            <w:r>
              <w:rPr>
                <w:rFonts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由此产生的任何费用，并对其给采购人造成的损失</w:t>
            </w:r>
            <w:r>
              <w:rPr>
                <w:rFonts w:ascii="宋体" w:hAnsi="宋体"/>
                <w:bCs/>
                <w:color w:val="000000" w:themeColor="text1"/>
                <w:szCs w:val="21"/>
                <w:highlight w:val="none"/>
                <w14:textFill>
                  <w14:solidFill>
                    <w14:schemeClr w14:val="tx1"/>
                  </w14:solidFill>
                </w14:textFill>
              </w:rPr>
              <w:t>保留追索</w:t>
            </w:r>
            <w:r>
              <w:rPr>
                <w:rFonts w:hint="eastAsia" w:ascii="宋体" w:hAnsi="宋体"/>
                <w:bCs/>
                <w:color w:val="000000" w:themeColor="text1"/>
                <w:szCs w:val="21"/>
                <w:highlight w:val="none"/>
                <w14:textFill>
                  <w14:solidFill>
                    <w14:schemeClr w14:val="tx1"/>
                  </w14:solidFill>
                </w14:textFill>
              </w:rPr>
              <w:t>权利。</w:t>
            </w:r>
          </w:p>
          <w:p w14:paraId="16676539">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6.供应商应具备解决紧急问题的能力，如采购人在使用放射性药品的过程中发现问题，供应商应及时到现场解决。</w:t>
            </w:r>
          </w:p>
          <w:p w14:paraId="17A2FAF3">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7.药品有异常情况（例如：剂量不符、目测药物异常、溢岀/外漏、包装破损、过期等），供应商必须</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完全回收，并重新提供合格的药品。所有发生的费用由供应商承担。</w:t>
            </w:r>
          </w:p>
          <w:p w14:paraId="6281FB71">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8.供应商定期并及时</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回收所使用药品的防护容器。</w:t>
            </w:r>
          </w:p>
          <w:p w14:paraId="2F97FC9D">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供应商每次供货应同时提供该批次药品清单（送货单），提供的送货单上须包含药品名称、规格、单价、数量、总金额、生产厂家、生产批号、有效期、国药准字等信息，同时加盖公章或供应商出库专用章。送货单不得涂改，标记不清的，采购人将拒绝签收。</w:t>
            </w:r>
          </w:p>
          <w:p w14:paraId="1AF16EBF">
            <w:pPr>
              <w:adjustRightInd w:val="0"/>
              <w:spacing w:line="360" w:lineRule="auto"/>
              <w:ind w:firstLine="420"/>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10.在药品有效期内，如采购人发现药品存在质量问题的，该批次药品剩余库存供应商应在2日内完成无条件退货，</w:t>
            </w:r>
            <w:r>
              <w:rPr>
                <w:rFonts w:hint="eastAsia" w:ascii="宋体" w:hAnsi="宋体"/>
                <w:color w:val="000000" w:themeColor="text1"/>
                <w:szCs w:val="21"/>
                <w:highlight w:val="none"/>
                <w14:textFill>
                  <w14:solidFill>
                    <w14:schemeClr w14:val="tx1"/>
                  </w14:solidFill>
                </w14:textFill>
              </w:rPr>
              <w:t>采购人按“</w:t>
            </w:r>
            <w:r>
              <w:rPr>
                <w:rFonts w:hint="eastAsia" w:ascii="宋体" w:hAnsi="宋体"/>
                <w:bCs/>
                <w:color w:val="000000" w:themeColor="text1"/>
                <w:szCs w:val="21"/>
                <w:highlight w:val="none"/>
                <w14:textFill>
                  <w14:solidFill>
                    <w14:schemeClr w14:val="tx1"/>
                  </w14:solidFill>
                </w14:textFill>
              </w:rPr>
              <w:t>违约和相关处罚</w:t>
            </w:r>
            <w:r>
              <w:rPr>
                <w:rFonts w:hint="eastAsia" w:ascii="宋体" w:hAnsi="宋体"/>
                <w:color w:val="000000" w:themeColor="text1"/>
                <w:szCs w:val="21"/>
                <w:highlight w:val="none"/>
                <w14:textFill>
                  <w14:solidFill>
                    <w14:schemeClr w14:val="tx1"/>
                  </w14:solidFill>
                </w14:textFill>
              </w:rPr>
              <w:t>”的第5条处罚，如由此造成的一切损失(包括经济损失、消除影响等)均由</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无条件承担</w:t>
            </w:r>
            <w:r>
              <w:rPr>
                <w:rFonts w:ascii="宋体" w:hAnsi="宋体"/>
                <w:color w:val="000000" w:themeColor="text1"/>
                <w:szCs w:val="21"/>
                <w:highlight w:val="none"/>
                <w14:textFill>
                  <w14:solidFill>
                    <w14:schemeClr w14:val="tx1"/>
                  </w14:solidFill>
                </w14:textFill>
              </w:rPr>
              <w:t>。</w:t>
            </w:r>
          </w:p>
        </w:tc>
      </w:tr>
      <w:tr w14:paraId="743A8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5979BA3">
            <w:pPr>
              <w:widowControl/>
              <w:spacing w:line="360" w:lineRule="auto"/>
              <w:ind w:firstLine="0" w:firstLineChars="0"/>
              <w:rPr>
                <w:rFonts w:ascii="宋体" w:hAnsi="宋体"/>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商务条款</w:t>
            </w:r>
          </w:p>
        </w:tc>
      </w:tr>
      <w:tr w14:paraId="7EC78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0384EC54">
            <w:pPr>
              <w:snapToGrid w:val="0"/>
              <w:spacing w:before="120" w:beforeLines="50" w:line="360" w:lineRule="auto"/>
              <w:ind w:firstLine="6" w:firstLineChars="3"/>
              <w:jc w:val="center"/>
              <w:rPr>
                <w:rFonts w:hAnsi="宋体"/>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服务</w:t>
            </w:r>
            <w:r>
              <w:rPr>
                <w:rFonts w:hAnsi="宋体"/>
                <w:b/>
                <w:bCs/>
                <w:color w:val="000000" w:themeColor="text1"/>
                <w:highlight w:val="none"/>
                <w14:textFill>
                  <w14:solidFill>
                    <w14:schemeClr w14:val="tx1"/>
                  </w14:solidFill>
                </w14:textFill>
              </w:rPr>
              <w:t>期限</w:t>
            </w:r>
            <w:r>
              <w:rPr>
                <w:b/>
                <w:color w:val="000000" w:themeColor="text1"/>
                <w:highlight w:val="none"/>
                <w14:textFill>
                  <w14:solidFill>
                    <w14:schemeClr w14:val="tx1"/>
                  </w14:solidFill>
                </w14:textFill>
              </w:rPr>
              <w:t>及地点</w:t>
            </w:r>
          </w:p>
        </w:tc>
        <w:tc>
          <w:tcPr>
            <w:tcW w:w="4096" w:type="pct"/>
            <w:tcBorders>
              <w:top w:val="single" w:color="auto" w:sz="4" w:space="0"/>
              <w:left w:val="single" w:color="auto" w:sz="4" w:space="0"/>
              <w:bottom w:val="single" w:color="auto" w:sz="4" w:space="0"/>
              <w:right w:val="single" w:color="auto" w:sz="4" w:space="0"/>
            </w:tcBorders>
            <w:vAlign w:val="center"/>
          </w:tcPr>
          <w:p w14:paraId="1D6AF403">
            <w:pPr>
              <w:snapToGrid w:val="0"/>
              <w:spacing w:before="120" w:beforeLines="50" w:line="360"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服务</w:t>
            </w:r>
            <w:r>
              <w:rPr>
                <w:rFonts w:hint="eastAsia" w:hAnsi="宋体"/>
                <w:bCs/>
                <w:color w:val="000000" w:themeColor="text1"/>
                <w:highlight w:val="none"/>
                <w14:textFill>
                  <w14:solidFill>
                    <w14:schemeClr w14:val="tx1"/>
                  </w14:solidFill>
                </w14:textFill>
              </w:rPr>
              <w:t>期限</w:t>
            </w:r>
            <w:r>
              <w:rPr>
                <w:rFonts w:hint="eastAsia" w:hAnsi="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自签订合同之日起2年或2年内采购金额达到本项目合同总金额，合同自动终止。</w:t>
            </w:r>
          </w:p>
          <w:p w14:paraId="2B1FD1FC">
            <w:pPr>
              <w:spacing w:line="360" w:lineRule="auto"/>
              <w:ind w:firstLine="420"/>
              <w:rPr>
                <w:rStyle w:val="190"/>
                <w:rFonts w:hint="default"/>
                <w:color w:val="000000" w:themeColor="text1"/>
                <w:sz w:val="21"/>
                <w:szCs w:val="21"/>
                <w:highlight w:val="none"/>
                <w:lang w:bidi="ar"/>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服务地点：柳州市采购人指定地点，</w:t>
            </w:r>
            <w:r>
              <w:rPr>
                <w:rFonts w:hint="eastAsia" w:ascii="宋体" w:hAnsi="宋体" w:cs="仿宋"/>
                <w:color w:val="000000" w:themeColor="text1"/>
                <w:szCs w:val="21"/>
                <w:highlight w:val="none"/>
                <w14:textFill>
                  <w14:solidFill>
                    <w14:schemeClr w14:val="tx1"/>
                  </w14:solidFill>
                </w14:textFill>
              </w:rPr>
              <w:t>如柳州市中医院</w:t>
            </w:r>
            <w:r>
              <w:rPr>
                <w:rFonts w:hint="eastAsia" w:ascii="宋体" w:hAnsi="宋体"/>
                <w:bCs/>
                <w:color w:val="000000" w:themeColor="text1"/>
                <w:szCs w:val="21"/>
                <w:highlight w:val="none"/>
                <w14:textFill>
                  <w14:solidFill>
                    <w14:schemeClr w14:val="tx1"/>
                  </w14:solidFill>
                </w14:textFill>
              </w:rPr>
              <w:t>莲花山院区门诊负一楼核医学科</w:t>
            </w:r>
            <w:r>
              <w:rPr>
                <w:rFonts w:hint="eastAsia" w:hAnsi="宋体"/>
                <w:color w:val="000000" w:themeColor="text1"/>
                <w:highlight w:val="none"/>
                <w14:textFill>
                  <w14:solidFill>
                    <w14:schemeClr w14:val="tx1"/>
                  </w14:solidFill>
                </w14:textFill>
              </w:rPr>
              <w:t>。</w:t>
            </w:r>
          </w:p>
        </w:tc>
      </w:tr>
      <w:tr w14:paraId="3B9E6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46C198E6">
            <w:pPr>
              <w:snapToGrid w:val="0"/>
              <w:spacing w:before="120" w:beforeLines="50" w:line="360" w:lineRule="auto"/>
              <w:ind w:firstLine="6" w:firstLineChars="3"/>
              <w:jc w:val="center"/>
              <w:rPr>
                <w:b/>
                <w:color w:val="000000" w:themeColor="text1"/>
                <w:highlight w:val="none"/>
                <w14:textFill>
                  <w14:solidFill>
                    <w14:schemeClr w14:val="tx1"/>
                  </w14:solidFill>
                </w14:textFill>
              </w:rPr>
            </w:pPr>
            <w:r>
              <w:rPr>
                <w:rFonts w:hint="eastAsia" w:hAnsi="宋体" w:cs="仿宋"/>
                <w:b/>
                <w:color w:val="000000" w:themeColor="text1"/>
                <w:highlight w:val="none"/>
                <w14:textFill>
                  <w14:solidFill>
                    <w14:schemeClr w14:val="tx1"/>
                  </w14:solidFill>
                </w14:textFill>
              </w:rPr>
              <w:t>报价要求</w:t>
            </w:r>
          </w:p>
        </w:tc>
        <w:tc>
          <w:tcPr>
            <w:tcW w:w="4096" w:type="pct"/>
            <w:tcBorders>
              <w:top w:val="single" w:color="auto" w:sz="4" w:space="0"/>
              <w:left w:val="single" w:color="auto" w:sz="4" w:space="0"/>
              <w:bottom w:val="single" w:color="auto" w:sz="4" w:space="0"/>
              <w:right w:val="single" w:color="auto" w:sz="4" w:space="0"/>
            </w:tcBorders>
            <w:vAlign w:val="center"/>
          </w:tcPr>
          <w:p w14:paraId="0C137C82">
            <w:pPr>
              <w:autoSpaceDE w:val="0"/>
              <w:autoSpaceDN w:val="0"/>
              <w:adjustRightInd w:val="0"/>
              <w:spacing w:line="360" w:lineRule="auto"/>
              <w:ind w:right="-23" w:firstLine="420"/>
              <w:jc w:val="left"/>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1</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供应商应当充分考虑市场价格变动和自身实际情况进行报价，并承诺所报固定单价在合同期内有效。</w:t>
            </w:r>
          </w:p>
          <w:p w14:paraId="629C4F9B">
            <w:pPr>
              <w:autoSpaceDE w:val="0"/>
              <w:autoSpaceDN w:val="0"/>
              <w:adjustRightInd w:val="0"/>
              <w:spacing w:line="360" w:lineRule="auto"/>
              <w:ind w:right="-23" w:firstLine="420"/>
              <w:jc w:val="left"/>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供应商的报价须包括：货物送达指定地点，验收合格至正常使用前所有可能发生的费用。即包含：货物本身费用、运输费、装卸搬运费、人工劳务费、税金等。供应商认为必须的费用也需综合考虑在报价中，在合同期间，采购人不予提高供货单价，如遇国家或自治区等政策性降价，则应按最低价格执行。</w:t>
            </w:r>
          </w:p>
          <w:p w14:paraId="21A6D8FC">
            <w:pPr>
              <w:autoSpaceDE w:val="0"/>
              <w:autoSpaceDN w:val="0"/>
              <w:adjustRightInd w:val="0"/>
              <w:spacing w:line="360" w:lineRule="auto"/>
              <w:ind w:right="-23" w:firstLine="420"/>
              <w:jc w:val="left"/>
              <w:rPr>
                <w:rFonts w:ascii="Calibri" w:hAnsi="宋体" w:cs="宋体"/>
                <w:b/>
                <w:bCs/>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w:t>
            </w:r>
            <w:r>
              <w:rPr>
                <w:rFonts w:hint="eastAsia" w:ascii="Calibri" w:hAnsi="宋体" w:cs="宋体"/>
                <w:b/>
                <w:bCs/>
                <w:color w:val="000000" w:themeColor="text1"/>
                <w:szCs w:val="21"/>
                <w:highlight w:val="none"/>
                <w14:textFill>
                  <w14:solidFill>
                    <w14:schemeClr w14:val="tx1"/>
                  </w14:solidFill>
                </w14:textFill>
              </w:rPr>
              <w:t>产品单价不得超过单</w:t>
            </w:r>
            <w:r>
              <w:rPr>
                <w:rFonts w:hint="eastAsia" w:hAnsi="宋体" w:cs="宋体"/>
                <w:b/>
                <w:bCs/>
                <w:color w:val="000000" w:themeColor="text1"/>
                <w:highlight w:val="none"/>
                <w:lang w:bidi="ar"/>
                <w14:textFill>
                  <w14:solidFill>
                    <w14:schemeClr w14:val="tx1"/>
                  </w14:solidFill>
                </w14:textFill>
              </w:rPr>
              <w:t>价</w:t>
            </w:r>
            <w:r>
              <w:rPr>
                <w:rFonts w:hint="eastAsia" w:ascii="Calibri" w:hAnsi="宋体" w:cs="宋体"/>
                <w:b/>
                <w:bCs/>
                <w:color w:val="000000" w:themeColor="text1"/>
                <w:szCs w:val="21"/>
                <w:highlight w:val="none"/>
                <w14:textFill>
                  <w14:solidFill>
                    <w14:schemeClr w14:val="tx1"/>
                  </w14:solidFill>
                </w14:textFill>
              </w:rPr>
              <w:t>控制价，否则，响应文件</w:t>
            </w:r>
            <w:r>
              <w:rPr>
                <w:rFonts w:hint="eastAsia" w:ascii="Calibri" w:hAnsi="宋体" w:cs="宋体"/>
                <w:b/>
                <w:bCs/>
                <w:color w:val="000000" w:themeColor="text1"/>
                <w:szCs w:val="21"/>
                <w:highlight w:val="none"/>
                <w14:textFill>
                  <w14:solidFill>
                    <w14:schemeClr w14:val="tx1"/>
                  </w14:solidFill>
                </w14:textFill>
              </w:rPr>
              <w:t>按竞标无效处理</w:t>
            </w:r>
            <w:r>
              <w:rPr>
                <w:rFonts w:hint="eastAsia" w:ascii="Calibri" w:hAnsi="宋体" w:cs="宋体"/>
                <w:b/>
                <w:bCs/>
                <w:color w:val="000000" w:themeColor="text1"/>
                <w:szCs w:val="21"/>
                <w:highlight w:val="none"/>
                <w14:textFill>
                  <w14:solidFill>
                    <w14:schemeClr w14:val="tx1"/>
                  </w14:solidFill>
                </w14:textFill>
              </w:rPr>
              <w:t>。</w:t>
            </w:r>
          </w:p>
          <w:p w14:paraId="18DEEFB3">
            <w:pPr>
              <w:autoSpaceDE w:val="0"/>
              <w:autoSpaceDN w:val="0"/>
              <w:adjustRightInd w:val="0"/>
              <w:spacing w:line="360" w:lineRule="auto"/>
              <w:ind w:right="-23" w:firstLine="420"/>
              <w:jc w:val="left"/>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本项目的年预估量仅为供应商报价提供参考依据，并非实际采购数量。采购数量由采购人按实际工作需要作出采购计划进行采购，货款按照供应商实际配送并验收合格的数量及本项目所报的固定单价进行定期结算。</w:t>
            </w:r>
          </w:p>
        </w:tc>
      </w:tr>
      <w:tr w14:paraId="4FE86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47495F9A">
            <w:pPr>
              <w:widowControl/>
              <w:spacing w:before="48" w:beforeLines="20" w:line="360" w:lineRule="auto"/>
              <w:ind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付款方式</w:t>
            </w:r>
          </w:p>
        </w:tc>
        <w:tc>
          <w:tcPr>
            <w:tcW w:w="4096" w:type="pct"/>
            <w:tcBorders>
              <w:top w:val="single" w:color="auto" w:sz="4" w:space="0"/>
              <w:left w:val="single" w:color="auto" w:sz="4" w:space="0"/>
              <w:bottom w:val="single" w:color="auto" w:sz="4" w:space="0"/>
              <w:right w:val="single" w:color="auto" w:sz="4" w:space="0"/>
            </w:tcBorders>
          </w:tcPr>
          <w:p w14:paraId="64E5688A">
            <w:pPr>
              <w:tabs>
                <w:tab w:val="left" w:pos="31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本项目无预付款，采取定期结算方式进行结算。即供应商按采购人要求完成供货，验收合格后，向采购人提供真实、准确、正式、全额发票以及相关资料</w:t>
            </w:r>
            <w:r>
              <w:rPr>
                <w:rFonts w:hint="eastAsia" w:ascii="宋体" w:hAnsi="宋体" w:cs="宋体"/>
                <w:bCs/>
                <w:color w:val="000000" w:themeColor="text1"/>
                <w:szCs w:val="21"/>
                <w:highlight w:val="none"/>
                <w14:textFill>
                  <w14:solidFill>
                    <w14:schemeClr w14:val="tx1"/>
                  </w14:solidFill>
                </w14:textFill>
              </w:rPr>
              <w:t>，采购人</w:t>
            </w:r>
            <w:r>
              <w:rPr>
                <w:rFonts w:hint="eastAsia" w:hAnsi="宋体" w:cs="宋体"/>
                <w:color w:val="000000" w:themeColor="text1"/>
                <w:kern w:val="0"/>
                <w:highlight w:val="none"/>
                <w14:textFill>
                  <w14:solidFill>
                    <w14:schemeClr w14:val="tx1"/>
                  </w14:solidFill>
                </w14:textFill>
              </w:rPr>
              <w:t>从签订合同后从第七个月开始按实际采购量逐月支付货款</w:t>
            </w:r>
            <w:r>
              <w:rPr>
                <w:rFonts w:hint="eastAsia" w:ascii="宋体" w:hAnsi="宋体" w:cs="宋体"/>
                <w:bCs/>
                <w:color w:val="000000" w:themeColor="text1"/>
                <w:szCs w:val="21"/>
                <w:highlight w:val="none"/>
                <w14:textFill>
                  <w14:solidFill>
                    <w14:schemeClr w14:val="tx1"/>
                  </w14:solidFill>
                </w14:textFill>
              </w:rPr>
              <w:t>。如因供应商自身无法及时提供资料导致无法按时结算，由供应商自行承担责任。如供应商向采购人提供虚假税务发票或委托第三方进行结算，采购人有权拒绝支付供应商的所有货款，</w:t>
            </w:r>
            <w:r>
              <w:rPr>
                <w:rFonts w:hint="eastAsia" w:hAnsi="宋体" w:cs="宋体"/>
                <w:color w:val="000000" w:themeColor="text1"/>
                <w:kern w:val="0"/>
                <w:highlight w:val="none"/>
                <w14:textFill>
                  <w14:solidFill>
                    <w14:schemeClr w14:val="tx1"/>
                  </w14:solidFill>
                </w14:textFill>
              </w:rPr>
              <w:t>报经财政部门同意后，</w:t>
            </w:r>
            <w:r>
              <w:rPr>
                <w:rFonts w:hint="eastAsia"/>
                <w:color w:val="000000" w:themeColor="text1"/>
                <w:highlight w:val="none"/>
                <w14:textFill>
                  <w14:solidFill>
                    <w14:schemeClr w14:val="tx1"/>
                  </w14:solidFill>
                </w14:textFill>
              </w:rPr>
              <w:t>解除</w:t>
            </w:r>
            <w:r>
              <w:rPr>
                <w:rFonts w:hint="eastAsia" w:hAnsi="宋体" w:cs="宋体"/>
                <w:color w:val="000000" w:themeColor="text1"/>
                <w:kern w:val="0"/>
                <w:highlight w:val="none"/>
                <w14:textFill>
                  <w14:solidFill>
                    <w14:schemeClr w14:val="tx1"/>
                  </w14:solidFill>
                </w14:textFill>
              </w:rPr>
              <w:t>合同。</w:t>
            </w:r>
            <w:r>
              <w:rPr>
                <w:rFonts w:hint="eastAsia" w:ascii="宋体" w:hAnsi="宋体" w:cs="宋体"/>
                <w:bCs/>
                <w:color w:val="000000" w:themeColor="text1"/>
                <w:szCs w:val="21"/>
                <w:highlight w:val="none"/>
                <w14:textFill>
                  <w14:solidFill>
                    <w14:schemeClr w14:val="tx1"/>
                  </w14:solidFill>
                </w14:textFill>
              </w:rPr>
              <w:t>如有政策变化等特殊原因，再行商议。</w:t>
            </w:r>
          </w:p>
        </w:tc>
      </w:tr>
      <w:tr w14:paraId="4181B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22F3FFB8">
            <w:pPr>
              <w:spacing w:line="360" w:lineRule="auto"/>
              <w:ind w:firstLine="0" w:firstLineChars="0"/>
              <w:jc w:val="center"/>
              <w:rPr>
                <w:rFonts w:ascii="Calibri" w:hAnsi="Calibri"/>
                <w:b/>
                <w:bCs/>
                <w:color w:val="000000" w:themeColor="text1"/>
                <w:highlight w:val="none"/>
                <w14:textFill>
                  <w14:solidFill>
                    <w14:schemeClr w14:val="tx1"/>
                  </w14:solidFill>
                </w14:textFill>
              </w:rPr>
            </w:pPr>
            <w:r>
              <w:rPr>
                <w:rFonts w:hint="eastAsia" w:ascii="Calibri" w:hAnsi="Calibri"/>
                <w:b/>
                <w:bCs/>
                <w:color w:val="000000" w:themeColor="text1"/>
                <w:highlight w:val="none"/>
                <w14:textFill>
                  <w14:solidFill>
                    <w14:schemeClr w14:val="tx1"/>
                  </w14:solidFill>
                </w14:textFill>
              </w:rPr>
              <w:t>违约和相关处罚</w:t>
            </w:r>
          </w:p>
        </w:tc>
        <w:tc>
          <w:tcPr>
            <w:tcW w:w="4096" w:type="pct"/>
            <w:tcBorders>
              <w:top w:val="single" w:color="auto" w:sz="4" w:space="0"/>
              <w:left w:val="single" w:color="auto" w:sz="4" w:space="0"/>
              <w:bottom w:val="single" w:color="auto" w:sz="4" w:space="0"/>
              <w:right w:val="single" w:color="auto" w:sz="4" w:space="0"/>
            </w:tcBorders>
            <w:vAlign w:val="center"/>
          </w:tcPr>
          <w:p w14:paraId="05A6013A">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1.供应商提供的货物如侵犯了第三方合法权益而引发的任何纠纷或诉讼，均由供应商自行负责交涉并承担全部责任。</w:t>
            </w:r>
          </w:p>
          <w:p w14:paraId="4C89B735">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2.采购人发出供货通知后，供应商未在</w:t>
            </w:r>
            <w:r>
              <w:rPr>
                <w:rFonts w:hint="eastAsia" w:ascii="宋体" w:hAnsi="宋体" w:cs="宋体"/>
                <w:bCs/>
                <w:color w:val="000000" w:themeColor="text1"/>
                <w:szCs w:val="21"/>
                <w:highlight w:val="none"/>
                <w14:textFill>
                  <w14:solidFill>
                    <w14:schemeClr w14:val="tx1"/>
                  </w14:solidFill>
                </w14:textFill>
              </w:rPr>
              <w:t>2日</w:t>
            </w:r>
            <w:r>
              <w:rPr>
                <w:rFonts w:hint="eastAsia" w:ascii="宋体" w:hAnsi="宋体" w:cs="宋体"/>
                <w:bCs/>
                <w:color w:val="000000" w:themeColor="text1"/>
                <w:szCs w:val="21"/>
                <w:highlight w:val="none"/>
                <w14:textFill>
                  <w14:solidFill>
                    <w14:schemeClr w14:val="tx1"/>
                  </w14:solidFill>
                </w14:textFill>
              </w:rPr>
              <w:t>内送达指定地点的，影响临床用药的，每逾期一天按本批货物金额的5%计算违约金，从履约保证金中扣罚，</w:t>
            </w:r>
            <w:r>
              <w:rPr>
                <w:rFonts w:hint="eastAsia" w:ascii="宋体" w:hAnsi="宋体" w:cs="宋体"/>
                <w:color w:val="000000" w:themeColor="text1"/>
                <w:szCs w:val="21"/>
                <w:highlight w:val="none"/>
                <w14:textFill>
                  <w14:solidFill>
                    <w14:schemeClr w14:val="tx1"/>
                  </w14:solidFill>
                </w14:textFill>
              </w:rPr>
              <w:t>不足的从货款中扣罚。</w:t>
            </w:r>
            <w:r>
              <w:rPr>
                <w:rFonts w:hint="eastAsia" w:ascii="宋体" w:hAnsi="宋体" w:cs="宋体"/>
                <w:bCs/>
                <w:color w:val="000000" w:themeColor="text1"/>
                <w:szCs w:val="21"/>
                <w:highlight w:val="none"/>
                <w14:textFill>
                  <w14:solidFill>
                    <w14:schemeClr w14:val="tx1"/>
                  </w14:solidFill>
                </w14:textFill>
              </w:rPr>
              <w:t>如逾期达3次，报经财政部门同意后，采购人有权单方</w:t>
            </w:r>
            <w:r>
              <w:rPr>
                <w:rFonts w:hint="eastAsia"/>
                <w:color w:val="000000" w:themeColor="text1"/>
                <w:highlight w:val="none"/>
                <w14:textFill>
                  <w14:solidFill>
                    <w14:schemeClr w14:val="tx1"/>
                  </w14:solidFill>
                </w14:textFill>
              </w:rPr>
              <w:t>解除</w:t>
            </w:r>
            <w:r>
              <w:rPr>
                <w:rFonts w:hint="eastAsia" w:ascii="宋体" w:hAnsi="宋体" w:cs="宋体"/>
                <w:bCs/>
                <w:color w:val="000000" w:themeColor="text1"/>
                <w:szCs w:val="21"/>
                <w:highlight w:val="none"/>
                <w14:textFill>
                  <w14:solidFill>
                    <w14:schemeClr w14:val="tx1"/>
                  </w14:solidFill>
                </w14:textFill>
              </w:rPr>
              <w:t>合同。</w:t>
            </w:r>
          </w:p>
          <w:p w14:paraId="5A463B60">
            <w:pPr>
              <w:spacing w:line="360" w:lineRule="auto"/>
              <w:ind w:firstLine="420" w:firstLineChars="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3.供应商送货工作人员不遵守采购人管理规定，做出有损采购人形象和利益的事情，</w:t>
            </w:r>
            <w:r>
              <w:rPr>
                <w:rFonts w:hint="eastAsia" w:ascii="宋体" w:hAnsi="宋体" w:cs="宋体"/>
                <w:color w:val="000000" w:themeColor="text1"/>
                <w:highlight w:val="none"/>
                <w14:textFill>
                  <w14:solidFill>
                    <w14:schemeClr w14:val="tx1"/>
                  </w14:solidFill>
                </w14:textFill>
              </w:rPr>
              <w:t>每次按本批货物金额的5%计算违约金。</w:t>
            </w:r>
          </w:p>
          <w:p w14:paraId="5360CAE2">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4.在包装、运输、装卸等环节不符合国家相关要求的，采购人有权拒收货物，每次按本批货物金额的5%计算违约金。</w:t>
            </w:r>
          </w:p>
          <w:p w14:paraId="4354275A">
            <w:pPr>
              <w:spacing w:line="360" w:lineRule="auto"/>
              <w:ind w:firstLine="420" w:firstLineChars="0"/>
              <w:rPr>
                <w:rFonts w:ascii="宋体" w:hAnsi="宋体"/>
                <w:bCs/>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货物质量验收不合格，每次按本批货物金额的10%计算违约金，达两次的按下文第6条处理。</w:t>
            </w:r>
          </w:p>
          <w:p w14:paraId="0E768D14">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6.有下列行为之一的，报经财政部门同意后，采购人有权单方取消其成交资格、解除合同，按本项目的合同总金额的</w:t>
            </w:r>
            <w:r>
              <w:rPr>
                <w:rFonts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%计算扣减违约金，因所供产品质量不合格导致其他损失的，供应商应赔偿所有相关损失。</w:t>
            </w:r>
          </w:p>
          <w:p w14:paraId="750EE286">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（1）提供任何虚假资料的。</w:t>
            </w:r>
          </w:p>
          <w:p w14:paraId="5715199A">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（2）未经采购人同意，擅自</w:t>
            </w:r>
            <w:r>
              <w:rPr>
                <w:rFonts w:hint="eastAsia" w:ascii="宋体" w:hAnsi="宋体" w:cs="宋体"/>
                <w:color w:val="000000" w:themeColor="text1"/>
                <w:szCs w:val="21"/>
                <w:highlight w:val="none"/>
                <w14:textFill>
                  <w14:solidFill>
                    <w14:schemeClr w14:val="tx1"/>
                  </w14:solidFill>
                </w14:textFill>
              </w:rPr>
              <w:t>提高药品供货价格的</w:t>
            </w:r>
            <w:r>
              <w:rPr>
                <w:rFonts w:hint="eastAsia" w:ascii="宋体" w:hAnsi="宋体" w:cs="宋体"/>
                <w:bCs/>
                <w:color w:val="000000" w:themeColor="text1"/>
                <w:szCs w:val="21"/>
                <w:highlight w:val="none"/>
                <w14:textFill>
                  <w14:solidFill>
                    <w14:schemeClr w14:val="tx1"/>
                  </w14:solidFill>
                </w14:textFill>
              </w:rPr>
              <w:t>；</w:t>
            </w:r>
          </w:p>
          <w:p w14:paraId="5F840A93">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（3）私自转让协议给其他厂商进行供货的；</w:t>
            </w:r>
          </w:p>
          <w:p w14:paraId="67969D3D">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（4）验收发现所供药品质量不合格达两次以上的；</w:t>
            </w:r>
          </w:p>
          <w:p w14:paraId="181B2652">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（5）把采购人验收不合格退货的药品重新供应给采购人的；</w:t>
            </w:r>
          </w:p>
          <w:p w14:paraId="6499E69D">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（6）所供应的药品为假药、劣药的；</w:t>
            </w:r>
          </w:p>
          <w:p w14:paraId="7F30F22B">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对药品安全及药品质量等各项检查不严格，造成</w:t>
            </w:r>
            <w:r>
              <w:rPr>
                <w:rFonts w:hint="eastAsia" w:ascii="宋体" w:hAnsi="宋体" w:cs="宋体"/>
                <w:color w:val="000000" w:themeColor="text1"/>
                <w:szCs w:val="21"/>
                <w:highlight w:val="none"/>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重大损失，影响监管安全的</w:t>
            </w:r>
            <w:r>
              <w:rPr>
                <w:rFonts w:hint="eastAsia" w:ascii="宋体" w:hAnsi="宋体" w:cs="宋体"/>
                <w:color w:val="000000" w:themeColor="text1"/>
                <w:szCs w:val="21"/>
                <w:highlight w:val="none"/>
                <w14:textFill>
                  <w14:solidFill>
                    <w14:schemeClr w14:val="tx1"/>
                  </w14:solidFill>
                </w14:textFill>
              </w:rPr>
              <w:t>；</w:t>
            </w:r>
          </w:p>
          <w:p w14:paraId="13C7535C">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（8）在合同期内，非采购人原因，不能按合同及采购要求供货次数达到3次；</w:t>
            </w:r>
          </w:p>
          <w:p w14:paraId="60D5AE16">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（9）将本项目转让、分包给他人的；</w:t>
            </w:r>
          </w:p>
          <w:p w14:paraId="00846EA4">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（10）不按</w:t>
            </w:r>
            <w:r>
              <w:rPr>
                <w:rFonts w:hint="eastAsia" w:ascii="宋体" w:hAnsi="宋体" w:cs="宋体"/>
                <w:bCs/>
                <w:color w:val="000000" w:themeColor="text1"/>
                <w:szCs w:val="21"/>
                <w:highlight w:val="none"/>
                <w14:textFill>
                  <w14:solidFill>
                    <w14:schemeClr w14:val="tx1"/>
                  </w14:solidFill>
                </w14:textFill>
              </w:rPr>
              <w:t>响应</w:t>
            </w:r>
            <w:r>
              <w:rPr>
                <w:rFonts w:hint="eastAsia" w:ascii="宋体" w:hAnsi="宋体" w:cs="宋体"/>
                <w:bCs/>
                <w:color w:val="000000" w:themeColor="text1"/>
                <w:szCs w:val="21"/>
                <w:highlight w:val="none"/>
                <w14:textFill>
                  <w14:solidFill>
                    <w14:schemeClr w14:val="tx1"/>
                  </w14:solidFill>
                </w14:textFill>
              </w:rPr>
              <w:t>文件服务承诺有关条款约定履行的。</w:t>
            </w:r>
          </w:p>
          <w:p w14:paraId="73954B9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7.如</w:t>
            </w:r>
            <w:r>
              <w:rPr>
                <w:rFonts w:hint="eastAsia" w:ascii="宋体" w:hAnsi="宋体" w:cs="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供应商存在以上违约情形，违约金优先从履约保证金中扣减，如因小微企业或监狱企业或残疾人福利性单位无需缴纳履约保证金或履约保证金扣除后不足部分，则从货款中扣减。</w:t>
            </w:r>
          </w:p>
        </w:tc>
      </w:tr>
      <w:tr w14:paraId="5DBAB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28E31D32">
            <w:pPr>
              <w:spacing w:line="360" w:lineRule="auto"/>
              <w:ind w:firstLine="0" w:firstLineChars="0"/>
              <w:jc w:val="center"/>
              <w:rPr>
                <w:rFonts w:ascii="Calibri" w:hAnsi="Calibri"/>
                <w:b/>
                <w:bCs/>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签订合同日期</w:t>
            </w:r>
          </w:p>
        </w:tc>
        <w:tc>
          <w:tcPr>
            <w:tcW w:w="4096" w:type="pct"/>
            <w:tcBorders>
              <w:top w:val="single" w:color="auto" w:sz="4" w:space="0"/>
              <w:left w:val="single" w:color="auto" w:sz="4" w:space="0"/>
              <w:bottom w:val="single" w:color="auto" w:sz="4" w:space="0"/>
              <w:right w:val="single" w:color="auto" w:sz="4" w:space="0"/>
            </w:tcBorders>
            <w:vAlign w:val="center"/>
          </w:tcPr>
          <w:p w14:paraId="2BE3D04C">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自</w:t>
            </w:r>
            <w:r>
              <w:rPr>
                <w:rFonts w:hint="eastAsia"/>
                <w:bCs/>
                <w:color w:val="000000" w:themeColor="text1"/>
                <w:highlight w:val="none"/>
                <w14:textFill>
                  <w14:solidFill>
                    <w14:schemeClr w14:val="tx1"/>
                  </w14:solidFill>
                </w14:textFill>
              </w:rPr>
              <w:t>成交</w:t>
            </w:r>
            <w:r>
              <w:rPr>
                <w:bCs/>
                <w:color w:val="000000" w:themeColor="text1"/>
                <w:highlight w:val="none"/>
                <w14:textFill>
                  <w14:solidFill>
                    <w14:schemeClr w14:val="tx1"/>
                  </w14:solidFill>
                </w14:textFill>
              </w:rPr>
              <w:t>通知书发出之日起</w:t>
            </w:r>
            <w:r>
              <w:rPr>
                <w:rFonts w:hint="eastAsia"/>
                <w:bCs/>
                <w:color w:val="000000" w:themeColor="text1"/>
                <w:highlight w:val="none"/>
                <w14:textFill>
                  <w14:solidFill>
                    <w14:schemeClr w14:val="tx1"/>
                  </w14:solidFill>
                </w14:textFill>
              </w:rPr>
              <w:t>25</w:t>
            </w:r>
            <w:r>
              <w:rPr>
                <w:bCs/>
                <w:color w:val="000000" w:themeColor="text1"/>
                <w:highlight w:val="none"/>
                <w14:textFill>
                  <w14:solidFill>
                    <w14:schemeClr w14:val="tx1"/>
                  </w14:solidFill>
                </w14:textFill>
              </w:rPr>
              <w:t>日内。</w:t>
            </w:r>
          </w:p>
        </w:tc>
      </w:tr>
      <w:tr w14:paraId="0CE94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5E46B60A">
            <w:pPr>
              <w:widowControl/>
              <w:spacing w:line="360" w:lineRule="auto"/>
              <w:ind w:firstLine="0" w:firstLineChars="0"/>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采购标的验收标准</w:t>
            </w:r>
          </w:p>
        </w:tc>
        <w:tc>
          <w:tcPr>
            <w:tcW w:w="4096" w:type="pct"/>
            <w:tcBorders>
              <w:top w:val="single" w:color="auto" w:sz="4" w:space="0"/>
              <w:left w:val="single" w:color="auto" w:sz="4" w:space="0"/>
              <w:bottom w:val="single" w:color="auto" w:sz="4" w:space="0"/>
              <w:right w:val="single" w:color="auto" w:sz="4" w:space="0"/>
            </w:tcBorders>
            <w:vAlign w:val="center"/>
          </w:tcPr>
          <w:p w14:paraId="59C28B67">
            <w:pPr>
              <w:widowControl/>
              <w:spacing w:line="36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验收方式：书面验收。</w:t>
            </w:r>
          </w:p>
          <w:p w14:paraId="176ACC3B">
            <w:pPr>
              <w:widowControl/>
              <w:spacing w:line="36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验收标准：①符合现行国家相关标准、行业标准、地方标准或者其他标准、规范；②符合采购文件要求和响应文件承诺。</w:t>
            </w:r>
          </w:p>
          <w:p w14:paraId="7729B6CB">
            <w:pPr>
              <w:widowControl/>
              <w:spacing w:line="36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验收方式和程序：由采购人组织验收小组检查服务需求的落实情况。</w:t>
            </w:r>
          </w:p>
          <w:p w14:paraId="16566EE7">
            <w:pPr>
              <w:widowControl/>
              <w:spacing w:line="360" w:lineRule="auto"/>
              <w:ind w:firstLine="422"/>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采购人有权委托第三方进行履约验收，履约验收费用由成交供应商支付。供应商在竞标报价时自行考虑。</w:t>
            </w:r>
          </w:p>
        </w:tc>
      </w:tr>
      <w:tr w14:paraId="200D7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458DC6F">
            <w:pPr>
              <w:widowControl/>
              <w:spacing w:line="360" w:lineRule="auto"/>
              <w:ind w:firstLine="0" w:firstLineChars="0"/>
              <w:rPr>
                <w:rFonts w:ascii="宋体" w:hAnsi="宋体"/>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项目的特殊要求</w:t>
            </w:r>
          </w:p>
        </w:tc>
      </w:tr>
      <w:tr w14:paraId="12A2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3F0B5D41">
            <w:pPr>
              <w:widowControl/>
              <w:spacing w:line="360" w:lineRule="auto"/>
              <w:ind w:firstLine="0" w:firstLineChars="0"/>
              <w:jc w:val="center"/>
              <w:rPr>
                <w:rFonts w:ascii="宋体" w:hAnsi="宋体"/>
                <w:b/>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特殊要求</w:t>
            </w:r>
          </w:p>
        </w:tc>
        <w:tc>
          <w:tcPr>
            <w:tcW w:w="4096" w:type="pct"/>
            <w:tcBorders>
              <w:top w:val="single" w:color="auto" w:sz="4" w:space="0"/>
              <w:left w:val="single" w:color="auto" w:sz="4" w:space="0"/>
              <w:bottom w:val="single" w:color="auto" w:sz="4" w:space="0"/>
              <w:right w:val="single" w:color="auto" w:sz="4" w:space="0"/>
            </w:tcBorders>
            <w:vAlign w:val="center"/>
          </w:tcPr>
          <w:p w14:paraId="32055BE2">
            <w:pPr>
              <w:widowControl/>
              <w:spacing w:line="360" w:lineRule="auto"/>
              <w:ind w:firstLine="422"/>
              <w:rPr>
                <w:rFonts w:ascii="宋体" w:hAnsi="宋体"/>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供应商须提供拟配送放射性药品由国家主管部门颁发的有效的《药品注册证》或《药品再注册批件》并加盖供应商电子公章，否则竞标无效。</w:t>
            </w:r>
          </w:p>
        </w:tc>
      </w:tr>
    </w:tbl>
    <w:p w14:paraId="5430BB67">
      <w:pPr>
        <w:pStyle w:val="117"/>
        <w:ind w:firstLine="0" w:firstLineChars="0"/>
        <w:rPr>
          <w:color w:val="000000" w:themeColor="text1"/>
          <w:kern w:val="2"/>
          <w:sz w:val="21"/>
          <w:highlight w:val="none"/>
          <w14:textFill>
            <w14:solidFill>
              <w14:schemeClr w14:val="tx1"/>
            </w14:solidFill>
          </w14:textFill>
        </w:rPr>
      </w:pPr>
      <w:r>
        <w:rPr>
          <w:color w:val="000000" w:themeColor="text1"/>
          <w:kern w:val="2"/>
          <w:sz w:val="21"/>
          <w:highlight w:val="none"/>
          <w14:textFill>
            <w14:solidFill>
              <w14:schemeClr w14:val="tx1"/>
            </w14:solidFill>
          </w14:textFill>
        </w:rPr>
        <w:br w:type="page"/>
      </w:r>
    </w:p>
    <w:p w14:paraId="141DA095">
      <w:pPr>
        <w:spacing w:line="44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分标</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：氯化锶[89Sr]注射液配送服务采购</w:t>
      </w: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
        <w:gridCol w:w="867"/>
        <w:gridCol w:w="437"/>
        <w:gridCol w:w="7887"/>
      </w:tblGrid>
      <w:tr w14:paraId="09662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49C59640">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项号</w:t>
            </w:r>
          </w:p>
        </w:tc>
        <w:tc>
          <w:tcPr>
            <w:tcW w:w="450" w:type="pct"/>
            <w:tcBorders>
              <w:top w:val="single" w:color="auto" w:sz="4" w:space="0"/>
              <w:left w:val="single" w:color="auto" w:sz="4" w:space="0"/>
              <w:bottom w:val="single" w:color="auto" w:sz="4" w:space="0"/>
              <w:right w:val="single" w:color="auto" w:sz="4" w:space="0"/>
            </w:tcBorders>
            <w:vAlign w:val="center"/>
          </w:tcPr>
          <w:p w14:paraId="3C21E2BA">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标的名称</w:t>
            </w:r>
          </w:p>
        </w:tc>
        <w:tc>
          <w:tcPr>
            <w:tcW w:w="227" w:type="pct"/>
            <w:tcBorders>
              <w:top w:val="single" w:color="auto" w:sz="4" w:space="0"/>
              <w:left w:val="single" w:color="auto" w:sz="4" w:space="0"/>
              <w:bottom w:val="single" w:color="auto" w:sz="4" w:space="0"/>
              <w:right w:val="single" w:color="auto" w:sz="4" w:space="0"/>
            </w:tcBorders>
            <w:vAlign w:val="center"/>
          </w:tcPr>
          <w:p w14:paraId="7B03CC5D">
            <w:pPr>
              <w:widowControl/>
              <w:spacing w:line="360" w:lineRule="auto"/>
              <w:ind w:firstLine="0" w:firstLineChars="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数量及单位</w:t>
            </w:r>
          </w:p>
        </w:tc>
        <w:tc>
          <w:tcPr>
            <w:tcW w:w="4096" w:type="pct"/>
            <w:tcBorders>
              <w:top w:val="single" w:color="auto" w:sz="4" w:space="0"/>
              <w:left w:val="single" w:color="auto" w:sz="4" w:space="0"/>
              <w:bottom w:val="single" w:color="auto" w:sz="4" w:space="0"/>
              <w:right w:val="single" w:color="auto" w:sz="4" w:space="0"/>
            </w:tcBorders>
            <w:vAlign w:val="center"/>
          </w:tcPr>
          <w:p w14:paraId="5BC400F9">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服务需求</w:t>
            </w:r>
          </w:p>
        </w:tc>
      </w:tr>
      <w:tr w14:paraId="51A18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2FEFF198">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450" w:type="pct"/>
            <w:tcBorders>
              <w:top w:val="single" w:color="auto" w:sz="4" w:space="0"/>
              <w:left w:val="single" w:color="auto" w:sz="4" w:space="0"/>
              <w:bottom w:val="single" w:color="auto" w:sz="4" w:space="0"/>
              <w:right w:val="single" w:color="auto" w:sz="4" w:space="0"/>
            </w:tcBorders>
            <w:vAlign w:val="center"/>
          </w:tcPr>
          <w:p w14:paraId="231411BD">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氯化锶[89Sr]注射液配送服务</w:t>
            </w:r>
          </w:p>
        </w:tc>
        <w:tc>
          <w:tcPr>
            <w:tcW w:w="227" w:type="pct"/>
            <w:tcBorders>
              <w:top w:val="single" w:color="auto" w:sz="4" w:space="0"/>
              <w:left w:val="single" w:color="auto" w:sz="4" w:space="0"/>
              <w:bottom w:val="single" w:color="auto" w:sz="4" w:space="0"/>
              <w:right w:val="single" w:color="auto" w:sz="4" w:space="0"/>
            </w:tcBorders>
            <w:vAlign w:val="center"/>
          </w:tcPr>
          <w:p w14:paraId="53F93801">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4096" w:type="pct"/>
            <w:tcBorders>
              <w:top w:val="single" w:color="auto" w:sz="4" w:space="0"/>
              <w:left w:val="single" w:color="auto" w:sz="4" w:space="0"/>
              <w:bottom w:val="single" w:color="auto" w:sz="4" w:space="0"/>
              <w:right w:val="single" w:color="auto" w:sz="4" w:space="0"/>
            </w:tcBorders>
            <w:vAlign w:val="center"/>
          </w:tcPr>
          <w:p w14:paraId="5BB2E136">
            <w:pPr>
              <w:spacing w:line="360" w:lineRule="auto"/>
              <w:ind w:firstLine="42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一、药品质量要求</w:t>
            </w:r>
          </w:p>
          <w:p w14:paraId="7876CE4C">
            <w:pPr>
              <w:pStyle w:val="49"/>
              <w:spacing w:after="0" w:line="360" w:lineRule="auto"/>
              <w:ind w:firstLine="210"/>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表1.药品需求明细表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243"/>
              <w:gridCol w:w="1278"/>
              <w:gridCol w:w="535"/>
              <w:gridCol w:w="1239"/>
              <w:gridCol w:w="1339"/>
              <w:gridCol w:w="1492"/>
            </w:tblGrid>
            <w:tr w14:paraId="0C4D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0" w:type="auto"/>
                  <w:vAlign w:val="center"/>
                </w:tcPr>
                <w:p w14:paraId="00D53937">
                  <w:pPr>
                    <w:pStyle w:val="49"/>
                    <w:spacing w:after="0" w:line="360" w:lineRule="auto"/>
                    <w:ind w:firstLine="0" w:firstLineChars="0"/>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序号</w:t>
                  </w:r>
                </w:p>
              </w:tc>
              <w:tc>
                <w:tcPr>
                  <w:tcW w:w="0" w:type="auto"/>
                  <w:vAlign w:val="center"/>
                </w:tcPr>
                <w:p w14:paraId="0F00B359">
                  <w:pPr>
                    <w:pStyle w:val="49"/>
                    <w:spacing w:after="0" w:line="360" w:lineRule="auto"/>
                    <w:ind w:firstLine="0" w:firstLineChars="0"/>
                    <w:jc w:val="center"/>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药品名称</w:t>
                  </w:r>
                </w:p>
              </w:tc>
              <w:tc>
                <w:tcPr>
                  <w:tcW w:w="0" w:type="auto"/>
                  <w:vAlign w:val="center"/>
                </w:tcPr>
                <w:p w14:paraId="28ED11EF">
                  <w:pPr>
                    <w:pStyle w:val="49"/>
                    <w:spacing w:after="0" w:line="360" w:lineRule="auto"/>
                    <w:ind w:firstLine="0" w:firstLineChars="0"/>
                    <w:jc w:val="center"/>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规格</w:t>
                  </w:r>
                </w:p>
              </w:tc>
              <w:tc>
                <w:tcPr>
                  <w:tcW w:w="0" w:type="auto"/>
                  <w:vAlign w:val="center"/>
                </w:tcPr>
                <w:p w14:paraId="29D5D06F">
                  <w:pPr>
                    <w:pStyle w:val="49"/>
                    <w:spacing w:after="0" w:line="360" w:lineRule="auto"/>
                    <w:ind w:firstLine="0" w:firstLineChars="0"/>
                    <w:jc w:val="center"/>
                    <w:rPr>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lang w:bidi="ar"/>
                      <w14:textFill>
                        <w14:solidFill>
                          <w14:schemeClr w14:val="tx1"/>
                        </w14:solidFill>
                      </w14:textFill>
                    </w:rPr>
                    <w:t>单位</w:t>
                  </w:r>
                </w:p>
              </w:tc>
              <w:tc>
                <w:tcPr>
                  <w:tcW w:w="0" w:type="auto"/>
                  <w:vAlign w:val="center"/>
                </w:tcPr>
                <w:p w14:paraId="0AAA02EA">
                  <w:pPr>
                    <w:pStyle w:val="49"/>
                    <w:spacing w:after="0" w:line="360" w:lineRule="auto"/>
                    <w:ind w:firstLine="0" w:firstLineChars="0"/>
                    <w:jc w:val="center"/>
                    <w:rPr>
                      <w:rFonts w:hAnsi="宋体" w:cs="宋体"/>
                      <w:b/>
                      <w:bCs/>
                      <w:color w:val="000000" w:themeColor="text1"/>
                      <w:sz w:val="21"/>
                      <w:highlight w:val="none"/>
                      <w:lang w:bidi="ar"/>
                      <w14:textFill>
                        <w14:solidFill>
                          <w14:schemeClr w14:val="tx1"/>
                        </w14:solidFill>
                      </w14:textFill>
                    </w:rPr>
                  </w:pPr>
                  <w:r>
                    <w:rPr>
                      <w:rFonts w:hint="eastAsia" w:hAnsi="宋体" w:cs="宋体"/>
                      <w:b/>
                      <w:bCs/>
                      <w:color w:val="000000" w:themeColor="text1"/>
                      <w:sz w:val="21"/>
                      <w:highlight w:val="none"/>
                      <w:lang w:bidi="ar"/>
                      <w14:textFill>
                        <w14:solidFill>
                          <w14:schemeClr w14:val="tx1"/>
                        </w14:solidFill>
                      </w14:textFill>
                    </w:rPr>
                    <w:t>预计采购数量/两年</w:t>
                  </w:r>
                </w:p>
              </w:tc>
              <w:tc>
                <w:tcPr>
                  <w:tcW w:w="1339" w:type="dxa"/>
                  <w:vAlign w:val="center"/>
                </w:tcPr>
                <w:p w14:paraId="373E78E7">
                  <w:pPr>
                    <w:pStyle w:val="49"/>
                    <w:spacing w:after="0" w:line="360" w:lineRule="auto"/>
                    <w:ind w:firstLine="0" w:firstLineChars="0"/>
                    <w:jc w:val="center"/>
                    <w:rPr>
                      <w:rFonts w:hAnsi="宋体" w:cs="宋体"/>
                      <w:b/>
                      <w:bCs/>
                      <w:color w:val="000000" w:themeColor="text1"/>
                      <w:sz w:val="21"/>
                      <w:highlight w:val="none"/>
                      <w:lang w:bidi="ar"/>
                      <w14:textFill>
                        <w14:solidFill>
                          <w14:schemeClr w14:val="tx1"/>
                        </w14:solidFill>
                      </w14:textFill>
                    </w:rPr>
                  </w:pPr>
                  <w:r>
                    <w:rPr>
                      <w:rFonts w:hint="eastAsia" w:hAnsi="宋体" w:cs="宋体"/>
                      <w:b/>
                      <w:bCs/>
                      <w:color w:val="000000" w:themeColor="text1"/>
                      <w:sz w:val="21"/>
                      <w:highlight w:val="none"/>
                      <w:lang w:bidi="ar"/>
                      <w14:textFill>
                        <w14:solidFill>
                          <w14:schemeClr w14:val="tx1"/>
                        </w14:solidFill>
                      </w14:textFill>
                    </w:rPr>
                    <w:t>单</w:t>
                  </w:r>
                  <w:r>
                    <w:rPr>
                      <w:rFonts w:hint="eastAsia" w:hAnsi="宋体" w:cs="宋体"/>
                      <w:b/>
                      <w:bCs/>
                      <w:color w:val="000000" w:themeColor="text1"/>
                      <w:sz w:val="21"/>
                      <w:highlight w:val="none"/>
                      <w:lang w:bidi="ar"/>
                      <w14:textFill>
                        <w14:solidFill>
                          <w14:schemeClr w14:val="tx1"/>
                        </w14:solidFill>
                      </w14:textFill>
                    </w:rPr>
                    <w:t>价</w:t>
                  </w:r>
                  <w:r>
                    <w:rPr>
                      <w:rFonts w:hint="eastAsia" w:hAnsi="宋体" w:cs="宋体"/>
                      <w:b/>
                      <w:bCs/>
                      <w:color w:val="000000" w:themeColor="text1"/>
                      <w:sz w:val="21"/>
                      <w:highlight w:val="none"/>
                      <w:lang w:bidi="ar"/>
                      <w14:textFill>
                        <w14:solidFill>
                          <w14:schemeClr w14:val="tx1"/>
                        </w14:solidFill>
                      </w14:textFill>
                    </w:rPr>
                    <w:t>控制价/元</w:t>
                  </w:r>
                </w:p>
              </w:tc>
              <w:tc>
                <w:tcPr>
                  <w:tcW w:w="1492" w:type="dxa"/>
                  <w:vAlign w:val="center"/>
                </w:tcPr>
                <w:p w14:paraId="72B1065A">
                  <w:pPr>
                    <w:pStyle w:val="49"/>
                    <w:spacing w:after="0" w:line="360" w:lineRule="auto"/>
                    <w:ind w:firstLine="211"/>
                    <w:rPr>
                      <w:b/>
                      <w:bCs/>
                      <w:color w:val="000000" w:themeColor="text1"/>
                      <w:sz w:val="21"/>
                      <w:highlight w:val="none"/>
                      <w14:textFill>
                        <w14:solidFill>
                          <w14:schemeClr w14:val="tx1"/>
                        </w14:solidFill>
                      </w14:textFill>
                    </w:rPr>
                  </w:pPr>
                  <w:r>
                    <w:rPr>
                      <w:rFonts w:hint="eastAsia"/>
                      <w:b/>
                      <w:bCs/>
                      <w:color w:val="000000" w:themeColor="text1"/>
                      <w:sz w:val="21"/>
                      <w:highlight w:val="none"/>
                      <w14:textFill>
                        <w14:solidFill>
                          <w14:schemeClr w14:val="tx1"/>
                        </w14:solidFill>
                      </w14:textFill>
                    </w:rPr>
                    <w:t>质量标准</w:t>
                  </w:r>
                </w:p>
              </w:tc>
            </w:tr>
            <w:tr w14:paraId="3674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0" w:type="auto"/>
                  <w:vAlign w:val="center"/>
                </w:tcPr>
                <w:p w14:paraId="17B3CD22">
                  <w:pPr>
                    <w:pStyle w:val="49"/>
                    <w:spacing w:after="0" w:line="360" w:lineRule="auto"/>
                    <w:ind w:firstLine="0" w:firstLineChars="0"/>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w:t>
                  </w:r>
                </w:p>
              </w:tc>
              <w:tc>
                <w:tcPr>
                  <w:tcW w:w="0" w:type="auto"/>
                  <w:vAlign w:val="center"/>
                </w:tcPr>
                <w:p w14:paraId="67D153BC">
                  <w:pPr>
                    <w:pStyle w:val="49"/>
                    <w:wordWrap w:val="0"/>
                    <w:topLinePunct/>
                    <w:spacing w:after="0" w:line="360" w:lineRule="auto"/>
                    <w:ind w:firstLine="0" w:firstLineChars="0"/>
                    <w:jc w:val="center"/>
                    <w:rPr>
                      <w:color w:val="000000" w:themeColor="text1"/>
                      <w:szCs w:val="20"/>
                      <w:highlight w:val="none"/>
                      <w14:textFill>
                        <w14:solidFill>
                          <w14:schemeClr w14:val="tx1"/>
                        </w14:solidFill>
                      </w14:textFill>
                    </w:rPr>
                  </w:pPr>
                  <w:r>
                    <w:rPr>
                      <w:rFonts w:hint="eastAsia" w:hAnsi="宋体"/>
                      <w:bCs/>
                      <w:color w:val="000000" w:themeColor="text1"/>
                      <w:kern w:val="2"/>
                      <w:szCs w:val="20"/>
                      <w:highlight w:val="none"/>
                      <w14:textFill>
                        <w14:solidFill>
                          <w14:schemeClr w14:val="tx1"/>
                        </w14:solidFill>
                      </w14:textFill>
                    </w:rPr>
                    <w:t>氯化锶[89Sr]注射液</w:t>
                  </w:r>
                </w:p>
              </w:tc>
              <w:tc>
                <w:tcPr>
                  <w:tcW w:w="0" w:type="auto"/>
                  <w:vAlign w:val="center"/>
                </w:tcPr>
                <w:p w14:paraId="648650F3">
                  <w:pPr>
                    <w:pStyle w:val="49"/>
                    <w:spacing w:after="0" w:line="360" w:lineRule="auto"/>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148MBq或150MBq</w:t>
                  </w:r>
                </w:p>
              </w:tc>
              <w:tc>
                <w:tcPr>
                  <w:tcW w:w="0" w:type="auto"/>
                  <w:vAlign w:val="center"/>
                </w:tcPr>
                <w:p w14:paraId="0FDC6B92">
                  <w:pPr>
                    <w:pStyle w:val="49"/>
                    <w:spacing w:after="0" w:line="360" w:lineRule="auto"/>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支</w:t>
                  </w:r>
                </w:p>
              </w:tc>
              <w:tc>
                <w:tcPr>
                  <w:tcW w:w="0" w:type="auto"/>
                  <w:vAlign w:val="center"/>
                </w:tcPr>
                <w:p w14:paraId="16178C18">
                  <w:pPr>
                    <w:pStyle w:val="49"/>
                    <w:spacing w:after="0" w:line="360" w:lineRule="auto"/>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10</w:t>
                  </w:r>
                </w:p>
              </w:tc>
              <w:tc>
                <w:tcPr>
                  <w:tcW w:w="1339" w:type="dxa"/>
                  <w:vAlign w:val="center"/>
                </w:tcPr>
                <w:p w14:paraId="20663635">
                  <w:pPr>
                    <w:pStyle w:val="49"/>
                    <w:spacing w:after="0" w:line="360" w:lineRule="auto"/>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12800</w:t>
                  </w:r>
                </w:p>
              </w:tc>
              <w:tc>
                <w:tcPr>
                  <w:tcW w:w="1492" w:type="dxa"/>
                  <w:vAlign w:val="center"/>
                </w:tcPr>
                <w:p w14:paraId="0C3A5FA8">
                  <w:pPr>
                    <w:pStyle w:val="49"/>
                    <w:spacing w:after="0" w:line="360" w:lineRule="auto"/>
                    <w:ind w:firstLine="0" w:firstLineChars="0"/>
                    <w:jc w:val="center"/>
                    <w:rPr>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2020年版《中华人民共和国药典》</w:t>
                  </w:r>
                </w:p>
              </w:tc>
            </w:tr>
          </w:tbl>
          <w:p w14:paraId="54A48F85">
            <w:pPr>
              <w:autoSpaceDE w:val="0"/>
              <w:autoSpaceDN w:val="0"/>
              <w:adjustRightInd w:val="0"/>
              <w:spacing w:line="360" w:lineRule="auto"/>
              <w:ind w:right="-23"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1.所配送的药品必须为正规厂家生产的全新、合格、无侵权货品，符合国家有关安全、环保、包装标准。其剩余有效期不得少于标注有效期的80%。</w:t>
            </w:r>
          </w:p>
          <w:p w14:paraId="4822C2CC">
            <w:pPr>
              <w:autoSpaceDE w:val="0"/>
              <w:autoSpaceDN w:val="0"/>
              <w:adjustRightInd w:val="0"/>
              <w:spacing w:line="360" w:lineRule="auto"/>
              <w:ind w:right="-23" w:firstLine="420"/>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2.供应商按合同交付的</w:t>
            </w:r>
            <w:r>
              <w:rPr>
                <w:rFonts w:hint="eastAsia" w:hAnsi="宋体" w:cs="宋体"/>
                <w:color w:val="000000" w:themeColor="text1"/>
                <w:szCs w:val="21"/>
                <w:highlight w:val="none"/>
                <w14:textFill>
                  <w14:solidFill>
                    <w14:schemeClr w14:val="tx1"/>
                  </w14:solidFill>
                </w14:textFill>
              </w:rPr>
              <w:t>药品质量标准必须符合</w:t>
            </w:r>
            <w:r>
              <w:rPr>
                <w:rFonts w:hint="eastAsia" w:ascii="宋体" w:hAnsi="宋体"/>
                <w:bCs/>
                <w:color w:val="000000" w:themeColor="text1"/>
                <w:szCs w:val="21"/>
                <w:highlight w:val="none"/>
                <w14:textFill>
                  <w14:solidFill>
                    <w14:schemeClr w14:val="tx1"/>
                  </w14:solidFill>
                </w14:textFill>
              </w:rPr>
              <w:t>2020年版《中华人民共和国药典》及其他国家标准或行业标准，否则视为不合格产品，采购人有权退货、并拒付货款；如发生上述情况</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采购人不承担</w:t>
            </w:r>
            <w:r>
              <w:rPr>
                <w:rFonts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由此产生的任何费用。因药品质量不符合有关规定而造成相关后果的，按相关法律规定处理，如由此引发的纠纷,供应商有责任负责交涉处理，采购人有权要求供应商承担由此造成的损失。</w:t>
            </w:r>
          </w:p>
          <w:p w14:paraId="7897F202">
            <w:pPr>
              <w:spacing w:line="360" w:lineRule="auto"/>
              <w:ind w:firstLine="422"/>
              <w:rPr>
                <w:b/>
                <w:bCs/>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二、服</w:t>
            </w:r>
            <w:r>
              <w:rPr>
                <w:rFonts w:ascii="宋体" w:hAnsi="宋体"/>
                <w:b/>
                <w:bCs/>
                <w:color w:val="000000" w:themeColor="text1"/>
                <w:szCs w:val="21"/>
                <w:highlight w:val="none"/>
                <w14:textFill>
                  <w14:solidFill>
                    <w14:schemeClr w14:val="tx1"/>
                  </w14:solidFill>
                </w14:textFill>
              </w:rPr>
              <w:t>务要求</w:t>
            </w:r>
          </w:p>
          <w:p w14:paraId="782C3820">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1.供货方式：</w:t>
            </w:r>
            <w:r>
              <w:rPr>
                <w:rFonts w:hint="eastAsia" w:ascii="宋体" w:hAnsi="宋体"/>
                <w:color w:val="000000" w:themeColor="text1"/>
                <w:szCs w:val="21"/>
                <w:highlight w:val="none"/>
                <w14:textFill>
                  <w14:solidFill>
                    <w14:schemeClr w14:val="tx1"/>
                  </w14:solidFill>
                </w14:textFill>
              </w:rPr>
              <w:t>根据采购</w:t>
            </w:r>
            <w:r>
              <w:rPr>
                <w:rFonts w:hint="eastAsia" w:hAnsi="宋体"/>
                <w:color w:val="000000" w:themeColor="text1"/>
                <w:szCs w:val="21"/>
                <w:highlight w:val="none"/>
                <w14:textFill>
                  <w14:solidFill>
                    <w14:schemeClr w14:val="tx1"/>
                  </w14:solidFill>
                </w14:textFill>
              </w:rPr>
              <w:t>人</w:t>
            </w:r>
            <w:r>
              <w:rPr>
                <w:rFonts w:ascii="宋体" w:hAnsi="宋体"/>
                <w:color w:val="000000" w:themeColor="text1"/>
                <w:szCs w:val="21"/>
                <w:highlight w:val="none"/>
                <w14:textFill>
                  <w14:solidFill>
                    <w14:schemeClr w14:val="tx1"/>
                  </w14:solidFill>
                </w14:textFill>
              </w:rPr>
              <w:t>需求</w:t>
            </w:r>
            <w:r>
              <w:rPr>
                <w:rFonts w:hint="eastAsia" w:ascii="宋体" w:hAnsi="宋体"/>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分</w:t>
            </w:r>
            <w:r>
              <w:rPr>
                <w:rFonts w:ascii="宋体" w:hAnsi="宋体" w:cs="仿宋"/>
                <w:color w:val="000000" w:themeColor="text1"/>
                <w:szCs w:val="21"/>
                <w:highlight w:val="none"/>
                <w14:textFill>
                  <w14:solidFill>
                    <w14:schemeClr w14:val="tx1"/>
                  </w14:solidFill>
                </w14:textFill>
              </w:rPr>
              <w:t>批次供货</w:t>
            </w:r>
            <w:r>
              <w:rPr>
                <w:rFonts w:hint="eastAsia" w:hAnsi="宋体" w:cs="仿宋"/>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采购人按需提前</w:t>
            </w:r>
            <w:r>
              <w:rPr>
                <w:rFonts w:ascii="宋体" w:hAnsi="宋体"/>
                <w:bCs/>
                <w:color w:val="000000" w:themeColor="text1"/>
                <w:szCs w:val="21"/>
                <w:highlight w:val="none"/>
                <w14:textFill>
                  <w14:solidFill>
                    <w14:schemeClr w14:val="tx1"/>
                  </w14:solidFill>
                </w14:textFill>
              </w:rPr>
              <w:t>作出采购</w:t>
            </w:r>
            <w:r>
              <w:rPr>
                <w:rFonts w:hint="eastAsia" w:ascii="宋体" w:hAnsi="宋体"/>
                <w:bCs/>
                <w:color w:val="000000" w:themeColor="text1"/>
                <w:szCs w:val="21"/>
                <w:highlight w:val="none"/>
                <w14:textFill>
                  <w14:solidFill>
                    <w14:schemeClr w14:val="tx1"/>
                  </w14:solidFill>
                </w14:textFill>
              </w:rPr>
              <w:t>计划，供应商须</w:t>
            </w:r>
            <w:r>
              <w:rPr>
                <w:rFonts w:ascii="宋体" w:hAnsi="宋体"/>
                <w:bCs/>
                <w:color w:val="000000" w:themeColor="text1"/>
                <w:szCs w:val="21"/>
                <w:highlight w:val="none"/>
                <w14:textFill>
                  <w14:solidFill>
                    <w14:schemeClr w14:val="tx1"/>
                  </w14:solidFill>
                </w14:textFill>
              </w:rPr>
              <w:t>保证</w:t>
            </w:r>
            <w:r>
              <w:rPr>
                <w:rFonts w:hint="eastAsia" w:ascii="宋体" w:hAnsi="宋体"/>
                <w:bCs/>
                <w:color w:val="000000" w:themeColor="text1"/>
                <w:szCs w:val="21"/>
                <w:highlight w:val="none"/>
                <w14:textFill>
                  <w14:solidFill>
                    <w14:schemeClr w14:val="tx1"/>
                  </w14:solidFill>
                </w14:textFill>
              </w:rPr>
              <w:t>在接到</w:t>
            </w:r>
            <w:r>
              <w:rPr>
                <w:rFonts w:ascii="宋体" w:hAnsi="宋体"/>
                <w:bCs/>
                <w:color w:val="000000" w:themeColor="text1"/>
                <w:szCs w:val="21"/>
                <w:highlight w:val="none"/>
                <w14:textFill>
                  <w14:solidFill>
                    <w14:schemeClr w14:val="tx1"/>
                  </w14:solidFill>
                </w14:textFill>
              </w:rPr>
              <w:t>采购计划</w:t>
            </w:r>
            <w:r>
              <w:rPr>
                <w:rFonts w:hint="eastAsia" w:ascii="宋体" w:hAnsi="宋体"/>
                <w:bCs/>
                <w:color w:val="000000" w:themeColor="text1"/>
                <w:szCs w:val="21"/>
                <w:highlight w:val="none"/>
                <w14:textFill>
                  <w14:solidFill>
                    <w14:schemeClr w14:val="tx1"/>
                  </w14:solidFill>
                </w14:textFill>
              </w:rPr>
              <w:t>后2日</w:t>
            </w:r>
            <w:r>
              <w:rPr>
                <w:rFonts w:ascii="宋体" w:hAnsi="宋体"/>
                <w:bCs/>
                <w:color w:val="000000" w:themeColor="text1"/>
                <w:szCs w:val="21"/>
                <w:highlight w:val="none"/>
                <w14:textFill>
                  <w14:solidFill>
                    <w14:schemeClr w14:val="tx1"/>
                  </w14:solidFill>
                </w14:textFill>
              </w:rPr>
              <w:t>内将货物送</w:t>
            </w:r>
            <w:r>
              <w:rPr>
                <w:rFonts w:hint="eastAsia" w:ascii="宋体" w:hAnsi="宋体"/>
                <w:bCs/>
                <w:color w:val="000000" w:themeColor="text1"/>
                <w:szCs w:val="21"/>
                <w:highlight w:val="none"/>
                <w14:textFill>
                  <w14:solidFill>
                    <w14:schemeClr w14:val="tx1"/>
                  </w14:solidFill>
                </w14:textFill>
              </w:rPr>
              <w:t>达采购人</w:t>
            </w:r>
            <w:r>
              <w:rPr>
                <w:rFonts w:ascii="宋体" w:hAnsi="宋体"/>
                <w:bCs/>
                <w:color w:val="000000" w:themeColor="text1"/>
                <w:szCs w:val="21"/>
                <w:highlight w:val="none"/>
                <w14:textFill>
                  <w14:solidFill>
                    <w14:schemeClr w14:val="tx1"/>
                  </w14:solidFill>
                </w14:textFill>
              </w:rPr>
              <w:t>指定地点</w:t>
            </w:r>
            <w:r>
              <w:rPr>
                <w:rFonts w:hint="eastAsia" w:ascii="宋体" w:hAnsi="宋体"/>
                <w:bCs/>
                <w:color w:val="000000" w:themeColor="text1"/>
                <w:szCs w:val="21"/>
                <w:highlight w:val="none"/>
                <w14:textFill>
                  <w14:solidFill>
                    <w14:schemeClr w14:val="tx1"/>
                  </w14:solidFill>
                </w14:textFill>
              </w:rPr>
              <w:t>（如：莲花山院区门诊负一楼核医学科）。</w:t>
            </w:r>
          </w:p>
          <w:p w14:paraId="53721823">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供应商除不可抗力因素外，不得随意推迟供货，若因不可抗力因素无法按时供货的，供应商应与采购人及时沟通并采取相应措施（如供应商紧急调拨药品），以便将影响降到最低</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w:t>
            </w:r>
            <w:r>
              <w:rPr>
                <w:rFonts w:ascii="宋体" w:hAnsi="宋体"/>
                <w:bCs/>
                <w:color w:val="000000" w:themeColor="text1"/>
                <w:szCs w:val="21"/>
                <w:highlight w:val="none"/>
                <w14:textFill>
                  <w14:solidFill>
                    <w14:schemeClr w14:val="tx1"/>
                  </w14:solidFill>
                </w14:textFill>
              </w:rPr>
              <w:t>除不</w:t>
            </w:r>
            <w:r>
              <w:rPr>
                <w:rFonts w:hint="eastAsia" w:ascii="宋体" w:hAnsi="宋体"/>
                <w:bCs/>
                <w:color w:val="000000" w:themeColor="text1"/>
                <w:szCs w:val="21"/>
                <w:highlight w:val="none"/>
                <w14:textFill>
                  <w14:solidFill>
                    <w14:schemeClr w14:val="tx1"/>
                  </w14:solidFill>
                </w14:textFill>
              </w:rPr>
              <w:t>可抗力因素无法按时交货外，不得因</w:t>
            </w:r>
            <w:r>
              <w:rPr>
                <w:rFonts w:ascii="宋体" w:hAnsi="宋体"/>
                <w:bCs/>
                <w:color w:val="000000" w:themeColor="text1"/>
                <w:szCs w:val="21"/>
                <w:highlight w:val="none"/>
                <w14:textFill>
                  <w14:solidFill>
                    <w14:schemeClr w14:val="tx1"/>
                  </w14:solidFill>
                </w14:textFill>
              </w:rPr>
              <w:t>价格变动、货款未收到等原因</w:t>
            </w:r>
            <w:r>
              <w:rPr>
                <w:rFonts w:hint="eastAsia" w:ascii="宋体" w:hAnsi="宋体"/>
                <w:bCs/>
                <w:color w:val="000000" w:themeColor="text1"/>
                <w:szCs w:val="21"/>
                <w:highlight w:val="none"/>
                <w14:textFill>
                  <w14:solidFill>
                    <w14:schemeClr w14:val="tx1"/>
                  </w14:solidFill>
                </w14:textFill>
              </w:rPr>
              <w:t>延迟或</w:t>
            </w:r>
            <w:r>
              <w:rPr>
                <w:rFonts w:ascii="宋体" w:hAnsi="宋体"/>
                <w:bCs/>
                <w:color w:val="000000" w:themeColor="text1"/>
                <w:szCs w:val="21"/>
                <w:highlight w:val="none"/>
                <w14:textFill>
                  <w14:solidFill>
                    <w14:schemeClr w14:val="tx1"/>
                  </w14:solidFill>
                </w14:textFill>
              </w:rPr>
              <w:t>中</w:t>
            </w:r>
            <w:r>
              <w:rPr>
                <w:rFonts w:hint="eastAsia" w:ascii="宋体" w:hAnsi="宋体"/>
                <w:bCs/>
                <w:color w:val="000000" w:themeColor="text1"/>
                <w:szCs w:val="21"/>
                <w:highlight w:val="none"/>
                <w14:textFill>
                  <w14:solidFill>
                    <w14:schemeClr w14:val="tx1"/>
                  </w14:solidFill>
                </w14:textFill>
              </w:rPr>
              <w:t>断供货。如</w:t>
            </w:r>
            <w:r>
              <w:rPr>
                <w:rFonts w:ascii="宋体" w:hAnsi="宋体"/>
                <w:bCs/>
                <w:color w:val="000000" w:themeColor="text1"/>
                <w:szCs w:val="21"/>
                <w:highlight w:val="none"/>
                <w14:textFill>
                  <w14:solidFill>
                    <w14:schemeClr w14:val="tx1"/>
                  </w14:solidFill>
                </w14:textFill>
              </w:rPr>
              <w:t>中</w:t>
            </w:r>
            <w:r>
              <w:rPr>
                <w:rFonts w:hint="eastAsia" w:ascii="宋体" w:hAnsi="宋体"/>
                <w:bCs/>
                <w:color w:val="000000" w:themeColor="text1"/>
                <w:szCs w:val="21"/>
                <w:highlight w:val="none"/>
                <w14:textFill>
                  <w14:solidFill>
                    <w14:schemeClr w14:val="tx1"/>
                  </w14:solidFill>
                </w14:textFill>
              </w:rPr>
              <w:t>断供</w:t>
            </w:r>
            <w:r>
              <w:rPr>
                <w:rFonts w:ascii="宋体" w:hAnsi="宋体"/>
                <w:bCs/>
                <w:color w:val="000000" w:themeColor="text1"/>
                <w:szCs w:val="21"/>
                <w:highlight w:val="none"/>
                <w14:textFill>
                  <w14:solidFill>
                    <w14:schemeClr w14:val="tx1"/>
                  </w14:solidFill>
                </w14:textFill>
              </w:rPr>
              <w:t>货，</w:t>
            </w:r>
            <w:r>
              <w:rPr>
                <w:rFonts w:hint="eastAsia" w:ascii="宋体" w:hAnsi="宋体"/>
                <w:bCs/>
                <w:color w:val="000000" w:themeColor="text1"/>
                <w:szCs w:val="21"/>
                <w:highlight w:val="none"/>
                <w14:textFill>
                  <w14:solidFill>
                    <w14:schemeClr w14:val="tx1"/>
                  </w14:solidFill>
                </w14:textFill>
              </w:rPr>
              <w:t>影响临床用药的，</w:t>
            </w:r>
            <w:r>
              <w:rPr>
                <w:rFonts w:hint="eastAsia" w:ascii="宋体" w:hAnsi="宋体"/>
                <w:color w:val="000000" w:themeColor="text1"/>
                <w:szCs w:val="21"/>
                <w:highlight w:val="none"/>
                <w14:textFill>
                  <w14:solidFill>
                    <w14:schemeClr w14:val="tx1"/>
                  </w14:solidFill>
                </w14:textFill>
              </w:rPr>
              <w:t>采购人按“</w:t>
            </w:r>
            <w:r>
              <w:rPr>
                <w:rFonts w:hint="eastAsia" w:ascii="宋体" w:hAnsi="宋体"/>
                <w:bCs/>
                <w:color w:val="000000" w:themeColor="text1"/>
                <w:szCs w:val="21"/>
                <w:highlight w:val="none"/>
                <w14:textFill>
                  <w14:solidFill>
                    <w14:schemeClr w14:val="tx1"/>
                  </w14:solidFill>
                </w14:textFill>
              </w:rPr>
              <w:t>违约和相关处罚</w:t>
            </w:r>
            <w:r>
              <w:rPr>
                <w:rFonts w:hint="eastAsia" w:ascii="宋体" w:hAnsi="宋体"/>
                <w:color w:val="000000" w:themeColor="text1"/>
                <w:szCs w:val="21"/>
                <w:highlight w:val="none"/>
                <w14:textFill>
                  <w14:solidFill>
                    <w14:schemeClr w14:val="tx1"/>
                  </w14:solidFill>
                </w14:textFill>
              </w:rPr>
              <w:t>”的第2条处罚。</w:t>
            </w:r>
            <w:r>
              <w:rPr>
                <w:rFonts w:hint="eastAsia" w:ascii="宋体" w:hAnsi="宋体"/>
                <w:bCs/>
                <w:color w:val="000000" w:themeColor="text1"/>
                <w:szCs w:val="21"/>
                <w:highlight w:val="none"/>
                <w14:textFill>
                  <w14:solidFill>
                    <w14:schemeClr w14:val="tx1"/>
                  </w14:solidFill>
                </w14:textFill>
              </w:rPr>
              <w:t>如经证明确实因不可抗力无法按时交货，采购人仍然需要供应商供货的，供应商可以延迟交货，不按违约处理。</w:t>
            </w:r>
          </w:p>
          <w:p w14:paraId="5B14E1F0">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成交</w:t>
            </w:r>
            <w:r>
              <w:rPr>
                <w:rFonts w:hint="eastAsia"/>
                <w:color w:val="000000" w:themeColor="text1"/>
                <w:highlight w:val="none"/>
                <w14:textFill>
                  <w14:solidFill>
                    <w14:schemeClr w14:val="tx1"/>
                  </w14:solidFill>
                </w14:textFill>
              </w:rPr>
              <w:t>并签</w:t>
            </w:r>
            <w:r>
              <w:rPr>
                <w:rFonts w:hint="eastAsia" w:ascii="宋体" w:hAnsi="宋体"/>
                <w:bCs/>
                <w:color w:val="000000" w:themeColor="text1"/>
                <w:szCs w:val="21"/>
                <w:highlight w:val="none"/>
                <w14:textFill>
                  <w14:solidFill>
                    <w14:schemeClr w14:val="tx1"/>
                  </w14:solidFill>
                </w14:textFill>
              </w:rPr>
              <w:t>订</w:t>
            </w:r>
            <w:r>
              <w:rPr>
                <w:rFonts w:hint="eastAsia"/>
                <w:color w:val="000000" w:themeColor="text1"/>
                <w:highlight w:val="none"/>
                <w14:textFill>
                  <w14:solidFill>
                    <w14:schemeClr w14:val="tx1"/>
                  </w14:solidFill>
                </w14:textFill>
              </w:rPr>
              <w:t>合同</w:t>
            </w:r>
            <w:r>
              <w:rPr>
                <w:rFonts w:hint="eastAsia" w:ascii="宋体" w:hAnsi="宋体"/>
                <w:bCs/>
                <w:color w:val="000000" w:themeColor="text1"/>
                <w:szCs w:val="21"/>
                <w:highlight w:val="none"/>
                <w14:textFill>
                  <w14:solidFill>
                    <w14:schemeClr w14:val="tx1"/>
                  </w14:solidFill>
                </w14:textFill>
              </w:rPr>
              <w:t>后</w:t>
            </w:r>
            <w:r>
              <w:rPr>
                <w:rFonts w:hint="eastAsia" w:ascii="宋体" w:hAnsi="宋体"/>
                <w:bCs/>
                <w:color w:val="000000" w:themeColor="text1"/>
                <w:szCs w:val="21"/>
                <w:highlight w:val="none"/>
                <w14:textFill>
                  <w14:solidFill>
                    <w14:schemeClr w14:val="tx1"/>
                  </w14:solidFill>
                </w14:textFill>
              </w:rPr>
              <w:t>须</w:t>
            </w:r>
            <w:r>
              <w:rPr>
                <w:rFonts w:hint="eastAsia" w:ascii="宋体" w:hAnsi="宋体"/>
                <w:bCs/>
                <w:color w:val="000000" w:themeColor="text1"/>
                <w:szCs w:val="21"/>
                <w:highlight w:val="none"/>
                <w14:textFill>
                  <w14:solidFill>
                    <w14:schemeClr w14:val="tx1"/>
                  </w14:solidFill>
                </w14:textFill>
              </w:rPr>
              <w:t>与采购人签订“质量保证协议书”，并严格遵照履行。</w:t>
            </w:r>
          </w:p>
          <w:p w14:paraId="4B2C8B41">
            <w:pPr>
              <w:pStyle w:val="117"/>
              <w:snapToGrid w:val="0"/>
              <w:spacing w:line="360" w:lineRule="auto"/>
              <w:ind w:firstLine="42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4.供应商</w:t>
            </w:r>
            <w:r>
              <w:rPr>
                <w:rFonts w:hint="eastAsia" w:ascii="宋体" w:hAnsi="宋体"/>
                <w:bCs/>
                <w:color w:val="000000" w:themeColor="text1"/>
                <w:sz w:val="21"/>
                <w:szCs w:val="21"/>
                <w:highlight w:val="none"/>
                <w14:textFill>
                  <w14:solidFill>
                    <w14:schemeClr w14:val="tx1"/>
                  </w14:solidFill>
                </w14:textFill>
              </w:rPr>
              <w:t>成交</w:t>
            </w:r>
            <w:r>
              <w:rPr>
                <w:rFonts w:hint="eastAsia" w:hAnsi="宋体"/>
                <w:color w:val="000000" w:themeColor="text1"/>
                <w:sz w:val="21"/>
                <w:szCs w:val="21"/>
                <w:highlight w:val="none"/>
                <w14:textFill>
                  <w14:solidFill>
                    <w14:schemeClr w14:val="tx1"/>
                  </w14:solidFill>
                </w14:textFill>
              </w:rPr>
              <w:t>并签订合同</w:t>
            </w:r>
            <w:r>
              <w:rPr>
                <w:rFonts w:hint="eastAsia" w:hAnsi="宋体"/>
                <w:color w:val="000000" w:themeColor="text1"/>
                <w:sz w:val="21"/>
                <w:szCs w:val="21"/>
                <w:highlight w:val="none"/>
                <w14:textFill>
                  <w14:solidFill>
                    <w14:schemeClr w14:val="tx1"/>
                  </w14:solidFill>
                </w14:textFill>
              </w:rPr>
              <w:t>后须向采购人提供供应商的《营业执照》、《放射性药品经营许可证》、《辐射安全许可证》；提供生产企业的《营业执照》、《放射性药品生产许可证》、《辐射安全许可证》、《药品注册证》或《药品再注册批件》；提供供应商或委托单位的</w:t>
            </w:r>
            <w:r>
              <w:rPr>
                <w:rFonts w:hint="eastAsia" w:ascii="宋体" w:hAnsi="宋体"/>
                <w:bCs/>
                <w:color w:val="000000" w:themeColor="text1"/>
                <w:sz w:val="21"/>
                <w:szCs w:val="21"/>
                <w:highlight w:val="none"/>
                <w14:textFill>
                  <w14:solidFill>
                    <w14:schemeClr w14:val="tx1"/>
                  </w14:solidFill>
                </w14:textFill>
              </w:rPr>
              <w:t>《道路运输经营许可证》（经营范围须包含放射性物品或危险货物运输（7类））、</w:t>
            </w:r>
            <w:r>
              <w:rPr>
                <w:rFonts w:hint="eastAsia" w:hAnsi="宋体"/>
                <w:bCs/>
                <w:color w:val="000000" w:themeColor="text1"/>
                <w:sz w:val="21"/>
                <w:szCs w:val="21"/>
                <w:highlight w:val="none"/>
                <w14:textFill>
                  <w14:solidFill>
                    <w14:schemeClr w14:val="tx1"/>
                  </w14:solidFill>
                </w14:textFill>
              </w:rPr>
              <w:t>运输车辆的</w:t>
            </w:r>
            <w:r>
              <w:rPr>
                <w:rFonts w:hint="eastAsia" w:ascii="宋体" w:hAnsi="宋体"/>
                <w:bCs/>
                <w:color w:val="000000" w:themeColor="text1"/>
                <w:sz w:val="21"/>
                <w:szCs w:val="21"/>
                <w:highlight w:val="none"/>
                <w14:textFill>
                  <w14:solidFill>
                    <w14:schemeClr w14:val="tx1"/>
                  </w14:solidFill>
                </w14:textFill>
              </w:rPr>
              <w:t>《道路运输证》</w:t>
            </w:r>
            <w:r>
              <w:rPr>
                <w:rFonts w:hint="eastAsia" w:hAnsi="宋体"/>
                <w:bCs/>
                <w:color w:val="000000" w:themeColor="text1"/>
                <w:sz w:val="21"/>
                <w:szCs w:val="21"/>
                <w:highlight w:val="none"/>
                <w14:textFill>
                  <w14:solidFill>
                    <w14:schemeClr w14:val="tx1"/>
                  </w14:solidFill>
                </w14:textFill>
              </w:rPr>
              <w:t>、送货人员的《道路运输从业人员从业资格证》及《核技术利用辐射安全与防护培训合格证》，若为委托运输的，应提供合法有效的委托运输协议</w:t>
            </w:r>
            <w:r>
              <w:rPr>
                <w:rFonts w:hint="eastAsia" w:hAnsi="宋体"/>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在合同期内，当上述材料</w:t>
            </w:r>
            <w:r>
              <w:rPr>
                <w:rFonts w:ascii="Segoe UI" w:hAnsi="Segoe UI" w:cs="Segoe UI"/>
                <w:color w:val="000000" w:themeColor="text1"/>
                <w:sz w:val="21"/>
                <w:szCs w:val="21"/>
                <w:highlight w:val="none"/>
                <w:shd w:val="clear" w:color="auto" w:fill="FFFFFF"/>
                <w14:textFill>
                  <w14:solidFill>
                    <w14:schemeClr w14:val="tx1"/>
                  </w14:solidFill>
                </w14:textFill>
              </w:rPr>
              <w:t>临近有效期截止日期前，供应商</w:t>
            </w:r>
            <w:r>
              <w:rPr>
                <w:rFonts w:hint="eastAsia" w:ascii="Segoe UI" w:hAnsi="Segoe UI" w:cs="Segoe UI"/>
                <w:color w:val="000000" w:themeColor="text1"/>
                <w:sz w:val="21"/>
                <w:szCs w:val="21"/>
                <w:highlight w:val="none"/>
                <w:shd w:val="clear" w:color="auto" w:fill="FFFFFF"/>
                <w14:textFill>
                  <w14:solidFill>
                    <w14:schemeClr w14:val="tx1"/>
                  </w14:solidFill>
                </w14:textFill>
              </w:rPr>
              <w:t>须</w:t>
            </w:r>
            <w:r>
              <w:rPr>
                <w:rFonts w:ascii="Segoe UI" w:hAnsi="Segoe UI" w:cs="Segoe UI"/>
                <w:color w:val="000000" w:themeColor="text1"/>
                <w:sz w:val="21"/>
                <w:szCs w:val="21"/>
                <w:highlight w:val="none"/>
                <w:shd w:val="clear" w:color="auto" w:fill="FFFFFF"/>
                <w14:textFill>
                  <w14:solidFill>
                    <w14:schemeClr w14:val="tx1"/>
                  </w14:solidFill>
                </w14:textFill>
              </w:rPr>
              <w:t>主动提</w:t>
            </w:r>
            <w:r>
              <w:rPr>
                <w:rFonts w:hint="eastAsia" w:ascii="Segoe UI" w:hAnsi="Segoe UI" w:cs="Segoe UI"/>
                <w:color w:val="000000" w:themeColor="text1"/>
                <w:sz w:val="21"/>
                <w:szCs w:val="21"/>
                <w:highlight w:val="none"/>
                <w:shd w:val="clear" w:color="auto" w:fill="FFFFFF"/>
                <w14:textFill>
                  <w14:solidFill>
                    <w14:schemeClr w14:val="tx1"/>
                  </w14:solidFill>
                </w14:textFill>
              </w:rPr>
              <w:t>供</w:t>
            </w:r>
            <w:r>
              <w:rPr>
                <w:rFonts w:ascii="Segoe UI" w:hAnsi="Segoe UI" w:cs="Segoe UI"/>
                <w:color w:val="000000" w:themeColor="text1"/>
                <w:sz w:val="21"/>
                <w:szCs w:val="21"/>
                <w:highlight w:val="none"/>
                <w:shd w:val="clear" w:color="auto" w:fill="FFFFFF"/>
                <w14:textFill>
                  <w14:solidFill>
                    <w14:schemeClr w14:val="tx1"/>
                  </w14:solidFill>
                </w14:textFill>
              </w:rPr>
              <w:t>更新后的材料。</w:t>
            </w:r>
            <w:r>
              <w:rPr>
                <w:rFonts w:hint="eastAsia" w:hAnsi="宋体" w:cs="宋体"/>
                <w:color w:val="000000" w:themeColor="text1"/>
                <w:sz w:val="21"/>
                <w:szCs w:val="21"/>
                <w:highlight w:val="none"/>
                <w14:textFill>
                  <w14:solidFill>
                    <w14:schemeClr w14:val="tx1"/>
                  </w14:solidFill>
                </w14:textFill>
              </w:rPr>
              <w:t>若拒绝提供或所提供资质证件不合格，报经财政部门同意后，采购人有权单方解除合同。</w:t>
            </w:r>
          </w:p>
          <w:p w14:paraId="06E71901">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5.如供应商发现所配送的药品存在质量问题或其他安全隐患的，应当立即停止销售，告知采购人停止销售和使用，并对其产品进行召回。</w:t>
            </w:r>
          </w:p>
          <w:p w14:paraId="6AB6ED6A">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6.合同期内遇到药监部门抽查采购人的药品，其抽查数量由供应商补齐，对存在问题的药品所发生的查封、没收、罚款等，均由供应商承担责任。</w:t>
            </w:r>
          </w:p>
          <w:p w14:paraId="06BEE23D">
            <w:pPr>
              <w:autoSpaceDE w:val="0"/>
              <w:autoSpaceDN w:val="0"/>
              <w:adjustRightInd w:val="0"/>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7.供应商有义务在采购人指定的地点对放射性药品的临床应用进行现场讲解或培训。</w:t>
            </w:r>
          </w:p>
          <w:p w14:paraId="63F9F2C2">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8.供应商的送货</w:t>
            </w:r>
            <w:r>
              <w:rPr>
                <w:rFonts w:ascii="宋体" w:hAnsi="宋体"/>
                <w:bCs/>
                <w:color w:val="000000" w:themeColor="text1"/>
                <w:szCs w:val="21"/>
                <w:highlight w:val="none"/>
                <w14:textFill>
                  <w14:solidFill>
                    <w14:schemeClr w14:val="tx1"/>
                  </w14:solidFill>
                </w14:textFill>
              </w:rPr>
              <w:t>专员</w:t>
            </w:r>
            <w:r>
              <w:rPr>
                <w:rFonts w:hint="eastAsia" w:ascii="宋体" w:hAnsi="宋体"/>
                <w:bCs/>
                <w:color w:val="000000" w:themeColor="text1"/>
                <w:szCs w:val="21"/>
                <w:highlight w:val="none"/>
                <w14:textFill>
                  <w14:solidFill>
                    <w14:schemeClr w14:val="tx1"/>
                  </w14:solidFill>
                </w14:textFill>
              </w:rPr>
              <w:t>在院内活动必须严格遵守采购人各项规章制度，不得做出有损采购人形象和利益的事情。</w:t>
            </w:r>
          </w:p>
          <w:p w14:paraId="06E2E9F3">
            <w:pPr>
              <w:spacing w:line="360" w:lineRule="auto"/>
              <w:ind w:firstLine="42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售后服务：</w:t>
            </w:r>
            <w:r>
              <w:rPr>
                <w:rFonts w:ascii="宋体" w:hAnsi="宋体"/>
                <w:bCs/>
                <w:color w:val="000000" w:themeColor="text1"/>
                <w:szCs w:val="21"/>
                <w:highlight w:val="none"/>
                <w14:textFill>
                  <w14:solidFill>
                    <w14:schemeClr w14:val="tx1"/>
                  </w14:solidFill>
                </w14:textFill>
              </w:rPr>
              <w:t>提供</w:t>
            </w:r>
            <w:r>
              <w:rPr>
                <w:rFonts w:hint="eastAsia" w:ascii="宋体" w:hAnsi="宋体"/>
                <w:bCs/>
                <w:color w:val="000000" w:themeColor="text1"/>
                <w:szCs w:val="21"/>
                <w:highlight w:val="none"/>
                <w14:textFill>
                  <w14:solidFill>
                    <w14:schemeClr w14:val="tx1"/>
                  </w14:solidFill>
                </w14:textFill>
              </w:rPr>
              <w:t>服务专线</w:t>
            </w:r>
            <w:r>
              <w:rPr>
                <w:rFonts w:ascii="宋体" w:hAnsi="宋体"/>
                <w:bCs/>
                <w:color w:val="000000" w:themeColor="text1"/>
                <w:szCs w:val="21"/>
                <w:highlight w:val="none"/>
                <w14:textFill>
                  <w14:solidFill>
                    <w14:schemeClr w14:val="tx1"/>
                  </w14:solidFill>
                </w14:textFill>
              </w:rPr>
              <w:t>，并有专人负责以方便工作联系和服务。</w:t>
            </w:r>
          </w:p>
          <w:p w14:paraId="4A35D137">
            <w:pPr>
              <w:spacing w:line="360" w:lineRule="auto"/>
              <w:ind w:firstLine="42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三、配送及验收要求</w:t>
            </w:r>
          </w:p>
          <w:p w14:paraId="0DA7FED4">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00E7C850">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放射性药品的运输，按国家运输、邮政等部门制订的有关规定执行。</w:t>
            </w:r>
            <w:r>
              <w:rPr>
                <w:rFonts w:hint="eastAsia" w:ascii="宋体" w:hAnsi="宋体"/>
                <w:bCs/>
                <w:color w:val="000000" w:themeColor="text1"/>
                <w:szCs w:val="21"/>
                <w:highlight w:val="none"/>
                <w14:textFill>
                  <w14:solidFill>
                    <w14:schemeClr w14:val="tx1"/>
                  </w14:solidFill>
                </w14:textFill>
              </w:rPr>
              <w:t>用于药品运输的车辆及设备必须符合《放射性物品道路运输管理规定》中的相关规定，且由专车运送至采购人指定地点，送货人员持有《道路运输从业人员从业资格证》及《辐射安全与防护培训合格证》。</w:t>
            </w:r>
          </w:p>
          <w:p w14:paraId="56FC4881">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3.放射性药品进入院区运输过程中，供应商提供铅防护，防护标准符合国家环保要求。</w:t>
            </w:r>
          </w:p>
          <w:p w14:paraId="2776537C">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供应商所供药品应按相关要求包装并实施保护措施，以防止药品在转运中损坏或变质，确保药品安全无损运抵指定地点。如发现药品出现损坏（包括表面损坏），或出现水渍、受潮等导致药品性质改变或含量不足的，</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必须2日内完成无条件退货。药品在交付采购人前发生的风险均由供应商负责。</w:t>
            </w:r>
          </w:p>
          <w:p w14:paraId="016D7A17">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供应商根据采购计划按规定送达货物后，</w:t>
            </w:r>
            <w:r>
              <w:rPr>
                <w:rFonts w:hint="eastAsia" w:ascii="宋体" w:hAnsi="宋体"/>
                <w:bCs/>
                <w:color w:val="000000" w:themeColor="text1"/>
                <w:szCs w:val="21"/>
                <w:highlight w:val="none"/>
                <w14:textFill>
                  <w14:solidFill>
                    <w14:schemeClr w14:val="tx1"/>
                  </w14:solidFill>
                </w14:textFill>
              </w:rPr>
              <w:t>将检验报告等验收资料以及一式四份的送货清单交使用部门验收，验收人员验收无误后将送货清单交西药库入库，供应商及使用部门各留一份，剩余两份交由西药库</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按照《中华人民共和国药品管理法》、《放射性药品管理办法》等有关规定，对供应商提供的药品进行验收，验收项目包括：品名、规格、放射性活度、厂家、批号、数量、有效期及外观质量、货物包装等。同时查验供应商及药品资质证件（药品合格证明、检验报告等），若出现质量、有效期、包装不符合要求或证书无效、证书不全等情况，采购人有权拒绝接收，并拒付货款，</w:t>
            </w:r>
            <w:r>
              <w:rPr>
                <w:rFonts w:hint="eastAsia"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应当在2日内处理退货并负责收回所退药品，退款从当月货款中扣除，退货不及时的按逾期交货处罚。如发生上述情况</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采购人不承担</w:t>
            </w:r>
            <w:r>
              <w:rPr>
                <w:rFonts w:ascii="宋体" w:hAnsi="宋体"/>
                <w:bCs/>
                <w:color w:val="000000" w:themeColor="text1"/>
                <w:szCs w:val="21"/>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由此产生的任何费用，并对其给采购人造成的损失</w:t>
            </w:r>
            <w:r>
              <w:rPr>
                <w:rFonts w:ascii="宋体" w:hAnsi="宋体"/>
                <w:bCs/>
                <w:color w:val="000000" w:themeColor="text1"/>
                <w:szCs w:val="21"/>
                <w:highlight w:val="none"/>
                <w14:textFill>
                  <w14:solidFill>
                    <w14:schemeClr w14:val="tx1"/>
                  </w14:solidFill>
                </w14:textFill>
              </w:rPr>
              <w:t>保留追索</w:t>
            </w:r>
            <w:r>
              <w:rPr>
                <w:rFonts w:hint="eastAsia" w:ascii="宋体" w:hAnsi="宋体"/>
                <w:bCs/>
                <w:color w:val="000000" w:themeColor="text1"/>
                <w:szCs w:val="21"/>
                <w:highlight w:val="none"/>
                <w14:textFill>
                  <w14:solidFill>
                    <w14:schemeClr w14:val="tx1"/>
                  </w14:solidFill>
                </w14:textFill>
              </w:rPr>
              <w:t>权利。</w:t>
            </w:r>
          </w:p>
          <w:p w14:paraId="5FF1871D">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6.供应商应具备解决紧急问题的能力，如采购人在使用放射性药品的过程中发现问题，供应商应及时到现场解决。</w:t>
            </w:r>
          </w:p>
          <w:p w14:paraId="4FD95DAB">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7.药品有异常情况（例如：剂量不符、目测药物异常、溢岀/外漏、包装破损、过期等），供应商必须</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完全回收，并重新提供合格的药品。所有发生的费用由供应商承担。</w:t>
            </w:r>
          </w:p>
          <w:p w14:paraId="60EB5145">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8.供应商定期并及时</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回收所使用药品的防护容器。</w:t>
            </w:r>
          </w:p>
          <w:p w14:paraId="3E99B057">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供应商每次供货应同时提供该批次药品清单（送货单），提供的送货单上须包含药品名称、规格、单价、数量、总金额、生产厂家、生产批号、有效期、国药准字等信息，同时加盖公章或供应商出库专用章。送货单不得涂改，标记不清的，采购人将拒绝签收。</w:t>
            </w:r>
          </w:p>
          <w:p w14:paraId="2B7C10E9">
            <w:pPr>
              <w:adjustRightInd w:val="0"/>
              <w:spacing w:line="360" w:lineRule="auto"/>
              <w:ind w:firstLine="420"/>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10.在药品有效期内，如采购人发现药品存在质量问题的，该批次药品剩余库存供应商应在2日内完成无条件退货，</w:t>
            </w:r>
            <w:r>
              <w:rPr>
                <w:rFonts w:hint="eastAsia" w:ascii="宋体" w:hAnsi="宋体"/>
                <w:color w:val="000000" w:themeColor="text1"/>
                <w:szCs w:val="21"/>
                <w:highlight w:val="none"/>
                <w14:textFill>
                  <w14:solidFill>
                    <w14:schemeClr w14:val="tx1"/>
                  </w14:solidFill>
                </w14:textFill>
              </w:rPr>
              <w:t>采购人按“</w:t>
            </w:r>
            <w:r>
              <w:rPr>
                <w:rFonts w:hint="eastAsia" w:ascii="宋体" w:hAnsi="宋体"/>
                <w:bCs/>
                <w:color w:val="000000" w:themeColor="text1"/>
                <w:szCs w:val="21"/>
                <w:highlight w:val="none"/>
                <w14:textFill>
                  <w14:solidFill>
                    <w14:schemeClr w14:val="tx1"/>
                  </w14:solidFill>
                </w14:textFill>
              </w:rPr>
              <w:t>违约和相关处罚</w:t>
            </w:r>
            <w:r>
              <w:rPr>
                <w:rFonts w:hint="eastAsia" w:ascii="宋体" w:hAnsi="宋体"/>
                <w:color w:val="000000" w:themeColor="text1"/>
                <w:szCs w:val="21"/>
                <w:highlight w:val="none"/>
                <w14:textFill>
                  <w14:solidFill>
                    <w14:schemeClr w14:val="tx1"/>
                  </w14:solidFill>
                </w14:textFill>
              </w:rPr>
              <w:t>”的第5条处罚，如由此造成的一切损失(包括经济损失、消除影响等)均由</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无条件承担</w:t>
            </w:r>
            <w:r>
              <w:rPr>
                <w:rFonts w:ascii="宋体" w:hAnsi="宋体"/>
                <w:color w:val="000000" w:themeColor="text1"/>
                <w:szCs w:val="21"/>
                <w:highlight w:val="none"/>
                <w14:textFill>
                  <w14:solidFill>
                    <w14:schemeClr w14:val="tx1"/>
                  </w14:solidFill>
                </w14:textFill>
              </w:rPr>
              <w:t>。</w:t>
            </w:r>
          </w:p>
        </w:tc>
      </w:tr>
      <w:tr w14:paraId="1067F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E099362">
            <w:pPr>
              <w:widowControl/>
              <w:spacing w:line="360" w:lineRule="auto"/>
              <w:ind w:firstLine="0" w:firstLineChars="0"/>
              <w:rPr>
                <w:rFonts w:ascii="宋体" w:hAnsi="宋体"/>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商务条款</w:t>
            </w:r>
          </w:p>
        </w:tc>
      </w:tr>
      <w:tr w14:paraId="2B3CF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7F91046F">
            <w:pPr>
              <w:snapToGrid w:val="0"/>
              <w:spacing w:before="120" w:beforeLines="50" w:line="360" w:lineRule="auto"/>
              <w:ind w:firstLine="6" w:firstLineChars="3"/>
              <w:jc w:val="center"/>
              <w:rPr>
                <w:rFonts w:hAnsi="宋体"/>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服务</w:t>
            </w:r>
            <w:r>
              <w:rPr>
                <w:rFonts w:hAnsi="宋体"/>
                <w:b/>
                <w:bCs/>
                <w:color w:val="000000" w:themeColor="text1"/>
                <w:highlight w:val="none"/>
                <w14:textFill>
                  <w14:solidFill>
                    <w14:schemeClr w14:val="tx1"/>
                  </w14:solidFill>
                </w14:textFill>
              </w:rPr>
              <w:t>期限</w:t>
            </w:r>
            <w:r>
              <w:rPr>
                <w:b/>
                <w:color w:val="000000" w:themeColor="text1"/>
                <w:highlight w:val="none"/>
                <w14:textFill>
                  <w14:solidFill>
                    <w14:schemeClr w14:val="tx1"/>
                  </w14:solidFill>
                </w14:textFill>
              </w:rPr>
              <w:t>及地点</w:t>
            </w:r>
          </w:p>
        </w:tc>
        <w:tc>
          <w:tcPr>
            <w:tcW w:w="4096" w:type="pct"/>
            <w:tcBorders>
              <w:top w:val="single" w:color="auto" w:sz="4" w:space="0"/>
              <w:left w:val="single" w:color="auto" w:sz="4" w:space="0"/>
              <w:bottom w:val="single" w:color="auto" w:sz="4" w:space="0"/>
              <w:right w:val="single" w:color="auto" w:sz="4" w:space="0"/>
            </w:tcBorders>
            <w:vAlign w:val="center"/>
          </w:tcPr>
          <w:p w14:paraId="79640E35">
            <w:pPr>
              <w:snapToGrid w:val="0"/>
              <w:spacing w:before="120" w:beforeLines="50" w:line="360"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服务</w:t>
            </w:r>
            <w:r>
              <w:rPr>
                <w:rFonts w:hint="eastAsia" w:hAnsi="宋体"/>
                <w:bCs/>
                <w:color w:val="000000" w:themeColor="text1"/>
                <w:highlight w:val="none"/>
                <w14:textFill>
                  <w14:solidFill>
                    <w14:schemeClr w14:val="tx1"/>
                  </w14:solidFill>
                </w14:textFill>
              </w:rPr>
              <w:t>期限</w:t>
            </w:r>
            <w:r>
              <w:rPr>
                <w:rFonts w:hint="eastAsia" w:hAnsi="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自签订合同之日起2年或2年内采购金额达到本项目合同总金额，合同自动终止。</w:t>
            </w:r>
          </w:p>
          <w:p w14:paraId="0E81F913">
            <w:pPr>
              <w:spacing w:line="360" w:lineRule="auto"/>
              <w:ind w:firstLine="420"/>
              <w:rPr>
                <w:rStyle w:val="190"/>
                <w:rFonts w:hint="default"/>
                <w:color w:val="000000" w:themeColor="text1"/>
                <w:sz w:val="21"/>
                <w:szCs w:val="21"/>
                <w:highlight w:val="none"/>
                <w:lang w:bidi="ar"/>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服务地点：柳州市采购人指定地点，</w:t>
            </w:r>
            <w:r>
              <w:rPr>
                <w:rFonts w:hint="eastAsia" w:ascii="宋体" w:hAnsi="宋体" w:cs="仿宋"/>
                <w:color w:val="000000" w:themeColor="text1"/>
                <w:szCs w:val="21"/>
                <w:highlight w:val="none"/>
                <w14:textFill>
                  <w14:solidFill>
                    <w14:schemeClr w14:val="tx1"/>
                  </w14:solidFill>
                </w14:textFill>
              </w:rPr>
              <w:t>如柳州市中医院</w:t>
            </w:r>
            <w:r>
              <w:rPr>
                <w:rFonts w:hint="eastAsia" w:ascii="宋体" w:hAnsi="宋体"/>
                <w:bCs/>
                <w:color w:val="000000" w:themeColor="text1"/>
                <w:szCs w:val="21"/>
                <w:highlight w:val="none"/>
                <w14:textFill>
                  <w14:solidFill>
                    <w14:schemeClr w14:val="tx1"/>
                  </w14:solidFill>
                </w14:textFill>
              </w:rPr>
              <w:t>莲花山院区门诊负一楼核医学科</w:t>
            </w:r>
            <w:r>
              <w:rPr>
                <w:rFonts w:hint="eastAsia" w:hAnsi="宋体"/>
                <w:color w:val="000000" w:themeColor="text1"/>
                <w:highlight w:val="none"/>
                <w14:textFill>
                  <w14:solidFill>
                    <w14:schemeClr w14:val="tx1"/>
                  </w14:solidFill>
                </w14:textFill>
              </w:rPr>
              <w:t>。</w:t>
            </w:r>
          </w:p>
        </w:tc>
      </w:tr>
      <w:tr w14:paraId="51BDD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5DEC3D99">
            <w:pPr>
              <w:snapToGrid w:val="0"/>
              <w:spacing w:before="120" w:beforeLines="50" w:line="360" w:lineRule="auto"/>
              <w:ind w:firstLine="6" w:firstLineChars="3"/>
              <w:jc w:val="center"/>
              <w:rPr>
                <w:b/>
                <w:color w:val="000000" w:themeColor="text1"/>
                <w:highlight w:val="none"/>
                <w14:textFill>
                  <w14:solidFill>
                    <w14:schemeClr w14:val="tx1"/>
                  </w14:solidFill>
                </w14:textFill>
              </w:rPr>
            </w:pPr>
            <w:r>
              <w:rPr>
                <w:rFonts w:hint="eastAsia" w:hAnsi="宋体" w:cs="仿宋"/>
                <w:b/>
                <w:color w:val="000000" w:themeColor="text1"/>
                <w:highlight w:val="none"/>
                <w14:textFill>
                  <w14:solidFill>
                    <w14:schemeClr w14:val="tx1"/>
                  </w14:solidFill>
                </w14:textFill>
              </w:rPr>
              <w:t>报价要求</w:t>
            </w:r>
          </w:p>
        </w:tc>
        <w:tc>
          <w:tcPr>
            <w:tcW w:w="4096" w:type="pct"/>
            <w:tcBorders>
              <w:top w:val="single" w:color="auto" w:sz="4" w:space="0"/>
              <w:left w:val="single" w:color="auto" w:sz="4" w:space="0"/>
              <w:bottom w:val="single" w:color="auto" w:sz="4" w:space="0"/>
              <w:right w:val="single" w:color="auto" w:sz="4" w:space="0"/>
            </w:tcBorders>
            <w:vAlign w:val="center"/>
          </w:tcPr>
          <w:p w14:paraId="4B040BD8">
            <w:pPr>
              <w:autoSpaceDE w:val="0"/>
              <w:autoSpaceDN w:val="0"/>
              <w:adjustRightInd w:val="0"/>
              <w:spacing w:line="360" w:lineRule="auto"/>
              <w:ind w:right="-23" w:firstLine="420"/>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1</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供应商应当充分考虑市场价格变动和自身实际情况进行报价，并承诺所报固定单价在合同期内有效。</w:t>
            </w:r>
          </w:p>
          <w:p w14:paraId="75474192">
            <w:pPr>
              <w:autoSpaceDE w:val="0"/>
              <w:autoSpaceDN w:val="0"/>
              <w:adjustRightInd w:val="0"/>
              <w:spacing w:line="360" w:lineRule="auto"/>
              <w:ind w:right="-23" w:firstLine="420"/>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供应商的报价须包括：货物送达指定地点，验收合格至正常使用前所有可能发生的费用。即包含：货物本身费用、运输费、装卸搬运费、人工劳务费、税金等。供应商认为必须的费用也需综合考虑在报价中，在合同期间，采购人不予提高供货单价，如遇国家或自治区等政策性降价，则应按最低价格执行。</w:t>
            </w:r>
          </w:p>
          <w:p w14:paraId="49AB71A7">
            <w:pPr>
              <w:autoSpaceDE w:val="0"/>
              <w:autoSpaceDN w:val="0"/>
              <w:adjustRightInd w:val="0"/>
              <w:spacing w:line="360" w:lineRule="auto"/>
              <w:ind w:right="-23" w:firstLine="420"/>
              <w:rPr>
                <w:rFonts w:ascii="Calibri" w:hAnsi="宋体" w:cs="宋体"/>
                <w:b/>
                <w:bCs/>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w:t>
            </w:r>
            <w:r>
              <w:rPr>
                <w:rFonts w:hint="eastAsia" w:ascii="Calibri" w:hAnsi="宋体" w:cs="宋体"/>
                <w:b/>
                <w:bCs/>
                <w:color w:val="000000" w:themeColor="text1"/>
                <w:szCs w:val="21"/>
                <w:highlight w:val="none"/>
                <w14:textFill>
                  <w14:solidFill>
                    <w14:schemeClr w14:val="tx1"/>
                  </w14:solidFill>
                </w14:textFill>
              </w:rPr>
              <w:t>产品单价不得超过单</w:t>
            </w:r>
            <w:r>
              <w:rPr>
                <w:rFonts w:hint="eastAsia" w:hAnsi="宋体" w:cs="宋体"/>
                <w:b/>
                <w:bCs/>
                <w:color w:val="000000" w:themeColor="text1"/>
                <w:highlight w:val="none"/>
                <w:lang w:bidi="ar"/>
                <w14:textFill>
                  <w14:solidFill>
                    <w14:schemeClr w14:val="tx1"/>
                  </w14:solidFill>
                </w14:textFill>
              </w:rPr>
              <w:t>价</w:t>
            </w:r>
            <w:r>
              <w:rPr>
                <w:rFonts w:hint="eastAsia" w:ascii="Calibri" w:hAnsi="宋体" w:cs="宋体"/>
                <w:b/>
                <w:bCs/>
                <w:color w:val="000000" w:themeColor="text1"/>
                <w:szCs w:val="21"/>
                <w:highlight w:val="none"/>
                <w14:textFill>
                  <w14:solidFill>
                    <w14:schemeClr w14:val="tx1"/>
                  </w14:solidFill>
                </w14:textFill>
              </w:rPr>
              <w:t>控制价，否则，响应文件</w:t>
            </w:r>
            <w:r>
              <w:rPr>
                <w:rFonts w:hint="eastAsia" w:ascii="Calibri" w:hAnsi="宋体" w:cs="宋体"/>
                <w:b/>
                <w:bCs/>
                <w:color w:val="000000" w:themeColor="text1"/>
                <w:szCs w:val="21"/>
                <w:highlight w:val="none"/>
                <w14:textFill>
                  <w14:solidFill>
                    <w14:schemeClr w14:val="tx1"/>
                  </w14:solidFill>
                </w14:textFill>
              </w:rPr>
              <w:t>按竞标无效处理</w:t>
            </w:r>
            <w:r>
              <w:rPr>
                <w:rFonts w:hint="eastAsia" w:ascii="Calibri" w:hAnsi="宋体" w:cs="宋体"/>
                <w:b/>
                <w:bCs/>
                <w:color w:val="000000" w:themeColor="text1"/>
                <w:szCs w:val="21"/>
                <w:highlight w:val="none"/>
                <w14:textFill>
                  <w14:solidFill>
                    <w14:schemeClr w14:val="tx1"/>
                  </w14:solidFill>
                </w14:textFill>
              </w:rPr>
              <w:t>。</w:t>
            </w:r>
          </w:p>
          <w:p w14:paraId="5133F7FF">
            <w:pPr>
              <w:autoSpaceDE w:val="0"/>
              <w:autoSpaceDN w:val="0"/>
              <w:adjustRightInd w:val="0"/>
              <w:spacing w:line="360" w:lineRule="auto"/>
              <w:ind w:right="-23" w:firstLine="420"/>
              <w:rPr>
                <w:rFonts w:ascii="Calibri" w:hAnsi="宋体" w:cs="宋体"/>
                <w:color w:val="000000" w:themeColor="text1"/>
                <w:szCs w:val="21"/>
                <w:highlight w:val="none"/>
                <w14:textFill>
                  <w14:solidFill>
                    <w14:schemeClr w14:val="tx1"/>
                  </w14:solidFill>
                </w14:textFill>
              </w:rPr>
            </w:pPr>
            <w:r>
              <w:rPr>
                <w:rFonts w:hint="eastAsia" w:ascii="Calibri" w:hAnsi="宋体" w:cs="宋体"/>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w:t>
            </w:r>
            <w:r>
              <w:rPr>
                <w:rFonts w:hint="eastAsia" w:ascii="Calibri" w:hAnsi="宋体" w:cs="宋体"/>
                <w:color w:val="000000" w:themeColor="text1"/>
                <w:szCs w:val="21"/>
                <w:highlight w:val="none"/>
                <w14:textFill>
                  <w14:solidFill>
                    <w14:schemeClr w14:val="tx1"/>
                  </w14:solidFill>
                </w14:textFill>
              </w:rPr>
              <w:t>本项目的年预估量仅为供应商报价提供参考依据，并非实际采购数量。采购数量由采购人按实际工作需要作出采购计划进行采购，货款按照供应商实际配送并验收合格的数量及本项目所报的固定单价进行定期结算。</w:t>
            </w:r>
          </w:p>
        </w:tc>
      </w:tr>
      <w:tr w14:paraId="117E4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7A72EAA2">
            <w:pPr>
              <w:widowControl/>
              <w:spacing w:before="48" w:beforeLines="20" w:line="360" w:lineRule="auto"/>
              <w:ind w:firstLine="0" w:firstLineChars="0"/>
              <w:jc w:val="center"/>
              <w:rPr>
                <w:rFonts w:ascii="宋体" w:hAnsi="宋体" w:cs="宋体"/>
                <w:b/>
                <w:bCs/>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付款方式</w:t>
            </w:r>
          </w:p>
        </w:tc>
        <w:tc>
          <w:tcPr>
            <w:tcW w:w="4096" w:type="pct"/>
            <w:tcBorders>
              <w:top w:val="single" w:color="auto" w:sz="4" w:space="0"/>
              <w:left w:val="single" w:color="auto" w:sz="4" w:space="0"/>
              <w:bottom w:val="single" w:color="auto" w:sz="4" w:space="0"/>
              <w:right w:val="single" w:color="auto" w:sz="4" w:space="0"/>
            </w:tcBorders>
          </w:tcPr>
          <w:p w14:paraId="25A04B87">
            <w:pPr>
              <w:tabs>
                <w:tab w:val="left" w:pos="31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本项目无预付款，采取定期结算方式进行结算。即供应商按采购人要求完成供货，验收合格后，向采购人提供真实、准确、正式、全额发票以及相关资料</w:t>
            </w:r>
            <w:r>
              <w:rPr>
                <w:rFonts w:hint="eastAsia" w:ascii="宋体" w:hAnsi="宋体" w:cs="宋体"/>
                <w:bCs/>
                <w:color w:val="000000" w:themeColor="text1"/>
                <w:szCs w:val="21"/>
                <w:highlight w:val="none"/>
                <w14:textFill>
                  <w14:solidFill>
                    <w14:schemeClr w14:val="tx1"/>
                  </w14:solidFill>
                </w14:textFill>
              </w:rPr>
              <w:t>，采购人</w:t>
            </w:r>
            <w:r>
              <w:rPr>
                <w:rFonts w:hint="eastAsia" w:hAnsi="宋体" w:cs="宋体"/>
                <w:color w:val="000000" w:themeColor="text1"/>
                <w:kern w:val="0"/>
                <w:highlight w:val="none"/>
                <w14:textFill>
                  <w14:solidFill>
                    <w14:schemeClr w14:val="tx1"/>
                  </w14:solidFill>
                </w14:textFill>
              </w:rPr>
              <w:t>从签订合同后从第七个月开始按实际采购量逐月支付货款</w:t>
            </w:r>
            <w:r>
              <w:rPr>
                <w:rFonts w:hint="eastAsia" w:ascii="宋体" w:hAnsi="宋体" w:cs="宋体"/>
                <w:bCs/>
                <w:color w:val="000000" w:themeColor="text1"/>
                <w:szCs w:val="21"/>
                <w:highlight w:val="none"/>
                <w14:textFill>
                  <w14:solidFill>
                    <w14:schemeClr w14:val="tx1"/>
                  </w14:solidFill>
                </w14:textFill>
              </w:rPr>
              <w:t>。如因供应商自身无法及时提供资料导致无法按时结算，由供应商自行承担责任。如供应商向采购人提供虚假税务发票或委托第三方进行结算，采购人有权拒绝支付供应商的所有货款，</w:t>
            </w:r>
            <w:r>
              <w:rPr>
                <w:rFonts w:hint="eastAsia" w:hAnsi="宋体" w:cs="宋体"/>
                <w:color w:val="000000" w:themeColor="text1"/>
                <w:kern w:val="0"/>
                <w:highlight w:val="none"/>
                <w14:textFill>
                  <w14:solidFill>
                    <w14:schemeClr w14:val="tx1"/>
                  </w14:solidFill>
                </w14:textFill>
              </w:rPr>
              <w:t>报经财政部门同意后，</w:t>
            </w:r>
            <w:r>
              <w:rPr>
                <w:rFonts w:hint="eastAsia"/>
                <w:color w:val="000000" w:themeColor="text1"/>
                <w:highlight w:val="none"/>
                <w14:textFill>
                  <w14:solidFill>
                    <w14:schemeClr w14:val="tx1"/>
                  </w14:solidFill>
                </w14:textFill>
              </w:rPr>
              <w:t>解除</w:t>
            </w:r>
            <w:r>
              <w:rPr>
                <w:rFonts w:hint="eastAsia" w:hAnsi="宋体" w:cs="宋体"/>
                <w:color w:val="000000" w:themeColor="text1"/>
                <w:kern w:val="0"/>
                <w:highlight w:val="none"/>
                <w14:textFill>
                  <w14:solidFill>
                    <w14:schemeClr w14:val="tx1"/>
                  </w14:solidFill>
                </w14:textFill>
              </w:rPr>
              <w:t>合同。</w:t>
            </w:r>
            <w:r>
              <w:rPr>
                <w:rFonts w:hint="eastAsia" w:ascii="宋体" w:hAnsi="宋体" w:cs="宋体"/>
                <w:bCs/>
                <w:color w:val="000000" w:themeColor="text1"/>
                <w:szCs w:val="21"/>
                <w:highlight w:val="none"/>
                <w14:textFill>
                  <w14:solidFill>
                    <w14:schemeClr w14:val="tx1"/>
                  </w14:solidFill>
                </w14:textFill>
              </w:rPr>
              <w:t>如有政策变化等特殊原因，再行商议。</w:t>
            </w:r>
          </w:p>
        </w:tc>
      </w:tr>
      <w:tr w14:paraId="16C8F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3522E542">
            <w:pPr>
              <w:spacing w:line="360" w:lineRule="auto"/>
              <w:ind w:firstLine="0" w:firstLineChars="0"/>
              <w:jc w:val="center"/>
              <w:rPr>
                <w:rFonts w:ascii="Calibri" w:hAnsi="Calibri"/>
                <w:b/>
                <w:bCs/>
                <w:color w:val="000000" w:themeColor="text1"/>
                <w:highlight w:val="none"/>
                <w14:textFill>
                  <w14:solidFill>
                    <w14:schemeClr w14:val="tx1"/>
                  </w14:solidFill>
                </w14:textFill>
              </w:rPr>
            </w:pPr>
            <w:r>
              <w:rPr>
                <w:rFonts w:hint="eastAsia" w:ascii="Calibri" w:hAnsi="Calibri"/>
                <w:b/>
                <w:bCs/>
                <w:color w:val="000000" w:themeColor="text1"/>
                <w:highlight w:val="none"/>
                <w14:textFill>
                  <w14:solidFill>
                    <w14:schemeClr w14:val="tx1"/>
                  </w14:solidFill>
                </w14:textFill>
              </w:rPr>
              <w:t>违约和相关处罚</w:t>
            </w:r>
          </w:p>
        </w:tc>
        <w:tc>
          <w:tcPr>
            <w:tcW w:w="4096" w:type="pct"/>
            <w:tcBorders>
              <w:top w:val="single" w:color="auto" w:sz="4" w:space="0"/>
              <w:left w:val="single" w:color="auto" w:sz="4" w:space="0"/>
              <w:bottom w:val="single" w:color="auto" w:sz="4" w:space="0"/>
              <w:right w:val="single" w:color="auto" w:sz="4" w:space="0"/>
            </w:tcBorders>
            <w:vAlign w:val="center"/>
          </w:tcPr>
          <w:p w14:paraId="16C1EF91">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1.供应商提供的货物如侵犯了第三方合法权益而引发的任何纠纷或诉讼，均由供应商自行负责交涉并承担全部责任。</w:t>
            </w:r>
          </w:p>
          <w:p w14:paraId="2910584E">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2.采购人发出供货通知后，供应商未在</w:t>
            </w:r>
            <w:r>
              <w:rPr>
                <w:rFonts w:hint="eastAsia" w:ascii="宋体" w:hAnsi="宋体" w:cs="宋体"/>
                <w:bCs/>
                <w:color w:val="000000" w:themeColor="text1"/>
                <w:szCs w:val="21"/>
                <w:highlight w:val="none"/>
                <w14:textFill>
                  <w14:solidFill>
                    <w14:schemeClr w14:val="tx1"/>
                  </w14:solidFill>
                </w14:textFill>
              </w:rPr>
              <w:t>2日</w:t>
            </w:r>
            <w:r>
              <w:rPr>
                <w:rFonts w:hint="eastAsia" w:ascii="宋体" w:hAnsi="宋体" w:cs="宋体"/>
                <w:bCs/>
                <w:color w:val="000000" w:themeColor="text1"/>
                <w:szCs w:val="21"/>
                <w:highlight w:val="none"/>
                <w14:textFill>
                  <w14:solidFill>
                    <w14:schemeClr w14:val="tx1"/>
                  </w14:solidFill>
                </w14:textFill>
              </w:rPr>
              <w:t>内送达指定地点的，影响临床用药的，每逾期一天按本批货物金额的5%计算违约金，从履约保证金中扣罚，</w:t>
            </w:r>
            <w:r>
              <w:rPr>
                <w:rFonts w:hint="eastAsia" w:ascii="宋体" w:hAnsi="宋体" w:cs="宋体"/>
                <w:color w:val="000000" w:themeColor="text1"/>
                <w:szCs w:val="21"/>
                <w:highlight w:val="none"/>
                <w14:textFill>
                  <w14:solidFill>
                    <w14:schemeClr w14:val="tx1"/>
                  </w14:solidFill>
                </w14:textFill>
              </w:rPr>
              <w:t>不足的从货款中扣罚。</w:t>
            </w:r>
            <w:r>
              <w:rPr>
                <w:rFonts w:hint="eastAsia" w:ascii="宋体" w:hAnsi="宋体" w:cs="宋体"/>
                <w:bCs/>
                <w:color w:val="000000" w:themeColor="text1"/>
                <w:szCs w:val="21"/>
                <w:highlight w:val="none"/>
                <w14:textFill>
                  <w14:solidFill>
                    <w14:schemeClr w14:val="tx1"/>
                  </w14:solidFill>
                </w14:textFill>
              </w:rPr>
              <w:t>如逾期达3次，报经财政部门同意后，采购人有权单方</w:t>
            </w:r>
            <w:r>
              <w:rPr>
                <w:rFonts w:hint="eastAsia"/>
                <w:color w:val="000000" w:themeColor="text1"/>
                <w:highlight w:val="none"/>
                <w14:textFill>
                  <w14:solidFill>
                    <w14:schemeClr w14:val="tx1"/>
                  </w14:solidFill>
                </w14:textFill>
              </w:rPr>
              <w:t>解除</w:t>
            </w:r>
            <w:r>
              <w:rPr>
                <w:rFonts w:hint="eastAsia" w:ascii="宋体" w:hAnsi="宋体" w:cs="宋体"/>
                <w:bCs/>
                <w:color w:val="000000" w:themeColor="text1"/>
                <w:szCs w:val="21"/>
                <w:highlight w:val="none"/>
                <w14:textFill>
                  <w14:solidFill>
                    <w14:schemeClr w14:val="tx1"/>
                  </w14:solidFill>
                </w14:textFill>
              </w:rPr>
              <w:t>合同。</w:t>
            </w:r>
          </w:p>
          <w:p w14:paraId="73187EE0">
            <w:pPr>
              <w:spacing w:line="360" w:lineRule="auto"/>
              <w:ind w:firstLine="420" w:firstLineChars="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3.供应商送货工作人员不遵守采购人管理规定，做出有损采购人形象和利益的事情，</w:t>
            </w:r>
            <w:r>
              <w:rPr>
                <w:rFonts w:hint="eastAsia" w:ascii="宋体" w:hAnsi="宋体" w:cs="宋体"/>
                <w:color w:val="000000" w:themeColor="text1"/>
                <w:highlight w:val="none"/>
                <w14:textFill>
                  <w14:solidFill>
                    <w14:schemeClr w14:val="tx1"/>
                  </w14:solidFill>
                </w14:textFill>
              </w:rPr>
              <w:t>每次按本批货物金额的5%计算违约金。</w:t>
            </w:r>
          </w:p>
          <w:p w14:paraId="0DC84FB7">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4.在包装、运输、装卸等环节不符合国家相关要求的，采购人有权拒收货物，每次按本批货物金额的5%计算违约金。</w:t>
            </w:r>
          </w:p>
          <w:p w14:paraId="58A6C82A">
            <w:pPr>
              <w:spacing w:line="360" w:lineRule="auto"/>
              <w:ind w:firstLine="420" w:firstLineChars="0"/>
              <w:rPr>
                <w:rFonts w:ascii="宋体" w:hAnsi="宋体"/>
                <w:bCs/>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货物质量验收不合格，每次按本批货物金额的10%计算违约金，达两次的按下文第6条处理。</w:t>
            </w:r>
          </w:p>
          <w:p w14:paraId="1159E54D">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6.有下列行为之一的，报经财政部门同意后，采购人有权单方取消其成交资格、解除合同，按本项目的合同总金额的</w:t>
            </w:r>
            <w:r>
              <w:rPr>
                <w:rFonts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%计算扣减违约金，因所供产品质量不合格导致其他损失的，供应商应赔偿所有相关损失。</w:t>
            </w:r>
          </w:p>
          <w:p w14:paraId="40BE7FFB">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（1）提供任何虚假资料的。</w:t>
            </w:r>
          </w:p>
          <w:p w14:paraId="6740A52F">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（2）未经采购人同意，擅自</w:t>
            </w:r>
            <w:r>
              <w:rPr>
                <w:rFonts w:hint="eastAsia" w:ascii="宋体" w:hAnsi="宋体" w:cs="宋体"/>
                <w:color w:val="000000" w:themeColor="text1"/>
                <w:szCs w:val="21"/>
                <w:highlight w:val="none"/>
                <w14:textFill>
                  <w14:solidFill>
                    <w14:schemeClr w14:val="tx1"/>
                  </w14:solidFill>
                </w14:textFill>
              </w:rPr>
              <w:t>提高药品供货价格的</w:t>
            </w:r>
            <w:r>
              <w:rPr>
                <w:rFonts w:hint="eastAsia" w:ascii="宋体" w:hAnsi="宋体" w:cs="宋体"/>
                <w:bCs/>
                <w:color w:val="000000" w:themeColor="text1"/>
                <w:szCs w:val="21"/>
                <w:highlight w:val="none"/>
                <w14:textFill>
                  <w14:solidFill>
                    <w14:schemeClr w14:val="tx1"/>
                  </w14:solidFill>
                </w14:textFill>
              </w:rPr>
              <w:t>；</w:t>
            </w:r>
          </w:p>
          <w:p w14:paraId="360DF695">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（3）私自转让协议给其他厂商进行供货的；</w:t>
            </w:r>
          </w:p>
          <w:p w14:paraId="50B98B4B">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（4）验收发现所供药品质量不合格达两次以上的；</w:t>
            </w:r>
          </w:p>
          <w:p w14:paraId="79219BED">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（5）把采购人验收不合格退货的药品重新供应给采购人的；</w:t>
            </w:r>
          </w:p>
          <w:p w14:paraId="1967D194">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（6）所供应的药品为假药、劣药的；</w:t>
            </w:r>
          </w:p>
          <w:p w14:paraId="3EDFE59F">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对药品安全及药品质量等各项检查不严格，造成</w:t>
            </w:r>
            <w:r>
              <w:rPr>
                <w:rFonts w:hint="eastAsia" w:ascii="宋体" w:hAnsi="宋体" w:cs="宋体"/>
                <w:color w:val="000000" w:themeColor="text1"/>
                <w:szCs w:val="21"/>
                <w:highlight w:val="none"/>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重大损失，影响监管安全的</w:t>
            </w:r>
            <w:r>
              <w:rPr>
                <w:rFonts w:hint="eastAsia" w:ascii="宋体" w:hAnsi="宋体" w:cs="宋体"/>
                <w:color w:val="000000" w:themeColor="text1"/>
                <w:szCs w:val="21"/>
                <w:highlight w:val="none"/>
                <w14:textFill>
                  <w14:solidFill>
                    <w14:schemeClr w14:val="tx1"/>
                  </w14:solidFill>
                </w14:textFill>
              </w:rPr>
              <w:t>；</w:t>
            </w:r>
          </w:p>
          <w:p w14:paraId="2E78C9D9">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（8）在合同期内，非采购人原因，不能按合同及采购要求供货次数达到3次；</w:t>
            </w:r>
          </w:p>
          <w:p w14:paraId="6AE44F70">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（9）将本项目转让、分包给他人的；</w:t>
            </w:r>
          </w:p>
          <w:p w14:paraId="53C87213">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（10）不按</w:t>
            </w:r>
            <w:r>
              <w:rPr>
                <w:rFonts w:hint="eastAsia" w:ascii="宋体" w:hAnsi="宋体" w:cs="宋体"/>
                <w:bCs/>
                <w:color w:val="000000" w:themeColor="text1"/>
                <w:szCs w:val="21"/>
                <w:highlight w:val="none"/>
                <w14:textFill>
                  <w14:solidFill>
                    <w14:schemeClr w14:val="tx1"/>
                  </w14:solidFill>
                </w14:textFill>
              </w:rPr>
              <w:t>响应</w:t>
            </w:r>
            <w:r>
              <w:rPr>
                <w:rFonts w:hint="eastAsia" w:ascii="宋体" w:hAnsi="宋体" w:cs="宋体"/>
                <w:bCs/>
                <w:color w:val="000000" w:themeColor="text1"/>
                <w:szCs w:val="21"/>
                <w:highlight w:val="none"/>
                <w14:textFill>
                  <w14:solidFill>
                    <w14:schemeClr w14:val="tx1"/>
                  </w14:solidFill>
                </w14:textFill>
              </w:rPr>
              <w:t>文件服务承诺有关条款约定履行的。</w:t>
            </w:r>
          </w:p>
          <w:p w14:paraId="4BCD1C7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7.如</w:t>
            </w:r>
            <w:r>
              <w:rPr>
                <w:rFonts w:hint="eastAsia" w:ascii="宋体" w:hAnsi="宋体" w:cs="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供应商存在以上违约情形，违约金优先从履约保证金中扣减，如因小微企业或监狱企业或残疾人福利性单位无需缴纳履约保证金或履约保证金扣除后不足部分，则从货款中扣减。</w:t>
            </w:r>
          </w:p>
        </w:tc>
      </w:tr>
      <w:tr w14:paraId="3595D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36C0BC7E">
            <w:pPr>
              <w:spacing w:line="360" w:lineRule="auto"/>
              <w:ind w:firstLine="0" w:firstLineChars="0"/>
              <w:jc w:val="center"/>
              <w:rPr>
                <w:rFonts w:ascii="Calibri" w:hAnsi="Calibri"/>
                <w:b/>
                <w:bCs/>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签订合同日期</w:t>
            </w:r>
          </w:p>
        </w:tc>
        <w:tc>
          <w:tcPr>
            <w:tcW w:w="4096" w:type="pct"/>
            <w:tcBorders>
              <w:top w:val="single" w:color="auto" w:sz="4" w:space="0"/>
              <w:left w:val="single" w:color="auto" w:sz="4" w:space="0"/>
              <w:bottom w:val="single" w:color="auto" w:sz="4" w:space="0"/>
              <w:right w:val="single" w:color="auto" w:sz="4" w:space="0"/>
            </w:tcBorders>
            <w:vAlign w:val="center"/>
          </w:tcPr>
          <w:p w14:paraId="1B0BFA81">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bCs/>
                <w:color w:val="000000" w:themeColor="text1"/>
                <w:highlight w:val="none"/>
                <w14:textFill>
                  <w14:solidFill>
                    <w14:schemeClr w14:val="tx1"/>
                  </w14:solidFill>
                </w14:textFill>
              </w:rPr>
              <w:t>自</w:t>
            </w:r>
            <w:r>
              <w:rPr>
                <w:rFonts w:hint="eastAsia"/>
                <w:bCs/>
                <w:color w:val="000000" w:themeColor="text1"/>
                <w:highlight w:val="none"/>
                <w14:textFill>
                  <w14:solidFill>
                    <w14:schemeClr w14:val="tx1"/>
                  </w14:solidFill>
                </w14:textFill>
              </w:rPr>
              <w:t>成交</w:t>
            </w:r>
            <w:r>
              <w:rPr>
                <w:bCs/>
                <w:color w:val="000000" w:themeColor="text1"/>
                <w:highlight w:val="none"/>
                <w14:textFill>
                  <w14:solidFill>
                    <w14:schemeClr w14:val="tx1"/>
                  </w14:solidFill>
                </w14:textFill>
              </w:rPr>
              <w:t>通知书发出之日起</w:t>
            </w:r>
            <w:r>
              <w:rPr>
                <w:rFonts w:hint="eastAsia"/>
                <w:bCs/>
                <w:color w:val="000000" w:themeColor="text1"/>
                <w:highlight w:val="none"/>
                <w14:textFill>
                  <w14:solidFill>
                    <w14:schemeClr w14:val="tx1"/>
                  </w14:solidFill>
                </w14:textFill>
              </w:rPr>
              <w:t>25</w:t>
            </w:r>
            <w:r>
              <w:rPr>
                <w:bCs/>
                <w:color w:val="000000" w:themeColor="text1"/>
                <w:highlight w:val="none"/>
                <w14:textFill>
                  <w14:solidFill>
                    <w14:schemeClr w14:val="tx1"/>
                  </w14:solidFill>
                </w14:textFill>
              </w:rPr>
              <w:t>日内。</w:t>
            </w:r>
          </w:p>
        </w:tc>
      </w:tr>
      <w:tr w14:paraId="6C11E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50E60D47">
            <w:pPr>
              <w:widowControl/>
              <w:spacing w:line="360" w:lineRule="auto"/>
              <w:ind w:firstLine="0" w:firstLineChars="0"/>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采购标的验收标准</w:t>
            </w:r>
          </w:p>
        </w:tc>
        <w:tc>
          <w:tcPr>
            <w:tcW w:w="4096" w:type="pct"/>
            <w:tcBorders>
              <w:top w:val="single" w:color="auto" w:sz="4" w:space="0"/>
              <w:left w:val="single" w:color="auto" w:sz="4" w:space="0"/>
              <w:bottom w:val="single" w:color="auto" w:sz="4" w:space="0"/>
              <w:right w:val="single" w:color="auto" w:sz="4" w:space="0"/>
            </w:tcBorders>
            <w:vAlign w:val="center"/>
          </w:tcPr>
          <w:p w14:paraId="2498362F">
            <w:pPr>
              <w:widowControl/>
              <w:spacing w:line="36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验收方式：书面验收。</w:t>
            </w:r>
          </w:p>
          <w:p w14:paraId="7E63774C">
            <w:pPr>
              <w:widowControl/>
              <w:spacing w:line="36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验收标准：①符合现行国家相关标准、行业标准、地方标准或者其他标准、规范；②符合采购文件要求和响应文件承诺。</w:t>
            </w:r>
          </w:p>
          <w:p w14:paraId="48E490BA">
            <w:pPr>
              <w:widowControl/>
              <w:spacing w:line="36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验收方式和程序：由采购人组织验收小组检查服务需求的落实情况。</w:t>
            </w:r>
          </w:p>
          <w:p w14:paraId="0390FBA0">
            <w:pPr>
              <w:widowControl/>
              <w:spacing w:line="360" w:lineRule="auto"/>
              <w:ind w:firstLine="422"/>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采购人有权委托第三方进行履约验收，履约验收费用由成交供应商支付。供应商在竞标报价时自行考虑。</w:t>
            </w:r>
          </w:p>
        </w:tc>
      </w:tr>
      <w:tr w14:paraId="72963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B713F4C">
            <w:pPr>
              <w:widowControl/>
              <w:spacing w:line="360" w:lineRule="auto"/>
              <w:ind w:firstLine="0" w:firstLineChars="0"/>
              <w:rPr>
                <w:rFonts w:ascii="宋体" w:hAnsi="宋体"/>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项目的特殊要求</w:t>
            </w:r>
          </w:p>
        </w:tc>
      </w:tr>
      <w:tr w14:paraId="012B1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07952901">
            <w:pPr>
              <w:widowControl/>
              <w:spacing w:line="360" w:lineRule="auto"/>
              <w:ind w:firstLine="0" w:firstLineChars="0"/>
              <w:jc w:val="center"/>
              <w:rPr>
                <w:rFonts w:ascii="宋体" w:hAnsi="宋体"/>
                <w:b/>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特殊要求</w:t>
            </w:r>
          </w:p>
        </w:tc>
        <w:tc>
          <w:tcPr>
            <w:tcW w:w="4096" w:type="pct"/>
            <w:tcBorders>
              <w:top w:val="single" w:color="auto" w:sz="4" w:space="0"/>
              <w:left w:val="single" w:color="auto" w:sz="4" w:space="0"/>
              <w:bottom w:val="single" w:color="auto" w:sz="4" w:space="0"/>
              <w:right w:val="single" w:color="auto" w:sz="4" w:space="0"/>
            </w:tcBorders>
            <w:vAlign w:val="center"/>
          </w:tcPr>
          <w:p w14:paraId="0052BD0C">
            <w:pPr>
              <w:widowControl/>
              <w:spacing w:line="360" w:lineRule="auto"/>
              <w:ind w:firstLine="422"/>
              <w:rPr>
                <w:rFonts w:ascii="宋体" w:hAnsi="宋体"/>
                <w:color w:val="000000" w:themeColor="text1"/>
                <w:kern w:val="0"/>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供应商须提供拟配送放射性药品由国家主管部门颁发的有效的《药品注册证》或《药品再注册批件》并加盖供应商电子公章，否则竞标无效。</w:t>
            </w:r>
          </w:p>
        </w:tc>
      </w:tr>
    </w:tbl>
    <w:p w14:paraId="2A6F3031">
      <w:pPr>
        <w:pStyle w:val="117"/>
        <w:ind w:firstLine="0" w:firstLineChars="0"/>
        <w:rPr>
          <w:color w:val="000000" w:themeColor="text1"/>
          <w:kern w:val="2"/>
          <w:sz w:val="21"/>
          <w:highlight w:val="none"/>
          <w14:textFill>
            <w14:solidFill>
              <w14:schemeClr w14:val="tx1"/>
            </w14:solidFill>
          </w14:textFill>
        </w:rPr>
      </w:pPr>
    </w:p>
    <w:p w14:paraId="0C10FC52">
      <w:pPr>
        <w:pStyle w:val="117"/>
        <w:ind w:firstLine="0" w:firstLineChars="0"/>
        <w:rPr>
          <w:color w:val="000000" w:themeColor="text1"/>
          <w:kern w:val="2"/>
          <w:sz w:val="21"/>
          <w:highlight w:val="none"/>
          <w14:textFill>
            <w14:solidFill>
              <w14:schemeClr w14:val="tx1"/>
            </w14:solidFill>
          </w14:textFill>
        </w:rPr>
      </w:pPr>
      <w:r>
        <w:rPr>
          <w:color w:val="000000" w:themeColor="text1"/>
          <w:kern w:val="2"/>
          <w:sz w:val="21"/>
          <w:highlight w:val="none"/>
          <w14:textFill>
            <w14:solidFill>
              <w14:schemeClr w14:val="tx1"/>
            </w14:solidFill>
          </w14:textFill>
        </w:rPr>
        <w:br w:type="page"/>
      </w:r>
    </w:p>
    <w:p w14:paraId="36FFCCE3">
      <w:pPr>
        <w:pStyle w:val="117"/>
        <w:ind w:firstLine="0" w:firstLineChars="0"/>
        <w:rPr>
          <w:color w:val="000000" w:themeColor="text1"/>
          <w:highlight w:val="none"/>
          <w14:textFill>
            <w14:solidFill>
              <w14:schemeClr w14:val="tx1"/>
            </w14:solidFill>
          </w14:textFill>
        </w:rPr>
      </w:pPr>
      <w:r>
        <w:rPr>
          <w:rFonts w:hint="eastAsia"/>
          <w:color w:val="000000" w:themeColor="text1"/>
          <w:kern w:val="2"/>
          <w:sz w:val="21"/>
          <w:highlight w:val="none"/>
          <w14:textFill>
            <w14:solidFill>
              <w14:schemeClr w14:val="tx1"/>
            </w14:solidFill>
          </w14:textFill>
        </w:rPr>
        <w:t>附件</w:t>
      </w:r>
      <w:r>
        <w:rPr>
          <w:color w:val="000000" w:themeColor="text1"/>
          <w:kern w:val="2"/>
          <w:sz w:val="21"/>
          <w:highlight w:val="none"/>
          <w14:textFill>
            <w14:solidFill>
              <w14:schemeClr w14:val="tx1"/>
            </w14:solidFill>
          </w14:textFill>
        </w:rPr>
        <w:t>1</w:t>
      </w:r>
      <w:r>
        <w:rPr>
          <w:rFonts w:hint="eastAsia"/>
          <w:color w:val="000000" w:themeColor="text1"/>
          <w:kern w:val="2"/>
          <w:sz w:val="21"/>
          <w:highlight w:val="none"/>
          <w14:textFill>
            <w14:solidFill>
              <w14:schemeClr w14:val="tx1"/>
            </w14:solidFill>
          </w14:textFill>
        </w:rPr>
        <w:t>：</w:t>
      </w:r>
    </w:p>
    <w:p w14:paraId="0E63E0D5">
      <w:pPr>
        <w:pStyle w:val="117"/>
        <w:ind w:firstLine="0" w:firstLineChars="0"/>
        <w:jc w:val="center"/>
        <w:rPr>
          <w:color w:val="000000" w:themeColor="text1"/>
          <w:sz w:val="32"/>
          <w:szCs w:val="32"/>
          <w:highlight w:val="none"/>
          <w14:textFill>
            <w14:solidFill>
              <w14:schemeClr w14:val="tx1"/>
            </w14:solidFill>
          </w14:textFill>
        </w:rPr>
      </w:pPr>
      <w:r>
        <w:rPr>
          <w:rFonts w:hint="eastAsia"/>
          <w:b/>
          <w:bCs/>
          <w:color w:val="000000" w:themeColor="text1"/>
          <w:kern w:val="2"/>
          <w:sz w:val="32"/>
          <w:szCs w:val="32"/>
          <w:highlight w:val="none"/>
          <w:shd w:val="clear" w:color="auto" w:fill="FFFFFF"/>
          <w14:textFill>
            <w14:solidFill>
              <w14:schemeClr w14:val="tx1"/>
            </w14:solidFill>
          </w14:textFill>
        </w:rPr>
        <w:t>中小企业划型标准规定</w:t>
      </w:r>
    </w:p>
    <w:p w14:paraId="28B4FFFB">
      <w:pPr>
        <w:ind w:firstLine="0" w:firstLineChars="0"/>
        <w:jc w:val="center"/>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工信部联企业〔2011〕300号</w:t>
      </w:r>
    </w:p>
    <w:p w14:paraId="42CD074A">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一、根据《中华人民共和国中小企业促进法》和《国务院关于进一步促进中小企业发展的若干意见》（国发〔2009〕36号），制定本规定。</w:t>
      </w:r>
    </w:p>
    <w:p w14:paraId="4E9D8A2F">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二、中小企业划分为中型、小型、微型三种类型，具体标准根据企业从业人员、营业收入、资产总额等指标，结合行业特点制定。</w:t>
      </w:r>
    </w:p>
    <w:p w14:paraId="0CCB00EC">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EF1B06">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四、各行业划型标准为：</w:t>
      </w:r>
    </w:p>
    <w:p w14:paraId="09ECA55A">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56901DF3">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D9CC37">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B7C4B1F">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5AC8E3">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D9AA7F">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6E91B1">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D81F0C">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2BF0D7">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C34E02">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947DC4">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A99647">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F705F9">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ACF5AE">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9CDFB">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3FF1BF">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292A04E1">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五、企业类型的划分以统计部门的统计数据为依据。</w:t>
      </w:r>
    </w:p>
    <w:p w14:paraId="4C09F312">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34BED062">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174D0716">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八、本规定由工业和信息化部、国家统计局会同有关部门根据《国民经济行业分类》修订情况和企业发展变化情况适时修订。</w:t>
      </w:r>
    </w:p>
    <w:p w14:paraId="01159569">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九、本规定由工业和信息化部、国家统计局会同有关部门负责解释。</w:t>
      </w:r>
    </w:p>
    <w:p w14:paraId="34119C63">
      <w:pPr>
        <w:spacing w:line="400" w:lineRule="exact"/>
        <w:ind w:firstLine="420"/>
        <w:rPr>
          <w:rFonts w:asci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十、本规定自发布之日起执行，原国家经贸委、原国家计委、财政部和国家统计局2003年颁布的《中小企业标准暂行规定》同时废止。</w:t>
      </w:r>
      <w:r>
        <w:rPr>
          <w:color w:val="000000" w:themeColor="text1"/>
          <w:highlight w:val="none"/>
          <w14:textFill>
            <w14:solidFill>
              <w14:schemeClr w14:val="tx1"/>
            </w14:solidFill>
          </w14:textFill>
        </w:rPr>
        <w:br w:type="page"/>
      </w:r>
      <w:bookmarkStart w:id="86" w:name="_Hlt106032257"/>
      <w:bookmarkEnd w:id="86"/>
      <w:bookmarkStart w:id="87" w:name="_Hlt106033424"/>
      <w:bookmarkEnd w:id="87"/>
    </w:p>
    <w:p w14:paraId="22A94122">
      <w:pPr>
        <w:ind w:firstLine="420"/>
        <w:rPr>
          <w:color w:val="000000" w:themeColor="text1"/>
          <w:highlight w:val="none"/>
          <w14:textFill>
            <w14:solidFill>
              <w14:schemeClr w14:val="tx1"/>
            </w14:solidFill>
          </w14:textFill>
        </w:rPr>
      </w:pPr>
    </w:p>
    <w:p w14:paraId="5234790C">
      <w:pPr>
        <w:ind w:firstLine="420"/>
        <w:rPr>
          <w:color w:val="000000" w:themeColor="text1"/>
          <w:highlight w:val="none"/>
          <w14:textFill>
            <w14:solidFill>
              <w14:schemeClr w14:val="tx1"/>
            </w14:solidFill>
          </w14:textFill>
        </w:rPr>
      </w:pPr>
    </w:p>
    <w:p w14:paraId="4214B2B0">
      <w:pPr>
        <w:ind w:firstLine="420"/>
        <w:rPr>
          <w:color w:val="000000" w:themeColor="text1"/>
          <w:highlight w:val="none"/>
          <w14:textFill>
            <w14:solidFill>
              <w14:schemeClr w14:val="tx1"/>
            </w14:solidFill>
          </w14:textFill>
        </w:rPr>
      </w:pPr>
    </w:p>
    <w:p w14:paraId="2F17ECB2">
      <w:pPr>
        <w:ind w:firstLine="420"/>
        <w:rPr>
          <w:color w:val="000000" w:themeColor="text1"/>
          <w:highlight w:val="none"/>
          <w14:textFill>
            <w14:solidFill>
              <w14:schemeClr w14:val="tx1"/>
            </w14:solidFill>
          </w14:textFill>
        </w:rPr>
      </w:pPr>
    </w:p>
    <w:p w14:paraId="43E02B93">
      <w:pPr>
        <w:ind w:firstLine="420"/>
        <w:rPr>
          <w:color w:val="000000" w:themeColor="text1"/>
          <w:highlight w:val="none"/>
          <w14:textFill>
            <w14:solidFill>
              <w14:schemeClr w14:val="tx1"/>
            </w14:solidFill>
          </w14:textFill>
        </w:rPr>
      </w:pPr>
    </w:p>
    <w:p w14:paraId="09F4881D">
      <w:pPr>
        <w:ind w:firstLine="420"/>
        <w:rPr>
          <w:color w:val="000000" w:themeColor="text1"/>
          <w:highlight w:val="none"/>
          <w14:textFill>
            <w14:solidFill>
              <w14:schemeClr w14:val="tx1"/>
            </w14:solidFill>
          </w14:textFill>
        </w:rPr>
      </w:pPr>
    </w:p>
    <w:p w14:paraId="05166E9F">
      <w:pPr>
        <w:ind w:firstLine="420"/>
        <w:rPr>
          <w:color w:val="000000" w:themeColor="text1"/>
          <w:highlight w:val="none"/>
          <w14:textFill>
            <w14:solidFill>
              <w14:schemeClr w14:val="tx1"/>
            </w14:solidFill>
          </w14:textFill>
        </w:rPr>
      </w:pPr>
    </w:p>
    <w:p w14:paraId="489E7213">
      <w:pPr>
        <w:ind w:firstLine="420"/>
        <w:rPr>
          <w:color w:val="000000" w:themeColor="text1"/>
          <w:highlight w:val="none"/>
          <w14:textFill>
            <w14:solidFill>
              <w14:schemeClr w14:val="tx1"/>
            </w14:solidFill>
          </w14:textFill>
        </w:rPr>
      </w:pPr>
    </w:p>
    <w:p w14:paraId="018B121B">
      <w:pPr>
        <w:ind w:firstLine="420"/>
        <w:rPr>
          <w:color w:val="000000" w:themeColor="text1"/>
          <w:highlight w:val="none"/>
          <w14:textFill>
            <w14:solidFill>
              <w14:schemeClr w14:val="tx1"/>
            </w14:solidFill>
          </w14:textFill>
        </w:rPr>
      </w:pPr>
    </w:p>
    <w:p w14:paraId="4F42490F">
      <w:pPr>
        <w:ind w:firstLine="420"/>
        <w:rPr>
          <w:color w:val="000000" w:themeColor="text1"/>
          <w:highlight w:val="none"/>
          <w14:textFill>
            <w14:solidFill>
              <w14:schemeClr w14:val="tx1"/>
            </w14:solidFill>
          </w14:textFill>
        </w:rPr>
      </w:pPr>
    </w:p>
    <w:p w14:paraId="3CF9A795">
      <w:pPr>
        <w:ind w:firstLine="420"/>
        <w:rPr>
          <w:color w:val="000000" w:themeColor="text1"/>
          <w:highlight w:val="none"/>
          <w14:textFill>
            <w14:solidFill>
              <w14:schemeClr w14:val="tx1"/>
            </w14:solidFill>
          </w14:textFill>
        </w:rPr>
      </w:pPr>
    </w:p>
    <w:p w14:paraId="509EC9FB">
      <w:pPr>
        <w:ind w:firstLine="420"/>
        <w:rPr>
          <w:color w:val="000000" w:themeColor="text1"/>
          <w:highlight w:val="none"/>
          <w14:textFill>
            <w14:solidFill>
              <w14:schemeClr w14:val="tx1"/>
            </w14:solidFill>
          </w14:textFill>
        </w:rPr>
      </w:pPr>
    </w:p>
    <w:p w14:paraId="76B78DA1">
      <w:pPr>
        <w:ind w:firstLine="420"/>
        <w:rPr>
          <w:color w:val="000000" w:themeColor="text1"/>
          <w:highlight w:val="none"/>
          <w14:textFill>
            <w14:solidFill>
              <w14:schemeClr w14:val="tx1"/>
            </w14:solidFill>
          </w14:textFill>
        </w:rPr>
      </w:pPr>
    </w:p>
    <w:p w14:paraId="7AC14575">
      <w:pPr>
        <w:pStyle w:val="3"/>
        <w:ind w:firstLine="0" w:firstLineChars="0"/>
        <w:jc w:val="center"/>
        <w:rPr>
          <w:rFonts w:ascii="宋体" w:hAnsi="宋体" w:cs="宋体"/>
          <w:color w:val="000000" w:themeColor="text1"/>
          <w:highlight w:val="none"/>
          <w14:textFill>
            <w14:solidFill>
              <w14:schemeClr w14:val="tx1"/>
            </w14:solidFill>
          </w14:textFill>
        </w:rPr>
      </w:pPr>
      <w:bookmarkStart w:id="88" w:name="_Toc153444883"/>
      <w:r>
        <w:rPr>
          <w:rFonts w:hint="eastAsia" w:ascii="宋体" w:hAnsi="宋体" w:cs="宋体"/>
          <w:color w:val="000000" w:themeColor="text1"/>
          <w:highlight w:val="none"/>
          <w14:textFill>
            <w14:solidFill>
              <w14:schemeClr w14:val="tx1"/>
            </w14:solidFill>
          </w14:textFill>
        </w:rPr>
        <w:t xml:space="preserve">第四章  </w:t>
      </w:r>
      <w:bookmarkEnd w:id="85"/>
      <w:r>
        <w:rPr>
          <w:rFonts w:hint="eastAsia"/>
          <w:color w:val="000000" w:themeColor="text1"/>
          <w:highlight w:val="none"/>
          <w14:textFill>
            <w14:solidFill>
              <w14:schemeClr w14:val="tx1"/>
            </w14:solidFill>
          </w14:textFill>
        </w:rPr>
        <w:t>评审程序、评审方法和评审标准</w:t>
      </w:r>
      <w:bookmarkEnd w:id="88"/>
    </w:p>
    <w:p w14:paraId="63928FF7">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8A9D751">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6B5F712">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3DD453AB">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159A90C7">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65B0EAF9">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4F3333A3">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A50E49B">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C5EF9D6">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32A32D08">
      <w:pPr>
        <w:numPr>
          <w:ilvl w:val="0"/>
          <w:numId w:val="11"/>
        </w:numPr>
        <w:spacing w:line="360" w:lineRule="auto"/>
        <w:ind w:firstLineChars="0"/>
        <w:jc w:val="center"/>
        <w:rPr>
          <w:rFonts w:ascii="宋体" w:hAnsi="宋体"/>
          <w:b/>
          <w:color w:val="000000" w:themeColor="text1"/>
          <w:sz w:val="32"/>
          <w:szCs w:val="32"/>
          <w:highlight w:val="none"/>
          <w14:textFill>
            <w14:solidFill>
              <w14:schemeClr w14:val="tx1"/>
            </w14:solidFill>
          </w14:textFill>
        </w:rPr>
      </w:pPr>
      <w:r>
        <w:rPr>
          <w:rFonts w:hAnsi="宋体" w:cs="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评审程序和评审方法</w:t>
      </w:r>
    </w:p>
    <w:p w14:paraId="39035EC7">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.资格审查</w:t>
      </w:r>
    </w:p>
    <w:p w14:paraId="5157CE16">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.1响应文件开启后，磋商小组依法对供应商的资格证明文件进行审查。</w:t>
      </w:r>
    </w:p>
    <w:p w14:paraId="3089FB02">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注：磋商小组在资格审查结束前，对供应商进行信用查询。</w:t>
      </w:r>
    </w:p>
    <w:p w14:paraId="386F4D79">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（1）查询渠道：“信用中国”网站(www.creditchina.gov.cn) 、中国政府采购网(www.ccgp.gov.cn)。</w:t>
      </w:r>
    </w:p>
    <w:p w14:paraId="20FBFB51">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（2）信用查询截止时点：资格审查结束前。</w:t>
      </w:r>
    </w:p>
    <w:p w14:paraId="7DE51C87">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（3）查询记录和证据留存方式：在查询网站中直接打印查询记录，打印材料作为评审资料保存。</w:t>
      </w:r>
    </w:p>
    <w:p w14:paraId="59845988">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6BA53A">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.2资格审查标准为本竞争性磋商文件中载明对供应商资格要求的条件。资格审查采用合格制，凡符合竞争性磋商文件规定的供应商资格要求的响应文件均通过资格审查。</w:t>
      </w:r>
    </w:p>
    <w:p w14:paraId="4DAE6E59">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.3供应商有下列情形之一的，资格审查不通过，其响应文件按无效响应处理：</w:t>
      </w:r>
    </w:p>
    <w:p w14:paraId="37CC22BA">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）不具备竞争性磋商文件中规定的资格要求的；</w:t>
      </w:r>
    </w:p>
    <w:p w14:paraId="2D5CFD9B">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）响应文件未提供任一项“供应商须知前附表”资格证明文件规定的“必须提供（符合不需提供的情形除外）”的文件资料的；</w:t>
      </w:r>
    </w:p>
    <w:p w14:paraId="6379FA73">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）响应文件提供的资格证明文件出现任一项不符合“供应商须知前附表”资格证明文件规定的“必须提供（符合不需提供的情形除外）”的文件资料要求或者无效的。</w:t>
      </w:r>
    </w:p>
    <w:p w14:paraId="5989F122">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.4通过资格审查的合格供应商不足3家的，不得进入符合性审查环节，采购人或者采购代理机构应当重新开展采购活动。</w:t>
      </w:r>
    </w:p>
    <w:p w14:paraId="1BF479A6">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.符合性审查</w:t>
      </w:r>
    </w:p>
    <w:p w14:paraId="0CEB960C">
      <w:pPr>
        <w:spacing w:line="360" w:lineRule="auto"/>
        <w:ind w:firstLine="420"/>
        <w:rPr>
          <w:rFonts w:ascii="宋体" w:hAnsi="宋体" w:cs="宋体"/>
          <w:color w:val="000000" w:themeColor="text1"/>
          <w:szCs w:val="21"/>
          <w:highlight w:val="none"/>
          <w14:textFill>
            <w14:solidFill>
              <w14:schemeClr w14:val="tx1"/>
            </w14:solidFill>
          </w14:textFill>
        </w:rPr>
      </w:pPr>
      <w:bookmarkStart w:id="89"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由磋商小组对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的响应文件的竞标报价、商务、技术等实质性要求进行符合性审查，以确定其是否满足竞争性磋商文件的实质性要求。</w:t>
      </w:r>
    </w:p>
    <w:bookmarkEnd w:id="89"/>
    <w:p w14:paraId="44E7FB70">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A5D08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7E3E9B6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4344F9CF">
      <w:pPr>
        <w:spacing w:line="360" w:lineRule="auto"/>
        <w:ind w:firstLine="396"/>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2.4</w:t>
      </w:r>
      <w:r>
        <w:rPr>
          <w:rFonts w:hint="eastAsia" w:ascii="宋体" w:hAnsi="宋体" w:cs="宋体"/>
          <w:color w:val="000000" w:themeColor="text1"/>
          <w:spacing w:val="-6"/>
          <w:szCs w:val="21"/>
          <w:highlight w:val="none"/>
          <w14:textFill>
            <w14:solidFill>
              <w14:schemeClr w14:val="tx1"/>
            </w14:solidFill>
          </w14:textFill>
        </w:rPr>
        <w:t>首次</w:t>
      </w:r>
      <w:r>
        <w:rPr>
          <w:rFonts w:hint="eastAsia" w:ascii="宋体" w:hAnsi="宋体" w:cs="宋体"/>
          <w:color w:val="000000" w:themeColor="text1"/>
          <w:spacing w:val="-6"/>
          <w:szCs w:val="21"/>
          <w:highlight w:val="none"/>
          <w14:textFill>
            <w14:solidFill>
              <w14:schemeClr w14:val="tx1"/>
            </w14:solidFill>
          </w14:textFill>
        </w:rPr>
        <w:t>响应文件报价修正</w:t>
      </w:r>
    </w:p>
    <w:p w14:paraId="42DC5A4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.4.1</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1A80B89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14:paraId="5736BF1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6A4EAD3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67576C6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1FE73E7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728417D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开标记录（报价金额）与解密后“电子加密响应文件”中《报价表》填写的金额不一致的，以解密后“电子加密响应文件”中《报价表》填写的金额为准，供应商拒绝接受此调整的，按无效响应处理。</w:t>
      </w:r>
    </w:p>
    <w:p w14:paraId="0554C6F5">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14:paraId="2061696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14:paraId="5415DB2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14:paraId="65844FB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1）提供响应文件正、副本数量不足；</w:t>
      </w:r>
    </w:p>
    <w:p w14:paraId="1FF3DBD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2）响应文件未按竞争性磋商文件要求签署、盖章；</w:t>
      </w:r>
    </w:p>
    <w:p w14:paraId="6945298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3）委托代理人未能出具有效身份证明或者出具的身份证明与授权委托书中的信息不符； </w:t>
      </w:r>
    </w:p>
    <w:p w14:paraId="1D5643B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4）提交的磋商保证金无效的或者未按照竞争性磋商文件的规定提交磋商保证金；</w:t>
      </w:r>
    </w:p>
    <w:p w14:paraId="11713F2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40910D1E">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14:paraId="17B1101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）未对竞标有效期作出响应或者响应文件承诺的竞标有效期不满足竞争性磋商文件要求；</w:t>
      </w:r>
    </w:p>
    <w:p w14:paraId="7EC3142C">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）响应文件的实质性内容未使用中文表述、使用计量单位不符合竞争性磋商文件要求；</w:t>
      </w:r>
    </w:p>
    <w:p w14:paraId="1CE9E9AD">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）响应文件中的文件资料因填写不齐全或者内容虚假或者出现其他情形而导致被磋商小组认定无效；</w:t>
      </w:r>
    </w:p>
    <w:p w14:paraId="54B657E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）响应文件含有采购人不能接受的附加条件；</w:t>
      </w:r>
    </w:p>
    <w:p w14:paraId="725732C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）属于“供应商须知正文”第7.7条情形；</w:t>
      </w:r>
    </w:p>
    <w:p w14:paraId="1642D6EE">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2）技术需求允许负偏离的条款数超过“供应商须知前附表”规定项数；</w:t>
      </w:r>
    </w:p>
    <w:p w14:paraId="1D3C2096">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3）虚假竞标，或者出现其他情形而导致被磋商小组认定无效；</w:t>
      </w:r>
    </w:p>
    <w:p w14:paraId="26BACFD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w:t>
      </w:r>
      <w:bookmarkStart w:id="90" w:name="_Hlk71704147"/>
      <w:r>
        <w:rPr>
          <w:rFonts w:hint="eastAsia" w:ascii="宋体" w:hAnsi="宋体" w:cs="宋体"/>
          <w:color w:val="000000" w:themeColor="text1"/>
          <w:szCs w:val="21"/>
          <w:highlight w:val="none"/>
          <w14:textFill>
            <w14:solidFill>
              <w14:schemeClr w14:val="tx1"/>
            </w14:solidFill>
          </w14:textFill>
        </w:rPr>
        <w:t>竞争性磋商文件未载明允许提供备选（替代）竞标方案或明确不允许提供备选（替代）竞标方案时，供应商提供了备选（替代）竞标方案的；</w:t>
      </w:r>
      <w:bookmarkEnd w:id="90"/>
    </w:p>
    <w:p w14:paraId="67C4518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）响应文件标注的项目名称或者项目编号与竞争性磋商文件标注的项目名称或者项目编号不一致的；</w:t>
      </w:r>
    </w:p>
    <w:p w14:paraId="7178B3DB">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6）未响应合同条款要求的；</w:t>
      </w:r>
    </w:p>
    <w:p w14:paraId="3E98D683">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7）未响应竞争性磋商文件实质性要求；</w:t>
      </w:r>
    </w:p>
    <w:p w14:paraId="086A4678">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18）法律、法规和竞争性磋商文件规定的其他无效情形。</w:t>
      </w:r>
    </w:p>
    <w:p w14:paraId="701E2C2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）报价评审</w:t>
      </w:r>
    </w:p>
    <w:p w14:paraId="508FD33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响应文件未提供“供应商须知前附表” 报价商务技术文件中规定的“报价表”；</w:t>
      </w:r>
    </w:p>
    <w:p w14:paraId="38A6CE1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2）未采用人民币报价或者未按照竞争性磋商文件标明的币种报价；</w:t>
      </w:r>
    </w:p>
    <w:p w14:paraId="723DB59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446BCB7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4）竞标报价（包含首次报价、最后报价）超过所竞标项（分标）规定的采购预算金额或者最高限价的（如本项目公布了最高限价）；</w:t>
      </w:r>
      <w:bookmarkStart w:id="91" w:name="_Hlk42596405"/>
      <w:r>
        <w:rPr>
          <w:rFonts w:hint="eastAsia" w:ascii="宋体" w:hAnsi="宋体" w:cs="宋体"/>
          <w:color w:val="000000" w:themeColor="text1"/>
          <w:szCs w:val="21"/>
          <w:highlight w:val="none"/>
          <w14:textFill>
            <w14:solidFill>
              <w14:schemeClr w14:val="tx1"/>
            </w14:solidFill>
          </w14:textFill>
        </w:rPr>
        <w:t>竞标报价（包含首次报价、最后报价）</w:t>
      </w:r>
      <w:bookmarkEnd w:id="91"/>
      <w:bookmarkStart w:id="92" w:name="_Hlk42596276"/>
      <w:r>
        <w:rPr>
          <w:rFonts w:hint="eastAsia" w:ascii="宋体" w:hAnsi="宋体" w:cs="宋体"/>
          <w:color w:val="000000" w:themeColor="text1"/>
          <w:szCs w:val="21"/>
          <w:highlight w:val="none"/>
          <w14:textFill>
            <w14:solidFill>
              <w14:schemeClr w14:val="tx1"/>
            </w14:solidFill>
          </w14:textFill>
        </w:rPr>
        <w:t>超过竞争性磋商文件分项采购预算金额或者最高限价的</w:t>
      </w:r>
      <w:bookmarkEnd w:id="92"/>
      <w:r>
        <w:rPr>
          <w:rFonts w:hint="eastAsia" w:ascii="宋体" w:hAnsi="宋体" w:cs="宋体"/>
          <w:color w:val="000000" w:themeColor="text1"/>
          <w:szCs w:val="21"/>
          <w:highlight w:val="none"/>
          <w14:textFill>
            <w14:solidFill>
              <w14:schemeClr w14:val="tx1"/>
            </w14:solidFill>
          </w14:textFill>
        </w:rPr>
        <w:t>（如本项目公布了最高限价）；</w:t>
      </w:r>
    </w:p>
    <w:p w14:paraId="7668EF2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32AB154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响应文件响应的标的数量及单位与竞争性磋商文件要求实质性不一致的。</w:t>
      </w:r>
    </w:p>
    <w:p w14:paraId="685C9039">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4215BA77">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通过符合性审查的合格供应商不足3家的，不得进入磋商环节，采购人或者采购代理机构应当重新开展采购活动。</w:t>
      </w:r>
    </w:p>
    <w:p w14:paraId="569F4650">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.磋商程序</w:t>
      </w:r>
    </w:p>
    <w:p w14:paraId="37595829">
      <w:pPr>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磋商小组按照“供应商须知前附表”</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确定的</w:t>
      </w:r>
      <w:r>
        <w:rPr>
          <w:rFonts w:hint="eastAsia" w:ascii="宋体" w:hAnsi="宋体" w:cs="宋体"/>
          <w:color w:val="000000" w:themeColor="text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997E25A">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52D37F25">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对竞争性磋商文件作出的实质性变动是竞争性磋商文件的有效组成部分，由磋商小组及时以书面形式同时通知所有参加磋商的供应商。</w:t>
      </w:r>
    </w:p>
    <w:p w14:paraId="16C19060">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14:paraId="1ACC75DD">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w:t>
      </w:r>
      <w:r>
        <w:rPr>
          <w:rFonts w:hint="eastAsia" w:ascii="宋体" w:hAnsi="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14:paraId="30D26199">
      <w:pPr>
        <w:widowControl/>
        <w:tabs>
          <w:tab w:val="left" w:pos="540"/>
        </w:tabs>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采购代理机构对磋商过程和重要磋商内容进行记录。</w:t>
      </w:r>
    </w:p>
    <w:p w14:paraId="11F6FAE9">
      <w:pPr>
        <w:widowControl/>
        <w:tabs>
          <w:tab w:val="left" w:pos="540"/>
        </w:tabs>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3.7</w:t>
      </w:r>
      <w:r>
        <w:rPr>
          <w:rFonts w:hint="eastAsia" w:hAnsi="宋体" w:cs="宋体"/>
          <w:color w:val="000000" w:themeColor="text1"/>
          <w:highlight w:val="none"/>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B046555">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14:paraId="02B03990">
      <w:pPr>
        <w:spacing w:line="360" w:lineRule="auto"/>
        <w:ind w:firstLine="422"/>
        <w:rPr>
          <w:rFonts w:ascii="宋体" w:hAnsi="宋体" w:cs="宋体"/>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4.</w:t>
      </w:r>
      <w:r>
        <w:rPr>
          <w:rFonts w:hint="eastAsia" w:ascii="宋体" w:hAnsi="宋体" w:cs="宋体"/>
          <w:b/>
          <w:bCs/>
          <w:color w:val="000000" w:themeColor="text1"/>
          <w:szCs w:val="21"/>
          <w:highlight w:val="none"/>
          <w14:textFill>
            <w14:solidFill>
              <w14:schemeClr w14:val="tx1"/>
            </w14:solidFill>
          </w14:textFill>
        </w:rPr>
        <w:t>最后报价</w:t>
      </w:r>
    </w:p>
    <w:p w14:paraId="3D9CE7F5">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竞争性磋商文件能够详细列明采购标的的技术、服务要求的，磋商结束后，由磋商小组要求所有继续参加磋商的供应商在规定时间内提交最后报价，除本章第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条外，提交最后报价的供应商不得少于3家，否则必须重新采购。</w:t>
      </w:r>
    </w:p>
    <w:p w14:paraId="477B870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8F742DF">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70CD5B7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已经提交响应文件的供应商，在提交最后报价之前，可以根据磋商情况退出磋商，退出磋商的供应商的响应文件按无效响应处理。采购人、采购代理机构将退还退出磋商的供应商的保证金。</w:t>
      </w:r>
    </w:p>
    <w:p w14:paraId="113B117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w:t>
      </w:r>
    </w:p>
    <w:p w14:paraId="2219DA46">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最后报价开启后，磋商小组对最后报价进行有效性、完整性和响应程度的审查。</w:t>
      </w:r>
    </w:p>
    <w:p w14:paraId="54D77350">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响应文件最后报价出现前后不一致的，按照本章第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14:paraId="686FB3A1">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14:paraId="204B131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w:t>
      </w:r>
    </w:p>
    <w:p w14:paraId="7B28068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（2）经供应商确认修正后的竞标报价（包含首次报价、最后报价）超过所竞标项（分标）规定的采购预算金额或者最高限价的（如本项目公布了最高限价）；</w:t>
      </w:r>
    </w:p>
    <w:p w14:paraId="498FA3E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14:paraId="26902273">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14:paraId="0286527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14:paraId="7616A46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14:paraId="5DACEE76">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r>
        <w:rPr>
          <w:rFonts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比较与评价</w:t>
      </w:r>
    </w:p>
    <w:p w14:paraId="4E4511E3">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14:paraId="4ACC1651">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12810E00">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14:paraId="7C02D10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（1）磋商小组按照竞争性磋商文件中规定的评审标准计算各供应商的报价得分。项目评审过程中，不得去掉最后报价中的最高报价和最低报价。</w:t>
      </w:r>
    </w:p>
    <w:p w14:paraId="131A71E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14:paraId="789196B1">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044EFF56">
      <w:pPr>
        <w:spacing w:line="36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5.5</w:t>
      </w:r>
      <w:r>
        <w:rPr>
          <w:rFonts w:hint="eastAsia" w:ascii="宋体" w:hAnsi="宋体" w:cs="宋体"/>
          <w:color w:val="000000" w:themeColor="text1"/>
          <w:szCs w:val="21"/>
          <w:highlight w:val="none"/>
          <w14:textFill>
            <w14:solidFill>
              <w14:schemeClr w14:val="tx1"/>
            </w14:solidFill>
          </w14:textFill>
        </w:rPr>
        <w:t>由磋商小组根据综合评分情况，按照评审得分由高到低顺序推荐3名以上成交候选供应商，并编写评</w:t>
      </w:r>
      <w:r>
        <w:rPr>
          <w:rFonts w:hint="eastAsia" w:ascii="宋体" w:hAnsi="宋体"/>
          <w:color w:val="000000" w:themeColor="text1"/>
          <w:kern w:val="0"/>
          <w:szCs w:val="21"/>
          <w:highlight w:val="none"/>
          <w14:textFill>
            <w14:solidFill>
              <w14:schemeClr w14:val="tx1"/>
            </w14:solidFill>
          </w14:textFill>
        </w:rPr>
        <w:t>审报告。符合本章第</w:t>
      </w:r>
      <w:r>
        <w:rPr>
          <w:rFonts w:ascii="宋体" w:hAnsi="宋体"/>
          <w:color w:val="000000" w:themeColor="text1"/>
          <w:kern w:val="0"/>
          <w:szCs w:val="21"/>
          <w:highlight w:val="none"/>
          <w14:textFill>
            <w14:solidFill>
              <w14:schemeClr w14:val="tx1"/>
            </w14:solidFill>
          </w14:textFill>
        </w:rPr>
        <w:t>4.3</w:t>
      </w:r>
      <w:r>
        <w:rPr>
          <w:rFonts w:hint="eastAsia" w:ascii="宋体" w:hAnsi="宋体"/>
          <w:color w:val="000000" w:themeColor="text1"/>
          <w:kern w:val="0"/>
          <w:szCs w:val="21"/>
          <w:highlight w:val="none"/>
          <w14:textFill>
            <w14:solidFill>
              <w14:schemeClr w14:val="tx1"/>
            </w14:solidFill>
          </w14:textFill>
        </w:rPr>
        <w:t>条情形的，可以推荐2家成交候选供应商。评审得分相同的，按照最后报价由低到高的顺序推荐。</w:t>
      </w:r>
      <w:r>
        <w:rPr>
          <w:rFonts w:hint="eastAsia" w:ascii="宋体" w:hAnsi="宋体"/>
          <w:bCs/>
          <w:color w:val="000000" w:themeColor="text1"/>
          <w:szCs w:val="21"/>
          <w:highlight w:val="none"/>
          <w14:textFill>
            <w14:solidFill>
              <w14:schemeClr w14:val="tx1"/>
            </w14:solidFill>
          </w14:textFill>
        </w:rPr>
        <w:t>评审得分且最后报价相同的，按照技术指标优劣顺序推荐（按技术得分由高到低排序）。评审得分、最后报价、技术得分均相同的，由磋商小组随机抽取推荐。</w:t>
      </w:r>
    </w:p>
    <w:p w14:paraId="65A6439B">
      <w:pPr>
        <w:spacing w:line="36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5.6</w:t>
      </w:r>
      <w:r>
        <w:rPr>
          <w:rFonts w:hint="eastAsia" w:ascii="宋体" w:hAnsi="宋体"/>
          <w:color w:val="000000" w:themeColor="text1"/>
          <w:kern w:val="0"/>
          <w:szCs w:val="21"/>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7C8872">
      <w:pPr>
        <w:spacing w:line="360" w:lineRule="auto"/>
        <w:ind w:firstLine="0"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14:paraId="628B4FE9">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6.评审依据：磋商小组将以竞争性磋商文件为评审依据，对供应商的响应文件按百分制打分。（计分方法按四舍五入取至百分位）</w:t>
      </w:r>
    </w:p>
    <w:p w14:paraId="7679F352">
      <w:pPr>
        <w:adjustRightInd w:val="0"/>
        <w:snapToGrid w:val="0"/>
        <w:spacing w:line="400" w:lineRule="exact"/>
        <w:ind w:firstLine="422"/>
        <w:jc w:val="left"/>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分标1、2、3：</w:t>
      </w:r>
    </w:p>
    <w:tbl>
      <w:tblPr>
        <w:tblStyle w:val="51"/>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01"/>
        <w:gridCol w:w="1701"/>
        <w:gridCol w:w="6173"/>
      </w:tblGrid>
      <w:tr w14:paraId="3B3F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vAlign w:val="center"/>
          </w:tcPr>
          <w:p w14:paraId="158576F6">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序号</w:t>
            </w:r>
          </w:p>
        </w:tc>
        <w:tc>
          <w:tcPr>
            <w:tcW w:w="1701" w:type="dxa"/>
            <w:vAlign w:val="center"/>
          </w:tcPr>
          <w:p w14:paraId="3C3182A0">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评分因素</w:t>
            </w:r>
          </w:p>
        </w:tc>
        <w:tc>
          <w:tcPr>
            <w:tcW w:w="6173" w:type="dxa"/>
            <w:vAlign w:val="center"/>
          </w:tcPr>
          <w:p w14:paraId="526D03FF">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评分标准</w:t>
            </w:r>
          </w:p>
        </w:tc>
      </w:tr>
      <w:tr w14:paraId="5427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Align w:val="center"/>
          </w:tcPr>
          <w:p w14:paraId="6464DDEF">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1701" w:type="dxa"/>
            <w:vAlign w:val="center"/>
          </w:tcPr>
          <w:p w14:paraId="4528B395">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价格分</w:t>
            </w:r>
          </w:p>
          <w:p w14:paraId="0CA30EA4">
            <w:pPr>
              <w:adjustRightInd w:val="0"/>
              <w:spacing w:line="390" w:lineRule="exact"/>
              <w:ind w:left="-105" w:leftChars="-50" w:right="-105" w:rightChars="-50" w:firstLine="0" w:firstLineChars="0"/>
              <w:jc w:val="center"/>
              <w:textAlignment w:val="baseline"/>
              <w:rPr>
                <w:rFonts w:hAnsi="宋体"/>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（满分</w:t>
            </w:r>
            <w:r>
              <w:rPr>
                <w:rFonts w:hAnsi="宋体"/>
                <w:color w:val="000000" w:themeColor="text1"/>
                <w:highlight w:val="none"/>
                <w14:textFill>
                  <w14:solidFill>
                    <w14:schemeClr w14:val="tx1"/>
                  </w14:solidFill>
                </w14:textFill>
              </w:rPr>
              <w:t>30</w:t>
            </w:r>
            <w:r>
              <w:rPr>
                <w:rFonts w:hint="eastAsia" w:hAnsi="宋体"/>
                <w:color w:val="000000" w:themeColor="text1"/>
                <w:highlight w:val="none"/>
                <w14:textFill>
                  <w14:solidFill>
                    <w14:schemeClr w14:val="tx1"/>
                  </w14:solidFill>
                </w14:textFill>
              </w:rPr>
              <w:t>分）</w:t>
            </w:r>
          </w:p>
        </w:tc>
        <w:tc>
          <w:tcPr>
            <w:tcW w:w="1701" w:type="dxa"/>
            <w:tcMar>
              <w:left w:w="57" w:type="dxa"/>
              <w:right w:w="57" w:type="dxa"/>
            </w:tcMar>
            <w:vAlign w:val="center"/>
          </w:tcPr>
          <w:p w14:paraId="667563DF">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竞标报价</w:t>
            </w:r>
          </w:p>
        </w:tc>
        <w:tc>
          <w:tcPr>
            <w:tcW w:w="6173" w:type="dxa"/>
            <w:vAlign w:val="center"/>
          </w:tcPr>
          <w:p w14:paraId="22AB25A5">
            <w:pPr>
              <w:snapToGrid w:val="0"/>
              <w:spacing w:line="390" w:lineRule="exact"/>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（1）满足响应文件要求且竞标报价最低的竞标报价为评标基准价，其价格分为满分</w:t>
            </w:r>
            <w:r>
              <w:rPr>
                <w:rFonts w:hAnsi="宋体"/>
                <w:bCs/>
                <w:color w:val="000000" w:themeColor="text1"/>
                <w:highlight w:val="none"/>
                <w14:textFill>
                  <w14:solidFill>
                    <w14:schemeClr w14:val="tx1"/>
                  </w14:solidFill>
                </w14:textFill>
              </w:rPr>
              <w:t>30</w:t>
            </w:r>
            <w:r>
              <w:rPr>
                <w:rFonts w:hint="eastAsia" w:hAnsi="宋体"/>
                <w:bCs/>
                <w:color w:val="000000" w:themeColor="text1"/>
                <w:highlight w:val="none"/>
                <w14:textFill>
                  <w14:solidFill>
                    <w14:schemeClr w14:val="tx1"/>
                  </w14:solidFill>
                </w14:textFill>
              </w:rPr>
              <w:t>分。</w:t>
            </w:r>
          </w:p>
          <w:p w14:paraId="08138060">
            <w:pPr>
              <w:snapToGrid w:val="0"/>
              <w:spacing w:line="390" w:lineRule="exact"/>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（2）价格分计算公式：</w:t>
            </w:r>
          </w:p>
          <w:p w14:paraId="77FBD733">
            <w:pPr>
              <w:adjustRightInd w:val="0"/>
              <w:spacing w:line="390" w:lineRule="exact"/>
              <w:ind w:firstLine="420"/>
              <w:textAlignment w:val="baseline"/>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某供应商价格分=评标基准价/某供应商竞标报价×</w:t>
            </w:r>
            <w:r>
              <w:rPr>
                <w:rFonts w:hAnsi="宋体"/>
                <w:bCs/>
                <w:color w:val="000000" w:themeColor="text1"/>
                <w:highlight w:val="none"/>
                <w14:textFill>
                  <w14:solidFill>
                    <w14:schemeClr w14:val="tx1"/>
                  </w14:solidFill>
                </w14:textFill>
              </w:rPr>
              <w:t>30</w:t>
            </w:r>
            <w:r>
              <w:rPr>
                <w:rFonts w:hint="eastAsia" w:hAnsi="宋体"/>
                <w:bCs/>
                <w:color w:val="000000" w:themeColor="text1"/>
                <w:highlight w:val="none"/>
                <w14:textFill>
                  <w14:solidFill>
                    <w14:schemeClr w14:val="tx1"/>
                  </w14:solidFill>
                </w14:textFill>
              </w:rPr>
              <w:t>分。</w:t>
            </w:r>
          </w:p>
          <w:p w14:paraId="408547FD">
            <w:pPr>
              <w:topLinePunct/>
              <w:adjustRightInd w:val="0"/>
              <w:spacing w:line="390" w:lineRule="exact"/>
              <w:ind w:firstLine="420"/>
              <w:textAlignment w:val="baseline"/>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注：竞标报价是指供应商的最后竞标总报价。</w:t>
            </w:r>
          </w:p>
        </w:tc>
      </w:tr>
      <w:tr w14:paraId="0523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restart"/>
            <w:vAlign w:val="center"/>
          </w:tcPr>
          <w:p w14:paraId="228E8597">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1701" w:type="dxa"/>
            <w:vMerge w:val="restart"/>
            <w:vAlign w:val="center"/>
          </w:tcPr>
          <w:p w14:paraId="50A7B24B">
            <w:pPr>
              <w:adjustRightInd w:val="0"/>
              <w:spacing w:line="390" w:lineRule="exact"/>
              <w:ind w:left="-105" w:leftChars="-50" w:right="-105" w:rightChars="-50" w:firstLine="0" w:firstLineChars="0"/>
              <w:jc w:val="center"/>
              <w:textAlignment w:val="baseline"/>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技术分</w:t>
            </w:r>
          </w:p>
          <w:p w14:paraId="4C6FC92D">
            <w:pPr>
              <w:adjustRightInd w:val="0"/>
              <w:spacing w:line="390" w:lineRule="exact"/>
              <w:ind w:left="-105" w:leftChars="-50" w:right="-105" w:rightChars="-50" w:firstLine="0" w:firstLineChars="0"/>
              <w:jc w:val="center"/>
              <w:textAlignment w:val="baseline"/>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满分</w:t>
            </w:r>
            <w:r>
              <w:rPr>
                <w:rFonts w:hAnsi="宋体"/>
                <w:color w:val="000000" w:themeColor="text1"/>
                <w:highlight w:val="none"/>
                <w14:textFill>
                  <w14:solidFill>
                    <w14:schemeClr w14:val="tx1"/>
                  </w14:solidFill>
                </w14:textFill>
              </w:rPr>
              <w:t>55</w:t>
            </w:r>
            <w:r>
              <w:rPr>
                <w:rFonts w:hint="eastAsia" w:hAnsi="宋体"/>
                <w:bCs/>
                <w:color w:val="000000" w:themeColor="text1"/>
                <w:kern w:val="0"/>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w:t>
            </w:r>
          </w:p>
        </w:tc>
        <w:tc>
          <w:tcPr>
            <w:tcW w:w="1701" w:type="dxa"/>
            <w:tcMar>
              <w:left w:w="57" w:type="dxa"/>
              <w:right w:w="57" w:type="dxa"/>
            </w:tcMar>
            <w:vAlign w:val="center"/>
          </w:tcPr>
          <w:p w14:paraId="6B33BBA9">
            <w:pPr>
              <w:snapToGrid w:val="0"/>
              <w:spacing w:line="390" w:lineRule="exact"/>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配送服务方案分</w:t>
            </w:r>
          </w:p>
          <w:p w14:paraId="7785ACB2">
            <w:pPr>
              <w:snapToGrid w:val="0"/>
              <w:spacing w:line="390" w:lineRule="exact"/>
              <w:ind w:firstLine="0" w:firstLineChars="0"/>
              <w:jc w:val="center"/>
              <w:rPr>
                <w:rFonts w:hAnsi="宋体"/>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（满分</w:t>
            </w:r>
            <w:r>
              <w:rPr>
                <w:rFonts w:hAnsi="宋体"/>
                <w:color w:val="000000" w:themeColor="text1"/>
                <w:highlight w:val="none"/>
                <w14:textFill>
                  <w14:solidFill>
                    <w14:schemeClr w14:val="tx1"/>
                  </w14:solidFill>
                </w14:textFill>
              </w:rPr>
              <w:t>25</w:t>
            </w:r>
            <w:r>
              <w:rPr>
                <w:rFonts w:hint="eastAsia" w:hAnsi="宋体"/>
                <w:color w:val="000000" w:themeColor="text1"/>
                <w:highlight w:val="none"/>
                <w14:textFill>
                  <w14:solidFill>
                    <w14:schemeClr w14:val="tx1"/>
                  </w14:solidFill>
                </w14:textFill>
              </w:rPr>
              <w:t>分</w:t>
            </w:r>
            <w:r>
              <w:rPr>
                <w:rFonts w:hint="eastAsia" w:hAnsi="宋体"/>
                <w:color w:val="000000" w:themeColor="text1"/>
                <w:highlight w:val="none"/>
                <w14:textFill>
                  <w14:solidFill>
                    <w14:schemeClr w14:val="tx1"/>
                  </w14:solidFill>
                </w14:textFill>
              </w:rPr>
              <w:t>）</w:t>
            </w:r>
          </w:p>
        </w:tc>
        <w:tc>
          <w:tcPr>
            <w:tcW w:w="6173" w:type="dxa"/>
            <w:vAlign w:val="center"/>
          </w:tcPr>
          <w:p w14:paraId="206C5EAD">
            <w:pPr>
              <w:snapToGrid w:val="0"/>
              <w:spacing w:line="390" w:lineRule="exact"/>
              <w:ind w:firstLine="466" w:firstLineChars="222"/>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由评委根据各</w:t>
            </w:r>
            <w:r>
              <w:rPr>
                <w:rFonts w:hint="eastAsia" w:hAnsi="宋体"/>
                <w:color w:val="000000" w:themeColor="text1"/>
                <w:highlight w:val="none"/>
                <w14:textFill>
                  <w14:solidFill>
                    <w14:schemeClr w14:val="tx1"/>
                  </w14:solidFill>
                </w14:textFill>
              </w:rPr>
              <w:t>供应商提供的配送服务方案的优劣及完整、详细程度进行评审，独立打分。</w:t>
            </w:r>
          </w:p>
          <w:p w14:paraId="7878E471">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一档（0分）：未提供配送服务方案。</w:t>
            </w:r>
          </w:p>
          <w:p w14:paraId="50E0BBD6">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二档（</w:t>
            </w:r>
            <w:r>
              <w:rPr>
                <w:rFonts w:hAnsi="宋体"/>
                <w:bCs/>
                <w:color w:val="000000" w:themeColor="text1"/>
                <w:highlight w:val="none"/>
                <w14:textFill>
                  <w14:solidFill>
                    <w14:schemeClr w14:val="tx1"/>
                  </w14:solidFill>
                </w14:textFill>
              </w:rPr>
              <w:t>10</w:t>
            </w:r>
            <w:r>
              <w:rPr>
                <w:rFonts w:hint="eastAsia" w:hAnsi="宋体"/>
                <w:bCs/>
                <w:color w:val="000000" w:themeColor="text1"/>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）：配送服务方案满足采购文件基本要求，有简单的配送工作安排。</w:t>
            </w:r>
          </w:p>
          <w:p w14:paraId="1911F61C">
            <w:pPr>
              <w:snapToGrid w:val="0"/>
              <w:spacing w:line="360" w:lineRule="auto"/>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三档（</w:t>
            </w:r>
            <w:r>
              <w:rPr>
                <w:rFonts w:hAnsi="宋体"/>
                <w:bCs/>
                <w:color w:val="000000" w:themeColor="text1"/>
                <w:highlight w:val="none"/>
                <w14:textFill>
                  <w14:solidFill>
                    <w14:schemeClr w14:val="tx1"/>
                  </w14:solidFill>
                </w14:textFill>
              </w:rPr>
              <w:t>15</w:t>
            </w:r>
            <w:r>
              <w:rPr>
                <w:rFonts w:hint="eastAsia" w:hAnsi="宋体"/>
                <w:bCs/>
                <w:color w:val="000000" w:themeColor="text1"/>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）：配送</w:t>
            </w:r>
            <w:r>
              <w:rPr>
                <w:rFonts w:hint="eastAsia" w:hAnsi="宋体"/>
                <w:color w:val="000000" w:themeColor="text1"/>
                <w:highlight w:val="none"/>
                <w14:textFill>
                  <w14:solidFill>
                    <w14:schemeClr w14:val="tx1"/>
                  </w14:solidFill>
                </w14:textFill>
              </w:rPr>
              <w:t>服务</w:t>
            </w:r>
            <w:r>
              <w:rPr>
                <w:rFonts w:hint="eastAsia" w:hAnsi="宋体"/>
                <w:bCs/>
                <w:color w:val="000000" w:themeColor="text1"/>
                <w:highlight w:val="none"/>
                <w14:textFill>
                  <w14:solidFill>
                    <w14:schemeClr w14:val="tx1"/>
                  </w14:solidFill>
                </w14:textFill>
              </w:rPr>
              <w:t>方案完整</w:t>
            </w:r>
            <w:r>
              <w:rPr>
                <w:rFonts w:hint="eastAsia" w:hAnsi="宋体"/>
                <w:bCs/>
                <w:color w:val="000000" w:themeColor="text1"/>
                <w:highlight w:val="none"/>
                <w14:textFill>
                  <w14:solidFill>
                    <w14:schemeClr w14:val="tx1"/>
                  </w14:solidFill>
                </w14:textFill>
              </w:rPr>
              <w:t>、具备可行性</w:t>
            </w:r>
            <w:r>
              <w:rPr>
                <w:rFonts w:hint="eastAsia" w:hAnsi="宋体"/>
                <w:bCs/>
                <w:color w:val="000000" w:themeColor="text1"/>
                <w:highlight w:val="none"/>
                <w14:textFill>
                  <w14:solidFill>
                    <w14:schemeClr w14:val="tx1"/>
                  </w14:solidFill>
                </w14:textFill>
              </w:rPr>
              <w:t>。有</w:t>
            </w:r>
            <w:r>
              <w:rPr>
                <w:rFonts w:hint="eastAsia" w:hAnsi="宋体"/>
                <w:bCs/>
                <w:color w:val="000000" w:themeColor="text1"/>
                <w:highlight w:val="none"/>
                <w14:textFill>
                  <w14:solidFill>
                    <w14:schemeClr w14:val="tx1"/>
                  </w14:solidFill>
                </w14:textFill>
              </w:rPr>
              <w:t>基本可行</w:t>
            </w:r>
            <w:r>
              <w:rPr>
                <w:rFonts w:hint="eastAsia" w:hAnsi="宋体"/>
                <w:bCs/>
                <w:color w:val="000000" w:themeColor="text1"/>
                <w:highlight w:val="none"/>
                <w14:textFill>
                  <w14:solidFill>
                    <w14:schemeClr w14:val="tx1"/>
                  </w14:solidFill>
                </w14:textFill>
              </w:rPr>
              <w:t>配送工作安排，</w:t>
            </w:r>
            <w:r>
              <w:rPr>
                <w:rFonts w:hint="eastAsia" w:hAnsi="宋体"/>
                <w:bCs/>
                <w:color w:val="000000" w:themeColor="text1"/>
                <w:highlight w:val="none"/>
                <w14:textFill>
                  <w14:solidFill>
                    <w14:schemeClr w14:val="tx1"/>
                  </w14:solidFill>
                </w14:textFill>
              </w:rPr>
              <w:t>配送保障措施欠缺或针对性不足</w:t>
            </w:r>
            <w:r>
              <w:rPr>
                <w:rFonts w:hint="eastAsia" w:hAnsi="宋体"/>
                <w:bCs/>
                <w:color w:val="000000" w:themeColor="text1"/>
                <w:highlight w:val="none"/>
                <w14:textFill>
                  <w14:solidFill>
                    <w14:schemeClr w14:val="tx1"/>
                  </w14:solidFill>
                </w14:textFill>
              </w:rPr>
              <w:t>。</w:t>
            </w:r>
          </w:p>
          <w:p w14:paraId="13B8E4BD">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四档（</w:t>
            </w:r>
            <w:r>
              <w:rPr>
                <w:rFonts w:hAnsi="宋体"/>
                <w:bCs/>
                <w:color w:val="000000" w:themeColor="text1"/>
                <w:highlight w:val="none"/>
                <w14:textFill>
                  <w14:solidFill>
                    <w14:schemeClr w14:val="tx1"/>
                  </w14:solidFill>
                </w14:textFill>
              </w:rPr>
              <w:t>20</w:t>
            </w:r>
            <w:r>
              <w:rPr>
                <w:rFonts w:hint="eastAsia" w:hAnsi="宋体"/>
                <w:bCs/>
                <w:color w:val="000000" w:themeColor="text1"/>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）：配送</w:t>
            </w:r>
            <w:r>
              <w:rPr>
                <w:rFonts w:hint="eastAsia" w:hAnsi="宋体"/>
                <w:color w:val="000000" w:themeColor="text1"/>
                <w:highlight w:val="none"/>
                <w14:textFill>
                  <w14:solidFill>
                    <w14:schemeClr w14:val="tx1"/>
                  </w14:solidFill>
                </w14:textFill>
              </w:rPr>
              <w:t>服务</w:t>
            </w:r>
            <w:r>
              <w:rPr>
                <w:rFonts w:hint="eastAsia" w:hAnsi="宋体"/>
                <w:bCs/>
                <w:color w:val="000000" w:themeColor="text1"/>
                <w:highlight w:val="none"/>
                <w14:textFill>
                  <w14:solidFill>
                    <w14:schemeClr w14:val="tx1"/>
                  </w14:solidFill>
                </w14:textFill>
              </w:rPr>
              <w:t>方案完整、较详细、</w:t>
            </w:r>
            <w:r>
              <w:rPr>
                <w:rFonts w:hint="eastAsia" w:hAnsi="宋体"/>
                <w:bCs/>
                <w:color w:val="000000" w:themeColor="text1"/>
                <w:highlight w:val="none"/>
                <w14:textFill>
                  <w14:solidFill>
                    <w14:schemeClr w14:val="tx1"/>
                  </w14:solidFill>
                </w14:textFill>
              </w:rPr>
              <w:t>可行性佳</w:t>
            </w:r>
            <w:r>
              <w:rPr>
                <w:rFonts w:hint="eastAsia" w:hAnsi="宋体"/>
                <w:bCs/>
                <w:color w:val="000000" w:themeColor="text1"/>
                <w:highlight w:val="none"/>
                <w14:textFill>
                  <w14:solidFill>
                    <w14:schemeClr w14:val="tx1"/>
                  </w14:solidFill>
                </w14:textFill>
              </w:rPr>
              <w:t>。有</w:t>
            </w:r>
            <w:r>
              <w:rPr>
                <w:rFonts w:hint="eastAsia" w:hAnsi="宋体"/>
                <w:bCs/>
                <w:color w:val="000000" w:themeColor="text1"/>
                <w:highlight w:val="none"/>
                <w14:textFill>
                  <w14:solidFill>
                    <w14:schemeClr w14:val="tx1"/>
                  </w14:solidFill>
                </w14:textFill>
              </w:rPr>
              <w:t>较完善</w:t>
            </w:r>
            <w:r>
              <w:rPr>
                <w:rFonts w:hint="eastAsia" w:hAnsi="宋体"/>
                <w:bCs/>
                <w:color w:val="000000" w:themeColor="text1"/>
                <w:highlight w:val="none"/>
                <w14:textFill>
                  <w14:solidFill>
                    <w14:schemeClr w14:val="tx1"/>
                  </w14:solidFill>
                </w14:textFill>
              </w:rPr>
              <w:t>的配送工作安排，设置实施组织机构，承诺配备专职配送人员</w:t>
            </w:r>
            <w:r>
              <w:rPr>
                <w:rFonts w:hint="eastAsia" w:hAnsi="宋体"/>
                <w:b/>
                <w:bCs/>
                <w:color w:val="000000" w:themeColor="text1"/>
                <w:highlight w:val="none"/>
                <w14:textFill>
                  <w14:solidFill>
                    <w14:schemeClr w14:val="tx1"/>
                  </w14:solidFill>
                </w14:textFill>
              </w:rPr>
              <w:t>（须提供承诺函）</w:t>
            </w:r>
            <w:r>
              <w:rPr>
                <w:rFonts w:hint="eastAsia" w:hAnsi="宋体"/>
                <w:bCs/>
                <w:color w:val="000000" w:themeColor="text1"/>
                <w:highlight w:val="none"/>
                <w14:textFill>
                  <w14:solidFill>
                    <w14:schemeClr w14:val="tx1"/>
                  </w14:solidFill>
                </w14:textFill>
              </w:rPr>
              <w:t>，配送保障措施具体有效、有针对性。</w:t>
            </w:r>
          </w:p>
          <w:p w14:paraId="7ED35445">
            <w:pPr>
              <w:snapToGrid w:val="0"/>
              <w:spacing w:line="390" w:lineRule="exact"/>
              <w:ind w:firstLine="466" w:firstLineChars="222"/>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五档（</w:t>
            </w:r>
            <w:r>
              <w:rPr>
                <w:rFonts w:hAnsi="宋体"/>
                <w:bCs/>
                <w:color w:val="000000" w:themeColor="text1"/>
                <w:highlight w:val="none"/>
                <w14:textFill>
                  <w14:solidFill>
                    <w14:schemeClr w14:val="tx1"/>
                  </w14:solidFill>
                </w14:textFill>
              </w:rPr>
              <w:t>25</w:t>
            </w:r>
            <w:r>
              <w:rPr>
                <w:rFonts w:hint="eastAsia" w:hAnsi="宋体"/>
                <w:bCs/>
                <w:color w:val="000000" w:themeColor="text1"/>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）：配送</w:t>
            </w:r>
            <w:r>
              <w:rPr>
                <w:rFonts w:hint="eastAsia" w:hAnsi="宋体"/>
                <w:color w:val="000000" w:themeColor="text1"/>
                <w:highlight w:val="none"/>
                <w14:textFill>
                  <w14:solidFill>
                    <w14:schemeClr w14:val="tx1"/>
                  </w14:solidFill>
                </w14:textFill>
              </w:rPr>
              <w:t>服务</w:t>
            </w:r>
            <w:r>
              <w:rPr>
                <w:rFonts w:hint="eastAsia" w:hAnsi="宋体"/>
                <w:bCs/>
                <w:color w:val="000000" w:themeColor="text1"/>
                <w:highlight w:val="none"/>
                <w14:textFill>
                  <w14:solidFill>
                    <w14:schemeClr w14:val="tx1"/>
                  </w14:solidFill>
                </w14:textFill>
              </w:rPr>
              <w:t>方案详细、完善、考虑周全。有完善的配送工作安排，熟悉采购人需求，配送工作计划周密，实施组织机构健全，承诺配备专职配送人员</w:t>
            </w:r>
            <w:r>
              <w:rPr>
                <w:rFonts w:hint="eastAsia" w:hAnsi="宋体"/>
                <w:b/>
                <w:bCs/>
                <w:color w:val="000000" w:themeColor="text1"/>
                <w:highlight w:val="none"/>
                <w14:textFill>
                  <w14:solidFill>
                    <w14:schemeClr w14:val="tx1"/>
                  </w14:solidFill>
                </w14:textFill>
              </w:rPr>
              <w:t>（须提供承诺函）</w:t>
            </w:r>
            <w:r>
              <w:rPr>
                <w:rFonts w:hint="eastAsia" w:hAnsi="宋体"/>
                <w:bCs/>
                <w:color w:val="000000" w:themeColor="text1"/>
                <w:highlight w:val="none"/>
                <w14:textFill>
                  <w14:solidFill>
                    <w14:schemeClr w14:val="tx1"/>
                  </w14:solidFill>
                </w14:textFill>
              </w:rPr>
              <w:t>，配送及时性有保障、能详细说明配送各阶段的工作安排，方案切合项目实际、针对性强。</w:t>
            </w:r>
          </w:p>
          <w:p w14:paraId="562283B2">
            <w:pPr>
              <w:snapToGrid w:val="0"/>
              <w:spacing w:line="390" w:lineRule="exact"/>
              <w:ind w:firstLine="468" w:firstLineChars="222"/>
              <w:rPr>
                <w:rFonts w:hAnsi="宋体"/>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注：上述承诺函须承诺配备专职配送人员送货，并承诺在签订合同后两周内提供专职配送人员的相关资料（如委托书、身份证复印件等），作为备查。承诺专职配送人员须将货物送达采购人指定地点并负责搬运、卸货、上架至指定位置。此外，还须承诺在合同执行过程中，未经采购人同意，供应商未配备专职配送人员送货的，采购人有权拒收货物，达三次及以上的，从第三次起每次按当批货物金额的10%计算违约金。供应商提供的承诺函不满足上述要求的，视为无效，不予认可其配备专职配送人员的承诺。</w:t>
            </w:r>
          </w:p>
        </w:tc>
      </w:tr>
      <w:tr w14:paraId="4787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62" w:type="dxa"/>
            <w:vMerge w:val="continue"/>
            <w:vAlign w:val="center"/>
          </w:tcPr>
          <w:p w14:paraId="3348E055">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p>
        </w:tc>
        <w:tc>
          <w:tcPr>
            <w:tcW w:w="1701" w:type="dxa"/>
            <w:vMerge w:val="continue"/>
            <w:vAlign w:val="center"/>
          </w:tcPr>
          <w:p w14:paraId="0DD2EE41">
            <w:pPr>
              <w:adjustRightInd w:val="0"/>
              <w:spacing w:line="390" w:lineRule="exact"/>
              <w:ind w:left="-105" w:leftChars="-50" w:right="-105" w:rightChars="-50" w:firstLine="0" w:firstLineChars="0"/>
              <w:jc w:val="center"/>
              <w:textAlignment w:val="baseline"/>
              <w:rPr>
                <w:rFonts w:hAnsi="宋体"/>
                <w:bCs/>
                <w:color w:val="000000" w:themeColor="text1"/>
                <w:highlight w:val="none"/>
                <w14:textFill>
                  <w14:solidFill>
                    <w14:schemeClr w14:val="tx1"/>
                  </w14:solidFill>
                </w14:textFill>
              </w:rPr>
            </w:pPr>
          </w:p>
        </w:tc>
        <w:tc>
          <w:tcPr>
            <w:tcW w:w="1701" w:type="dxa"/>
            <w:tcMar>
              <w:left w:w="57" w:type="dxa"/>
              <w:right w:w="57" w:type="dxa"/>
            </w:tcMar>
            <w:vAlign w:val="center"/>
          </w:tcPr>
          <w:p w14:paraId="032B2078">
            <w:pPr>
              <w:snapToGrid w:val="0"/>
              <w:spacing w:line="390" w:lineRule="exact"/>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售后服务方案分</w:t>
            </w:r>
          </w:p>
          <w:p w14:paraId="6ED15DB2">
            <w:pPr>
              <w:snapToGrid w:val="0"/>
              <w:spacing w:line="39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（满分</w:t>
            </w:r>
            <w:r>
              <w:rPr>
                <w:rFonts w:hAnsi="宋体"/>
                <w:color w:val="000000" w:themeColor="text1"/>
                <w:highlight w:val="none"/>
                <w14:textFill>
                  <w14:solidFill>
                    <w14:schemeClr w14:val="tx1"/>
                  </w14:solidFill>
                </w14:textFill>
              </w:rPr>
              <w:t>15</w:t>
            </w:r>
            <w:r>
              <w:rPr>
                <w:rFonts w:hint="eastAsia" w:hAnsi="宋体"/>
                <w:bCs/>
                <w:color w:val="000000" w:themeColor="text1"/>
                <w:kern w:val="0"/>
                <w:highlight w:val="none"/>
                <w14:textFill>
                  <w14:solidFill>
                    <w14:schemeClr w14:val="tx1"/>
                  </w14:solidFill>
                </w14:textFill>
              </w:rPr>
              <w:t>分</w:t>
            </w:r>
            <w:r>
              <w:rPr>
                <w:rFonts w:hint="eastAsia" w:hAnsi="宋体"/>
                <w:color w:val="000000" w:themeColor="text1"/>
                <w:highlight w:val="none"/>
                <w14:textFill>
                  <w14:solidFill>
                    <w14:schemeClr w14:val="tx1"/>
                  </w14:solidFill>
                </w14:textFill>
              </w:rPr>
              <w:t>）</w:t>
            </w:r>
          </w:p>
        </w:tc>
        <w:tc>
          <w:tcPr>
            <w:tcW w:w="6173" w:type="dxa"/>
            <w:vAlign w:val="center"/>
          </w:tcPr>
          <w:p w14:paraId="0974AEEC">
            <w:pPr>
              <w:snapToGrid w:val="0"/>
              <w:spacing w:line="390" w:lineRule="exact"/>
              <w:ind w:firstLine="466" w:firstLineChars="222"/>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由评委根据各</w:t>
            </w:r>
            <w:r>
              <w:rPr>
                <w:rFonts w:hint="eastAsia" w:hAnsi="宋体"/>
                <w:color w:val="000000" w:themeColor="text1"/>
                <w:highlight w:val="none"/>
                <w14:textFill>
                  <w14:solidFill>
                    <w14:schemeClr w14:val="tx1"/>
                  </w14:solidFill>
                </w14:textFill>
              </w:rPr>
              <w:t>供应商提供的售后服务方案[</w:t>
            </w:r>
            <w:r>
              <w:rPr>
                <w:rFonts w:hint="eastAsia" w:hAnsi="宋体"/>
                <w:color w:val="000000" w:themeColor="text1"/>
                <w:highlight w:val="none"/>
                <w14:textFill>
                  <w14:solidFill>
                    <w14:schemeClr w14:val="tx1"/>
                  </w14:solidFill>
                </w14:textFill>
              </w:rPr>
              <w:t>药品</w:t>
            </w:r>
            <w:r>
              <w:rPr>
                <w:rFonts w:hint="eastAsia" w:ascii="宋体" w:hAnsi="宋体"/>
                <w:bCs/>
                <w:color w:val="000000" w:themeColor="text1"/>
                <w:szCs w:val="21"/>
                <w:highlight w:val="none"/>
                <w14:textFill>
                  <w14:solidFill>
                    <w14:schemeClr w14:val="tx1"/>
                  </w14:solidFill>
                </w14:textFill>
              </w:rPr>
              <w:t>防护容器回收</w:t>
            </w:r>
            <w:r>
              <w:rPr>
                <w:rFonts w:hint="eastAsia" w:hAnsi="宋体"/>
                <w:color w:val="000000" w:themeColor="text1"/>
                <w:highlight w:val="none"/>
                <w14:textFill>
                  <w14:solidFill>
                    <w14:schemeClr w14:val="tx1"/>
                  </w14:solidFill>
                </w14:textFill>
              </w:rPr>
              <w:t>方案</w:t>
            </w:r>
            <w:r>
              <w:rPr>
                <w:rFonts w:hint="eastAsia" w:hAnsi="宋体"/>
                <w:color w:val="000000" w:themeColor="text1"/>
                <w:highlight w:val="none"/>
                <w14:textFill>
                  <w14:solidFill>
                    <w14:schemeClr w14:val="tx1"/>
                  </w14:solidFill>
                </w14:textFill>
              </w:rPr>
              <w:t>、质量问题出现解决方案、是否明确售后服务</w:t>
            </w:r>
            <w:r>
              <w:rPr>
                <w:rFonts w:hint="eastAsia" w:hAnsi="宋体"/>
                <w:bCs/>
                <w:color w:val="000000" w:themeColor="text1"/>
                <w:highlight w:val="none"/>
                <w14:textFill>
                  <w14:solidFill>
                    <w14:schemeClr w14:val="tx1"/>
                  </w14:solidFill>
                </w14:textFill>
              </w:rPr>
              <w:t>唯一对接人</w:t>
            </w:r>
            <w:r>
              <w:rPr>
                <w:rFonts w:hint="eastAsia" w:hAnsi="宋体"/>
                <w:color w:val="000000" w:themeColor="text1"/>
                <w:highlight w:val="none"/>
                <w14:textFill>
                  <w14:solidFill>
                    <w14:schemeClr w14:val="tx1"/>
                  </w14:solidFill>
                </w14:textFill>
              </w:rPr>
              <w:t>、服务体系等方面内容的优劣及完整、详细程度]进行评审，独立打分。</w:t>
            </w:r>
          </w:p>
          <w:p w14:paraId="5C67390C">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一档（0分）：未提供</w:t>
            </w:r>
            <w:r>
              <w:rPr>
                <w:rFonts w:hint="eastAsia" w:hAnsi="宋体"/>
                <w:color w:val="000000" w:themeColor="text1"/>
                <w:highlight w:val="none"/>
                <w14:textFill>
                  <w14:solidFill>
                    <w14:schemeClr w14:val="tx1"/>
                  </w14:solidFill>
                </w14:textFill>
              </w:rPr>
              <w:t>售后服务方案</w:t>
            </w:r>
            <w:r>
              <w:rPr>
                <w:rFonts w:hint="eastAsia" w:hAnsi="宋体"/>
                <w:bCs/>
                <w:color w:val="000000" w:themeColor="text1"/>
                <w:highlight w:val="none"/>
                <w14:textFill>
                  <w14:solidFill>
                    <w14:schemeClr w14:val="tx1"/>
                  </w14:solidFill>
                </w14:textFill>
              </w:rPr>
              <w:t>。</w:t>
            </w:r>
          </w:p>
          <w:p w14:paraId="7F046CBA">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二档（</w:t>
            </w:r>
            <w:r>
              <w:rPr>
                <w:rFonts w:hAnsi="宋体"/>
                <w:bCs/>
                <w:color w:val="000000" w:themeColor="text1"/>
                <w:highlight w:val="none"/>
                <w14:textFill>
                  <w14:solidFill>
                    <w14:schemeClr w14:val="tx1"/>
                  </w14:solidFill>
                </w14:textFill>
              </w:rPr>
              <w:t>6</w:t>
            </w:r>
            <w:r>
              <w:rPr>
                <w:rFonts w:hint="eastAsia" w:hAnsi="宋体"/>
                <w:bCs/>
                <w:color w:val="000000" w:themeColor="text1"/>
                <w:kern w:val="0"/>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）：提供有简单的</w:t>
            </w:r>
            <w:r>
              <w:rPr>
                <w:rFonts w:hint="eastAsia" w:hAnsi="宋体"/>
                <w:color w:val="000000" w:themeColor="text1"/>
                <w:highlight w:val="none"/>
                <w14:textFill>
                  <w14:solidFill>
                    <w14:schemeClr w14:val="tx1"/>
                  </w14:solidFill>
                </w14:textFill>
              </w:rPr>
              <w:t>药品</w:t>
            </w:r>
            <w:r>
              <w:rPr>
                <w:rFonts w:hint="eastAsia" w:ascii="宋体" w:hAnsi="宋体"/>
                <w:bCs/>
                <w:color w:val="000000" w:themeColor="text1"/>
                <w:szCs w:val="21"/>
                <w:highlight w:val="none"/>
                <w14:textFill>
                  <w14:solidFill>
                    <w14:schemeClr w14:val="tx1"/>
                  </w14:solidFill>
                </w14:textFill>
              </w:rPr>
              <w:t>防护容器回收</w:t>
            </w:r>
            <w:r>
              <w:rPr>
                <w:rFonts w:hint="eastAsia" w:hAnsi="宋体"/>
                <w:color w:val="000000" w:themeColor="text1"/>
                <w:highlight w:val="none"/>
                <w14:textFill>
                  <w14:solidFill>
                    <w14:schemeClr w14:val="tx1"/>
                  </w14:solidFill>
                </w14:textFill>
              </w:rPr>
              <w:t>方案</w:t>
            </w:r>
            <w:r>
              <w:rPr>
                <w:rFonts w:hint="eastAsia" w:hAnsi="宋体"/>
                <w:color w:val="000000" w:themeColor="text1"/>
                <w:highlight w:val="none"/>
                <w14:textFill>
                  <w14:solidFill>
                    <w14:schemeClr w14:val="tx1"/>
                  </w14:solidFill>
                </w14:textFill>
              </w:rPr>
              <w:t>及质量问题出现解决方案</w:t>
            </w:r>
            <w:r>
              <w:rPr>
                <w:rFonts w:hint="eastAsia" w:hAnsi="宋体"/>
                <w:bCs/>
                <w:color w:val="000000" w:themeColor="text1"/>
                <w:highlight w:val="none"/>
                <w14:textFill>
                  <w14:solidFill>
                    <w14:schemeClr w14:val="tx1"/>
                  </w14:solidFill>
                </w14:textFill>
              </w:rPr>
              <w:t>，未明确售后服务唯一对接人。</w:t>
            </w:r>
          </w:p>
          <w:p w14:paraId="67CC26EF">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三档（</w:t>
            </w:r>
            <w:r>
              <w:rPr>
                <w:rFonts w:hAnsi="宋体"/>
                <w:bCs/>
                <w:color w:val="000000" w:themeColor="text1"/>
                <w:highlight w:val="none"/>
                <w14:textFill>
                  <w14:solidFill>
                    <w14:schemeClr w14:val="tx1"/>
                  </w14:solidFill>
                </w14:textFill>
              </w:rPr>
              <w:t>9</w:t>
            </w:r>
            <w:r>
              <w:rPr>
                <w:rFonts w:hint="eastAsia" w:hAnsi="宋体"/>
                <w:bCs/>
                <w:color w:val="000000" w:themeColor="text1"/>
                <w:kern w:val="0"/>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）：提供有较详细的</w:t>
            </w:r>
            <w:r>
              <w:rPr>
                <w:rFonts w:hint="eastAsia" w:hAnsi="宋体"/>
                <w:color w:val="000000" w:themeColor="text1"/>
                <w:highlight w:val="none"/>
                <w14:textFill>
                  <w14:solidFill>
                    <w14:schemeClr w14:val="tx1"/>
                  </w14:solidFill>
                </w14:textFill>
              </w:rPr>
              <w:t>药品</w:t>
            </w:r>
            <w:r>
              <w:rPr>
                <w:rFonts w:hint="eastAsia" w:ascii="宋体" w:hAnsi="宋体"/>
                <w:bCs/>
                <w:color w:val="000000" w:themeColor="text1"/>
                <w:szCs w:val="21"/>
                <w:highlight w:val="none"/>
                <w14:textFill>
                  <w14:solidFill>
                    <w14:schemeClr w14:val="tx1"/>
                  </w14:solidFill>
                </w14:textFill>
              </w:rPr>
              <w:t>防护容器回收</w:t>
            </w:r>
            <w:r>
              <w:rPr>
                <w:rFonts w:hint="eastAsia" w:hAnsi="宋体"/>
                <w:color w:val="000000" w:themeColor="text1"/>
                <w:highlight w:val="none"/>
                <w14:textFill>
                  <w14:solidFill>
                    <w14:schemeClr w14:val="tx1"/>
                  </w14:solidFill>
                </w14:textFill>
              </w:rPr>
              <w:t>方案</w:t>
            </w:r>
            <w:r>
              <w:rPr>
                <w:rFonts w:hint="eastAsia" w:hAnsi="宋体"/>
                <w:color w:val="000000" w:themeColor="text1"/>
                <w:highlight w:val="none"/>
                <w14:textFill>
                  <w14:solidFill>
                    <w14:schemeClr w14:val="tx1"/>
                  </w14:solidFill>
                </w14:textFill>
              </w:rPr>
              <w:t>及质量问题出现解决方案</w:t>
            </w:r>
            <w:r>
              <w:rPr>
                <w:rFonts w:hint="eastAsia" w:hAnsi="宋体"/>
                <w:bCs/>
                <w:color w:val="000000" w:themeColor="text1"/>
                <w:highlight w:val="none"/>
                <w14:textFill>
                  <w14:solidFill>
                    <w14:schemeClr w14:val="tx1"/>
                  </w14:solidFill>
                </w14:textFill>
              </w:rPr>
              <w:t>，售后支持力量薄弱，明确售后服务唯一对接人。</w:t>
            </w:r>
          </w:p>
          <w:p w14:paraId="1DFE9956">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四档（</w:t>
            </w:r>
            <w:r>
              <w:rPr>
                <w:rFonts w:hAnsi="宋体"/>
                <w:bCs/>
                <w:color w:val="000000" w:themeColor="text1"/>
                <w:highlight w:val="none"/>
                <w14:textFill>
                  <w14:solidFill>
                    <w14:schemeClr w14:val="tx1"/>
                  </w14:solidFill>
                </w14:textFill>
              </w:rPr>
              <w:t>12</w:t>
            </w:r>
            <w:r>
              <w:rPr>
                <w:rFonts w:hint="eastAsia" w:hAnsi="宋体"/>
                <w:bCs/>
                <w:color w:val="000000" w:themeColor="text1"/>
                <w:kern w:val="0"/>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）：提供有详细、可行的</w:t>
            </w:r>
            <w:r>
              <w:rPr>
                <w:rFonts w:hint="eastAsia" w:hAnsi="宋体"/>
                <w:color w:val="000000" w:themeColor="text1"/>
                <w:highlight w:val="none"/>
                <w14:textFill>
                  <w14:solidFill>
                    <w14:schemeClr w14:val="tx1"/>
                  </w14:solidFill>
                </w14:textFill>
              </w:rPr>
              <w:t>药品</w:t>
            </w:r>
            <w:r>
              <w:rPr>
                <w:rFonts w:hint="eastAsia" w:ascii="宋体" w:hAnsi="宋体"/>
                <w:bCs/>
                <w:color w:val="000000" w:themeColor="text1"/>
                <w:szCs w:val="21"/>
                <w:highlight w:val="none"/>
                <w14:textFill>
                  <w14:solidFill>
                    <w14:schemeClr w14:val="tx1"/>
                  </w14:solidFill>
                </w14:textFill>
              </w:rPr>
              <w:t>防护容器回收</w:t>
            </w:r>
            <w:r>
              <w:rPr>
                <w:rFonts w:hint="eastAsia" w:hAnsi="宋体"/>
                <w:color w:val="000000" w:themeColor="text1"/>
                <w:highlight w:val="none"/>
                <w14:textFill>
                  <w14:solidFill>
                    <w14:schemeClr w14:val="tx1"/>
                  </w14:solidFill>
                </w14:textFill>
              </w:rPr>
              <w:t>方案</w:t>
            </w:r>
            <w:r>
              <w:rPr>
                <w:rFonts w:hint="eastAsia" w:hAnsi="宋体"/>
                <w:color w:val="000000" w:themeColor="text1"/>
                <w:highlight w:val="none"/>
                <w14:textFill>
                  <w14:solidFill>
                    <w14:schemeClr w14:val="tx1"/>
                  </w14:solidFill>
                </w14:textFill>
              </w:rPr>
              <w:t>及质量问题出现解决方案</w:t>
            </w:r>
            <w:r>
              <w:rPr>
                <w:rFonts w:hint="eastAsia" w:hAnsi="宋体"/>
                <w:bCs/>
                <w:color w:val="000000" w:themeColor="text1"/>
                <w:highlight w:val="none"/>
                <w14:textFill>
                  <w14:solidFill>
                    <w14:schemeClr w14:val="tx1"/>
                  </w14:solidFill>
                </w14:textFill>
              </w:rPr>
              <w:t>，质量问题解决措施有针对性，明确售后服务唯一对接人（提供身份证及联系方式），售后支持力量较可靠。</w:t>
            </w:r>
          </w:p>
          <w:p w14:paraId="76C6E68F">
            <w:pPr>
              <w:adjustRightInd w:val="0"/>
              <w:spacing w:line="390" w:lineRule="exact"/>
              <w:ind w:firstLine="420" w:firstLineChars="0"/>
              <w:textAlignment w:val="baseline"/>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五档（</w:t>
            </w:r>
            <w:r>
              <w:rPr>
                <w:rFonts w:hAnsi="宋体"/>
                <w:bCs/>
                <w:color w:val="000000" w:themeColor="text1"/>
                <w:highlight w:val="none"/>
                <w14:textFill>
                  <w14:solidFill>
                    <w14:schemeClr w14:val="tx1"/>
                  </w14:solidFill>
                </w14:textFill>
              </w:rPr>
              <w:t>15</w:t>
            </w:r>
            <w:r>
              <w:rPr>
                <w:rFonts w:hint="eastAsia" w:hAnsi="宋体"/>
                <w:bCs/>
                <w:color w:val="000000" w:themeColor="text1"/>
                <w:kern w:val="0"/>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）：提供有详细、符合项目实际的</w:t>
            </w:r>
            <w:r>
              <w:rPr>
                <w:rFonts w:hint="eastAsia" w:hAnsi="宋体"/>
                <w:color w:val="000000" w:themeColor="text1"/>
                <w:highlight w:val="none"/>
                <w14:textFill>
                  <w14:solidFill>
                    <w14:schemeClr w14:val="tx1"/>
                  </w14:solidFill>
                </w14:textFill>
              </w:rPr>
              <w:t>药品</w:t>
            </w:r>
            <w:r>
              <w:rPr>
                <w:rFonts w:hint="eastAsia" w:ascii="宋体" w:hAnsi="宋体"/>
                <w:bCs/>
                <w:color w:val="000000" w:themeColor="text1"/>
                <w:szCs w:val="21"/>
                <w:highlight w:val="none"/>
                <w14:textFill>
                  <w14:solidFill>
                    <w14:schemeClr w14:val="tx1"/>
                  </w14:solidFill>
                </w14:textFill>
              </w:rPr>
              <w:t>防护容器回收</w:t>
            </w:r>
            <w:r>
              <w:rPr>
                <w:rFonts w:hint="eastAsia" w:hAnsi="宋体"/>
                <w:color w:val="000000" w:themeColor="text1"/>
                <w:highlight w:val="none"/>
                <w14:textFill>
                  <w14:solidFill>
                    <w14:schemeClr w14:val="tx1"/>
                  </w14:solidFill>
                </w14:textFill>
              </w:rPr>
              <w:t>方案</w:t>
            </w:r>
            <w:r>
              <w:rPr>
                <w:rFonts w:hint="eastAsia" w:hAnsi="宋体"/>
                <w:color w:val="000000" w:themeColor="text1"/>
                <w:highlight w:val="none"/>
                <w14:textFill>
                  <w14:solidFill>
                    <w14:schemeClr w14:val="tx1"/>
                  </w14:solidFill>
                </w14:textFill>
              </w:rPr>
              <w:t>及质量问题出现解决方案</w:t>
            </w:r>
            <w:r>
              <w:rPr>
                <w:rFonts w:hint="eastAsia" w:hAnsi="宋体"/>
                <w:bCs/>
                <w:color w:val="000000" w:themeColor="text1"/>
                <w:highlight w:val="none"/>
                <w14:textFill>
                  <w14:solidFill>
                    <w14:schemeClr w14:val="tx1"/>
                  </w14:solidFill>
                </w14:textFill>
              </w:rPr>
              <w:t>，质量问题解决措施针对性强，明确售后服务唯一对接人（提供身份证及联系方式），售后支持力量可靠，配送及服务网点利于开展售后服务工作，服务体系完善。</w:t>
            </w:r>
          </w:p>
        </w:tc>
      </w:tr>
      <w:tr w14:paraId="69BD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436BDDBF">
            <w:pPr>
              <w:adjustRightInd w:val="0"/>
              <w:spacing w:line="390" w:lineRule="exact"/>
              <w:ind w:firstLine="0" w:firstLineChars="0"/>
              <w:jc w:val="center"/>
              <w:textAlignment w:val="baseline"/>
              <w:rPr>
                <w:rFonts w:hAnsi="宋体"/>
                <w:color w:val="000000" w:themeColor="text1"/>
                <w:highlight w:val="none"/>
                <w14:textFill>
                  <w14:solidFill>
                    <w14:schemeClr w14:val="tx1"/>
                  </w14:solidFill>
                </w14:textFill>
              </w:rPr>
            </w:pPr>
          </w:p>
        </w:tc>
        <w:tc>
          <w:tcPr>
            <w:tcW w:w="1701" w:type="dxa"/>
            <w:vMerge w:val="continue"/>
            <w:vAlign w:val="center"/>
          </w:tcPr>
          <w:p w14:paraId="1C26CC0B">
            <w:pPr>
              <w:adjustRightInd w:val="0"/>
              <w:spacing w:line="390" w:lineRule="exact"/>
              <w:ind w:left="-105" w:leftChars="-50" w:right="-105" w:rightChars="-50" w:firstLine="0" w:firstLineChars="0"/>
              <w:jc w:val="center"/>
              <w:textAlignment w:val="baseline"/>
              <w:rPr>
                <w:rFonts w:hAnsi="宋体"/>
                <w:bCs/>
                <w:color w:val="000000" w:themeColor="text1"/>
                <w:highlight w:val="none"/>
                <w14:textFill>
                  <w14:solidFill>
                    <w14:schemeClr w14:val="tx1"/>
                  </w14:solidFill>
                </w14:textFill>
              </w:rPr>
            </w:pPr>
          </w:p>
        </w:tc>
        <w:tc>
          <w:tcPr>
            <w:tcW w:w="1701" w:type="dxa"/>
            <w:tcMar>
              <w:left w:w="57" w:type="dxa"/>
              <w:right w:w="57" w:type="dxa"/>
            </w:tcMar>
            <w:vAlign w:val="center"/>
          </w:tcPr>
          <w:p w14:paraId="26693E44">
            <w:pPr>
              <w:snapToGrid w:val="0"/>
              <w:spacing w:line="390" w:lineRule="exact"/>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应急服务方案分</w:t>
            </w:r>
          </w:p>
          <w:p w14:paraId="06F60E18">
            <w:pPr>
              <w:snapToGrid w:val="0"/>
              <w:spacing w:line="390" w:lineRule="exact"/>
              <w:ind w:firstLine="0" w:firstLineChars="0"/>
              <w:jc w:val="center"/>
              <w:rPr>
                <w:rFonts w:hAnsi="宋体"/>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（满分</w:t>
            </w:r>
            <w:r>
              <w:rPr>
                <w:rFonts w:hAnsi="宋体"/>
                <w:color w:val="000000" w:themeColor="text1"/>
                <w:highlight w:val="none"/>
                <w14:textFill>
                  <w14:solidFill>
                    <w14:schemeClr w14:val="tx1"/>
                  </w14:solidFill>
                </w14:textFill>
              </w:rPr>
              <w:t>15</w:t>
            </w:r>
            <w:r>
              <w:rPr>
                <w:rFonts w:hint="eastAsia" w:hAnsi="宋体"/>
                <w:color w:val="000000" w:themeColor="text1"/>
                <w:highlight w:val="none"/>
                <w14:textFill>
                  <w14:solidFill>
                    <w14:schemeClr w14:val="tx1"/>
                  </w14:solidFill>
                </w14:textFill>
              </w:rPr>
              <w:t>分）</w:t>
            </w:r>
          </w:p>
        </w:tc>
        <w:tc>
          <w:tcPr>
            <w:tcW w:w="6173" w:type="dxa"/>
            <w:vAlign w:val="center"/>
          </w:tcPr>
          <w:p w14:paraId="18A540BA">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由评委根据各</w:t>
            </w:r>
            <w:r>
              <w:rPr>
                <w:rFonts w:hint="eastAsia" w:hAnsi="宋体"/>
                <w:color w:val="000000" w:themeColor="text1"/>
                <w:highlight w:val="none"/>
                <w14:textFill>
                  <w14:solidFill>
                    <w14:schemeClr w14:val="tx1"/>
                  </w14:solidFill>
                </w14:textFill>
              </w:rPr>
              <w:t>供应商</w:t>
            </w:r>
            <w:r>
              <w:rPr>
                <w:rFonts w:hint="eastAsia" w:hAnsi="宋体"/>
                <w:bCs/>
                <w:color w:val="000000" w:themeColor="text1"/>
                <w:highlight w:val="none"/>
                <w14:textFill>
                  <w14:solidFill>
                    <w14:schemeClr w14:val="tx1"/>
                  </w14:solidFill>
                </w14:textFill>
              </w:rPr>
              <w:t>提供的应急服务方案（包括但不限于</w:t>
            </w:r>
            <w:r>
              <w:rPr>
                <w:rFonts w:hint="eastAsia" w:hAnsi="宋体"/>
                <w:bCs/>
                <w:color w:val="000000" w:themeColor="text1"/>
                <w:highlight w:val="none"/>
                <w14:textFill>
                  <w14:solidFill>
                    <w14:schemeClr w14:val="tx1"/>
                  </w14:solidFill>
                </w14:textFill>
              </w:rPr>
              <w:t>特殊情况需紧急到现场协助采购人处理</w:t>
            </w:r>
            <w:r>
              <w:rPr>
                <w:rFonts w:hint="eastAsia" w:ascii="宋体" w:hAnsi="宋体"/>
                <w:bCs/>
                <w:color w:val="000000" w:themeColor="text1"/>
                <w:szCs w:val="21"/>
                <w:highlight w:val="none"/>
                <w14:textFill>
                  <w14:solidFill>
                    <w14:schemeClr w14:val="tx1"/>
                  </w14:solidFill>
                </w14:textFill>
              </w:rPr>
              <w:t>使用放射性药品过程中发现或发生的问题</w:t>
            </w:r>
            <w:r>
              <w:rPr>
                <w:rFonts w:hint="eastAsia" w:hAnsi="宋体"/>
                <w:bCs/>
                <w:color w:val="000000" w:themeColor="text1"/>
                <w:highlight w:val="none"/>
                <w14:textFill>
                  <w14:solidFill>
                    <w14:schemeClr w14:val="tx1"/>
                  </w14:solidFill>
                </w14:textFill>
              </w:rPr>
              <w:t>、运送车辆故障等特殊情况导致无法及时供货、药品放射性泄露等</w:t>
            </w:r>
            <w:r>
              <w:rPr>
                <w:rFonts w:hint="eastAsia" w:hAnsi="宋体"/>
                <w:bCs/>
                <w:color w:val="000000" w:themeColor="text1"/>
                <w:highlight w:val="none"/>
                <w14:textFill>
                  <w14:solidFill>
                    <w14:schemeClr w14:val="tx1"/>
                  </w14:solidFill>
                </w14:textFill>
              </w:rPr>
              <w:t>情况）的可行性、完善性等方面内容进行评审，独立打分。</w:t>
            </w:r>
          </w:p>
          <w:p w14:paraId="16B0F06C">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一档（0分）：未提供应急服务方案。</w:t>
            </w:r>
          </w:p>
          <w:p w14:paraId="1D041257">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二档（</w:t>
            </w:r>
            <w:r>
              <w:rPr>
                <w:rFonts w:hAnsi="宋体"/>
                <w:bCs/>
                <w:color w:val="000000" w:themeColor="text1"/>
                <w:highlight w:val="none"/>
                <w14:textFill>
                  <w14:solidFill>
                    <w14:schemeClr w14:val="tx1"/>
                  </w14:solidFill>
                </w14:textFill>
              </w:rPr>
              <w:t>5</w:t>
            </w:r>
            <w:r>
              <w:rPr>
                <w:rFonts w:hint="eastAsia" w:hAnsi="宋体"/>
                <w:bCs/>
                <w:color w:val="000000" w:themeColor="text1"/>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提供有简单的应急服务方案</w:t>
            </w:r>
            <w:r>
              <w:rPr>
                <w:rFonts w:hint="eastAsia" w:hAnsi="宋体"/>
                <w:bCs/>
                <w:color w:val="000000" w:themeColor="text1"/>
                <w:highlight w:val="none"/>
                <w14:textFill>
                  <w14:solidFill>
                    <w14:schemeClr w14:val="tx1"/>
                  </w14:solidFill>
                </w14:textFill>
              </w:rPr>
              <w:t>，应急服务处理预案及紧急情况应对措施缺乏针对性。</w:t>
            </w:r>
          </w:p>
          <w:p w14:paraId="40404270">
            <w:pPr>
              <w:snapToGrid w:val="0"/>
              <w:spacing w:line="390" w:lineRule="exact"/>
              <w:ind w:firstLine="466" w:firstLineChars="222"/>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三档（</w:t>
            </w:r>
            <w:r>
              <w:rPr>
                <w:rFonts w:hAnsi="宋体"/>
                <w:bCs/>
                <w:color w:val="000000" w:themeColor="text1"/>
                <w:highlight w:val="none"/>
                <w14:textFill>
                  <w14:solidFill>
                    <w14:schemeClr w14:val="tx1"/>
                  </w14:solidFill>
                </w14:textFill>
              </w:rPr>
              <w:t>10</w:t>
            </w:r>
            <w:r>
              <w:rPr>
                <w:rFonts w:hint="eastAsia" w:hAnsi="宋体"/>
                <w:bCs/>
                <w:color w:val="000000" w:themeColor="text1"/>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提供有较完善的应急服务方案，</w:t>
            </w:r>
            <w:r>
              <w:rPr>
                <w:rFonts w:hint="eastAsia" w:hAnsi="宋体"/>
                <w:bCs/>
                <w:color w:val="000000" w:themeColor="text1"/>
                <w:highlight w:val="none"/>
                <w14:textFill>
                  <w14:solidFill>
                    <w14:schemeClr w14:val="tx1"/>
                  </w14:solidFill>
                </w14:textFill>
              </w:rPr>
              <w:t>应急服务处理预案及紧急情况应对措施具备可操作性、考虑较周全，有备（存）货方案，有备用</w:t>
            </w:r>
            <w:r>
              <w:rPr>
                <w:rFonts w:hint="eastAsia"/>
                <w:color w:val="000000" w:themeColor="text1"/>
                <w:highlight w:val="none"/>
                <w14:textFill>
                  <w14:solidFill>
                    <w14:schemeClr w14:val="tx1"/>
                  </w14:solidFill>
                </w14:textFill>
              </w:rPr>
              <w:t>服务</w:t>
            </w:r>
            <w:r>
              <w:rPr>
                <w:rFonts w:hint="eastAsia" w:hAnsi="宋体"/>
                <w:bCs/>
                <w:color w:val="000000" w:themeColor="text1"/>
                <w:highlight w:val="none"/>
                <w14:textFill>
                  <w14:solidFill>
                    <w14:schemeClr w14:val="tx1"/>
                  </w14:solidFill>
                </w14:textFill>
              </w:rPr>
              <w:t>人员、车辆。</w:t>
            </w:r>
          </w:p>
          <w:p w14:paraId="114045AC">
            <w:pPr>
              <w:adjustRightInd w:val="0"/>
              <w:spacing w:line="390" w:lineRule="exact"/>
              <w:ind w:firstLine="420" w:firstLineChars="0"/>
              <w:textAlignment w:val="baseline"/>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四档（</w:t>
            </w:r>
            <w:r>
              <w:rPr>
                <w:rFonts w:hAnsi="宋体"/>
                <w:bCs/>
                <w:color w:val="000000" w:themeColor="text1"/>
                <w:highlight w:val="none"/>
                <w14:textFill>
                  <w14:solidFill>
                    <w14:schemeClr w14:val="tx1"/>
                  </w14:solidFill>
                </w14:textFill>
              </w:rPr>
              <w:t>15</w:t>
            </w:r>
            <w:r>
              <w:rPr>
                <w:rFonts w:hint="eastAsia" w:hAnsi="宋体"/>
                <w:bCs/>
                <w:color w:val="000000" w:themeColor="text1"/>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提供有完善的应急服务方案，</w:t>
            </w:r>
            <w:r>
              <w:rPr>
                <w:rFonts w:hint="eastAsia" w:hAnsi="宋体"/>
                <w:bCs/>
                <w:color w:val="000000" w:themeColor="text1"/>
                <w:highlight w:val="none"/>
                <w14:textFill>
                  <w14:solidFill>
                    <w14:schemeClr w14:val="tx1"/>
                  </w14:solidFill>
                </w14:textFill>
              </w:rPr>
              <w:t>应急服务处理预案及紧急情况应对措施有针对性，措施描述具体、考虑周全，对服务过程中可能出现的紧急情况，应对方法合理、可行，有完善的备（存）货方案，</w:t>
            </w:r>
            <w:r>
              <w:rPr>
                <w:rFonts w:hint="eastAsia" w:hAnsi="宋体"/>
                <w:bCs/>
                <w:color w:val="000000" w:themeColor="text1"/>
                <w:highlight w:val="none"/>
                <w14:textFill>
                  <w14:solidFill>
                    <w14:schemeClr w14:val="tx1"/>
                  </w14:solidFill>
                </w14:textFill>
              </w:rPr>
              <w:t>生产、配送及应急服务网点利于应急提供服务、供货及处理药品放射性泄露</w:t>
            </w:r>
            <w:r>
              <w:rPr>
                <w:rFonts w:hint="eastAsia" w:hAnsi="宋体"/>
                <w:bCs/>
                <w:color w:val="000000" w:themeColor="text1"/>
                <w:highlight w:val="none"/>
                <w14:textFill>
                  <w14:solidFill>
                    <w14:schemeClr w14:val="tx1"/>
                  </w14:solidFill>
                </w14:textFill>
              </w:rPr>
              <w:t>，有备用</w:t>
            </w:r>
            <w:r>
              <w:rPr>
                <w:rFonts w:hint="eastAsia"/>
                <w:color w:val="000000" w:themeColor="text1"/>
                <w:highlight w:val="none"/>
                <w14:textFill>
                  <w14:solidFill>
                    <w14:schemeClr w14:val="tx1"/>
                  </w14:solidFill>
                </w14:textFill>
              </w:rPr>
              <w:t>服务</w:t>
            </w:r>
            <w:r>
              <w:rPr>
                <w:rFonts w:hint="eastAsia" w:hAnsi="宋体"/>
                <w:bCs/>
                <w:color w:val="000000" w:themeColor="text1"/>
                <w:highlight w:val="none"/>
                <w14:textFill>
                  <w14:solidFill>
                    <w14:schemeClr w14:val="tx1"/>
                  </w14:solidFill>
                </w14:textFill>
              </w:rPr>
              <w:t>人员、车辆，</w:t>
            </w:r>
            <w:r>
              <w:rPr>
                <w:rFonts w:hint="eastAsia" w:hAnsi="宋体"/>
                <w:bCs/>
                <w:color w:val="000000" w:themeColor="text1"/>
                <w:highlight w:val="none"/>
                <w14:textFill>
                  <w14:solidFill>
                    <w14:schemeClr w14:val="tx1"/>
                  </w14:solidFill>
                </w14:textFill>
              </w:rPr>
              <w:t>能保障及时应急服务</w:t>
            </w:r>
            <w:r>
              <w:rPr>
                <w:rFonts w:hint="eastAsia" w:hAnsi="宋体"/>
                <w:bCs/>
                <w:color w:val="000000" w:themeColor="text1"/>
                <w:highlight w:val="none"/>
                <w14:textFill>
                  <w14:solidFill>
                    <w14:schemeClr w14:val="tx1"/>
                  </w14:solidFill>
                </w14:textFill>
              </w:rPr>
              <w:t>，应急处置保障能力强。</w:t>
            </w:r>
          </w:p>
        </w:tc>
      </w:tr>
      <w:tr w14:paraId="5DB0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restart"/>
            <w:vAlign w:val="center"/>
          </w:tcPr>
          <w:p w14:paraId="0759522B">
            <w:pPr>
              <w:spacing w:line="390" w:lineRule="exact"/>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p>
        </w:tc>
        <w:tc>
          <w:tcPr>
            <w:tcW w:w="1701" w:type="dxa"/>
            <w:vMerge w:val="restart"/>
            <w:vAlign w:val="center"/>
          </w:tcPr>
          <w:p w14:paraId="307AEEC9">
            <w:pPr>
              <w:spacing w:line="390" w:lineRule="exact"/>
              <w:ind w:firstLine="0" w:firstLineChars="0"/>
              <w:jc w:val="cente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商务分</w:t>
            </w:r>
          </w:p>
          <w:p w14:paraId="08B1F58B">
            <w:pPr>
              <w:spacing w:line="390" w:lineRule="exact"/>
              <w:ind w:firstLine="0" w:firstLineChars="0"/>
              <w:jc w:val="cente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（满分</w:t>
            </w:r>
            <w:r>
              <w:rPr>
                <w:rFonts w:hAnsi="宋体"/>
                <w:bCs/>
                <w:color w:val="000000" w:themeColor="text1"/>
                <w:highlight w:val="none"/>
                <w14:textFill>
                  <w14:solidFill>
                    <w14:schemeClr w14:val="tx1"/>
                  </w14:solidFill>
                </w14:textFill>
              </w:rPr>
              <w:t>15</w:t>
            </w:r>
            <w:r>
              <w:rPr>
                <w:rFonts w:hint="eastAsia" w:hAnsi="宋体"/>
                <w:bCs/>
                <w:color w:val="000000" w:themeColor="text1"/>
                <w:kern w:val="0"/>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w:t>
            </w:r>
          </w:p>
        </w:tc>
        <w:tc>
          <w:tcPr>
            <w:tcW w:w="1701" w:type="dxa"/>
            <w:tcMar>
              <w:left w:w="57" w:type="dxa"/>
              <w:right w:w="57" w:type="dxa"/>
            </w:tcMar>
            <w:vAlign w:val="center"/>
          </w:tcPr>
          <w:p w14:paraId="70649546">
            <w:pPr>
              <w:spacing w:line="390" w:lineRule="exact"/>
              <w:ind w:firstLine="0" w:firstLineChars="0"/>
              <w:jc w:val="cente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信誉分</w:t>
            </w:r>
          </w:p>
          <w:p w14:paraId="2E2598A2">
            <w:pPr>
              <w:spacing w:line="390" w:lineRule="exact"/>
              <w:ind w:firstLine="0" w:firstLineChars="0"/>
              <w:jc w:val="cente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（满分</w:t>
            </w:r>
            <w:r>
              <w:rPr>
                <w:rFonts w:hAnsi="宋体"/>
                <w:bCs/>
                <w:color w:val="000000" w:themeColor="text1"/>
                <w:highlight w:val="none"/>
                <w14:textFill>
                  <w14:solidFill>
                    <w14:schemeClr w14:val="tx1"/>
                  </w14:solidFill>
                </w14:textFill>
              </w:rPr>
              <w:t>3</w:t>
            </w:r>
            <w:r>
              <w:rPr>
                <w:rFonts w:hint="eastAsia" w:hAnsi="宋体"/>
                <w:bCs/>
                <w:color w:val="000000" w:themeColor="text1"/>
                <w:kern w:val="0"/>
                <w:highlight w:val="none"/>
                <w14:textFill>
                  <w14:solidFill>
                    <w14:schemeClr w14:val="tx1"/>
                  </w14:solidFill>
                </w14:textFill>
              </w:rPr>
              <w:t>分</w:t>
            </w:r>
            <w:r>
              <w:rPr>
                <w:rFonts w:hint="eastAsia" w:hAnsi="宋体"/>
                <w:bCs/>
                <w:color w:val="000000" w:themeColor="text1"/>
                <w:highlight w:val="none"/>
                <w14:textFill>
                  <w14:solidFill>
                    <w14:schemeClr w14:val="tx1"/>
                  </w14:solidFill>
                </w14:textFill>
              </w:rPr>
              <w:t>）</w:t>
            </w:r>
          </w:p>
        </w:tc>
        <w:tc>
          <w:tcPr>
            <w:tcW w:w="6173" w:type="dxa"/>
            <w:vAlign w:val="center"/>
          </w:tcPr>
          <w:p w14:paraId="168114B7">
            <w:pPr>
              <w:pStyle w:val="117"/>
              <w:spacing w:line="390" w:lineRule="exact"/>
              <w:ind w:firstLine="420" w:firstLineChars="0"/>
              <w:jc w:val="both"/>
              <w:rPr>
                <w:rFonts w:hAnsi="宋体"/>
                <w:b/>
                <w:bCs/>
                <w:color w:val="000000" w:themeColor="text1"/>
                <w:sz w:val="21"/>
                <w:highlight w:val="none"/>
                <w14:textFill>
                  <w14:solidFill>
                    <w14:schemeClr w14:val="tx1"/>
                  </w14:solidFill>
                </w14:textFill>
              </w:rPr>
            </w:pPr>
            <w:r>
              <w:rPr>
                <w:rFonts w:hint="eastAsia" w:hAnsi="宋体" w:cs="Courier New"/>
                <w:color w:val="000000" w:themeColor="text1"/>
                <w:sz w:val="21"/>
                <w:szCs w:val="21"/>
                <w:highlight w:val="none"/>
                <w14:textFill>
                  <w14:solidFill>
                    <w14:schemeClr w14:val="tx1"/>
                  </w14:solidFill>
                </w14:textFill>
              </w:rPr>
              <w:t>（</w:t>
            </w:r>
            <w:r>
              <w:rPr>
                <w:rFonts w:hAnsi="宋体" w:cs="Courier New"/>
                <w:color w:val="000000" w:themeColor="text1"/>
                <w:sz w:val="21"/>
                <w:szCs w:val="21"/>
                <w:highlight w:val="none"/>
                <w14:textFill>
                  <w14:solidFill>
                    <w14:schemeClr w14:val="tx1"/>
                  </w14:solidFill>
                </w14:textFill>
              </w:rPr>
              <w:t>1</w:t>
            </w:r>
            <w:r>
              <w:rPr>
                <w:rFonts w:hint="eastAsia" w:hAnsi="宋体" w:cs="Courier New"/>
                <w:color w:val="000000" w:themeColor="text1"/>
                <w:sz w:val="21"/>
                <w:szCs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供应商通过质量管理体系认证得</w:t>
            </w: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分，满分</w:t>
            </w: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r>
              <w:rPr>
                <w:rFonts w:hint="eastAsia" w:hAnsi="宋体"/>
                <w:b/>
                <w:bCs/>
                <w:color w:val="000000" w:themeColor="text1"/>
                <w:sz w:val="21"/>
                <w:highlight w:val="none"/>
                <w14:textFill>
                  <w14:solidFill>
                    <w14:schemeClr w14:val="tx1"/>
                  </w14:solidFill>
                </w14:textFill>
              </w:rPr>
              <w:t>（响应文件中提供有效的证书原件扫描件，否则不予计分）</w:t>
            </w:r>
          </w:p>
          <w:p w14:paraId="5568F302">
            <w:pPr>
              <w:pStyle w:val="117"/>
              <w:spacing w:line="390" w:lineRule="exact"/>
              <w:ind w:firstLine="420" w:firstLineChars="0"/>
              <w:jc w:val="both"/>
              <w:rPr>
                <w:rFonts w:hAnsi="宋体"/>
                <w:b/>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w:t>
            </w: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）供应商通过环境管理体系认证得</w:t>
            </w: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分，满分</w:t>
            </w: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r>
              <w:rPr>
                <w:rFonts w:hint="eastAsia" w:hAnsi="宋体"/>
                <w:b/>
                <w:bCs/>
                <w:color w:val="000000" w:themeColor="text1"/>
                <w:sz w:val="21"/>
                <w:highlight w:val="none"/>
                <w14:textFill>
                  <w14:solidFill>
                    <w14:schemeClr w14:val="tx1"/>
                  </w14:solidFill>
                </w14:textFill>
              </w:rPr>
              <w:t>（响应文件中提供有效的证书原件扫描件，否则不予计分）</w:t>
            </w:r>
          </w:p>
          <w:p w14:paraId="735D4F19">
            <w:pPr>
              <w:pStyle w:val="117"/>
              <w:spacing w:line="390" w:lineRule="exact"/>
              <w:ind w:firstLine="420" w:firstLineChars="0"/>
              <w:jc w:val="both"/>
              <w:rPr>
                <w:rFonts w:hAnsi="宋体"/>
                <w:b/>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w:t>
            </w:r>
            <w:r>
              <w:rPr>
                <w:rFonts w:hAnsi="宋体"/>
                <w:bCs/>
                <w:color w:val="000000" w:themeColor="text1"/>
                <w:sz w:val="21"/>
                <w:highlight w:val="none"/>
                <w14:textFill>
                  <w14:solidFill>
                    <w14:schemeClr w14:val="tx1"/>
                  </w14:solidFill>
                </w14:textFill>
              </w:rPr>
              <w:t>3</w:t>
            </w:r>
            <w:r>
              <w:rPr>
                <w:rFonts w:hint="eastAsia" w:hAnsi="宋体"/>
                <w:bCs/>
                <w:color w:val="000000" w:themeColor="text1"/>
                <w:sz w:val="21"/>
                <w:highlight w:val="none"/>
                <w14:textFill>
                  <w14:solidFill>
                    <w14:schemeClr w14:val="tx1"/>
                  </w14:solidFill>
                </w14:textFill>
              </w:rPr>
              <w:t>）供应商通过职业健康管理体系认证得</w:t>
            </w: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分，满分</w:t>
            </w: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r>
              <w:rPr>
                <w:rFonts w:hint="eastAsia" w:hAnsi="宋体"/>
                <w:b/>
                <w:bCs/>
                <w:color w:val="000000" w:themeColor="text1"/>
                <w:sz w:val="21"/>
                <w:highlight w:val="none"/>
                <w14:textFill>
                  <w14:solidFill>
                    <w14:schemeClr w14:val="tx1"/>
                  </w14:solidFill>
                </w14:textFill>
              </w:rPr>
              <w:t>（响应文件中提供有效的证书原件扫描件，否则不予计分）</w:t>
            </w:r>
          </w:p>
        </w:tc>
      </w:tr>
      <w:tr w14:paraId="5388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7CCC70A6">
            <w:pPr>
              <w:spacing w:line="390" w:lineRule="exact"/>
              <w:ind w:firstLine="0" w:firstLineChars="0"/>
              <w:jc w:val="center"/>
              <w:rPr>
                <w:rFonts w:hAnsi="宋体"/>
                <w:color w:val="000000" w:themeColor="text1"/>
                <w:highlight w:val="none"/>
                <w14:textFill>
                  <w14:solidFill>
                    <w14:schemeClr w14:val="tx1"/>
                  </w14:solidFill>
                </w14:textFill>
              </w:rPr>
            </w:pPr>
          </w:p>
        </w:tc>
        <w:tc>
          <w:tcPr>
            <w:tcW w:w="1701" w:type="dxa"/>
            <w:vMerge w:val="continue"/>
            <w:vAlign w:val="center"/>
          </w:tcPr>
          <w:p w14:paraId="4A0A9740">
            <w:pPr>
              <w:spacing w:line="390" w:lineRule="exact"/>
              <w:ind w:firstLine="0" w:firstLineChars="0"/>
              <w:jc w:val="center"/>
              <w:rPr>
                <w:rFonts w:hAnsi="宋体"/>
                <w:bCs/>
                <w:color w:val="000000" w:themeColor="text1"/>
                <w:highlight w:val="none"/>
                <w14:textFill>
                  <w14:solidFill>
                    <w14:schemeClr w14:val="tx1"/>
                  </w14:solidFill>
                </w14:textFill>
              </w:rPr>
            </w:pPr>
          </w:p>
        </w:tc>
        <w:tc>
          <w:tcPr>
            <w:tcW w:w="1701" w:type="dxa"/>
            <w:tcMar>
              <w:left w:w="57" w:type="dxa"/>
              <w:right w:w="57" w:type="dxa"/>
            </w:tcMar>
            <w:vAlign w:val="center"/>
          </w:tcPr>
          <w:p w14:paraId="3E977F6C">
            <w:pPr>
              <w:spacing w:line="390" w:lineRule="exact"/>
              <w:ind w:firstLine="0" w:firstLineChars="0"/>
              <w:jc w:val="cente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业绩分</w:t>
            </w:r>
          </w:p>
          <w:p w14:paraId="13595156">
            <w:pPr>
              <w:spacing w:line="390" w:lineRule="exact"/>
              <w:ind w:firstLine="0" w:firstLineChars="0"/>
              <w:jc w:val="cente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（满分</w:t>
            </w:r>
            <w:r>
              <w:rPr>
                <w:rFonts w:hAnsi="宋体"/>
                <w:bCs/>
                <w:color w:val="000000" w:themeColor="text1"/>
                <w:highlight w:val="none"/>
                <w14:textFill>
                  <w14:solidFill>
                    <w14:schemeClr w14:val="tx1"/>
                  </w14:solidFill>
                </w14:textFill>
              </w:rPr>
              <w:t>12</w:t>
            </w:r>
            <w:r>
              <w:rPr>
                <w:rFonts w:hint="eastAsia" w:hAnsi="宋体"/>
                <w:bCs/>
                <w:color w:val="000000" w:themeColor="text1"/>
                <w:highlight w:val="none"/>
                <w14:textFill>
                  <w14:solidFill>
                    <w14:schemeClr w14:val="tx1"/>
                  </w14:solidFill>
                </w14:textFill>
              </w:rPr>
              <w:t>分）</w:t>
            </w:r>
          </w:p>
        </w:tc>
        <w:tc>
          <w:tcPr>
            <w:tcW w:w="6173" w:type="dxa"/>
            <w:vAlign w:val="center"/>
          </w:tcPr>
          <w:p w14:paraId="01E70F3E">
            <w:pPr>
              <w:pStyle w:val="117"/>
              <w:spacing w:line="390" w:lineRule="exact"/>
              <w:ind w:firstLine="420" w:firstLineChars="0"/>
              <w:jc w:val="both"/>
              <w:rPr>
                <w:rFonts w:hAnsi="宋体"/>
                <w:bCs/>
                <w:color w:val="000000" w:themeColor="text1"/>
                <w:kern w:val="2"/>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供应商</w:t>
            </w:r>
            <w:r>
              <w:rPr>
                <w:rFonts w:hint="eastAsia" w:hAnsi="宋体"/>
                <w:bCs/>
                <w:color w:val="000000" w:themeColor="text1"/>
                <w:kern w:val="2"/>
                <w:sz w:val="21"/>
                <w:szCs w:val="21"/>
                <w:highlight w:val="none"/>
                <w14:textFill>
                  <w14:solidFill>
                    <w14:schemeClr w14:val="tx1"/>
                  </w14:solidFill>
                </w14:textFill>
              </w:rPr>
              <w:t>自202</w:t>
            </w:r>
            <w:r>
              <w:rPr>
                <w:rFonts w:hAnsi="宋体"/>
                <w:bCs/>
                <w:color w:val="000000" w:themeColor="text1"/>
                <w:kern w:val="2"/>
                <w:sz w:val="21"/>
                <w:szCs w:val="21"/>
                <w:highlight w:val="none"/>
                <w14:textFill>
                  <w14:solidFill>
                    <w14:schemeClr w14:val="tx1"/>
                  </w14:solidFill>
                </w14:textFill>
              </w:rPr>
              <w:t>2</w:t>
            </w:r>
            <w:r>
              <w:rPr>
                <w:rFonts w:hint="eastAsia" w:hAnsi="宋体"/>
                <w:bCs/>
                <w:color w:val="000000" w:themeColor="text1"/>
                <w:kern w:val="2"/>
                <w:sz w:val="21"/>
                <w:szCs w:val="21"/>
                <w:highlight w:val="none"/>
                <w14:textFill>
                  <w14:solidFill>
                    <w14:schemeClr w14:val="tx1"/>
                  </w14:solidFill>
                </w14:textFill>
              </w:rPr>
              <w:t>年1月1日以来有同类服务项目业绩（</w:t>
            </w:r>
            <w:r>
              <w:rPr>
                <w:rFonts w:hint="eastAsia" w:hAnsi="宋体"/>
                <w:b/>
                <w:bCs/>
                <w:color w:val="000000" w:themeColor="text1"/>
                <w:kern w:val="2"/>
                <w:sz w:val="21"/>
                <w:szCs w:val="21"/>
                <w:highlight w:val="none"/>
                <w14:textFill>
                  <w14:solidFill>
                    <w14:schemeClr w14:val="tx1"/>
                  </w14:solidFill>
                </w14:textFill>
              </w:rPr>
              <w:t>以响应文件中提供的合同书原件扫描件</w:t>
            </w:r>
            <w:r>
              <w:rPr>
                <w:rFonts w:hint="eastAsia" w:hAnsi="宋体"/>
                <w:b/>
                <w:color w:val="000000" w:themeColor="text1"/>
                <w:sz w:val="21"/>
                <w:szCs w:val="21"/>
                <w:highlight w:val="none"/>
                <w14:textFill>
                  <w14:solidFill>
                    <w14:schemeClr w14:val="tx1"/>
                  </w14:solidFill>
                </w14:textFill>
              </w:rPr>
              <w:t>并加盖供应商公章</w:t>
            </w:r>
            <w:r>
              <w:rPr>
                <w:rFonts w:hint="eastAsia" w:hAnsi="宋体"/>
                <w:b/>
                <w:bCs/>
                <w:color w:val="000000" w:themeColor="text1"/>
                <w:kern w:val="2"/>
                <w:sz w:val="21"/>
                <w:szCs w:val="21"/>
                <w:highlight w:val="none"/>
                <w14:textFill>
                  <w14:solidFill>
                    <w14:schemeClr w14:val="tx1"/>
                  </w14:solidFill>
                </w14:textFill>
              </w:rPr>
              <w:t>为准</w:t>
            </w:r>
            <w:r>
              <w:rPr>
                <w:rFonts w:hint="eastAsia" w:hAnsi="宋体"/>
                <w:bCs/>
                <w:color w:val="000000" w:themeColor="text1"/>
                <w:kern w:val="2"/>
                <w:sz w:val="21"/>
                <w:szCs w:val="21"/>
                <w:highlight w:val="none"/>
                <w14:textFill>
                  <w14:solidFill>
                    <w14:schemeClr w14:val="tx1"/>
                  </w14:solidFill>
                </w14:textFill>
              </w:rPr>
              <w:t>，并能清晰反映合同中的同类服务项目名称及内容，否则视为无效不予计分），每提供一份业绩合同得</w:t>
            </w:r>
            <w:r>
              <w:rPr>
                <w:rFonts w:hAnsi="宋体"/>
                <w:bCs/>
                <w:color w:val="000000" w:themeColor="text1"/>
                <w:kern w:val="2"/>
                <w:sz w:val="21"/>
                <w:szCs w:val="21"/>
                <w:highlight w:val="none"/>
                <w14:textFill>
                  <w14:solidFill>
                    <w14:schemeClr w14:val="tx1"/>
                  </w14:solidFill>
                </w14:textFill>
              </w:rPr>
              <w:t>3</w:t>
            </w:r>
            <w:r>
              <w:rPr>
                <w:rFonts w:hint="eastAsia" w:hAnsi="宋体"/>
                <w:bCs/>
                <w:color w:val="000000" w:themeColor="text1"/>
                <w:kern w:val="2"/>
                <w:sz w:val="21"/>
                <w:szCs w:val="21"/>
                <w:highlight w:val="none"/>
                <w14:textFill>
                  <w14:solidFill>
                    <w14:schemeClr w14:val="tx1"/>
                  </w14:solidFill>
                </w14:textFill>
              </w:rPr>
              <w:t>分，满分</w:t>
            </w:r>
            <w:r>
              <w:rPr>
                <w:rFonts w:hAnsi="宋体"/>
                <w:bCs/>
                <w:color w:val="000000" w:themeColor="text1"/>
                <w:kern w:val="2"/>
                <w:sz w:val="21"/>
                <w:szCs w:val="21"/>
                <w:highlight w:val="none"/>
                <w14:textFill>
                  <w14:solidFill>
                    <w14:schemeClr w14:val="tx1"/>
                  </w14:solidFill>
                </w14:textFill>
              </w:rPr>
              <w:t>12</w:t>
            </w:r>
            <w:r>
              <w:rPr>
                <w:rFonts w:hint="eastAsia" w:hAnsi="宋体"/>
                <w:bCs/>
                <w:color w:val="000000" w:themeColor="text1"/>
                <w:kern w:val="2"/>
                <w:sz w:val="21"/>
                <w:szCs w:val="21"/>
                <w:highlight w:val="none"/>
                <w14:textFill>
                  <w14:solidFill>
                    <w14:schemeClr w14:val="tx1"/>
                  </w14:solidFill>
                </w14:textFill>
              </w:rPr>
              <w:t>分。</w:t>
            </w:r>
          </w:p>
          <w:p w14:paraId="649216F9">
            <w:pPr>
              <w:pStyle w:val="117"/>
              <w:spacing w:line="390" w:lineRule="exact"/>
              <w:ind w:firstLine="420" w:firstLineChars="0"/>
              <w:jc w:val="both"/>
              <w:rPr>
                <w:rFonts w:hAnsi="宋体"/>
                <w:color w:val="000000" w:themeColor="text1"/>
                <w:sz w:val="21"/>
                <w:szCs w:val="21"/>
                <w:highlight w:val="none"/>
                <w14:textFill>
                  <w14:solidFill>
                    <w14:schemeClr w14:val="tx1"/>
                  </w14:solidFill>
                </w14:textFill>
              </w:rPr>
            </w:pPr>
            <w:r>
              <w:rPr>
                <w:rFonts w:hint="eastAsia" w:hAnsi="宋体" w:cs="Courier New"/>
                <w:b/>
                <w:color w:val="000000" w:themeColor="text1"/>
                <w:sz w:val="21"/>
                <w:szCs w:val="21"/>
                <w:highlight w:val="none"/>
                <w14:textFill>
                  <w14:solidFill>
                    <w14:schemeClr w14:val="tx1"/>
                  </w14:solidFill>
                </w14:textFill>
              </w:rPr>
              <w:t>注：合同期包含2022年1月1日及之后的业绩均认可。</w:t>
            </w:r>
          </w:p>
        </w:tc>
      </w:tr>
      <w:tr w14:paraId="5EC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7" w:type="dxa"/>
            <w:gridSpan w:val="4"/>
            <w:vAlign w:val="center"/>
          </w:tcPr>
          <w:p w14:paraId="5674ED58">
            <w:pPr>
              <w:pStyle w:val="26"/>
              <w:spacing w:line="390" w:lineRule="exact"/>
              <w:ind w:firstLine="0" w:firstLineChars="0"/>
              <w:rPr>
                <w:rFonts w:hAnsi="宋体" w:cs="Courier New"/>
                <w:bCs/>
                <w:color w:val="000000" w:themeColor="text1"/>
                <w:sz w:val="21"/>
                <w:highlight w:val="none"/>
                <w14:textFill>
                  <w14:solidFill>
                    <w14:schemeClr w14:val="tx1"/>
                  </w14:solidFill>
                </w14:textFill>
              </w:rPr>
            </w:pPr>
            <w:r>
              <w:rPr>
                <w:rFonts w:hint="eastAsia" w:hAnsi="宋体" w:cs="Courier New"/>
                <w:b/>
                <w:bCs/>
                <w:color w:val="000000" w:themeColor="text1"/>
                <w:sz w:val="21"/>
                <w:highlight w:val="none"/>
                <w14:textFill>
                  <w14:solidFill>
                    <w14:schemeClr w14:val="tx1"/>
                  </w14:solidFill>
                </w14:textFill>
              </w:rPr>
              <w:t>总得分=1+2+</w:t>
            </w:r>
            <w:r>
              <w:rPr>
                <w:rFonts w:hAnsi="宋体" w:cs="Courier New"/>
                <w:b/>
                <w:bCs/>
                <w:color w:val="000000" w:themeColor="text1"/>
                <w:sz w:val="21"/>
                <w:highlight w:val="none"/>
                <w14:textFill>
                  <w14:solidFill>
                    <w14:schemeClr w14:val="tx1"/>
                  </w14:solidFill>
                </w14:textFill>
              </w:rPr>
              <w:t>3</w:t>
            </w:r>
            <w:r>
              <w:rPr>
                <w:rFonts w:hint="eastAsia" w:hAnsi="宋体" w:cs="Courier New"/>
                <w:b/>
                <w:bCs/>
                <w:color w:val="000000" w:themeColor="text1"/>
                <w:sz w:val="21"/>
                <w:highlight w:val="none"/>
                <w14:textFill>
                  <w14:solidFill>
                    <w14:schemeClr w14:val="tx1"/>
                  </w14:solidFill>
                </w14:textFill>
              </w:rPr>
              <w:t>。</w:t>
            </w:r>
          </w:p>
        </w:tc>
      </w:tr>
    </w:tbl>
    <w:p w14:paraId="58E66F0F">
      <w:pPr>
        <w:spacing w:line="360" w:lineRule="auto"/>
        <w:ind w:firstLine="420"/>
        <w:rPr>
          <w:rFonts w:ascii="宋体" w:hAnsi="宋体"/>
          <w:bCs/>
          <w:color w:val="000000" w:themeColor="text1"/>
          <w:szCs w:val="21"/>
          <w:highlight w:val="none"/>
          <w14:textFill>
            <w14:solidFill>
              <w14:schemeClr w14:val="tx1"/>
            </w14:solidFill>
          </w14:textFill>
        </w:rPr>
      </w:pPr>
    </w:p>
    <w:p w14:paraId="1B3F7EDF">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6DF3047B">
      <w:pPr>
        <w:pStyle w:val="26"/>
        <w:spacing w:line="360" w:lineRule="auto"/>
        <w:ind w:firstLine="0" w:firstLineChars="0"/>
        <w:jc w:val="center"/>
        <w:rPr>
          <w:rFonts w:hAnsi="宋体" w:cs="宋体"/>
          <w:b/>
          <w:color w:val="000000" w:themeColor="text1"/>
          <w:highlight w:val="none"/>
          <w14:textFill>
            <w14:solidFill>
              <w14:schemeClr w14:val="tx1"/>
            </w14:solidFill>
          </w14:textFill>
        </w:rPr>
      </w:pPr>
    </w:p>
    <w:p w14:paraId="1EFFC9DD">
      <w:pPr>
        <w:spacing w:before="120" w:beforeLines="50" w:after="120" w:afterLines="50"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3E929BC3">
      <w:pPr>
        <w:spacing w:before="120" w:beforeLines="50" w:after="120" w:afterLines="50" w:line="360" w:lineRule="auto"/>
        <w:ind w:firstLine="422"/>
        <w:rPr>
          <w:rFonts w:ascii="宋体" w:hAnsi="宋体" w:cs="宋体"/>
          <w:b/>
          <w:color w:val="000000" w:themeColor="text1"/>
          <w:szCs w:val="21"/>
          <w:highlight w:val="none"/>
          <w14:textFill>
            <w14:solidFill>
              <w14:schemeClr w14:val="tx1"/>
            </w14:solidFill>
          </w14:textFill>
        </w:rPr>
      </w:pPr>
    </w:p>
    <w:p w14:paraId="55EFDB68">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6DC1007E">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203CC834">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56D9320E">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656221A5">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00B199A0">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385F4B12">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3ACFB101">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4CC652E5">
      <w:pPr>
        <w:spacing w:line="440" w:lineRule="exact"/>
        <w:ind w:firstLine="0" w:firstLineChars="0"/>
        <w:rPr>
          <w:rFonts w:ascii="宋体" w:hAnsi="宋体" w:cs="宋体"/>
          <w:color w:val="000000" w:themeColor="text1"/>
          <w:szCs w:val="21"/>
          <w:highlight w:val="none"/>
          <w14:textFill>
            <w14:solidFill>
              <w14:schemeClr w14:val="tx1"/>
            </w14:solidFill>
          </w14:textFill>
        </w:rPr>
      </w:pPr>
    </w:p>
    <w:p w14:paraId="6F670BBB">
      <w:pPr>
        <w:pStyle w:val="3"/>
        <w:ind w:firstLine="0" w:firstLineChars="0"/>
        <w:jc w:val="center"/>
        <w:rPr>
          <w:rFonts w:ascii="宋体" w:hAnsi="宋体" w:cs="宋体"/>
          <w:color w:val="000000" w:themeColor="text1"/>
          <w:highlight w:val="none"/>
          <w14:textFill>
            <w14:solidFill>
              <w14:schemeClr w14:val="tx1"/>
            </w14:solidFill>
          </w14:textFill>
        </w:rPr>
      </w:pPr>
      <w:bookmarkStart w:id="93" w:name="_Hlt97194059"/>
      <w:bookmarkEnd w:id="93"/>
      <w:bookmarkStart w:id="94" w:name="_Hlt106033511"/>
      <w:bookmarkEnd w:id="94"/>
      <w:bookmarkStart w:id="95" w:name="_Toc153444884"/>
      <w:bookmarkStart w:id="96" w:name="_Toc3395205"/>
      <w:r>
        <w:rPr>
          <w:rFonts w:hint="eastAsia" w:ascii="宋体" w:hAnsi="宋体" w:cs="宋体"/>
          <w:color w:val="000000" w:themeColor="text1"/>
          <w:highlight w:val="none"/>
          <w14:textFill>
            <w14:solidFill>
              <w14:schemeClr w14:val="tx1"/>
            </w14:solidFill>
          </w14:textFill>
        </w:rPr>
        <w:t>第五章  响应文件格式</w:t>
      </w:r>
      <w:bookmarkEnd w:id="95"/>
      <w:bookmarkEnd w:id="96"/>
    </w:p>
    <w:p w14:paraId="5F39FE64">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4EE12D1A">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F8C1211">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B9DE4ED">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63642E43">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154FBC33">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EF3ADAC">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555A5B5A">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66F6A8F">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B57A1C6">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6BE6211D">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6913CDC">
      <w:pPr>
        <w:spacing w:line="240" w:lineRule="atLeast"/>
        <w:ind w:firstLine="643"/>
        <w:jc w:val="righ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3CD8B058">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5FF1F383">
      <w:pPr>
        <w:spacing w:line="240" w:lineRule="atLeast"/>
        <w:ind w:firstLine="883"/>
        <w:jc w:val="center"/>
        <w:rPr>
          <w:rFonts w:ascii="宋体" w:hAnsi="宋体" w:cs="宋体"/>
          <w:b/>
          <w:color w:val="000000" w:themeColor="text1"/>
          <w:sz w:val="44"/>
          <w:szCs w:val="44"/>
          <w:highlight w:val="none"/>
          <w14:textFill>
            <w14:solidFill>
              <w14:schemeClr w14:val="tx1"/>
            </w14:solidFill>
          </w14:textFill>
        </w:rPr>
      </w:pPr>
    </w:p>
    <w:p w14:paraId="6017D6BC">
      <w:pPr>
        <w:spacing w:line="240" w:lineRule="atLeast"/>
        <w:ind w:firstLine="0" w:firstLineChars="0"/>
        <w:jc w:val="center"/>
        <w:rPr>
          <w:rFonts w:ascii="宋体" w:hAnsi="宋体" w:cs="宋体"/>
          <w:b/>
          <w:color w:val="000000" w:themeColor="text1"/>
          <w:sz w:val="44"/>
          <w:szCs w:val="44"/>
          <w:highlight w:val="none"/>
          <w14:textFill>
            <w14:solidFill>
              <w14:schemeClr w14:val="tx1"/>
            </w14:solidFill>
          </w14:textFill>
        </w:rPr>
      </w:pPr>
    </w:p>
    <w:p w14:paraId="0D95C497">
      <w:pPr>
        <w:spacing w:line="240" w:lineRule="atLeas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响 应 文 件</w:t>
      </w:r>
    </w:p>
    <w:p w14:paraId="45A3839C">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2CFCDEB3">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7BF8497F">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7F28907C">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523BCEEB">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5B7E0089">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0BE76895">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47A3C351">
      <w:pPr>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采购项目编号：</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7088D430">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分标号（如有）：</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4C412681">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7A6F0072">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供应商地址：</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0F711099">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p>
    <w:p w14:paraId="7F9688BB">
      <w:pPr>
        <w:tabs>
          <w:tab w:val="left" w:pos="2625"/>
        </w:tabs>
        <w:spacing w:line="360" w:lineRule="auto"/>
        <w:ind w:firstLine="560"/>
        <w:jc w:val="center"/>
        <w:rPr>
          <w:rFonts w:ascii="宋体" w:hAnsi="宋体" w:cs="宋体"/>
          <w:color w:val="000000" w:themeColor="text1"/>
          <w:sz w:val="28"/>
          <w:szCs w:val="28"/>
          <w:highlight w:val="none"/>
          <w14:textFill>
            <w14:solidFill>
              <w14:schemeClr w14:val="tx1"/>
            </w14:solidFill>
          </w14:textFill>
        </w:rPr>
      </w:pPr>
    </w:p>
    <w:p w14:paraId="4D087541">
      <w:pPr>
        <w:tabs>
          <w:tab w:val="left" w:pos="2625"/>
        </w:tabs>
        <w:spacing w:line="360" w:lineRule="auto"/>
        <w:ind w:firstLine="560"/>
        <w:jc w:val="center"/>
        <w:rPr>
          <w:rFonts w:ascii="宋体" w:hAnsi="宋体" w:cs="宋体"/>
          <w:color w:val="000000" w:themeColor="text1"/>
          <w:sz w:val="28"/>
          <w:szCs w:val="28"/>
          <w:highlight w:val="none"/>
          <w14:textFill>
            <w14:solidFill>
              <w14:schemeClr w14:val="tx1"/>
            </w14:solidFill>
          </w14:textFill>
        </w:rPr>
      </w:pPr>
    </w:p>
    <w:p w14:paraId="58871A40">
      <w:pPr>
        <w:spacing w:line="360" w:lineRule="auto"/>
        <w:ind w:firstLine="56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（供应商名称）</w:t>
      </w:r>
    </w:p>
    <w:p w14:paraId="5206E8B5">
      <w:pPr>
        <w:wordWrap w:val="0"/>
        <w:spacing w:line="360" w:lineRule="auto"/>
        <w:ind w:right="420" w:firstLine="0" w:firstLineChars="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年     月    日</w:t>
      </w:r>
    </w:p>
    <w:p w14:paraId="6E1A5153">
      <w:pPr>
        <w:spacing w:line="30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02AEDABC">
      <w:pPr>
        <w:pStyle w:val="26"/>
        <w:ind w:left="-10" w:firstLine="10" w:firstLineChars="3"/>
        <w:jc w:val="center"/>
        <w:rPr>
          <w:rFonts w:hAnsi="宋体" w:cs="宋体"/>
          <w:b/>
          <w:color w:val="000000" w:themeColor="text1"/>
          <w:sz w:val="32"/>
          <w:highlight w:val="none"/>
          <w14:textFill>
            <w14:solidFill>
              <w14:schemeClr w14:val="tx1"/>
            </w14:solidFill>
          </w14:textFill>
        </w:rPr>
      </w:pPr>
    </w:p>
    <w:p w14:paraId="090A2243">
      <w:pPr>
        <w:pStyle w:val="26"/>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法定代表人身份证明（格式）</w:t>
      </w:r>
    </w:p>
    <w:p w14:paraId="64D10E26">
      <w:pPr>
        <w:pStyle w:val="26"/>
        <w:spacing w:line="480" w:lineRule="auto"/>
        <w:ind w:firstLine="698" w:firstLineChars="349"/>
        <w:rPr>
          <w:rFonts w:hAnsi="宋体" w:cs="宋体"/>
          <w:color w:val="000000" w:themeColor="text1"/>
          <w:highlight w:val="none"/>
          <w14:textFill>
            <w14:solidFill>
              <w14:schemeClr w14:val="tx1"/>
            </w14:solidFill>
          </w14:textFill>
        </w:rPr>
      </w:pPr>
    </w:p>
    <w:p w14:paraId="4318C646">
      <w:pPr>
        <w:pStyle w:val="26"/>
        <w:spacing w:line="480" w:lineRule="auto"/>
        <w:ind w:firstLine="630" w:firstLineChars="300"/>
        <w:rPr>
          <w:rFonts w:hAnsi="宋体"/>
          <w:color w:val="000000" w:themeColor="text1"/>
          <w:sz w:val="21"/>
          <w:highlight w:val="none"/>
          <w:u w:val="single"/>
          <w14:textFill>
            <w14:solidFill>
              <w14:schemeClr w14:val="tx1"/>
            </w14:solidFill>
          </w14:textFill>
        </w:rPr>
      </w:pPr>
      <w:r>
        <w:rPr>
          <w:rFonts w:hint="eastAsia" w:hAnsi="宋体"/>
          <w:color w:val="000000" w:themeColor="text1"/>
          <w:sz w:val="21"/>
          <w:highlight w:val="none"/>
          <w14:textFill>
            <w14:solidFill>
              <w14:schemeClr w14:val="tx1"/>
            </w14:solidFill>
          </w14:textFill>
        </w:rPr>
        <w:t>供 应 商：</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287B4D5D">
      <w:pPr>
        <w:pStyle w:val="26"/>
        <w:spacing w:line="480" w:lineRule="auto"/>
        <w:ind w:firstLine="630" w:firstLineChars="300"/>
        <w:rPr>
          <w:rFonts w:hAnsi="宋体"/>
          <w:color w:val="000000" w:themeColor="text1"/>
          <w:sz w:val="21"/>
          <w:highlight w:val="none"/>
          <w:u w:val="singl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地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址：</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1D53ABC6">
      <w:pPr>
        <w:pStyle w:val="26"/>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姓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名：</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性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别：</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2DF18D3E">
      <w:pPr>
        <w:pStyle w:val="26"/>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年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龄：</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职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务：</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26C453D9">
      <w:pPr>
        <w:pStyle w:val="26"/>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系</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（供应商单位名称）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的法定代表人。</w:t>
      </w:r>
    </w:p>
    <w:p w14:paraId="54D17AE1">
      <w:pPr>
        <w:pStyle w:val="26"/>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特此证明。</w:t>
      </w:r>
    </w:p>
    <w:p w14:paraId="0363FBC8">
      <w:pPr>
        <w:pStyle w:val="26"/>
        <w:spacing w:line="480" w:lineRule="auto"/>
        <w:ind w:firstLine="630" w:firstLineChars="300"/>
        <w:rPr>
          <w:rFonts w:hAnsi="宋体"/>
          <w:color w:val="000000" w:themeColor="text1"/>
          <w:sz w:val="21"/>
          <w:highlight w:val="none"/>
          <w14:textFill>
            <w14:solidFill>
              <w14:schemeClr w14:val="tx1"/>
            </w14:solidFill>
          </w14:textFill>
        </w:rPr>
      </w:pPr>
    </w:p>
    <w:p w14:paraId="2DBEECAB">
      <w:pPr>
        <w:pStyle w:val="26"/>
        <w:spacing w:line="480" w:lineRule="auto"/>
        <w:ind w:firstLine="632" w:firstLineChars="300"/>
        <w:rPr>
          <w:rFonts w:hAnsi="宋体"/>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附件：法定代表人有效身份证正反面复印件</w:t>
      </w:r>
    </w:p>
    <w:p w14:paraId="108A1AC4">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p>
    <w:p w14:paraId="1D317EFD">
      <w:pPr>
        <w:pStyle w:val="26"/>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0EE162B7">
      <w:pPr>
        <w:pStyle w:val="26"/>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7794BFCC">
      <w:pPr>
        <w:pStyle w:val="26"/>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208EF397">
      <w:pPr>
        <w:pStyle w:val="26"/>
        <w:tabs>
          <w:tab w:val="left" w:pos="5529"/>
        </w:tabs>
        <w:wordWrap w:val="0"/>
        <w:ind w:firstLine="4830" w:firstLineChars="2300"/>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p>
    <w:p w14:paraId="2723B2B6">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1F8BB534">
      <w:pPr>
        <w:pStyle w:val="26"/>
        <w:tabs>
          <w:tab w:val="left" w:pos="5529"/>
        </w:tabs>
        <w:ind w:right="120" w:firstLine="3968" w:firstLineChars="1890"/>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    月    日</w:t>
      </w:r>
    </w:p>
    <w:p w14:paraId="4DB35180">
      <w:pPr>
        <w:pStyle w:val="26"/>
        <w:tabs>
          <w:tab w:val="left" w:pos="5529"/>
        </w:tabs>
        <w:ind w:right="120" w:firstLine="3968" w:firstLineChars="1890"/>
        <w:jc w:val="right"/>
        <w:rPr>
          <w:color w:val="000000" w:themeColor="text1"/>
          <w:sz w:val="21"/>
          <w:highlight w:val="none"/>
          <w14:textFill>
            <w14:solidFill>
              <w14:schemeClr w14:val="tx1"/>
            </w14:solidFill>
          </w14:textFill>
        </w:rPr>
      </w:pPr>
    </w:p>
    <w:p w14:paraId="734A6B85">
      <w:pPr>
        <w:pStyle w:val="26"/>
        <w:tabs>
          <w:tab w:val="left" w:pos="5529"/>
        </w:tabs>
        <w:ind w:right="120" w:firstLine="3968" w:firstLineChars="1890"/>
        <w:jc w:val="right"/>
        <w:rPr>
          <w:color w:val="000000" w:themeColor="text1"/>
          <w:sz w:val="21"/>
          <w:highlight w:val="none"/>
          <w14:textFill>
            <w14:solidFill>
              <w14:schemeClr w14:val="tx1"/>
            </w14:solidFill>
          </w14:textFill>
        </w:rPr>
      </w:pPr>
    </w:p>
    <w:p w14:paraId="090BCD39">
      <w:pPr>
        <w:pStyle w:val="26"/>
        <w:tabs>
          <w:tab w:val="left" w:pos="5529"/>
        </w:tabs>
        <w:ind w:right="120" w:firstLine="420"/>
        <w:rPr>
          <w:color w:val="000000" w:themeColor="text1"/>
          <w:sz w:val="21"/>
          <w:highlight w:val="none"/>
          <w14:textFill>
            <w14:solidFill>
              <w14:schemeClr w14:val="tx1"/>
            </w14:solidFill>
          </w14:textFill>
        </w:rPr>
      </w:pPr>
    </w:p>
    <w:p w14:paraId="24CCB995">
      <w:pPr>
        <w:pStyle w:val="26"/>
        <w:spacing w:line="480" w:lineRule="auto"/>
        <w:ind w:firstLine="632" w:firstLineChars="300"/>
        <w:rPr>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注：自然人竞标的无需提供</w:t>
      </w:r>
    </w:p>
    <w:p w14:paraId="5CF8539B">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3DAC5047">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16908E02">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42A4B0E0">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43226C86">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1AAA20C8">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0BB852CE">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394D5A84">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63FAD5EF">
      <w:pPr>
        <w:spacing w:line="300" w:lineRule="auto"/>
        <w:ind w:firstLine="0" w:firstLineChars="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09CF2A50">
      <w:pPr>
        <w:spacing w:line="30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6B97044B">
      <w:pPr>
        <w:pStyle w:val="26"/>
        <w:ind w:left="-10" w:firstLine="10" w:firstLineChars="3"/>
        <w:jc w:val="center"/>
        <w:rPr>
          <w:rFonts w:hAnsi="宋体" w:cs="宋体"/>
          <w:b/>
          <w:color w:val="000000" w:themeColor="text1"/>
          <w:sz w:val="32"/>
          <w:highlight w:val="none"/>
          <w14:textFill>
            <w14:solidFill>
              <w14:schemeClr w14:val="tx1"/>
            </w14:solidFill>
          </w14:textFill>
        </w:rPr>
      </w:pPr>
    </w:p>
    <w:p w14:paraId="1B8CAB28">
      <w:pPr>
        <w:pStyle w:val="26"/>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法定代表人授权委托书（格式）</w:t>
      </w:r>
    </w:p>
    <w:p w14:paraId="7E8EE562">
      <w:pPr>
        <w:pStyle w:val="26"/>
        <w:ind w:left="-10" w:firstLine="10" w:firstLineChars="3"/>
        <w:jc w:val="center"/>
        <w:rPr>
          <w:rFonts w:hAnsi="宋体" w:cs="宋体"/>
          <w:b/>
          <w:color w:val="000000" w:themeColor="text1"/>
          <w:sz w:val="32"/>
          <w:highlight w:val="none"/>
          <w14:textFill>
            <w14:solidFill>
              <w14:schemeClr w14:val="tx1"/>
            </w14:solidFill>
          </w14:textFill>
        </w:rPr>
      </w:pPr>
    </w:p>
    <w:p w14:paraId="4B02E839">
      <w:pPr>
        <w:snapToGrid w:val="0"/>
        <w:spacing w:line="360" w:lineRule="auto"/>
        <w:ind w:firstLine="420"/>
        <w:rPr>
          <w:rFonts w:ascii="宋体" w:hAnsi="宋体" w:cs="宋体"/>
          <w:bCs/>
          <w:color w:val="000000" w:themeColor="text1"/>
          <w:szCs w:val="21"/>
          <w:highlight w:val="none"/>
          <w14:textFill>
            <w14:solidFill>
              <w14:schemeClr w14:val="tx1"/>
            </w14:solidFill>
          </w14:textFill>
        </w:rPr>
      </w:pPr>
    </w:p>
    <w:p w14:paraId="4993A3DB">
      <w:pPr>
        <w:snapToGrid w:val="0"/>
        <w:spacing w:line="48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（采购人、代理机构名称）：</w:t>
      </w:r>
    </w:p>
    <w:p w14:paraId="4001D789">
      <w:pPr>
        <w:snapToGrid w:val="0"/>
        <w:spacing w:line="48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我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（供应商名称）的法定代表人，现授权委托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（姓名）以我方的名义参加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项目的磋商活动，并代表我方全权办理针对上述项目的递交文件、磋商、澄清、签约等具体事务和签署相关文件。</w:t>
      </w:r>
    </w:p>
    <w:p w14:paraId="21B6677B">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我方对被授权人的签字或者电子签名或加盖电子印章事项负全部责任。</w:t>
      </w:r>
    </w:p>
    <w:p w14:paraId="6DACA2D0">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Cs w:val="21"/>
          <w:highlight w:val="none"/>
          <w14:textFill>
            <w14:solidFill>
              <w14:schemeClr w14:val="tx1"/>
            </w14:solidFill>
          </w14:textFill>
        </w:rPr>
        <w:t>被授权人在授权书有效期内签署的所有文件不因授权的撤销而失效。</w:t>
      </w:r>
    </w:p>
    <w:p w14:paraId="12EEEA32">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被授权人无转委托权，特此委托。</w:t>
      </w:r>
    </w:p>
    <w:p w14:paraId="729B318A">
      <w:pPr>
        <w:snapToGrid w:val="0"/>
        <w:spacing w:line="360" w:lineRule="auto"/>
        <w:ind w:firstLine="420"/>
        <w:rPr>
          <w:rFonts w:ascii="宋体" w:hAnsi="宋体" w:cs="宋体"/>
          <w:color w:val="000000" w:themeColor="text1"/>
          <w:szCs w:val="21"/>
          <w:highlight w:val="none"/>
          <w14:textFill>
            <w14:solidFill>
              <w14:schemeClr w14:val="tx1"/>
            </w14:solidFill>
          </w14:textFill>
        </w:rPr>
      </w:pPr>
    </w:p>
    <w:p w14:paraId="46C86FDF">
      <w:pPr>
        <w:pStyle w:val="117"/>
        <w:spacing w:line="480" w:lineRule="auto"/>
        <w:ind w:firstLine="361" w:firstLineChars="171"/>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附件：委托代理人有效身份证正反面复印件</w:t>
      </w:r>
    </w:p>
    <w:p w14:paraId="127897DB">
      <w:pPr>
        <w:pStyle w:val="26"/>
        <w:spacing w:line="480" w:lineRule="auto"/>
        <w:ind w:firstLine="422"/>
        <w:rPr>
          <w:rFonts w:hAnsi="宋体"/>
          <w:b/>
          <w:color w:val="000000" w:themeColor="text1"/>
          <w:sz w:val="21"/>
          <w:highlight w:val="none"/>
          <w14:textFill>
            <w14:solidFill>
              <w14:schemeClr w14:val="tx1"/>
            </w14:solidFill>
          </w14:textFill>
        </w:rPr>
      </w:pPr>
    </w:p>
    <w:p w14:paraId="376657DE">
      <w:pPr>
        <w:pStyle w:val="26"/>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法定代表人（签字或者电子签名</w:t>
      </w:r>
      <w:r>
        <w:rPr>
          <w:rFonts w:hint="eastAsia"/>
          <w:color w:val="000000" w:themeColor="text1"/>
          <w:sz w:val="21"/>
          <w:highlight w:val="none"/>
          <w14:textFill>
            <w14:solidFill>
              <w14:schemeClr w14:val="tx1"/>
            </w14:solidFill>
          </w14:textFill>
        </w:rPr>
        <w:t>或加盖电子印章</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p>
    <w:p w14:paraId="6C45B909">
      <w:pPr>
        <w:pStyle w:val="26"/>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委托代理人（签字或者电子签名</w:t>
      </w:r>
      <w:r>
        <w:rPr>
          <w:rFonts w:hint="eastAsia"/>
          <w:color w:val="000000" w:themeColor="text1"/>
          <w:sz w:val="21"/>
          <w:highlight w:val="none"/>
          <w14:textFill>
            <w14:solidFill>
              <w14:schemeClr w14:val="tx1"/>
            </w14:solidFill>
          </w14:textFill>
        </w:rPr>
        <w:t>或加盖电子印章</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p>
    <w:p w14:paraId="49D882DC">
      <w:pPr>
        <w:pStyle w:val="26"/>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委托代理人身份证号码：</w:t>
      </w:r>
      <w:r>
        <w:rPr>
          <w:rFonts w:hint="eastAsia"/>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 xml:space="preserve">                                             </w:t>
      </w:r>
    </w:p>
    <w:p w14:paraId="1220FDAD">
      <w:pPr>
        <w:pStyle w:val="26"/>
        <w:spacing w:line="480" w:lineRule="auto"/>
        <w:ind w:firstLine="420"/>
        <w:rPr>
          <w:color w:val="000000" w:themeColor="text1"/>
          <w:sz w:val="21"/>
          <w:highlight w:val="none"/>
          <w14:textFill>
            <w14:solidFill>
              <w14:schemeClr w14:val="tx1"/>
            </w14:solidFill>
          </w14:textFill>
        </w:rPr>
      </w:pPr>
    </w:p>
    <w:p w14:paraId="16B0A1D4">
      <w:pPr>
        <w:spacing w:line="480" w:lineRule="auto"/>
        <w:ind w:firstLine="3990" w:firstLineChars="19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供应商名称（</w:t>
      </w:r>
      <w:r>
        <w:rPr>
          <w:rFonts w:hint="eastAsia"/>
          <w:color w:val="000000" w:themeColor="text1"/>
          <w:szCs w:val="21"/>
          <w:highlight w:val="none"/>
          <w14:textFill>
            <w14:solidFill>
              <w14:schemeClr w14:val="tx1"/>
            </w14:solidFill>
          </w14:textFill>
        </w:rPr>
        <w:t>加盖</w:t>
      </w:r>
      <w:r>
        <w:rPr>
          <w:rFonts w:hint="eastAsia" w:hAnsi="宋体"/>
          <w:color w:val="000000" w:themeColor="text1"/>
          <w:szCs w:val="21"/>
          <w:highlight w:val="none"/>
          <w14:textFill>
            <w14:solidFill>
              <w14:schemeClr w14:val="tx1"/>
            </w14:solidFill>
          </w14:textFill>
        </w:rPr>
        <w:t>电子公章</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p w14:paraId="113CFC8A">
      <w:pPr>
        <w:pStyle w:val="26"/>
        <w:spacing w:line="480" w:lineRule="auto"/>
        <w:ind w:right="200" w:firstLine="420"/>
        <w:jc w:val="right"/>
        <w:rPr>
          <w:rFonts w:hAnsi="宋体"/>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         年</w:t>
      </w:r>
      <w:r>
        <w:rPr>
          <w:rFonts w:hint="eastAsia"/>
          <w:color w:val="000000" w:themeColor="text1"/>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 xml:space="preserve">   月    日</w:t>
      </w:r>
    </w:p>
    <w:p w14:paraId="6BB0E849">
      <w:pPr>
        <w:autoSpaceDE w:val="0"/>
        <w:autoSpaceDN w:val="0"/>
        <w:adjustRightInd w:val="0"/>
        <w:ind w:firstLine="422"/>
        <w:jc w:val="right"/>
        <w:rPr>
          <w:rFonts w:ascii="宋体" w:hAnsi="宋体" w:cs="宋体"/>
          <w:b/>
          <w:color w:val="000000" w:themeColor="text1"/>
          <w:szCs w:val="21"/>
          <w:highlight w:val="none"/>
          <w14:textFill>
            <w14:solidFill>
              <w14:schemeClr w14:val="tx1"/>
            </w14:solidFill>
          </w14:textFill>
        </w:rPr>
      </w:pPr>
    </w:p>
    <w:p w14:paraId="7CCC3486">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4107EA32">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67B06132">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748D9D9E">
      <w:pPr>
        <w:autoSpaceDE w:val="0"/>
        <w:autoSpaceDN w:val="0"/>
        <w:adjustRightIn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77E4AA29">
      <w:pPr>
        <w:autoSpaceDE w:val="0"/>
        <w:autoSpaceDN w:val="0"/>
        <w:adjustRightInd w:val="0"/>
        <w:spacing w:after="120" w:afterLines="50" w:line="360" w:lineRule="auto"/>
        <w:ind w:firstLine="643"/>
        <w:jc w:val="center"/>
        <w:rPr>
          <w:rFonts w:ascii="宋体" w:hAnsi="宋体" w:cs="黑体"/>
          <w:b/>
          <w:bCs/>
          <w:color w:val="000000" w:themeColor="text1"/>
          <w:sz w:val="32"/>
          <w:szCs w:val="32"/>
          <w:highlight w:val="none"/>
          <w14:textFill>
            <w14:solidFill>
              <w14:schemeClr w14:val="tx1"/>
            </w14:solidFill>
          </w14:textFill>
        </w:rPr>
      </w:pPr>
      <w:r>
        <w:rPr>
          <w:rFonts w:hint="eastAsia" w:ascii="宋体" w:hAnsi="宋体" w:cs="黑体"/>
          <w:b/>
          <w:bCs/>
          <w:color w:val="000000" w:themeColor="text1"/>
          <w:sz w:val="32"/>
          <w:szCs w:val="32"/>
          <w:highlight w:val="none"/>
          <w14:textFill>
            <w14:solidFill>
              <w14:schemeClr w14:val="tx1"/>
            </w14:solidFill>
          </w14:textFill>
        </w:rPr>
        <w:t>政府采购供应商资格信用承诺函</w:t>
      </w:r>
      <w:r>
        <w:rPr>
          <w:rFonts w:hint="eastAsia" w:ascii="宋体" w:hAnsi="宋体"/>
          <w:b/>
          <w:color w:val="000000" w:themeColor="text1"/>
          <w:sz w:val="32"/>
          <w:szCs w:val="32"/>
          <w:highlight w:val="none"/>
          <w14:textFill>
            <w14:solidFill>
              <w14:schemeClr w14:val="tx1"/>
            </w14:solidFill>
          </w14:textFill>
        </w:rPr>
        <w:t>（格式）</w:t>
      </w:r>
    </w:p>
    <w:p w14:paraId="1A60D92A">
      <w:pPr>
        <w:autoSpaceDE w:val="0"/>
        <w:autoSpaceDN w:val="0"/>
        <w:adjustRightInd w:val="0"/>
        <w:spacing w:line="360" w:lineRule="auto"/>
        <w:ind w:firstLine="0" w:firstLineChars="0"/>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致：</w:t>
      </w:r>
      <w:r>
        <w:rPr>
          <w:rFonts w:hint="eastAsia" w:ascii="宋体" w:hAnsi="宋体"/>
          <w:color w:val="000000" w:themeColor="text1"/>
          <w:spacing w:val="6"/>
          <w:szCs w:val="21"/>
          <w:highlight w:val="none"/>
          <w:u w:val="single"/>
          <w14:textFill>
            <w14:solidFill>
              <w14:schemeClr w14:val="tx1"/>
            </w14:solidFill>
          </w14:textFill>
        </w:rPr>
        <w:t>（采购人名称）、（代理机构名称）</w:t>
      </w:r>
      <w:r>
        <w:rPr>
          <w:rFonts w:hint="eastAsia" w:ascii="宋体" w:hAnsi="宋体"/>
          <w:color w:val="000000" w:themeColor="text1"/>
          <w:spacing w:val="6"/>
          <w:szCs w:val="21"/>
          <w:highlight w:val="none"/>
          <w14:textFill>
            <w14:solidFill>
              <w14:schemeClr w14:val="tx1"/>
            </w14:solidFill>
          </w14:textFill>
        </w:rPr>
        <w:t>：</w:t>
      </w:r>
    </w:p>
    <w:p w14:paraId="1077D3E3">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我方自愿参加</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项目（项目编号：</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）的政府采购活动，并郑重承诺我方符合《中华人民共和国政府采购法》第二十二条规定的条件：</w:t>
      </w:r>
    </w:p>
    <w:p w14:paraId="600864B5">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（一）具有独立承担民事责任的能力； </w:t>
      </w:r>
    </w:p>
    <w:p w14:paraId="3D0C6B44">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（二）具有良好的商业信誉和健全的财务会计制度； </w:t>
      </w:r>
    </w:p>
    <w:p w14:paraId="207BDEAE">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（三）具有履行合同所必需的设备和专业技术能力； </w:t>
      </w:r>
    </w:p>
    <w:p w14:paraId="4B1A7DEB">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（四）有依法缴纳税收和社会保障资金的良好记录； </w:t>
      </w:r>
    </w:p>
    <w:p w14:paraId="525D8FDD">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（五）参加政府采购活动前三年内，在经营活动中没有重大违法记录； </w:t>
      </w:r>
    </w:p>
    <w:p w14:paraId="6A64F5E9">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（六）法律、行政法规规定的其他条件。 </w:t>
      </w:r>
    </w:p>
    <w:p w14:paraId="3E3AE9AD">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我方保证上述承诺事项的真实性，如有弄虚作假或其他违法违规行为，愿意承担一切法律责任，并承担因此所造成的一切损失。 </w:t>
      </w:r>
    </w:p>
    <w:p w14:paraId="75235940">
      <w:pPr>
        <w:autoSpaceDE w:val="0"/>
        <w:autoSpaceDN w:val="0"/>
        <w:adjustRightInd w:val="0"/>
        <w:spacing w:line="360" w:lineRule="auto"/>
        <w:ind w:firstLine="446"/>
        <w:rPr>
          <w:rFonts w:ascii="宋体" w:hAnsi="宋体"/>
          <w:color w:val="000000" w:themeColor="text1"/>
          <w:spacing w:val="6"/>
          <w:szCs w:val="21"/>
          <w:highlight w:val="none"/>
          <w14:textFill>
            <w14:solidFill>
              <w14:schemeClr w14:val="tx1"/>
            </w14:solidFill>
          </w14:textFill>
        </w:rPr>
      </w:pPr>
      <w:r>
        <w:rPr>
          <w:rFonts w:hint="eastAsia" w:ascii="宋体" w:hAnsi="宋体"/>
          <w:b/>
          <w:bCs/>
          <w:color w:val="000000" w:themeColor="text1"/>
          <w:spacing w:val="6"/>
          <w:szCs w:val="21"/>
          <w:highlight w:val="none"/>
          <w14:textFill>
            <w14:solidFill>
              <w14:schemeClr w14:val="tx1"/>
            </w14:solidFill>
          </w14:textFill>
        </w:rPr>
        <w:t>特此声明！</w:t>
      </w:r>
      <w:r>
        <w:rPr>
          <w:rFonts w:hint="eastAsia" w:ascii="宋体" w:hAnsi="宋体"/>
          <w:color w:val="000000" w:themeColor="text1"/>
          <w:spacing w:val="6"/>
          <w:szCs w:val="21"/>
          <w:highlight w:val="none"/>
          <w14:textFill>
            <w14:solidFill>
              <w14:schemeClr w14:val="tx1"/>
            </w14:solidFill>
          </w14:textFill>
        </w:rPr>
        <w:t xml:space="preserve"> </w:t>
      </w:r>
    </w:p>
    <w:p w14:paraId="6823F06C">
      <w:pPr>
        <w:pStyle w:val="50"/>
        <w:spacing w:line="360" w:lineRule="auto"/>
        <w:ind w:firstLine="444"/>
        <w:rPr>
          <w:rFonts w:ascii="宋体" w:hAnsi="宋体"/>
          <w:color w:val="000000" w:themeColor="text1"/>
          <w:spacing w:val="6"/>
          <w:szCs w:val="21"/>
          <w:highlight w:val="none"/>
          <w14:textFill>
            <w14:solidFill>
              <w14:schemeClr w14:val="tx1"/>
            </w14:solidFill>
          </w14:textFill>
        </w:rPr>
      </w:pPr>
    </w:p>
    <w:p w14:paraId="45CB48F5">
      <w:pPr>
        <w:spacing w:line="360" w:lineRule="auto"/>
        <w:ind w:firstLine="420"/>
        <w:rPr>
          <w:rFonts w:ascii="宋体" w:hAnsi="宋体"/>
          <w:color w:val="000000" w:themeColor="text1"/>
          <w:szCs w:val="21"/>
          <w:highlight w:val="none"/>
          <w14:textFill>
            <w14:solidFill>
              <w14:schemeClr w14:val="tx1"/>
            </w14:solidFill>
          </w14:textFill>
        </w:rPr>
      </w:pPr>
    </w:p>
    <w:p w14:paraId="22BAC429">
      <w:pPr>
        <w:pStyle w:val="26"/>
        <w:tabs>
          <w:tab w:val="left" w:pos="5529"/>
        </w:tabs>
        <w:wordWrap w:val="0"/>
        <w:ind w:firstLine="2929" w:firstLineChars="13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7204149C">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r>
        <w:rPr>
          <w:rFonts w:hAnsi="宋体"/>
          <w:color w:val="000000" w:themeColor="text1"/>
          <w:kern w:val="2"/>
          <w:sz w:val="21"/>
          <w:highlight w:val="none"/>
          <w14:textFill>
            <w14:solidFill>
              <w14:schemeClr w14:val="tx1"/>
            </w14:solidFill>
          </w14:textFill>
        </w:rPr>
        <w:t xml:space="preserve"> </w:t>
      </w:r>
    </w:p>
    <w:p w14:paraId="21979BF6">
      <w:pPr>
        <w:tabs>
          <w:tab w:val="left" w:pos="4111"/>
        </w:tabs>
        <w:wordWrap w:val="0"/>
        <w:snapToGrid w:val="0"/>
        <w:spacing w:before="50"/>
        <w:ind w:firstLine="2940" w:firstLineChars="14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法定代表人或委托代理人（或者电子签名或加盖电子印章）：</w:t>
      </w:r>
      <w:r>
        <w:rPr>
          <w:rFonts w:hint="eastAsia" w:hAnsi="宋体"/>
          <w:color w:val="000000" w:themeColor="text1"/>
          <w:highlight w:val="none"/>
          <w:u w:val="single"/>
          <w14:textFill>
            <w14:solidFill>
              <w14:schemeClr w14:val="tx1"/>
            </w14:solidFill>
          </w14:textFill>
        </w:rPr>
        <w:t xml:space="preserve">         </w:t>
      </w:r>
    </w:p>
    <w:p w14:paraId="5046E670">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4B0327C2">
      <w:pPr>
        <w:pStyle w:val="26"/>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53192BD8">
      <w:pPr>
        <w:spacing w:line="480" w:lineRule="auto"/>
        <w:ind w:firstLine="422"/>
        <w:jc w:val="center"/>
        <w:rPr>
          <w:rFonts w:ascii="宋体" w:hAnsi="宋体" w:cs="宋体"/>
          <w:b/>
          <w:color w:val="000000" w:themeColor="text1"/>
          <w:szCs w:val="21"/>
          <w:highlight w:val="none"/>
          <w14:textFill>
            <w14:solidFill>
              <w14:schemeClr w14:val="tx1"/>
            </w14:solidFill>
          </w14:textFill>
        </w:rPr>
      </w:pPr>
    </w:p>
    <w:p w14:paraId="07B3ECAB">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1C8AFE84">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1B52CFBE">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52F871EE">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2037A35C">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1182C97B">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61782AFB">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5A15BAF8">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0EB2A97E">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771D01BD">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2ED8ADFE">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59D532DE">
      <w:pPr>
        <w:snapToGri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630D51A0">
      <w:pPr>
        <w:snapToGrid w:val="0"/>
        <w:ind w:firstLine="562"/>
        <w:jc w:val="center"/>
        <w:rPr>
          <w:rFonts w:ascii="宋体" w:hAnsi="宋体"/>
          <w:b/>
          <w:color w:val="000000" w:themeColor="text1"/>
          <w:sz w:val="28"/>
          <w:szCs w:val="28"/>
          <w:highlight w:val="none"/>
          <w14:textFill>
            <w14:solidFill>
              <w14:schemeClr w14:val="tx1"/>
            </w14:solidFill>
          </w14:textFill>
        </w:rPr>
      </w:pPr>
    </w:p>
    <w:p w14:paraId="1101654F">
      <w:pPr>
        <w:snapToGrid w:val="0"/>
        <w:spacing w:line="360" w:lineRule="auto"/>
        <w:ind w:firstLine="643"/>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供应商直接控股股东信息表（格式）</w:t>
      </w:r>
    </w:p>
    <w:tbl>
      <w:tblPr>
        <w:tblStyle w:val="51"/>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22F6BBB0">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9836AD">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686C7">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1D6AEB">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B7F0E">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61313">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14:paraId="0CD912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8B051C">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4FE986">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BE9851">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E61EB7">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350A4E">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61C613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9B18E4">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6ED26">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48A45">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894D23">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109E9">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4F1289E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4FA86">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6B8EB2">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4DF5FD">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E2D503">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128F5B">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0D6FB53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410F5A">
            <w:pPr>
              <w:widowControl/>
              <w:spacing w:line="360" w:lineRule="auto"/>
              <w:ind w:firstLine="0"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F6BE84">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F7D174">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B2097">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8E0557">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bl>
    <w:p w14:paraId="118709CC">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14:paraId="048F874B">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45F3DC">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43A8E775">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3.供应商不存在直接控股股东的，则填“无”。</w:t>
      </w:r>
    </w:p>
    <w:p w14:paraId="41C4579C">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2461C8ED">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5665E9FD">
      <w:pPr>
        <w:snapToGrid w:val="0"/>
        <w:ind w:firstLine="560"/>
        <w:jc w:val="left"/>
        <w:rPr>
          <w:color w:val="000000" w:themeColor="text1"/>
          <w:sz w:val="28"/>
          <w:szCs w:val="28"/>
          <w:highlight w:val="none"/>
          <w14:textFill>
            <w14:solidFill>
              <w14:schemeClr w14:val="tx1"/>
            </w14:solidFill>
          </w14:textFill>
        </w:rPr>
      </w:pPr>
    </w:p>
    <w:p w14:paraId="1ECE6A1A">
      <w:pPr>
        <w:snapToGrid w:val="0"/>
        <w:ind w:firstLine="560"/>
        <w:jc w:val="left"/>
        <w:rPr>
          <w:color w:val="000000" w:themeColor="text1"/>
          <w:sz w:val="28"/>
          <w:szCs w:val="28"/>
          <w:highlight w:val="none"/>
          <w14:textFill>
            <w14:solidFill>
              <w14:schemeClr w14:val="tx1"/>
            </w14:solidFill>
          </w14:textFill>
        </w:rPr>
      </w:pPr>
    </w:p>
    <w:p w14:paraId="6FC91D17">
      <w:pPr>
        <w:pStyle w:val="26"/>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116DFDA9">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43A8EB13">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14:paraId="424F17F6">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6F570CF5">
      <w:pPr>
        <w:pStyle w:val="26"/>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799915FA">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00ED0525">
      <w:pPr>
        <w:snapToGri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1FEB1085">
      <w:pPr>
        <w:spacing w:before="100" w:beforeAutospacing="1" w:after="120" w:afterLines="50"/>
        <w:ind w:firstLine="0" w:firstLineChars="0"/>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供应商直接管理关系信息表</w:t>
      </w:r>
      <w:r>
        <w:rPr>
          <w:rFonts w:hint="eastAsia" w:ascii="宋体" w:hAnsi="宋体"/>
          <w:b/>
          <w:color w:val="000000" w:themeColor="text1"/>
          <w:sz w:val="32"/>
          <w:szCs w:val="32"/>
          <w:highlight w:val="none"/>
          <w14:textFill>
            <w14:solidFill>
              <w14:schemeClr w14:val="tx1"/>
            </w14:solidFill>
          </w14:textFill>
        </w:rPr>
        <w:t>（格式）</w:t>
      </w: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D7040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57B03">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ACE603">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00E0F6">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C313B0">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14:paraId="1C75152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C175A0">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CA5E1C">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89099F">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431479">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0E1F1F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B9B05E">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AFE442">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D49736">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9C749">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6848451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F8EB48">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6703E6">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D40C1">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7A20C8">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445EC67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8F522F">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509750">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C9A16A">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42590B">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bl>
    <w:p w14:paraId="02F00040">
      <w:pP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4C463BE4">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14:paraId="3D746CDA">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pacing w:val="-6"/>
          <w:szCs w:val="21"/>
          <w:highlight w:val="none"/>
          <w14:textFill>
            <w14:solidFill>
              <w14:schemeClr w14:val="tx1"/>
            </w14:solidFill>
          </w14:textFill>
        </w:rPr>
        <w:t>本表所指的管理关系仅限于直接管理关系，不包括间接的管理关系。</w:t>
      </w:r>
    </w:p>
    <w:p w14:paraId="3680BB91">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3.供应商不存在直接管理关系的，则填“无”。</w:t>
      </w:r>
    </w:p>
    <w:p w14:paraId="03A87163">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70128FEB">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132829FA">
      <w:pPr>
        <w:snapToGrid w:val="0"/>
        <w:ind w:firstLine="560"/>
        <w:jc w:val="left"/>
        <w:rPr>
          <w:color w:val="000000" w:themeColor="text1"/>
          <w:sz w:val="28"/>
          <w:szCs w:val="28"/>
          <w:highlight w:val="none"/>
          <w14:textFill>
            <w14:solidFill>
              <w14:schemeClr w14:val="tx1"/>
            </w14:solidFill>
          </w14:textFill>
        </w:rPr>
      </w:pPr>
    </w:p>
    <w:p w14:paraId="06DF1C30">
      <w:pPr>
        <w:snapToGrid w:val="0"/>
        <w:ind w:firstLine="560"/>
        <w:jc w:val="left"/>
        <w:rPr>
          <w:color w:val="000000" w:themeColor="text1"/>
          <w:sz w:val="28"/>
          <w:szCs w:val="28"/>
          <w:highlight w:val="none"/>
          <w14:textFill>
            <w14:solidFill>
              <w14:schemeClr w14:val="tx1"/>
            </w14:solidFill>
          </w14:textFill>
        </w:rPr>
      </w:pPr>
    </w:p>
    <w:p w14:paraId="3849120A">
      <w:pPr>
        <w:pStyle w:val="26"/>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6645D0BD">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1F65CAF6">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14:paraId="1F281337">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5F75E245">
      <w:pPr>
        <w:pStyle w:val="26"/>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4876613C">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007D116B">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5911E872">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1F0F4E8F">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29458D88">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6C535C1E">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5501D033">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419D248C">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448FD78A">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5D4CAA50">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612EAF74">
      <w:pPr>
        <w:spacing w:line="276" w:lineRule="auto"/>
        <w:ind w:firstLine="643"/>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竞标声明（格式）</w:t>
      </w:r>
    </w:p>
    <w:p w14:paraId="570DE0A9">
      <w:pPr>
        <w:spacing w:line="276" w:lineRule="auto"/>
        <w:ind w:firstLine="480"/>
        <w:jc w:val="center"/>
        <w:rPr>
          <w:rFonts w:ascii="宋体" w:hAnsi="宋体"/>
          <w:color w:val="000000" w:themeColor="text1"/>
          <w:sz w:val="24"/>
          <w:szCs w:val="20"/>
          <w:highlight w:val="none"/>
          <w14:textFill>
            <w14:solidFill>
              <w14:schemeClr w14:val="tx1"/>
            </w14:solidFill>
          </w14:textFill>
        </w:rPr>
      </w:pPr>
    </w:p>
    <w:p w14:paraId="4A70A656">
      <w:pPr>
        <w:spacing w:line="360" w:lineRule="auto"/>
        <w:ind w:firstLine="0" w:firstLineChars="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14:paraId="5EA9FD25">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A614E5B">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14:paraId="4207D1B3">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14:paraId="4104954C">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E05335">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14:paraId="23E506DA">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（1）将按磋商文件的约定履行合同责任和义务；</w:t>
      </w:r>
    </w:p>
    <w:p w14:paraId="24449092">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（2）已详细审查全部磋商文件，包括澄清或者更正公告（如有）；</w:t>
      </w:r>
    </w:p>
    <w:p w14:paraId="756AED6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（3）同意提供按照贵方可能要求的与磋商有关的一切数据或者资料；</w:t>
      </w:r>
    </w:p>
    <w:p w14:paraId="22237E3D">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（4）响应磋商文件规定的竞标有效期。</w:t>
      </w:r>
    </w:p>
    <w:p w14:paraId="46AEA594">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14:paraId="3512FA2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14:paraId="34148144">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14:paraId="11AFDD4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14:paraId="22C8C2E3">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14:paraId="0AE94CF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14:paraId="333B6D89">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14:paraId="09E602A1">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7FF9681">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3DBFAA">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14:paraId="72EE8657">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3A4B08B">
      <w:pPr>
        <w:pStyle w:val="26"/>
        <w:spacing w:line="360" w:lineRule="auto"/>
        <w:ind w:firstLine="420"/>
        <w:contextualSpacing/>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7.与本磋商有关的一切正式往来信函请寄：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邮政编号：</w:t>
      </w:r>
      <w:r>
        <w:rPr>
          <w:rFonts w:hint="eastAsia" w:hAnsi="宋体" w:cs="宋体"/>
          <w:color w:val="000000" w:themeColor="text1"/>
          <w:sz w:val="21"/>
          <w:highlight w:val="none"/>
          <w:u w:val="single"/>
          <w14:textFill>
            <w14:solidFill>
              <w14:schemeClr w14:val="tx1"/>
            </w14:solidFill>
          </w14:textFill>
        </w:rPr>
        <w:t xml:space="preserve">        </w:t>
      </w:r>
    </w:p>
    <w:p w14:paraId="2015957F">
      <w:pPr>
        <w:pStyle w:val="26"/>
        <w:spacing w:line="360" w:lineRule="auto"/>
        <w:ind w:firstLine="42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电话/传真：</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电子函件：</w:t>
      </w:r>
      <w:r>
        <w:rPr>
          <w:rFonts w:hint="eastAsia" w:hAnsi="宋体" w:cs="宋体"/>
          <w:color w:val="000000" w:themeColor="text1"/>
          <w:sz w:val="21"/>
          <w:highlight w:val="none"/>
          <w:u w:val="single"/>
          <w14:textFill>
            <w14:solidFill>
              <w14:schemeClr w14:val="tx1"/>
            </w14:solidFill>
          </w14:textFill>
        </w:rPr>
        <w:t xml:space="preserve">                            </w:t>
      </w:r>
    </w:p>
    <w:p w14:paraId="7714EA2C">
      <w:pPr>
        <w:pStyle w:val="22"/>
        <w:tabs>
          <w:tab w:val="left" w:pos="939"/>
        </w:tabs>
        <w:spacing w:line="360" w:lineRule="auto"/>
        <w:ind w:left="141" w:leftChars="67"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开户银行：</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帐号：</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78688D4C">
      <w:pPr>
        <w:pStyle w:val="22"/>
        <w:tabs>
          <w:tab w:val="left" w:pos="939"/>
        </w:tabs>
        <w:spacing w:line="360" w:lineRule="auto"/>
        <w:ind w:left="0" w:leftChars="0"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8.以上事项如有虚假或者隐瞒，我方愿意承担一切后果，并不再寻求任何旨在减轻或者免除法律责任的辩解。</w:t>
      </w:r>
    </w:p>
    <w:p w14:paraId="5E018B6D">
      <w:pPr>
        <w:pStyle w:val="22"/>
        <w:tabs>
          <w:tab w:val="left" w:pos="939"/>
        </w:tabs>
        <w:spacing w:line="360" w:lineRule="auto"/>
        <w:ind w:left="141" w:leftChars="67"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特此承诺。</w:t>
      </w:r>
    </w:p>
    <w:p w14:paraId="7C4EC74F">
      <w:pPr>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注：如为联合体竞标，盖章处须加盖联合体各方电子公章并由联合体各方法定代表人签署，否则其响应文件按无效响应处理。</w:t>
      </w:r>
    </w:p>
    <w:p w14:paraId="7541256C">
      <w:pPr>
        <w:spacing w:line="276" w:lineRule="auto"/>
        <w:ind w:firstLine="420"/>
        <w:rPr>
          <w:rFonts w:ascii="宋体" w:hAnsi="宋体"/>
          <w:color w:val="000000" w:themeColor="text1"/>
          <w:highlight w:val="none"/>
          <w14:textFill>
            <w14:solidFill>
              <w14:schemeClr w14:val="tx1"/>
            </w14:solidFill>
          </w14:textFill>
        </w:rPr>
      </w:pPr>
    </w:p>
    <w:p w14:paraId="5F4586A9">
      <w:pPr>
        <w:spacing w:line="276" w:lineRule="auto"/>
        <w:ind w:firstLine="420"/>
        <w:rPr>
          <w:rFonts w:ascii="宋体" w:hAnsi="宋体"/>
          <w:color w:val="000000" w:themeColor="text1"/>
          <w:highlight w:val="none"/>
          <w14:textFill>
            <w14:solidFill>
              <w14:schemeClr w14:val="tx1"/>
            </w14:solidFill>
          </w14:textFill>
        </w:rPr>
      </w:pPr>
    </w:p>
    <w:p w14:paraId="094BE6ED">
      <w:pPr>
        <w:spacing w:line="276" w:lineRule="auto"/>
        <w:ind w:firstLine="420"/>
        <w:rPr>
          <w:rFonts w:ascii="宋体" w:hAnsi="宋体"/>
          <w:color w:val="000000" w:themeColor="text1"/>
          <w:highlight w:val="none"/>
          <w14:textFill>
            <w14:solidFill>
              <w14:schemeClr w14:val="tx1"/>
            </w14:solidFill>
          </w14:textFill>
        </w:rPr>
      </w:pPr>
    </w:p>
    <w:p w14:paraId="3FE6CA4B">
      <w:pPr>
        <w:pStyle w:val="26"/>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13EB81EE">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4CE44367">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14:paraId="6BFAAC3E">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0AAEC0F6">
      <w:pPr>
        <w:spacing w:line="360" w:lineRule="exact"/>
        <w:ind w:firstLine="0" w:firstLineChars="0"/>
        <w:jc w:val="right"/>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6D2D4959">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7D63CD12">
      <w:pPr>
        <w:spacing w:after="120" w:afterLines="50"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78BF218C">
      <w:pPr>
        <w:pStyle w:val="19"/>
        <w:spacing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柳州市中医医院（柳州市壮医医院）</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碘【125I】、碘【131I】等放射性药品配送服务采购</w:t>
      </w:r>
      <w:r>
        <w:rPr>
          <w:rFonts w:ascii="宋体" w:hAnsi="宋体"/>
          <w:color w:val="000000" w:themeColor="text1"/>
          <w:szCs w:val="21"/>
          <w:highlight w:val="none"/>
          <w14:textFill>
            <w14:solidFill>
              <w14:schemeClr w14:val="tx1"/>
            </w14:solidFill>
          </w14:textFill>
        </w:rPr>
        <w:t>采购活动，</w:t>
      </w:r>
      <w:r>
        <w:rPr>
          <w:rFonts w:hint="eastAsia" w:ascii="宋体" w:hAnsi="宋体"/>
          <w:color w:val="000000" w:themeColor="text1"/>
          <w:szCs w:val="21"/>
          <w:highlight w:val="none"/>
          <w14:textFill>
            <w14:solidFill>
              <w14:schemeClr w14:val="tx1"/>
            </w14:solidFill>
          </w14:textFill>
        </w:rPr>
        <w:t>服务全部由符合政策要求的中小企业承接。相关企业（含联合体中的中小企业、签订分包意向协议的中小企业）的具体情况如下：</w:t>
      </w:r>
    </w:p>
    <w:p w14:paraId="5776FB5C">
      <w:pPr>
        <w:pStyle w:val="19"/>
        <w:spacing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（标的名称）</w:t>
      </w:r>
      <w:r>
        <w:rPr>
          <w:rFonts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14:textFill>
            <w14:solidFill>
              <w14:schemeClr w14:val="tx1"/>
            </w14:solidFill>
          </w14:textFill>
        </w:rPr>
        <w:t>其他未列明行业</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承接企业为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（企业名称），从业人员</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万元，资产总额为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w:t>
      </w:r>
      <w:r>
        <w:rPr>
          <w:rFonts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（中型企业</w:t>
      </w:r>
      <w:r>
        <w:rPr>
          <w:rFonts w:hint="eastAsia" w:ascii="宋体" w:hAnsi="宋体"/>
          <w:color w:val="000000" w:themeColor="text1"/>
          <w:szCs w:val="21"/>
          <w:highlight w:val="none"/>
          <w14:textFill>
            <w14:solidFill>
              <w14:schemeClr w14:val="tx1"/>
            </w14:solidFill>
          </w14:textFill>
        </w:rPr>
        <w:t>/小型企业/微型企业）。</w:t>
      </w:r>
    </w:p>
    <w:p w14:paraId="0A95C9DF">
      <w:pPr>
        <w:pStyle w:val="19"/>
        <w:spacing w:before="34"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2F6E347F">
      <w:pPr>
        <w:pStyle w:val="19"/>
        <w:spacing w:before="25"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本企业对上述声明内容的真实性负责。如有虚假，将依法承担相应责任。</w:t>
      </w:r>
    </w:p>
    <w:p w14:paraId="31E0C6BA">
      <w:pPr>
        <w:pStyle w:val="19"/>
        <w:spacing w:before="56" w:line="360" w:lineRule="auto"/>
        <w:ind w:left="3961" w:leftChars="1886" w:right="1808" w:firstLine="840" w:firstLineChars="400"/>
        <w:rPr>
          <w:rFonts w:ascii="宋体" w:hAnsi="宋体"/>
          <w:color w:val="000000" w:themeColor="text1"/>
          <w:szCs w:val="21"/>
          <w:highlight w:val="none"/>
          <w14:textFill>
            <w14:solidFill>
              <w14:schemeClr w14:val="tx1"/>
            </w14:solidFill>
          </w14:textFill>
        </w:rPr>
      </w:pPr>
    </w:p>
    <w:p w14:paraId="17349834">
      <w:pPr>
        <w:pStyle w:val="19"/>
        <w:spacing w:before="56" w:line="360" w:lineRule="auto"/>
        <w:ind w:left="3961" w:leftChars="1886" w:right="1808" w:firstLine="840" w:firstLineChars="4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企业名称（</w:t>
      </w:r>
      <w:r>
        <w:rPr>
          <w:rFonts w:hint="eastAsia" w:ascii="宋体" w:hAnsi="宋体"/>
          <w:color w:val="000000" w:themeColor="text1"/>
          <w:szCs w:val="21"/>
          <w:highlight w:val="none"/>
          <w14:textFill>
            <w14:solidFill>
              <w14:schemeClr w14:val="tx1"/>
            </w14:solidFill>
          </w14:textFill>
        </w:rPr>
        <w:t>加盖电子公章</w:t>
      </w:r>
      <w:r>
        <w:rPr>
          <w:rFonts w:ascii="宋体" w:hAnsi="宋体"/>
          <w:color w:val="000000" w:themeColor="text1"/>
          <w:szCs w:val="21"/>
          <w:highlight w:val="none"/>
          <w14:textFill>
            <w14:solidFill>
              <w14:schemeClr w14:val="tx1"/>
            </w14:solidFill>
          </w14:textFill>
        </w:rPr>
        <w:t>）：</w:t>
      </w:r>
    </w:p>
    <w:p w14:paraId="57BFB312">
      <w:pPr>
        <w:pStyle w:val="19"/>
        <w:spacing w:before="56" w:line="360" w:lineRule="auto"/>
        <w:ind w:left="3961" w:leftChars="1886" w:right="1808" w:firstLine="2520" w:firstLineChars="1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日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期：</w:t>
      </w:r>
    </w:p>
    <w:p w14:paraId="70458B82">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p>
    <w:p w14:paraId="3705EF7D">
      <w:pPr>
        <w:spacing w:line="36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79C17296">
      <w:pPr>
        <w:spacing w:line="360" w:lineRule="auto"/>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ascii="宋体" w:hAnsi="宋体" w:cs="宋体"/>
          <w:bCs/>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D55DF14">
      <w:pPr>
        <w:spacing w:line="36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2.供应商提供的《中小企业声明函》与事实不符的，依照《中华人民共和国政府采购法》第七十七条第一款的规定追究法律责任。</w:t>
      </w:r>
    </w:p>
    <w:p w14:paraId="325BBC09">
      <w:pPr>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中小企业划型标准详见《工业和信息化部、国家统计局、国家发展和改革委员会、财政部关于印发中小企业划型标准规定的通知》（工信部联企业〔2011〕300号）。</w:t>
      </w:r>
    </w:p>
    <w:p w14:paraId="044980D6">
      <w:pPr>
        <w:spacing w:line="36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4.为方便供应商识别企业规模类型，供应商可使用工业和信息化部组织开发的中小企业规模类型自测小程序生成企业规模类型测试结果。自测小程序链接：</w:t>
      </w:r>
      <w:r>
        <w:rPr>
          <w:rFonts w:ascii="宋体" w:hAnsi="宋体" w:cs="宋体"/>
          <w:b/>
          <w:bCs/>
          <w:color w:val="000000" w:themeColor="text1"/>
          <w:szCs w:val="21"/>
          <w:highlight w:val="none"/>
          <w14:textFill>
            <w14:solidFill>
              <w14:schemeClr w14:val="tx1"/>
            </w14:solidFill>
          </w14:textFill>
        </w:rPr>
        <w:t>https://baosong.miit.gov.cn/ScaleTest</w:t>
      </w:r>
      <w:r>
        <w:rPr>
          <w:rFonts w:hint="eastAsia" w:ascii="宋体" w:hAnsi="宋体" w:cs="宋体"/>
          <w:b/>
          <w:bCs/>
          <w:color w:val="000000" w:themeColor="text1"/>
          <w:szCs w:val="21"/>
          <w:highlight w:val="none"/>
          <w14:textFill>
            <w14:solidFill>
              <w14:schemeClr w14:val="tx1"/>
            </w14:solidFill>
          </w14:textFill>
        </w:rPr>
        <w:t>。</w:t>
      </w:r>
    </w:p>
    <w:p w14:paraId="12E043DF">
      <w:pPr>
        <w:spacing w:line="360" w:lineRule="auto"/>
        <w:ind w:firstLine="413" w:firstLineChars="196"/>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5.成交供应商</w:t>
      </w:r>
      <w:r>
        <w:rPr>
          <w:rFonts w:hint="eastAsia" w:ascii="宋体" w:hAnsi="宋体" w:cs="宋体"/>
          <w:b/>
          <w:bCs/>
          <w:color w:val="000000" w:themeColor="text1"/>
          <w:szCs w:val="21"/>
          <w:highlight w:val="none"/>
          <w14:textFill>
            <w14:solidFill>
              <w14:schemeClr w14:val="tx1"/>
            </w14:solidFill>
          </w14:textFill>
        </w:rPr>
        <w:t>依法</w:t>
      </w:r>
      <w:r>
        <w:rPr>
          <w:rFonts w:hint="eastAsia" w:hAnsi="宋体"/>
          <w:b/>
          <w:color w:val="000000" w:themeColor="text1"/>
          <w:highlight w:val="none"/>
          <w14:textFill>
            <w14:solidFill>
              <w14:schemeClr w14:val="tx1"/>
            </w14:solidFill>
          </w14:textFill>
        </w:rPr>
        <w:t>享受中小企业扶持政策的，采购代理机构将在成交结果公告中公告其《中小企业声明函》。</w:t>
      </w:r>
    </w:p>
    <w:p w14:paraId="6C5E7803">
      <w:pPr>
        <w:spacing w:line="36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6.</w:t>
      </w:r>
      <w:r>
        <w:rPr>
          <w:rFonts w:hint="eastAsia" w:hAnsi="宋体"/>
          <w:b/>
          <w:color w:val="000000" w:themeColor="text1"/>
          <w:highlight w:val="none"/>
          <w14:textFill>
            <w14:solidFill>
              <w14:schemeClr w14:val="tx1"/>
            </w14:solidFill>
          </w14:textFill>
        </w:rPr>
        <w:t>分标1标的名称：碘[125I]密封籽源配送服务；分标</w:t>
      </w:r>
      <w:r>
        <w:rPr>
          <w:rFonts w:hAnsi="宋体"/>
          <w:b/>
          <w:color w:val="000000" w:themeColor="text1"/>
          <w:highlight w:val="none"/>
          <w14:textFill>
            <w14:solidFill>
              <w14:schemeClr w14:val="tx1"/>
            </w14:solidFill>
          </w14:textFill>
        </w:rPr>
        <w:t>2</w:t>
      </w:r>
      <w:r>
        <w:rPr>
          <w:rFonts w:hint="eastAsia" w:hAnsi="宋体"/>
          <w:b/>
          <w:color w:val="000000" w:themeColor="text1"/>
          <w:highlight w:val="none"/>
          <w14:textFill>
            <w14:solidFill>
              <w14:schemeClr w14:val="tx1"/>
            </w14:solidFill>
          </w14:textFill>
        </w:rPr>
        <w:t>标的名称：碘[131I]化钠口服溶液配送服务；分标</w:t>
      </w:r>
      <w:r>
        <w:rPr>
          <w:rFonts w:hAnsi="宋体"/>
          <w:b/>
          <w:color w:val="000000" w:themeColor="text1"/>
          <w:highlight w:val="none"/>
          <w14:textFill>
            <w14:solidFill>
              <w14:schemeClr w14:val="tx1"/>
            </w14:solidFill>
          </w14:textFill>
        </w:rPr>
        <w:t>3</w:t>
      </w:r>
      <w:r>
        <w:rPr>
          <w:rFonts w:hint="eastAsia" w:hAnsi="宋体"/>
          <w:b/>
          <w:color w:val="000000" w:themeColor="text1"/>
          <w:highlight w:val="none"/>
          <w14:textFill>
            <w14:solidFill>
              <w14:schemeClr w14:val="tx1"/>
            </w14:solidFill>
          </w14:textFill>
        </w:rPr>
        <w:t>标的名称：氯化锶[89Sr]注射液配送服务。</w:t>
      </w:r>
    </w:p>
    <w:p w14:paraId="40988958">
      <w:pPr>
        <w:spacing w:line="360" w:lineRule="exact"/>
        <w:ind w:firstLine="0" w:firstLineChars="0"/>
        <w:rPr>
          <w:rFonts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30"/>
          <w:highlight w:val="none"/>
          <w14:textFill>
            <w14:solidFill>
              <w14:schemeClr w14:val="tx1"/>
            </w14:solidFill>
          </w14:textFill>
        </w:rPr>
        <w:br w:type="page"/>
      </w:r>
      <w:r>
        <w:rPr>
          <w:rFonts w:hint="eastAsia" w:hAnsi="宋体" w:cs="宋体"/>
          <w:b/>
          <w:color w:val="000000" w:themeColor="text1"/>
          <w:highlight w:val="none"/>
          <w14:textFill>
            <w14:solidFill>
              <w14:schemeClr w14:val="tx1"/>
            </w14:solidFill>
          </w14:textFill>
        </w:rPr>
        <w:t>附件</w:t>
      </w:r>
    </w:p>
    <w:p w14:paraId="36D9CBD0">
      <w:pPr>
        <w:spacing w:line="300" w:lineRule="auto"/>
        <w:ind w:firstLine="0" w:firstLineChars="0"/>
        <w:jc w:val="center"/>
        <w:rPr>
          <w:rFonts w:ascii="宋体" w:hAnsi="宋体" w:cs="宋体"/>
          <w:b/>
          <w:bCs/>
          <w:color w:val="000000" w:themeColor="text1"/>
          <w:kern w:val="0"/>
          <w:sz w:val="30"/>
          <w:highlight w:val="none"/>
          <w14:textFill>
            <w14:solidFill>
              <w14:schemeClr w14:val="tx1"/>
            </w14:solidFill>
          </w14:textFill>
        </w:rPr>
      </w:pPr>
    </w:p>
    <w:p w14:paraId="5C6CB20B">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残疾人福利性单位声明函（格式）</w:t>
      </w:r>
    </w:p>
    <w:p w14:paraId="50F734C6">
      <w:pPr>
        <w:spacing w:line="588" w:lineRule="exact"/>
        <w:ind w:firstLine="626"/>
        <w:rPr>
          <w:rFonts w:ascii="宋体" w:hAnsi="宋体" w:cs="宋体"/>
          <w:b/>
          <w:color w:val="000000" w:themeColor="text1"/>
          <w:spacing w:val="6"/>
          <w:sz w:val="30"/>
          <w:szCs w:val="30"/>
          <w:highlight w:val="none"/>
          <w14:textFill>
            <w14:solidFill>
              <w14:schemeClr w14:val="tx1"/>
            </w14:solidFill>
          </w14:textFill>
        </w:rPr>
      </w:pPr>
    </w:p>
    <w:p w14:paraId="36B07589">
      <w:pPr>
        <w:spacing w:line="360" w:lineRule="auto"/>
        <w:ind w:firstLine="44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highlight w:val="none"/>
          <w14:textFill>
            <w14:solidFill>
              <w14:schemeClr w14:val="tx1"/>
            </w14:solidFill>
          </w14:textFill>
        </w:rPr>
        <w:t>〔2017〕 141</w:t>
      </w:r>
      <w:r>
        <w:rPr>
          <w:rFonts w:hint="eastAsia" w:ascii="宋体" w:hAnsi="宋体" w:cs="宋体"/>
          <w:color w:val="000000" w:themeColor="text1"/>
          <w:spacing w:val="6"/>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单位的</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A99C7F0">
      <w:pPr>
        <w:spacing w:line="360" w:lineRule="auto"/>
        <w:ind w:firstLine="44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本单位对上述声明的真实性负责。如有虚假，将依法承担相应责任。</w:t>
      </w:r>
    </w:p>
    <w:p w14:paraId="6897FA62">
      <w:pPr>
        <w:spacing w:line="360" w:lineRule="auto"/>
        <w:ind w:firstLine="444"/>
        <w:rPr>
          <w:rFonts w:ascii="宋体" w:hAnsi="宋体" w:cs="宋体"/>
          <w:color w:val="000000" w:themeColor="text1"/>
          <w:spacing w:val="6"/>
          <w:highlight w:val="none"/>
          <w14:textFill>
            <w14:solidFill>
              <w14:schemeClr w14:val="tx1"/>
            </w14:solidFill>
          </w14:textFill>
        </w:rPr>
      </w:pPr>
    </w:p>
    <w:p w14:paraId="296D6449">
      <w:pPr>
        <w:spacing w:line="360" w:lineRule="auto"/>
        <w:ind w:firstLine="444"/>
        <w:rPr>
          <w:rFonts w:ascii="宋体" w:hAnsi="宋体" w:cs="宋体"/>
          <w:color w:val="000000" w:themeColor="text1"/>
          <w:spacing w:val="6"/>
          <w:highlight w:val="none"/>
          <w14:textFill>
            <w14:solidFill>
              <w14:schemeClr w14:val="tx1"/>
            </w14:solidFill>
          </w14:textFill>
        </w:rPr>
      </w:pPr>
    </w:p>
    <w:p w14:paraId="64AD0076">
      <w:pPr>
        <w:tabs>
          <w:tab w:val="left" w:pos="4860"/>
        </w:tabs>
        <w:spacing w:line="360" w:lineRule="auto"/>
        <w:ind w:right="1560" w:firstLine="444"/>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单位名称（</w:t>
      </w:r>
      <w:r>
        <w:rPr>
          <w:rFonts w:hint="eastAsia" w:ascii="宋体" w:hAnsi="宋体"/>
          <w:color w:val="000000" w:themeColor="text1"/>
          <w:szCs w:val="21"/>
          <w:highlight w:val="none"/>
          <w14:textFill>
            <w14:solidFill>
              <w14:schemeClr w14:val="tx1"/>
            </w14:solidFill>
          </w14:textFill>
        </w:rPr>
        <w:t>加盖电子公章</w:t>
      </w:r>
      <w:r>
        <w:rPr>
          <w:rFonts w:hint="eastAsia" w:ascii="宋体" w:hAnsi="宋体" w:cs="宋体"/>
          <w:color w:val="000000" w:themeColor="text1"/>
          <w:spacing w:val="6"/>
          <w:highlight w:val="none"/>
          <w14:textFill>
            <w14:solidFill>
              <w14:schemeClr w14:val="tx1"/>
            </w14:solidFill>
          </w14:textFill>
        </w:rPr>
        <w:t>）：</w:t>
      </w:r>
    </w:p>
    <w:p w14:paraId="5BF794B1">
      <w:pPr>
        <w:tabs>
          <w:tab w:val="left" w:pos="4860"/>
        </w:tabs>
        <w:spacing w:line="360" w:lineRule="auto"/>
        <w:ind w:right="1560" w:firstLine="444"/>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highlight w:val="non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日  期：</w:t>
      </w:r>
    </w:p>
    <w:p w14:paraId="441044BC">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3F29B27E">
      <w:pPr>
        <w:spacing w:line="300" w:lineRule="auto"/>
        <w:ind w:firstLine="0" w:firstLineChars="0"/>
        <w:rPr>
          <w:rFonts w:ascii="宋体" w:hAnsi="宋体" w:cs="宋体"/>
          <w:color w:val="000000" w:themeColor="text1"/>
          <w:highlight w:val="none"/>
          <w14:textFill>
            <w14:solidFill>
              <w14:schemeClr w14:val="tx1"/>
            </w14:solidFill>
          </w14:textFill>
        </w:rPr>
      </w:pPr>
    </w:p>
    <w:p w14:paraId="3DB16F94">
      <w:pPr>
        <w:ind w:firstLine="420"/>
        <w:rPr>
          <w:rFonts w:ascii="宋体" w:hAnsi="宋体" w:cs="宋体"/>
          <w:color w:val="000000" w:themeColor="text1"/>
          <w:highlight w:val="none"/>
          <w14:textFill>
            <w14:solidFill>
              <w14:schemeClr w14:val="tx1"/>
            </w14:solidFill>
          </w14:textFill>
        </w:rPr>
      </w:pPr>
    </w:p>
    <w:p w14:paraId="5B125881">
      <w:pPr>
        <w:ind w:firstLine="420"/>
        <w:rPr>
          <w:rFonts w:ascii="宋体" w:hAnsi="宋体" w:cs="宋体"/>
          <w:color w:val="000000" w:themeColor="text1"/>
          <w:highlight w:val="none"/>
          <w14:textFill>
            <w14:solidFill>
              <w14:schemeClr w14:val="tx1"/>
            </w14:solidFill>
          </w14:textFill>
        </w:rPr>
      </w:pPr>
    </w:p>
    <w:p w14:paraId="69DA4199">
      <w:pPr>
        <w:ind w:firstLine="420"/>
        <w:rPr>
          <w:rFonts w:ascii="宋体" w:hAnsi="宋体" w:cs="宋体"/>
          <w:color w:val="000000" w:themeColor="text1"/>
          <w:highlight w:val="none"/>
          <w14:textFill>
            <w14:solidFill>
              <w14:schemeClr w14:val="tx1"/>
            </w14:solidFill>
          </w14:textFill>
        </w:rPr>
      </w:pPr>
    </w:p>
    <w:p w14:paraId="75138AA2">
      <w:pPr>
        <w:ind w:firstLine="420"/>
        <w:rPr>
          <w:rFonts w:ascii="宋体" w:hAnsi="宋体" w:cs="宋体"/>
          <w:color w:val="000000" w:themeColor="text1"/>
          <w:highlight w:val="none"/>
          <w14:textFill>
            <w14:solidFill>
              <w14:schemeClr w14:val="tx1"/>
            </w14:solidFill>
          </w14:textFill>
        </w:rPr>
      </w:pPr>
    </w:p>
    <w:p w14:paraId="09BA52F4">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4C0D15E9">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2D0E591F">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1A7DCD0F">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67308746">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4BC26591">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7BBF3D0B">
      <w:pPr>
        <w:spacing w:line="300" w:lineRule="auto"/>
        <w:ind w:firstLine="413" w:firstLineChars="196"/>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随成交结果同时公告其《残疾人福利性单位声明函》，接受社会监督。供应商提供的《残疾人福利性单位声明函》与事实不符的，依照《</w:t>
      </w:r>
      <w:r>
        <w:rPr>
          <w:rFonts w:hint="eastAsia" w:ascii="宋体" w:hAnsi="宋体" w:cs="宋体"/>
          <w:b/>
          <w:bCs/>
          <w:color w:val="000000" w:themeColor="text1"/>
          <w:highlight w:val="none"/>
          <w14:textFill>
            <w14:solidFill>
              <w14:schemeClr w14:val="tx1"/>
            </w14:solidFill>
          </w14:textFill>
        </w:rPr>
        <w:t>中华人民共和国</w:t>
      </w:r>
      <w:r>
        <w:rPr>
          <w:rFonts w:hint="eastAsia" w:ascii="宋体" w:hAnsi="宋体" w:cs="宋体"/>
          <w:b/>
          <w:bCs/>
          <w:color w:val="000000" w:themeColor="text1"/>
          <w:szCs w:val="21"/>
          <w:highlight w:val="none"/>
          <w14:textFill>
            <w14:solidFill>
              <w14:schemeClr w14:val="tx1"/>
            </w14:solidFill>
          </w14:textFill>
        </w:rPr>
        <w:t>政府采购法》第七十七条第一款的规定追究法律责任</w:t>
      </w:r>
      <w:r>
        <w:rPr>
          <w:rFonts w:hint="eastAsia" w:ascii="宋体" w:hAnsi="宋体" w:cs="宋体"/>
          <w:b/>
          <w:bCs/>
          <w:color w:val="000000" w:themeColor="text1"/>
          <w:highlight w:val="none"/>
          <w14:textFill>
            <w14:solidFill>
              <w14:schemeClr w14:val="tx1"/>
            </w14:solidFill>
          </w14:textFill>
        </w:rPr>
        <w:t>。</w:t>
      </w:r>
    </w:p>
    <w:p w14:paraId="7295D93C">
      <w:pPr>
        <w:spacing w:line="360" w:lineRule="exact"/>
        <w:ind w:firstLine="0" w:firstLineChars="0"/>
        <w:rPr>
          <w:rFonts w:ascii="宋体" w:hAnsi="宋体" w:cs="宋体"/>
          <w:b/>
          <w:bCs/>
          <w:color w:val="000000" w:themeColor="text1"/>
          <w:highlight w:val="none"/>
          <w14:textFill>
            <w14:solidFill>
              <w14:schemeClr w14:val="tx1"/>
            </w14:solidFill>
          </w14:textFill>
        </w:rPr>
      </w:pPr>
    </w:p>
    <w:p w14:paraId="79BBD7F1">
      <w:pPr>
        <w:spacing w:line="360" w:lineRule="exact"/>
        <w:ind w:firstLine="0" w:firstLineChars="0"/>
        <w:rPr>
          <w:rFonts w:ascii="宋体" w:hAnsi="宋体"/>
          <w:b/>
          <w:color w:val="000000" w:themeColor="text1"/>
          <w:szCs w:val="21"/>
          <w:highlight w:val="none"/>
          <w14:textFill>
            <w14:solidFill>
              <w14:schemeClr w14:val="tx1"/>
            </w14:solidFill>
          </w14:textFill>
        </w:rPr>
      </w:pPr>
    </w:p>
    <w:p w14:paraId="36583036">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p>
    <w:p w14:paraId="703E649A">
      <w:pPr>
        <w:spacing w:line="360" w:lineRule="exact"/>
        <w:ind w:firstLine="0" w:firstLineChars="0"/>
        <w:rPr>
          <w:rFonts w:ascii="宋体" w:hAnsi="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667B2759">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附件 </w:t>
      </w:r>
    </w:p>
    <w:p w14:paraId="1DA1692F">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报价表（</w:t>
      </w:r>
      <w:r>
        <w:rPr>
          <w:rFonts w:hint="eastAsia"/>
          <w:b/>
          <w:color w:val="000000" w:themeColor="text1"/>
          <w:sz w:val="30"/>
          <w:highlight w:val="none"/>
          <w14:textFill>
            <w14:solidFill>
              <w14:schemeClr w14:val="tx1"/>
            </w14:solidFill>
          </w14:textFill>
        </w:rPr>
        <w:t>适用分标1</w:t>
      </w:r>
      <w:r>
        <w:rPr>
          <w:rFonts w:hint="eastAsia" w:ascii="宋体" w:hAnsi="宋体" w:cs="宋体"/>
          <w:b/>
          <w:color w:val="000000" w:themeColor="text1"/>
          <w:sz w:val="32"/>
          <w:szCs w:val="32"/>
          <w:highlight w:val="none"/>
          <w14:textFill>
            <w14:solidFill>
              <w14:schemeClr w14:val="tx1"/>
            </w14:solidFill>
          </w14:textFill>
        </w:rPr>
        <w:t>）</w:t>
      </w:r>
    </w:p>
    <w:tbl>
      <w:tblPr>
        <w:tblStyle w:val="51"/>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29"/>
        <w:gridCol w:w="709"/>
        <w:gridCol w:w="709"/>
        <w:gridCol w:w="1559"/>
        <w:gridCol w:w="709"/>
        <w:gridCol w:w="567"/>
        <w:gridCol w:w="850"/>
        <w:gridCol w:w="851"/>
        <w:gridCol w:w="1276"/>
        <w:gridCol w:w="439"/>
      </w:tblGrid>
      <w:tr w14:paraId="05EF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67" w:type="dxa"/>
            <w:vAlign w:val="center"/>
          </w:tcPr>
          <w:p w14:paraId="6C22FA0E">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序号</w:t>
            </w:r>
          </w:p>
        </w:tc>
        <w:tc>
          <w:tcPr>
            <w:tcW w:w="1129" w:type="dxa"/>
            <w:vAlign w:val="center"/>
          </w:tcPr>
          <w:p w14:paraId="14DFD7E3">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ascii="宋体" w:hAnsi="Courier New"/>
                <w:b/>
                <w:bCs/>
                <w:color w:val="000000" w:themeColor="text1"/>
                <w:kern w:val="0"/>
                <w:szCs w:val="21"/>
                <w:highlight w:val="none"/>
                <w14:textFill>
                  <w14:solidFill>
                    <w14:schemeClr w14:val="tx1"/>
                  </w14:solidFill>
                </w14:textFill>
              </w:rPr>
              <w:t>药品名称</w:t>
            </w:r>
          </w:p>
        </w:tc>
        <w:tc>
          <w:tcPr>
            <w:tcW w:w="709" w:type="dxa"/>
            <w:vAlign w:val="center"/>
          </w:tcPr>
          <w:p w14:paraId="7752CA4A">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生产厂家</w:t>
            </w:r>
          </w:p>
        </w:tc>
        <w:tc>
          <w:tcPr>
            <w:tcW w:w="709" w:type="dxa"/>
            <w:vAlign w:val="center"/>
          </w:tcPr>
          <w:p w14:paraId="3E277F88">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规格</w:t>
            </w:r>
          </w:p>
        </w:tc>
        <w:tc>
          <w:tcPr>
            <w:tcW w:w="1559" w:type="dxa"/>
            <w:vAlign w:val="center"/>
          </w:tcPr>
          <w:p w14:paraId="3678F88B">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外径*长径</w:t>
            </w:r>
          </w:p>
        </w:tc>
        <w:tc>
          <w:tcPr>
            <w:tcW w:w="709" w:type="dxa"/>
            <w:vAlign w:val="center"/>
          </w:tcPr>
          <w:p w14:paraId="127B1B43">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国药准字</w:t>
            </w:r>
          </w:p>
        </w:tc>
        <w:tc>
          <w:tcPr>
            <w:tcW w:w="567" w:type="dxa"/>
            <w:vAlign w:val="center"/>
          </w:tcPr>
          <w:p w14:paraId="4297245C">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单位</w:t>
            </w:r>
          </w:p>
        </w:tc>
        <w:tc>
          <w:tcPr>
            <w:tcW w:w="850" w:type="dxa"/>
          </w:tcPr>
          <w:p w14:paraId="07458421">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cs="宋体"/>
                <w:b/>
                <w:bCs/>
                <w:color w:val="000000" w:themeColor="text1"/>
                <w:kern w:val="0"/>
                <w:szCs w:val="21"/>
                <w:highlight w:val="none"/>
                <w:lang w:bidi="ar"/>
                <w14:textFill>
                  <w14:solidFill>
                    <w14:schemeClr w14:val="tx1"/>
                  </w14:solidFill>
                </w14:textFill>
              </w:rPr>
              <w:t>预计采购数量</w:t>
            </w:r>
            <w:r>
              <w:rPr>
                <w:rFonts w:hAnsi="宋体" w:cs="宋体"/>
                <w:b/>
                <w:bCs/>
                <w:color w:val="000000" w:themeColor="text1"/>
                <w:kern w:val="0"/>
                <w:szCs w:val="21"/>
                <w:highlight w:val="none"/>
                <w:lang w:bidi="ar"/>
                <w14:textFill>
                  <w14:solidFill>
                    <w14:schemeClr w14:val="tx1"/>
                  </w14:solidFill>
                </w14:textFill>
              </w:rPr>
              <w:t>/</w:t>
            </w:r>
            <w:r>
              <w:rPr>
                <w:rFonts w:hint="eastAsia" w:hAnsi="宋体" w:cs="宋体"/>
                <w:b/>
                <w:bCs/>
                <w:color w:val="000000" w:themeColor="text1"/>
                <w:kern w:val="0"/>
                <w:szCs w:val="21"/>
                <w:highlight w:val="none"/>
                <w:lang w:bidi="ar"/>
                <w14:textFill>
                  <w14:solidFill>
                    <w14:schemeClr w14:val="tx1"/>
                  </w14:solidFill>
                </w14:textFill>
              </w:rPr>
              <w:t>两年</w:t>
            </w:r>
          </w:p>
          <w:p w14:paraId="67AF3781">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①</w:t>
            </w:r>
          </w:p>
        </w:tc>
        <w:tc>
          <w:tcPr>
            <w:tcW w:w="851" w:type="dxa"/>
            <w:vAlign w:val="center"/>
          </w:tcPr>
          <w:p w14:paraId="3B5AAD99">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单价（元）</w:t>
            </w:r>
          </w:p>
          <w:p w14:paraId="20C287B2">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②</w:t>
            </w:r>
          </w:p>
        </w:tc>
        <w:tc>
          <w:tcPr>
            <w:tcW w:w="1276" w:type="dxa"/>
            <w:vAlign w:val="center"/>
          </w:tcPr>
          <w:p w14:paraId="61DC8B95">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单项合价</w:t>
            </w:r>
          </w:p>
          <w:p w14:paraId="64E3BDC0">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③=①×②</w:t>
            </w:r>
          </w:p>
        </w:tc>
        <w:tc>
          <w:tcPr>
            <w:tcW w:w="439" w:type="dxa"/>
            <w:vAlign w:val="center"/>
          </w:tcPr>
          <w:p w14:paraId="0FF35ACD">
            <w:pPr>
              <w:spacing w:line="0" w:lineRule="atLeast"/>
              <w:ind w:firstLine="0" w:firstLineChars="0"/>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备注</w:t>
            </w:r>
          </w:p>
        </w:tc>
      </w:tr>
      <w:tr w14:paraId="0B0F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7" w:type="dxa"/>
            <w:vAlign w:val="center"/>
          </w:tcPr>
          <w:p w14:paraId="40EF89DD">
            <w:pPr>
              <w:spacing w:line="0" w:lineRule="atLeast"/>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1129" w:type="dxa"/>
            <w:vAlign w:val="center"/>
          </w:tcPr>
          <w:p w14:paraId="4088BFD2">
            <w:pPr>
              <w:spacing w:line="0" w:lineRule="atLeast"/>
              <w:ind w:firstLine="0" w:firstLineChars="0"/>
              <w:jc w:val="center"/>
              <w:rPr>
                <w:rFonts w:hAnsi="宋体"/>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碘[125I]密封籽源</w:t>
            </w:r>
          </w:p>
        </w:tc>
        <w:tc>
          <w:tcPr>
            <w:tcW w:w="709" w:type="dxa"/>
            <w:vAlign w:val="center"/>
          </w:tcPr>
          <w:p w14:paraId="31988F10">
            <w:pPr>
              <w:spacing w:line="0" w:lineRule="atLeast"/>
              <w:ind w:firstLine="0" w:firstLineChars="0"/>
              <w:jc w:val="center"/>
              <w:rPr>
                <w:rFonts w:hAnsi="宋体"/>
                <w:color w:val="000000" w:themeColor="text1"/>
                <w:highlight w:val="none"/>
                <w14:textFill>
                  <w14:solidFill>
                    <w14:schemeClr w14:val="tx1"/>
                  </w14:solidFill>
                </w14:textFill>
              </w:rPr>
            </w:pPr>
          </w:p>
        </w:tc>
        <w:tc>
          <w:tcPr>
            <w:tcW w:w="709" w:type="dxa"/>
            <w:vAlign w:val="center"/>
          </w:tcPr>
          <w:p w14:paraId="44B53486">
            <w:pPr>
              <w:spacing w:line="0" w:lineRule="atLeast"/>
              <w:ind w:firstLine="0" w:firstLineChars="0"/>
              <w:jc w:val="center"/>
              <w:rPr>
                <w:rFonts w:hAnsi="宋体"/>
                <w:color w:val="000000" w:themeColor="text1"/>
                <w:highlight w:val="none"/>
                <w14:textFill>
                  <w14:solidFill>
                    <w14:schemeClr w14:val="tx1"/>
                  </w14:solidFill>
                </w14:textFill>
              </w:rPr>
            </w:pPr>
          </w:p>
        </w:tc>
        <w:tc>
          <w:tcPr>
            <w:tcW w:w="1559" w:type="dxa"/>
            <w:vAlign w:val="center"/>
          </w:tcPr>
          <w:p w14:paraId="0E099349">
            <w:pPr>
              <w:spacing w:line="0" w:lineRule="atLeast"/>
              <w:ind w:firstLine="0" w:firstLineChars="0"/>
              <w:jc w:val="center"/>
              <w:rPr>
                <w:rFonts w:ascii="宋体" w:hAnsi="宋体"/>
                <w:color w:val="000000" w:themeColor="text1"/>
                <w:kern w:val="0"/>
                <w:szCs w:val="21"/>
                <w:highlight w:val="none"/>
                <w14:textFill>
                  <w14:solidFill>
                    <w14:schemeClr w14:val="tx1"/>
                  </w14:solidFill>
                </w14:textFill>
              </w:rPr>
            </w:pPr>
          </w:p>
        </w:tc>
        <w:tc>
          <w:tcPr>
            <w:tcW w:w="709" w:type="dxa"/>
            <w:vAlign w:val="center"/>
          </w:tcPr>
          <w:p w14:paraId="5B9E5069">
            <w:pPr>
              <w:spacing w:line="0" w:lineRule="atLeast"/>
              <w:ind w:firstLine="0" w:firstLineChars="0"/>
              <w:jc w:val="center"/>
              <w:rPr>
                <w:rFonts w:ascii="宋体" w:hAnsi="宋体"/>
                <w:color w:val="000000" w:themeColor="text1"/>
                <w:kern w:val="0"/>
                <w:szCs w:val="21"/>
                <w:highlight w:val="none"/>
                <w14:textFill>
                  <w14:solidFill>
                    <w14:schemeClr w14:val="tx1"/>
                  </w14:solidFill>
                </w14:textFill>
              </w:rPr>
            </w:pPr>
          </w:p>
        </w:tc>
        <w:tc>
          <w:tcPr>
            <w:tcW w:w="567" w:type="dxa"/>
            <w:vAlign w:val="center"/>
          </w:tcPr>
          <w:p w14:paraId="60F7F443">
            <w:pPr>
              <w:spacing w:line="0" w:lineRule="atLeast"/>
              <w:ind w:firstLine="0" w:firstLineChars="0"/>
              <w:jc w:val="center"/>
              <w:rPr>
                <w:rFonts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粒</w:t>
            </w:r>
          </w:p>
        </w:tc>
        <w:tc>
          <w:tcPr>
            <w:tcW w:w="850" w:type="dxa"/>
            <w:vAlign w:val="center"/>
          </w:tcPr>
          <w:p w14:paraId="0F5470F4">
            <w:pPr>
              <w:spacing w:line="0" w:lineRule="atLeast"/>
              <w:ind w:firstLine="0" w:firstLineChars="0"/>
              <w:jc w:val="center"/>
              <w:rPr>
                <w:rFonts w:hAnsi="宋体"/>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140</w:t>
            </w:r>
            <w:r>
              <w:rPr>
                <w:rFonts w:hint="eastAsia" w:ascii="宋体" w:hAnsi="宋体"/>
                <w:color w:val="000000" w:themeColor="text1"/>
                <w:kern w:val="0"/>
                <w:szCs w:val="21"/>
                <w:highlight w:val="none"/>
                <w14:textFill>
                  <w14:solidFill>
                    <w14:schemeClr w14:val="tx1"/>
                  </w14:solidFill>
                </w14:textFill>
              </w:rPr>
              <w:t>0</w:t>
            </w:r>
          </w:p>
        </w:tc>
        <w:tc>
          <w:tcPr>
            <w:tcW w:w="851" w:type="dxa"/>
            <w:vAlign w:val="center"/>
          </w:tcPr>
          <w:p w14:paraId="23628615">
            <w:pPr>
              <w:spacing w:line="0" w:lineRule="atLeast"/>
              <w:ind w:firstLine="0" w:firstLineChars="0"/>
              <w:jc w:val="center"/>
              <w:rPr>
                <w:rFonts w:hAnsi="宋体"/>
                <w:color w:val="000000" w:themeColor="text1"/>
                <w:highlight w:val="none"/>
                <w14:textFill>
                  <w14:solidFill>
                    <w14:schemeClr w14:val="tx1"/>
                  </w14:solidFill>
                </w14:textFill>
              </w:rPr>
            </w:pPr>
          </w:p>
        </w:tc>
        <w:tc>
          <w:tcPr>
            <w:tcW w:w="1276" w:type="dxa"/>
            <w:vAlign w:val="center"/>
          </w:tcPr>
          <w:p w14:paraId="15BEA202">
            <w:pPr>
              <w:spacing w:line="0" w:lineRule="atLeast"/>
              <w:ind w:firstLine="0" w:firstLineChars="0"/>
              <w:jc w:val="center"/>
              <w:rPr>
                <w:rFonts w:hAnsi="宋体"/>
                <w:color w:val="000000" w:themeColor="text1"/>
                <w:highlight w:val="none"/>
                <w14:textFill>
                  <w14:solidFill>
                    <w14:schemeClr w14:val="tx1"/>
                  </w14:solidFill>
                </w14:textFill>
              </w:rPr>
            </w:pPr>
          </w:p>
        </w:tc>
        <w:tc>
          <w:tcPr>
            <w:tcW w:w="439" w:type="dxa"/>
            <w:vAlign w:val="center"/>
          </w:tcPr>
          <w:p w14:paraId="4D59DA0D">
            <w:pPr>
              <w:spacing w:line="0" w:lineRule="atLeast"/>
              <w:ind w:firstLine="0" w:firstLineChars="0"/>
              <w:jc w:val="center"/>
              <w:rPr>
                <w:rFonts w:hAnsi="宋体"/>
                <w:color w:val="000000" w:themeColor="text1"/>
                <w:highlight w:val="none"/>
                <w14:textFill>
                  <w14:solidFill>
                    <w14:schemeClr w14:val="tx1"/>
                  </w14:solidFill>
                </w14:textFill>
              </w:rPr>
            </w:pPr>
          </w:p>
        </w:tc>
      </w:tr>
      <w:tr w14:paraId="5D91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7" w:type="dxa"/>
            <w:vAlign w:val="center"/>
          </w:tcPr>
          <w:p w14:paraId="5BB86FEB">
            <w:pPr>
              <w:spacing w:line="0" w:lineRule="atLeast"/>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1129" w:type="dxa"/>
            <w:vAlign w:val="center"/>
          </w:tcPr>
          <w:p w14:paraId="4DAA7E36">
            <w:pPr>
              <w:spacing w:line="0" w:lineRule="atLeast"/>
              <w:ind w:firstLine="0" w:firstLineChars="0"/>
              <w:jc w:val="center"/>
              <w:rPr>
                <w:rFonts w:hAnsi="宋体"/>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碘[125I]密封籽源</w:t>
            </w:r>
          </w:p>
        </w:tc>
        <w:tc>
          <w:tcPr>
            <w:tcW w:w="709" w:type="dxa"/>
            <w:vAlign w:val="center"/>
          </w:tcPr>
          <w:p w14:paraId="6854A155">
            <w:pPr>
              <w:spacing w:line="0" w:lineRule="atLeast"/>
              <w:ind w:firstLine="0" w:firstLineChars="0"/>
              <w:jc w:val="center"/>
              <w:rPr>
                <w:rFonts w:hAnsi="宋体"/>
                <w:color w:val="000000" w:themeColor="text1"/>
                <w:highlight w:val="none"/>
                <w14:textFill>
                  <w14:solidFill>
                    <w14:schemeClr w14:val="tx1"/>
                  </w14:solidFill>
                </w14:textFill>
              </w:rPr>
            </w:pPr>
          </w:p>
        </w:tc>
        <w:tc>
          <w:tcPr>
            <w:tcW w:w="709" w:type="dxa"/>
            <w:vAlign w:val="center"/>
          </w:tcPr>
          <w:p w14:paraId="11BE1705">
            <w:pPr>
              <w:spacing w:line="0" w:lineRule="atLeast"/>
              <w:ind w:firstLine="0" w:firstLineChars="0"/>
              <w:jc w:val="center"/>
              <w:rPr>
                <w:rFonts w:hAnsi="宋体"/>
                <w:color w:val="000000" w:themeColor="text1"/>
                <w:highlight w:val="none"/>
                <w14:textFill>
                  <w14:solidFill>
                    <w14:schemeClr w14:val="tx1"/>
                  </w14:solidFill>
                </w14:textFill>
              </w:rPr>
            </w:pPr>
          </w:p>
        </w:tc>
        <w:tc>
          <w:tcPr>
            <w:tcW w:w="1559" w:type="dxa"/>
            <w:vAlign w:val="center"/>
          </w:tcPr>
          <w:p w14:paraId="39F81F72">
            <w:pPr>
              <w:spacing w:line="0" w:lineRule="atLeast"/>
              <w:ind w:firstLine="0" w:firstLineChars="0"/>
              <w:jc w:val="center"/>
              <w:rPr>
                <w:rFonts w:ascii="宋体" w:hAnsi="宋体"/>
                <w:color w:val="000000" w:themeColor="text1"/>
                <w:kern w:val="0"/>
                <w:szCs w:val="21"/>
                <w:highlight w:val="none"/>
                <w14:textFill>
                  <w14:solidFill>
                    <w14:schemeClr w14:val="tx1"/>
                  </w14:solidFill>
                </w14:textFill>
              </w:rPr>
            </w:pPr>
          </w:p>
        </w:tc>
        <w:tc>
          <w:tcPr>
            <w:tcW w:w="709" w:type="dxa"/>
            <w:vAlign w:val="center"/>
          </w:tcPr>
          <w:p w14:paraId="32CA8953">
            <w:pPr>
              <w:spacing w:line="0" w:lineRule="atLeast"/>
              <w:ind w:firstLine="0" w:firstLineChars="0"/>
              <w:jc w:val="center"/>
              <w:rPr>
                <w:rFonts w:ascii="宋体" w:hAnsi="宋体"/>
                <w:color w:val="000000" w:themeColor="text1"/>
                <w:kern w:val="0"/>
                <w:szCs w:val="21"/>
                <w:highlight w:val="none"/>
                <w14:textFill>
                  <w14:solidFill>
                    <w14:schemeClr w14:val="tx1"/>
                  </w14:solidFill>
                </w14:textFill>
              </w:rPr>
            </w:pPr>
          </w:p>
        </w:tc>
        <w:tc>
          <w:tcPr>
            <w:tcW w:w="567" w:type="dxa"/>
            <w:vAlign w:val="center"/>
          </w:tcPr>
          <w:p w14:paraId="5B031388">
            <w:pPr>
              <w:spacing w:line="0" w:lineRule="atLeast"/>
              <w:ind w:firstLine="0" w:firstLineChars="0"/>
              <w:jc w:val="center"/>
              <w:rPr>
                <w:rFonts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粒</w:t>
            </w:r>
          </w:p>
        </w:tc>
        <w:tc>
          <w:tcPr>
            <w:tcW w:w="850" w:type="dxa"/>
            <w:vAlign w:val="center"/>
          </w:tcPr>
          <w:p w14:paraId="3F4C8F11">
            <w:pPr>
              <w:spacing w:line="0" w:lineRule="atLeast"/>
              <w:ind w:firstLine="0" w:firstLineChars="0"/>
              <w:jc w:val="center"/>
              <w:rPr>
                <w:rFonts w:hAnsi="宋体"/>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00</w:t>
            </w:r>
          </w:p>
        </w:tc>
        <w:tc>
          <w:tcPr>
            <w:tcW w:w="851" w:type="dxa"/>
            <w:vAlign w:val="center"/>
          </w:tcPr>
          <w:p w14:paraId="2011271E">
            <w:pPr>
              <w:spacing w:line="0" w:lineRule="atLeast"/>
              <w:ind w:firstLine="0" w:firstLineChars="0"/>
              <w:jc w:val="center"/>
              <w:rPr>
                <w:rFonts w:hAnsi="宋体"/>
                <w:color w:val="000000" w:themeColor="text1"/>
                <w:highlight w:val="none"/>
                <w14:textFill>
                  <w14:solidFill>
                    <w14:schemeClr w14:val="tx1"/>
                  </w14:solidFill>
                </w14:textFill>
              </w:rPr>
            </w:pPr>
          </w:p>
        </w:tc>
        <w:tc>
          <w:tcPr>
            <w:tcW w:w="1276" w:type="dxa"/>
            <w:vAlign w:val="center"/>
          </w:tcPr>
          <w:p w14:paraId="4D167427">
            <w:pPr>
              <w:spacing w:line="0" w:lineRule="atLeast"/>
              <w:ind w:firstLine="0" w:firstLineChars="0"/>
              <w:jc w:val="center"/>
              <w:rPr>
                <w:rFonts w:hAnsi="宋体"/>
                <w:color w:val="000000" w:themeColor="text1"/>
                <w:highlight w:val="none"/>
                <w14:textFill>
                  <w14:solidFill>
                    <w14:schemeClr w14:val="tx1"/>
                  </w14:solidFill>
                </w14:textFill>
              </w:rPr>
            </w:pPr>
          </w:p>
        </w:tc>
        <w:tc>
          <w:tcPr>
            <w:tcW w:w="439" w:type="dxa"/>
            <w:vAlign w:val="center"/>
          </w:tcPr>
          <w:p w14:paraId="7172D63B">
            <w:pPr>
              <w:spacing w:line="0" w:lineRule="atLeast"/>
              <w:ind w:firstLine="0" w:firstLineChars="0"/>
              <w:jc w:val="center"/>
              <w:rPr>
                <w:rFonts w:hAnsi="宋体"/>
                <w:color w:val="000000" w:themeColor="text1"/>
                <w:highlight w:val="none"/>
                <w14:textFill>
                  <w14:solidFill>
                    <w14:schemeClr w14:val="tx1"/>
                  </w14:solidFill>
                </w14:textFill>
              </w:rPr>
            </w:pPr>
          </w:p>
        </w:tc>
      </w:tr>
      <w:tr w14:paraId="3FF5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365" w:type="dxa"/>
            <w:gridSpan w:val="11"/>
            <w:vAlign w:val="center"/>
          </w:tcPr>
          <w:p w14:paraId="0704030B">
            <w:pPr>
              <w:pStyle w:val="26"/>
              <w:tabs>
                <w:tab w:val="left" w:pos="5529"/>
              </w:tabs>
              <w:spacing w:line="360" w:lineRule="auto"/>
              <w:ind w:firstLine="0" w:firstLineChars="0"/>
              <w:rPr>
                <w:rFonts w:hAnsi="宋体"/>
                <w:color w:val="000000" w:themeColor="text1"/>
                <w:kern w:val="2"/>
                <w:sz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总报价（大写）：人民币             </w:t>
            </w: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                ）</w:t>
            </w:r>
          </w:p>
        </w:tc>
      </w:tr>
    </w:tbl>
    <w:p w14:paraId="532ABBBF">
      <w:pPr>
        <w:spacing w:line="360" w:lineRule="auto"/>
        <w:ind w:firstLine="0" w:firstLineChars="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w:t>
      </w:r>
    </w:p>
    <w:p w14:paraId="2FBA430C">
      <w:pPr>
        <w:spacing w:line="360" w:lineRule="auto"/>
        <w:ind w:firstLine="422"/>
        <w:rPr>
          <w:rFonts w:ascii="宋体" w:hAnsi="宋体" w:cs="宋体"/>
          <w:b/>
          <w:color w:val="000000" w:themeColor="text1"/>
          <w:kern w:val="0"/>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w:t>
      </w:r>
      <w:r>
        <w:rPr>
          <w:rFonts w:hAnsi="宋体"/>
          <w:b/>
          <w:color w:val="000000" w:themeColor="text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本项目报价不能超出采购控制价，否则竞标无效。</w:t>
      </w:r>
    </w:p>
    <w:p w14:paraId="297165AE">
      <w:pPr>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上述所有报价一经涂改，应在涂改处加盖单位电子公章或者由法定代表人（负责人或自然人）或</w:t>
      </w:r>
      <w:r>
        <w:rPr>
          <w:rFonts w:hint="eastAsia" w:hAnsi="宋体"/>
          <w:color w:val="000000" w:themeColor="text1"/>
          <w:highlight w:val="none"/>
          <w14:textFill>
            <w14:solidFill>
              <w14:schemeClr w14:val="tx1"/>
            </w14:solidFill>
          </w14:textFill>
        </w:rPr>
        <w:t>委托代理人</w:t>
      </w:r>
      <w:r>
        <w:rPr>
          <w:rFonts w:hint="eastAsia" w:hAnsi="宋体"/>
          <w:color w:val="000000" w:themeColor="text1"/>
          <w:highlight w:val="none"/>
          <w14:textFill>
            <w14:solidFill>
              <w14:schemeClr w14:val="tx1"/>
            </w14:solidFill>
          </w14:textFill>
        </w:rPr>
        <w:t>签字或者电子签名或加盖电子印章，否则作竞标无效处理。</w:t>
      </w:r>
    </w:p>
    <w:p w14:paraId="7E568F23">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29D4C74B">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2B86F8AD">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59BE2421">
      <w:pPr>
        <w:pStyle w:val="26"/>
        <w:tabs>
          <w:tab w:val="left" w:pos="5529"/>
        </w:tabs>
        <w:spacing w:line="360" w:lineRule="auto"/>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6E7CEDE9">
      <w:pPr>
        <w:pStyle w:val="26"/>
        <w:tabs>
          <w:tab w:val="left" w:pos="5529"/>
        </w:tabs>
        <w:spacing w:line="360" w:lineRule="auto"/>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49C00160">
      <w:pPr>
        <w:tabs>
          <w:tab w:val="left" w:pos="4111"/>
        </w:tabs>
        <w:snapToGrid w:val="0"/>
        <w:spacing w:line="360" w:lineRule="auto"/>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660191EB">
      <w:pPr>
        <w:tabs>
          <w:tab w:val="left" w:pos="4111"/>
        </w:tabs>
        <w:snapToGrid w:val="0"/>
        <w:spacing w:line="360" w:lineRule="auto"/>
        <w:ind w:firstLine="3968" w:firstLineChars="1890"/>
        <w:rPr>
          <w:rFonts w:hAnsi="宋体"/>
          <w:color w:val="000000" w:themeColor="text1"/>
          <w:highlight w:val="none"/>
          <w14:textFill>
            <w14:solidFill>
              <w14:schemeClr w14:val="tx1"/>
            </w14:solidFill>
          </w14:textFill>
        </w:rPr>
      </w:pPr>
    </w:p>
    <w:p w14:paraId="6547E09A">
      <w:pPr>
        <w:spacing w:line="360" w:lineRule="auto"/>
        <w:ind w:firstLine="0" w:firstLineChars="0"/>
        <w:jc w:val="right"/>
        <w:rPr>
          <w:rFonts w:ascii="宋体" w:hAnsi="宋体" w:cs="宋体"/>
          <w:b/>
          <w:color w:val="000000" w:themeColor="text1"/>
          <w:szCs w:val="2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6D3AC367">
      <w:pPr>
        <w:spacing w:line="36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报价表（</w:t>
      </w:r>
      <w:r>
        <w:rPr>
          <w:rFonts w:hint="eastAsia"/>
          <w:b/>
          <w:color w:val="000000" w:themeColor="text1"/>
          <w:sz w:val="30"/>
          <w:highlight w:val="none"/>
          <w14:textFill>
            <w14:solidFill>
              <w14:schemeClr w14:val="tx1"/>
            </w14:solidFill>
          </w14:textFill>
        </w:rPr>
        <w:t>适用分标</w:t>
      </w:r>
      <w:r>
        <w:rPr>
          <w:b/>
          <w:color w:val="000000" w:themeColor="text1"/>
          <w:sz w:val="30"/>
          <w:highlight w:val="none"/>
          <w14:textFill>
            <w14:solidFill>
              <w14:schemeClr w14:val="tx1"/>
            </w14:solidFill>
          </w14:textFill>
        </w:rPr>
        <w:t>2</w:t>
      </w:r>
      <w:r>
        <w:rPr>
          <w:rFonts w:hint="eastAsia" w:ascii="宋体" w:hAnsi="宋体" w:cs="宋体"/>
          <w:b/>
          <w:color w:val="000000" w:themeColor="text1"/>
          <w:sz w:val="32"/>
          <w:szCs w:val="32"/>
          <w:highlight w:val="none"/>
          <w14:textFill>
            <w14:solidFill>
              <w14:schemeClr w14:val="tx1"/>
            </w14:solidFill>
          </w14:textFill>
        </w:rPr>
        <w:t>）</w:t>
      </w:r>
    </w:p>
    <w:p w14:paraId="3D0548A1">
      <w:pPr>
        <w:spacing w:line="36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p>
    <w:tbl>
      <w:tblPr>
        <w:tblStyle w:val="51"/>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29"/>
        <w:gridCol w:w="709"/>
        <w:gridCol w:w="1134"/>
        <w:gridCol w:w="1134"/>
        <w:gridCol w:w="567"/>
        <w:gridCol w:w="992"/>
        <w:gridCol w:w="851"/>
        <w:gridCol w:w="1276"/>
        <w:gridCol w:w="1006"/>
      </w:tblGrid>
      <w:tr w14:paraId="005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67" w:type="dxa"/>
            <w:vAlign w:val="center"/>
          </w:tcPr>
          <w:p w14:paraId="47A12E2E">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序号</w:t>
            </w:r>
          </w:p>
        </w:tc>
        <w:tc>
          <w:tcPr>
            <w:tcW w:w="1129" w:type="dxa"/>
            <w:vAlign w:val="center"/>
          </w:tcPr>
          <w:p w14:paraId="0D7575C1">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kern w:val="0"/>
                <w:szCs w:val="21"/>
                <w:highlight w:val="none"/>
                <w14:textFill>
                  <w14:solidFill>
                    <w14:schemeClr w14:val="tx1"/>
                  </w14:solidFill>
                </w14:textFill>
              </w:rPr>
              <w:t>药品名称</w:t>
            </w:r>
          </w:p>
        </w:tc>
        <w:tc>
          <w:tcPr>
            <w:tcW w:w="709" w:type="dxa"/>
            <w:vAlign w:val="center"/>
          </w:tcPr>
          <w:p w14:paraId="6E3314D3">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生产厂家</w:t>
            </w:r>
          </w:p>
        </w:tc>
        <w:tc>
          <w:tcPr>
            <w:tcW w:w="1134" w:type="dxa"/>
            <w:vAlign w:val="center"/>
          </w:tcPr>
          <w:p w14:paraId="3D82ADAC">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规格</w:t>
            </w:r>
          </w:p>
        </w:tc>
        <w:tc>
          <w:tcPr>
            <w:tcW w:w="1134" w:type="dxa"/>
            <w:vAlign w:val="center"/>
          </w:tcPr>
          <w:p w14:paraId="0E30FFF0">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国药准字</w:t>
            </w:r>
          </w:p>
        </w:tc>
        <w:tc>
          <w:tcPr>
            <w:tcW w:w="567" w:type="dxa"/>
            <w:vAlign w:val="center"/>
          </w:tcPr>
          <w:p w14:paraId="08D74CB1">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单位</w:t>
            </w:r>
          </w:p>
        </w:tc>
        <w:tc>
          <w:tcPr>
            <w:tcW w:w="992" w:type="dxa"/>
            <w:vAlign w:val="center"/>
          </w:tcPr>
          <w:p w14:paraId="46A5E61C">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lang w:bidi="ar"/>
                <w14:textFill>
                  <w14:solidFill>
                    <w14:schemeClr w14:val="tx1"/>
                  </w14:solidFill>
                </w14:textFill>
              </w:rPr>
              <w:t>预计采购数量</w:t>
            </w:r>
            <w:r>
              <w:rPr>
                <w:rFonts w:cs="宋体" w:asciiTheme="minorEastAsia" w:hAnsiTheme="minorEastAsia" w:eastAsiaTheme="minorEastAsia"/>
                <w:b/>
                <w:bCs/>
                <w:color w:val="000000" w:themeColor="text1"/>
                <w:kern w:val="0"/>
                <w:szCs w:val="21"/>
                <w:highlight w:val="none"/>
                <w:lang w:bidi="ar"/>
                <w14:textFill>
                  <w14:solidFill>
                    <w14:schemeClr w14:val="tx1"/>
                  </w14:solidFill>
                </w14:textFill>
              </w:rPr>
              <w:t>/</w:t>
            </w:r>
            <w:r>
              <w:rPr>
                <w:rFonts w:hint="eastAsia" w:cs="宋体" w:asciiTheme="minorEastAsia" w:hAnsiTheme="minorEastAsia" w:eastAsiaTheme="minorEastAsia"/>
                <w:b/>
                <w:bCs/>
                <w:color w:val="000000" w:themeColor="text1"/>
                <w:kern w:val="0"/>
                <w:szCs w:val="21"/>
                <w:highlight w:val="none"/>
                <w:lang w:bidi="ar"/>
                <w14:textFill>
                  <w14:solidFill>
                    <w14:schemeClr w14:val="tx1"/>
                  </w14:solidFill>
                </w14:textFill>
              </w:rPr>
              <w:t>两年</w:t>
            </w:r>
          </w:p>
          <w:p w14:paraId="6579A8C5">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①</w:t>
            </w:r>
          </w:p>
        </w:tc>
        <w:tc>
          <w:tcPr>
            <w:tcW w:w="851" w:type="dxa"/>
            <w:vAlign w:val="center"/>
          </w:tcPr>
          <w:p w14:paraId="074C7D4A">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单价（元）</w:t>
            </w:r>
          </w:p>
          <w:p w14:paraId="1C6F2CB1">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②</w:t>
            </w:r>
          </w:p>
        </w:tc>
        <w:tc>
          <w:tcPr>
            <w:tcW w:w="1276" w:type="dxa"/>
            <w:vAlign w:val="center"/>
          </w:tcPr>
          <w:p w14:paraId="70124D9A">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单项合价</w:t>
            </w:r>
          </w:p>
          <w:p w14:paraId="0937FBD8">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③=①×②</w:t>
            </w:r>
          </w:p>
        </w:tc>
        <w:tc>
          <w:tcPr>
            <w:tcW w:w="1006" w:type="dxa"/>
            <w:vAlign w:val="center"/>
          </w:tcPr>
          <w:p w14:paraId="43C53A5A">
            <w:pPr>
              <w:spacing w:line="0" w:lineRule="atLeast"/>
              <w:ind w:firstLine="0" w:firstLineChars="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备注</w:t>
            </w:r>
          </w:p>
        </w:tc>
      </w:tr>
      <w:tr w14:paraId="78BE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67" w:type="dxa"/>
            <w:vAlign w:val="center"/>
          </w:tcPr>
          <w:p w14:paraId="7300CE80">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w:t>
            </w:r>
          </w:p>
        </w:tc>
        <w:tc>
          <w:tcPr>
            <w:tcW w:w="1129" w:type="dxa"/>
            <w:vAlign w:val="center"/>
          </w:tcPr>
          <w:p w14:paraId="00FEFE7D">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szCs w:val="20"/>
                <w:highlight w:val="none"/>
                <w14:textFill>
                  <w14:solidFill>
                    <w14:schemeClr w14:val="tx1"/>
                  </w14:solidFill>
                </w14:textFill>
              </w:rPr>
              <w:t>碘[131I]化钠口服溶液</w:t>
            </w:r>
          </w:p>
        </w:tc>
        <w:tc>
          <w:tcPr>
            <w:tcW w:w="709" w:type="dxa"/>
            <w:vAlign w:val="center"/>
          </w:tcPr>
          <w:p w14:paraId="5175B82F">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p>
        </w:tc>
        <w:tc>
          <w:tcPr>
            <w:tcW w:w="1134" w:type="dxa"/>
            <w:vAlign w:val="center"/>
          </w:tcPr>
          <w:p w14:paraId="0A4268C3">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p>
        </w:tc>
        <w:tc>
          <w:tcPr>
            <w:tcW w:w="1134" w:type="dxa"/>
            <w:vAlign w:val="center"/>
          </w:tcPr>
          <w:p w14:paraId="5ECE9E87">
            <w:pPr>
              <w:spacing w:line="0" w:lineRule="atLeast"/>
              <w:ind w:firstLine="0" w:firstLineChars="0"/>
              <w:jc w:val="center"/>
              <w:rPr>
                <w:rFonts w:asciiTheme="minorEastAsia" w:hAnsiTheme="minorEastAsia" w:eastAsiaTheme="minorEastAsia"/>
                <w:color w:val="000000" w:themeColor="text1"/>
                <w:kern w:val="0"/>
                <w:szCs w:val="21"/>
                <w:highlight w:val="none"/>
                <w14:textFill>
                  <w14:solidFill>
                    <w14:schemeClr w14:val="tx1"/>
                  </w14:solidFill>
                </w14:textFill>
              </w:rPr>
            </w:pPr>
          </w:p>
        </w:tc>
        <w:tc>
          <w:tcPr>
            <w:tcW w:w="567" w:type="dxa"/>
            <w:vAlign w:val="center"/>
          </w:tcPr>
          <w:p w14:paraId="37A48E11">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0"/>
                <w:highlight w:val="none"/>
                <w14:textFill>
                  <w14:solidFill>
                    <w14:schemeClr w14:val="tx1"/>
                  </w14:solidFill>
                </w14:textFill>
              </w:rPr>
              <w:t>盒</w:t>
            </w:r>
          </w:p>
        </w:tc>
        <w:tc>
          <w:tcPr>
            <w:tcW w:w="992" w:type="dxa"/>
            <w:vAlign w:val="center"/>
          </w:tcPr>
          <w:p w14:paraId="3EEAE0AB">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0"/>
                <w:highlight w:val="none"/>
                <w14:textFill>
                  <w14:solidFill>
                    <w14:schemeClr w14:val="tx1"/>
                  </w14:solidFill>
                </w14:textFill>
              </w:rPr>
              <w:t>24</w:t>
            </w:r>
          </w:p>
        </w:tc>
        <w:tc>
          <w:tcPr>
            <w:tcW w:w="851" w:type="dxa"/>
            <w:vAlign w:val="center"/>
          </w:tcPr>
          <w:p w14:paraId="53B9C654">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p>
        </w:tc>
        <w:tc>
          <w:tcPr>
            <w:tcW w:w="1276" w:type="dxa"/>
            <w:vAlign w:val="center"/>
          </w:tcPr>
          <w:p w14:paraId="18FA65ED">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p>
        </w:tc>
        <w:tc>
          <w:tcPr>
            <w:tcW w:w="1006" w:type="dxa"/>
            <w:vAlign w:val="center"/>
          </w:tcPr>
          <w:p w14:paraId="5924EDAB">
            <w:pPr>
              <w:spacing w:line="0" w:lineRule="atLeast"/>
              <w:ind w:firstLine="0" w:firstLineChars="0"/>
              <w:jc w:val="center"/>
              <w:rPr>
                <w:rFonts w:asciiTheme="minorEastAsia" w:hAnsiTheme="minorEastAsia" w:eastAsiaTheme="minorEastAsia"/>
                <w:color w:val="000000" w:themeColor="text1"/>
                <w:highlight w:val="none"/>
                <w14:textFill>
                  <w14:solidFill>
                    <w14:schemeClr w14:val="tx1"/>
                  </w14:solidFill>
                </w14:textFill>
              </w:rPr>
            </w:pPr>
          </w:p>
        </w:tc>
      </w:tr>
      <w:tr w14:paraId="5AF0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365" w:type="dxa"/>
            <w:gridSpan w:val="10"/>
            <w:vAlign w:val="center"/>
          </w:tcPr>
          <w:p w14:paraId="47DF41E7">
            <w:pPr>
              <w:pStyle w:val="26"/>
              <w:tabs>
                <w:tab w:val="left" w:pos="5529"/>
              </w:tabs>
              <w:spacing w:line="360" w:lineRule="auto"/>
              <w:ind w:firstLine="0" w:firstLineChars="0"/>
              <w:rPr>
                <w:rFonts w:asciiTheme="minorEastAsia" w:hAnsiTheme="minorEastAsia" w:eastAsiaTheme="minorEastAsia"/>
                <w:color w:val="000000" w:themeColor="text1"/>
                <w:kern w:val="2"/>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14:textFill>
                  <w14:solidFill>
                    <w14:schemeClr w14:val="tx1"/>
                  </w14:solidFill>
                </w14:textFill>
              </w:rPr>
              <w:t xml:space="preserve">总报价（大写）：人民币             </w:t>
            </w:r>
            <w:r>
              <w:rPr>
                <w:rFonts w:asciiTheme="minorEastAsia" w:hAnsiTheme="minorEastAsia" w:eastAsiaTheme="minorEastAsia"/>
                <w:color w:val="000000" w:themeColor="text1"/>
                <w:sz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highlight w:val="none"/>
                <w14:textFill>
                  <w14:solidFill>
                    <w14:schemeClr w14:val="tx1"/>
                  </w14:solidFill>
                </w14:textFill>
              </w:rPr>
              <w:t xml:space="preserve"> （¥                ）</w:t>
            </w:r>
          </w:p>
        </w:tc>
      </w:tr>
    </w:tbl>
    <w:p w14:paraId="02674906">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p>
    <w:p w14:paraId="2B1559E9">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p>
    <w:p w14:paraId="1C7FBFE7">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p>
    <w:p w14:paraId="7F95A090">
      <w:pPr>
        <w:spacing w:line="360" w:lineRule="auto"/>
        <w:ind w:firstLine="0" w:firstLineChars="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w:t>
      </w:r>
    </w:p>
    <w:p w14:paraId="2A3DBA36">
      <w:pPr>
        <w:spacing w:line="360" w:lineRule="auto"/>
        <w:ind w:firstLine="422"/>
        <w:rPr>
          <w:rFonts w:ascii="宋体" w:hAnsi="宋体" w:cs="宋体"/>
          <w:b/>
          <w:color w:val="000000" w:themeColor="text1"/>
          <w:kern w:val="0"/>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w:t>
      </w:r>
      <w:r>
        <w:rPr>
          <w:rFonts w:hAnsi="宋体"/>
          <w:b/>
          <w:color w:val="000000" w:themeColor="text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本项目报价不能超出采购控制价，否则竞标无效。</w:t>
      </w:r>
    </w:p>
    <w:p w14:paraId="1D1D73E0">
      <w:pPr>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上述所有报价一经涂改，应在涂改处加盖单位电子公章或者由法定代表人（负责人或自然人）或</w:t>
      </w:r>
      <w:r>
        <w:rPr>
          <w:rFonts w:hint="eastAsia" w:hAnsi="宋体"/>
          <w:color w:val="000000" w:themeColor="text1"/>
          <w:highlight w:val="none"/>
          <w14:textFill>
            <w14:solidFill>
              <w14:schemeClr w14:val="tx1"/>
            </w14:solidFill>
          </w14:textFill>
        </w:rPr>
        <w:t>委托代理人</w:t>
      </w:r>
      <w:r>
        <w:rPr>
          <w:rFonts w:hint="eastAsia" w:hAnsi="宋体"/>
          <w:color w:val="000000" w:themeColor="text1"/>
          <w:highlight w:val="none"/>
          <w14:textFill>
            <w14:solidFill>
              <w14:schemeClr w14:val="tx1"/>
            </w14:solidFill>
          </w14:textFill>
        </w:rPr>
        <w:t>签字或者电子签名或加盖电子印章，否则作竞标无效处理。</w:t>
      </w:r>
    </w:p>
    <w:p w14:paraId="0DF30C14">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40231B7B">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1DE20AB6">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03C1B778">
      <w:pPr>
        <w:pStyle w:val="26"/>
        <w:tabs>
          <w:tab w:val="left" w:pos="5529"/>
        </w:tabs>
        <w:spacing w:line="360" w:lineRule="auto"/>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39A837C8">
      <w:pPr>
        <w:pStyle w:val="26"/>
        <w:tabs>
          <w:tab w:val="left" w:pos="5529"/>
        </w:tabs>
        <w:spacing w:line="360" w:lineRule="auto"/>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0570CE8C">
      <w:pPr>
        <w:tabs>
          <w:tab w:val="left" w:pos="4111"/>
        </w:tabs>
        <w:snapToGrid w:val="0"/>
        <w:spacing w:line="360" w:lineRule="auto"/>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53B090FF">
      <w:pPr>
        <w:tabs>
          <w:tab w:val="left" w:pos="4111"/>
        </w:tabs>
        <w:snapToGrid w:val="0"/>
        <w:spacing w:line="360" w:lineRule="auto"/>
        <w:ind w:firstLine="3968" w:firstLineChars="1890"/>
        <w:rPr>
          <w:rFonts w:hAnsi="宋体"/>
          <w:color w:val="000000" w:themeColor="text1"/>
          <w:highlight w:val="none"/>
          <w14:textFill>
            <w14:solidFill>
              <w14:schemeClr w14:val="tx1"/>
            </w14:solidFill>
          </w14:textFill>
        </w:rPr>
      </w:pPr>
    </w:p>
    <w:p w14:paraId="63F645C3">
      <w:pPr>
        <w:spacing w:line="360" w:lineRule="auto"/>
        <w:ind w:firstLine="0" w:firstLineChars="0"/>
        <w:jc w:val="right"/>
        <w:rPr>
          <w:rFonts w:ascii="宋体" w:hAnsi="宋体"/>
          <w:b/>
          <w:color w:val="000000" w:themeColor="text1"/>
          <w:szCs w:val="2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26232937">
      <w:pPr>
        <w:spacing w:line="360" w:lineRule="exact"/>
        <w:ind w:firstLine="0" w:firstLineChars="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0D366BE0">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报价表（</w:t>
      </w:r>
      <w:r>
        <w:rPr>
          <w:rFonts w:hint="eastAsia"/>
          <w:b/>
          <w:color w:val="000000" w:themeColor="text1"/>
          <w:sz w:val="30"/>
          <w:highlight w:val="none"/>
          <w14:textFill>
            <w14:solidFill>
              <w14:schemeClr w14:val="tx1"/>
            </w14:solidFill>
          </w14:textFill>
        </w:rPr>
        <w:t>适用分标</w:t>
      </w:r>
      <w:r>
        <w:rPr>
          <w:b/>
          <w:color w:val="000000" w:themeColor="text1"/>
          <w:sz w:val="30"/>
          <w:highlight w:val="none"/>
          <w14:textFill>
            <w14:solidFill>
              <w14:schemeClr w14:val="tx1"/>
            </w14:solidFill>
          </w14:textFill>
        </w:rPr>
        <w:t>3</w:t>
      </w:r>
      <w:r>
        <w:rPr>
          <w:rFonts w:hint="eastAsia" w:ascii="宋体" w:hAnsi="宋体" w:cs="宋体"/>
          <w:b/>
          <w:color w:val="000000" w:themeColor="text1"/>
          <w:sz w:val="32"/>
          <w:szCs w:val="32"/>
          <w:highlight w:val="none"/>
          <w14:textFill>
            <w14:solidFill>
              <w14:schemeClr w14:val="tx1"/>
            </w14:solidFill>
          </w14:textFill>
        </w:rPr>
        <w:t>）</w:t>
      </w:r>
    </w:p>
    <w:p w14:paraId="7BD52BDD">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p>
    <w:tbl>
      <w:tblPr>
        <w:tblStyle w:val="51"/>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92"/>
        <w:gridCol w:w="1077"/>
        <w:gridCol w:w="850"/>
        <w:gridCol w:w="1077"/>
        <w:gridCol w:w="567"/>
        <w:gridCol w:w="1701"/>
        <w:gridCol w:w="907"/>
        <w:gridCol w:w="1191"/>
        <w:gridCol w:w="723"/>
      </w:tblGrid>
      <w:tr w14:paraId="511C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21" w:type="dxa"/>
            <w:vAlign w:val="center"/>
          </w:tcPr>
          <w:p w14:paraId="0CB3D345">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序号</w:t>
            </w:r>
          </w:p>
        </w:tc>
        <w:tc>
          <w:tcPr>
            <w:tcW w:w="992" w:type="dxa"/>
            <w:vAlign w:val="center"/>
          </w:tcPr>
          <w:p w14:paraId="69BCC5C5">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kern w:val="0"/>
                <w:szCs w:val="21"/>
                <w:highlight w:val="none"/>
                <w14:textFill>
                  <w14:solidFill>
                    <w14:schemeClr w14:val="tx1"/>
                  </w14:solidFill>
                </w14:textFill>
              </w:rPr>
              <w:t>药品名称</w:t>
            </w:r>
          </w:p>
        </w:tc>
        <w:tc>
          <w:tcPr>
            <w:tcW w:w="1077" w:type="dxa"/>
            <w:vAlign w:val="center"/>
          </w:tcPr>
          <w:p w14:paraId="09FC1041">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生产厂家</w:t>
            </w:r>
          </w:p>
        </w:tc>
        <w:tc>
          <w:tcPr>
            <w:tcW w:w="850" w:type="dxa"/>
            <w:vAlign w:val="center"/>
          </w:tcPr>
          <w:p w14:paraId="259EE210">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规格</w:t>
            </w:r>
          </w:p>
        </w:tc>
        <w:tc>
          <w:tcPr>
            <w:tcW w:w="1077" w:type="dxa"/>
            <w:vAlign w:val="center"/>
          </w:tcPr>
          <w:p w14:paraId="26C2F76E">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国药准字</w:t>
            </w:r>
          </w:p>
        </w:tc>
        <w:tc>
          <w:tcPr>
            <w:tcW w:w="567" w:type="dxa"/>
            <w:vAlign w:val="center"/>
          </w:tcPr>
          <w:p w14:paraId="209AF887">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单位</w:t>
            </w:r>
          </w:p>
        </w:tc>
        <w:tc>
          <w:tcPr>
            <w:tcW w:w="1701" w:type="dxa"/>
            <w:vAlign w:val="center"/>
          </w:tcPr>
          <w:p w14:paraId="743D040B">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lang w:bidi="ar"/>
                <w14:textFill>
                  <w14:solidFill>
                    <w14:schemeClr w14:val="tx1"/>
                  </w14:solidFill>
                </w14:textFill>
              </w:rPr>
              <w:t>预计采购数量</w:t>
            </w:r>
            <w:r>
              <w:rPr>
                <w:rFonts w:cs="宋体" w:asciiTheme="minorEastAsia" w:hAnsiTheme="minorEastAsia" w:eastAsiaTheme="minorEastAsia"/>
                <w:b/>
                <w:bCs/>
                <w:color w:val="000000" w:themeColor="text1"/>
                <w:kern w:val="0"/>
                <w:szCs w:val="21"/>
                <w:highlight w:val="none"/>
                <w:lang w:bidi="ar"/>
                <w14:textFill>
                  <w14:solidFill>
                    <w14:schemeClr w14:val="tx1"/>
                  </w14:solidFill>
                </w14:textFill>
              </w:rPr>
              <w:t>/</w:t>
            </w:r>
            <w:r>
              <w:rPr>
                <w:rFonts w:hint="eastAsia" w:cs="宋体" w:asciiTheme="minorEastAsia" w:hAnsiTheme="minorEastAsia" w:eastAsiaTheme="minorEastAsia"/>
                <w:b/>
                <w:bCs/>
                <w:color w:val="000000" w:themeColor="text1"/>
                <w:kern w:val="0"/>
                <w:szCs w:val="21"/>
                <w:highlight w:val="none"/>
                <w:lang w:bidi="ar"/>
                <w14:textFill>
                  <w14:solidFill>
                    <w14:schemeClr w14:val="tx1"/>
                  </w14:solidFill>
                </w14:textFill>
              </w:rPr>
              <w:t>两年</w:t>
            </w:r>
          </w:p>
          <w:p w14:paraId="63D11241">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①</w:t>
            </w:r>
          </w:p>
        </w:tc>
        <w:tc>
          <w:tcPr>
            <w:tcW w:w="907" w:type="dxa"/>
            <w:vAlign w:val="center"/>
          </w:tcPr>
          <w:p w14:paraId="66B635FB">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单价（元）</w:t>
            </w:r>
          </w:p>
          <w:p w14:paraId="7741CD60">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②</w:t>
            </w:r>
          </w:p>
        </w:tc>
        <w:tc>
          <w:tcPr>
            <w:tcW w:w="1191" w:type="dxa"/>
            <w:vAlign w:val="center"/>
          </w:tcPr>
          <w:p w14:paraId="3270CAFF">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单项合价</w:t>
            </w:r>
          </w:p>
          <w:p w14:paraId="2C285A80">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③=①×②</w:t>
            </w:r>
          </w:p>
        </w:tc>
        <w:tc>
          <w:tcPr>
            <w:tcW w:w="723" w:type="dxa"/>
            <w:vAlign w:val="center"/>
          </w:tcPr>
          <w:p w14:paraId="2324AD61">
            <w:pPr>
              <w:spacing w:line="0" w:lineRule="atLeast"/>
              <w:ind w:firstLine="0" w:firstLineChars="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备注</w:t>
            </w:r>
          </w:p>
        </w:tc>
      </w:tr>
      <w:tr w14:paraId="5B86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21" w:type="dxa"/>
            <w:vAlign w:val="center"/>
          </w:tcPr>
          <w:p w14:paraId="3F908719">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p>
        </w:tc>
        <w:tc>
          <w:tcPr>
            <w:tcW w:w="992" w:type="dxa"/>
            <w:vAlign w:val="center"/>
          </w:tcPr>
          <w:p w14:paraId="269BA439">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氯化锶[89Sr]注射液</w:t>
            </w:r>
          </w:p>
        </w:tc>
        <w:tc>
          <w:tcPr>
            <w:tcW w:w="1077" w:type="dxa"/>
            <w:vAlign w:val="center"/>
          </w:tcPr>
          <w:p w14:paraId="3BF7E5E4">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850" w:type="dxa"/>
            <w:vAlign w:val="center"/>
          </w:tcPr>
          <w:p w14:paraId="67FD1005">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077" w:type="dxa"/>
            <w:vAlign w:val="center"/>
          </w:tcPr>
          <w:p w14:paraId="5FD5121D">
            <w:pPr>
              <w:spacing w:line="0" w:lineRule="atLeast"/>
              <w:ind w:firstLine="0" w:firstLineChars="0"/>
              <w:jc w:val="center"/>
              <w:rPr>
                <w:rFonts w:asciiTheme="minorEastAsia" w:hAnsiTheme="minorEastAsia" w:eastAsiaTheme="minorEastAsia"/>
                <w:color w:val="000000" w:themeColor="text1"/>
                <w:kern w:val="0"/>
                <w:szCs w:val="21"/>
                <w:highlight w:val="none"/>
                <w14:textFill>
                  <w14:solidFill>
                    <w14:schemeClr w14:val="tx1"/>
                  </w14:solidFill>
                </w14:textFill>
              </w:rPr>
            </w:pPr>
          </w:p>
        </w:tc>
        <w:tc>
          <w:tcPr>
            <w:tcW w:w="567" w:type="dxa"/>
            <w:vAlign w:val="center"/>
          </w:tcPr>
          <w:p w14:paraId="0C24CB10">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支</w:t>
            </w:r>
          </w:p>
        </w:tc>
        <w:tc>
          <w:tcPr>
            <w:tcW w:w="1701" w:type="dxa"/>
            <w:vAlign w:val="center"/>
          </w:tcPr>
          <w:p w14:paraId="7A8EE732">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10</w:t>
            </w:r>
          </w:p>
        </w:tc>
        <w:tc>
          <w:tcPr>
            <w:tcW w:w="907" w:type="dxa"/>
            <w:vAlign w:val="center"/>
          </w:tcPr>
          <w:p w14:paraId="574866D1">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91" w:type="dxa"/>
            <w:vAlign w:val="center"/>
          </w:tcPr>
          <w:p w14:paraId="0F9D514C">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723" w:type="dxa"/>
            <w:vAlign w:val="center"/>
          </w:tcPr>
          <w:p w14:paraId="21447D45">
            <w:pPr>
              <w:spacing w:line="0" w:lineRule="atLeast"/>
              <w:ind w:firstLine="0" w:firstLineChars="0"/>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15EC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506" w:type="dxa"/>
            <w:gridSpan w:val="10"/>
            <w:vAlign w:val="center"/>
          </w:tcPr>
          <w:p w14:paraId="5E5249F6">
            <w:pPr>
              <w:spacing w:line="0" w:lineRule="atLeast"/>
              <w:ind w:firstLine="0" w:firstLineChars="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总报价（大写）：人民币             </w:t>
            </w:r>
            <w:r>
              <w:rPr>
                <w:rFonts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                ）</w:t>
            </w:r>
          </w:p>
        </w:tc>
      </w:tr>
    </w:tbl>
    <w:p w14:paraId="126379E1">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p>
    <w:p w14:paraId="2962B9E9">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p>
    <w:p w14:paraId="1DB5EA45">
      <w:pPr>
        <w:spacing w:line="360" w:lineRule="auto"/>
        <w:ind w:firstLine="0" w:firstLineChars="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w:t>
      </w:r>
    </w:p>
    <w:p w14:paraId="66E92677">
      <w:pPr>
        <w:spacing w:line="360" w:lineRule="auto"/>
        <w:ind w:firstLine="422"/>
        <w:rPr>
          <w:rFonts w:ascii="宋体" w:hAnsi="宋体" w:cs="宋体"/>
          <w:b/>
          <w:color w:val="000000" w:themeColor="text1"/>
          <w:kern w:val="0"/>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w:t>
      </w:r>
      <w:r>
        <w:rPr>
          <w:rFonts w:hAnsi="宋体"/>
          <w:b/>
          <w:color w:val="000000" w:themeColor="text1"/>
          <w:highlight w:val="none"/>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本项目报价不能超出采购控制价，否则竞标无效。</w:t>
      </w:r>
    </w:p>
    <w:p w14:paraId="1975956D">
      <w:pPr>
        <w:spacing w:line="360" w:lineRule="auto"/>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上述所有报价一经涂改，应在涂改处加盖单位电子公章或者由法定代表人（负责人或自然人）或</w:t>
      </w:r>
      <w:r>
        <w:rPr>
          <w:rFonts w:hint="eastAsia" w:hAnsi="宋体"/>
          <w:color w:val="000000" w:themeColor="text1"/>
          <w:highlight w:val="none"/>
          <w14:textFill>
            <w14:solidFill>
              <w14:schemeClr w14:val="tx1"/>
            </w14:solidFill>
          </w14:textFill>
        </w:rPr>
        <w:t>委托代理人</w:t>
      </w:r>
      <w:r>
        <w:rPr>
          <w:rFonts w:hint="eastAsia" w:hAnsi="宋体"/>
          <w:color w:val="000000" w:themeColor="text1"/>
          <w:highlight w:val="none"/>
          <w14:textFill>
            <w14:solidFill>
              <w14:schemeClr w14:val="tx1"/>
            </w14:solidFill>
          </w14:textFill>
        </w:rPr>
        <w:t>签字或者电子签名或加盖电子印章，否则作竞标无效处理。</w:t>
      </w:r>
    </w:p>
    <w:p w14:paraId="4EF2232E">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3A3C7879">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3CE68EDA">
      <w:pPr>
        <w:pStyle w:val="26"/>
        <w:tabs>
          <w:tab w:val="left" w:pos="5529"/>
        </w:tabs>
        <w:spacing w:line="360" w:lineRule="auto"/>
        <w:ind w:firstLine="2089" w:firstLineChars="995"/>
        <w:rPr>
          <w:rFonts w:hAnsi="宋体"/>
          <w:color w:val="000000" w:themeColor="text1"/>
          <w:kern w:val="2"/>
          <w:sz w:val="21"/>
          <w:highlight w:val="none"/>
          <w14:textFill>
            <w14:solidFill>
              <w14:schemeClr w14:val="tx1"/>
            </w14:solidFill>
          </w14:textFill>
        </w:rPr>
      </w:pPr>
    </w:p>
    <w:p w14:paraId="74031350">
      <w:pPr>
        <w:pStyle w:val="26"/>
        <w:tabs>
          <w:tab w:val="left" w:pos="5529"/>
        </w:tabs>
        <w:spacing w:line="360" w:lineRule="auto"/>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3508E743">
      <w:pPr>
        <w:pStyle w:val="26"/>
        <w:tabs>
          <w:tab w:val="left" w:pos="5529"/>
        </w:tabs>
        <w:spacing w:line="360" w:lineRule="auto"/>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319CD147">
      <w:pPr>
        <w:tabs>
          <w:tab w:val="left" w:pos="4111"/>
        </w:tabs>
        <w:snapToGrid w:val="0"/>
        <w:spacing w:line="360" w:lineRule="auto"/>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681565C2">
      <w:pPr>
        <w:tabs>
          <w:tab w:val="left" w:pos="4111"/>
        </w:tabs>
        <w:snapToGrid w:val="0"/>
        <w:spacing w:line="360" w:lineRule="auto"/>
        <w:ind w:firstLine="3968" w:firstLineChars="1890"/>
        <w:rPr>
          <w:rFonts w:hAnsi="宋体"/>
          <w:color w:val="000000" w:themeColor="text1"/>
          <w:highlight w:val="none"/>
          <w14:textFill>
            <w14:solidFill>
              <w14:schemeClr w14:val="tx1"/>
            </w14:solidFill>
          </w14:textFill>
        </w:rPr>
      </w:pPr>
    </w:p>
    <w:p w14:paraId="50EBC995">
      <w:pPr>
        <w:spacing w:line="360" w:lineRule="auto"/>
        <w:ind w:firstLine="0" w:firstLineChars="0"/>
        <w:jc w:val="right"/>
        <w:rPr>
          <w:rFonts w:ascii="宋体" w:hAnsi="宋体"/>
          <w:b/>
          <w:color w:val="000000" w:themeColor="text1"/>
          <w:szCs w:val="2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71A9C476">
      <w:pPr>
        <w:spacing w:line="360" w:lineRule="exact"/>
        <w:ind w:firstLine="0" w:firstLineChars="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138EF311">
      <w:pPr>
        <w:spacing w:line="360" w:lineRule="exact"/>
        <w:ind w:firstLine="0" w:firstLineChars="0"/>
        <w:rPr>
          <w:rFonts w:hAnsi="宋体"/>
          <w:b/>
          <w:bCs/>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附件</w:t>
      </w:r>
    </w:p>
    <w:p w14:paraId="6E0F836D">
      <w:pPr>
        <w:spacing w:line="440" w:lineRule="exact"/>
        <w:ind w:firstLine="0" w:firstLineChars="0"/>
        <w:jc w:val="center"/>
        <w:rPr>
          <w:rFonts w:ascii="宋体" w:hAnsi="Courier New"/>
          <w:b/>
          <w:color w:val="000000" w:themeColor="text1"/>
          <w:kern w:val="0"/>
          <w:sz w:val="32"/>
          <w:szCs w:val="21"/>
          <w:highlight w:val="none"/>
          <w14:textFill>
            <w14:solidFill>
              <w14:schemeClr w14:val="tx1"/>
            </w14:solidFill>
          </w14:textFill>
        </w:rPr>
      </w:pPr>
      <w:r>
        <w:rPr>
          <w:rFonts w:hint="eastAsia" w:ascii="宋体" w:hAnsi="Courier New"/>
          <w:b/>
          <w:color w:val="000000" w:themeColor="text1"/>
          <w:kern w:val="0"/>
          <w:sz w:val="32"/>
          <w:szCs w:val="21"/>
          <w:highlight w:val="none"/>
          <w14:textFill>
            <w14:solidFill>
              <w14:schemeClr w14:val="tx1"/>
            </w14:solidFill>
          </w14:textFill>
        </w:rPr>
        <w:t>磋商保证金证明（格式）</w:t>
      </w:r>
    </w:p>
    <w:p w14:paraId="6431EBE6">
      <w:pPr>
        <w:spacing w:line="380" w:lineRule="exact"/>
        <w:ind w:firstLine="420"/>
        <w:rPr>
          <w:color w:val="000000" w:themeColor="text1"/>
          <w:highlight w:val="none"/>
          <w14:textFill>
            <w14:solidFill>
              <w14:schemeClr w14:val="tx1"/>
            </w14:solidFill>
          </w14:textFill>
        </w:rPr>
      </w:pPr>
    </w:p>
    <w:p w14:paraId="6A33C7C5">
      <w:pPr>
        <w:pStyle w:val="26"/>
        <w:spacing w:line="360" w:lineRule="auto"/>
        <w:ind w:firstLine="565" w:firstLineChars="268"/>
        <w:rPr>
          <w:rFonts w:hAnsi="宋体" w:cs="Arial"/>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供应商应在此按“供应商须知”的相应要求提供磋商保证金证明材料复印件并加盖</w:t>
      </w:r>
      <w:r>
        <w:rPr>
          <w:rFonts w:hint="eastAsia" w:hAnsi="宋体"/>
          <w:b/>
          <w:color w:val="000000" w:themeColor="text1"/>
          <w:sz w:val="21"/>
          <w:highlight w:val="none"/>
          <w14:textFill>
            <w14:solidFill>
              <w14:schemeClr w14:val="tx1"/>
            </w14:solidFill>
          </w14:textFill>
        </w:rPr>
        <w:t>供应商电子公章</w:t>
      </w:r>
      <w:r>
        <w:rPr>
          <w:rFonts w:hint="eastAsia"/>
          <w:b/>
          <w:color w:val="000000" w:themeColor="text1"/>
          <w:sz w:val="21"/>
          <w:highlight w:val="none"/>
          <w14:textFill>
            <w14:solidFill>
              <w14:schemeClr w14:val="tx1"/>
            </w14:solidFill>
          </w14:textFill>
        </w:rPr>
        <w:t>。</w:t>
      </w:r>
      <w:r>
        <w:rPr>
          <w:rFonts w:hint="eastAsia" w:hAnsi="宋体" w:cs="Arial"/>
          <w:color w:val="000000" w:themeColor="text1"/>
          <w:sz w:val="21"/>
          <w:highlight w:val="none"/>
          <w14:textFill>
            <w14:solidFill>
              <w14:schemeClr w14:val="tx1"/>
            </w14:solidFill>
          </w14:textFill>
        </w:rPr>
        <w:t>采用支票、汇票、本票或者金融机构、担保机构出具的保函</w:t>
      </w:r>
      <w:r>
        <w:rPr>
          <w:rFonts w:hint="eastAsia" w:hAnsi="宋体"/>
          <w:color w:val="000000" w:themeColor="text1"/>
          <w:sz w:val="21"/>
          <w:highlight w:val="none"/>
          <w14:textFill>
            <w14:solidFill>
              <w14:schemeClr w14:val="tx1"/>
            </w14:solidFill>
          </w14:textFill>
        </w:rPr>
        <w:t>、</w:t>
      </w:r>
      <w:r>
        <w:rPr>
          <w:rFonts w:hint="eastAsia" w:hAnsi="宋体" w:cs="Arial"/>
          <w:color w:val="000000" w:themeColor="text1"/>
          <w:sz w:val="21"/>
          <w:highlight w:val="none"/>
          <w14:textFill>
            <w14:solidFill>
              <w14:schemeClr w14:val="tx1"/>
            </w14:solidFill>
          </w14:textFill>
        </w:rPr>
        <w:t>保险等形式的，</w:t>
      </w:r>
      <w:r>
        <w:rPr>
          <w:rFonts w:hint="eastAsia"/>
          <w:b/>
          <w:color w:val="000000" w:themeColor="text1"/>
          <w:sz w:val="21"/>
          <w:highlight w:val="none"/>
          <w14:textFill>
            <w14:solidFill>
              <w14:schemeClr w14:val="tx1"/>
            </w14:solidFill>
          </w14:textFill>
        </w:rPr>
        <w:t>在首次响应文件提交截止时间前，供应商应当提交单独密封的支票、汇票、本票或者金融机构、担保机构出具的保函、保险原件给采购人或者采购代理机构[提交地点：</w:t>
      </w:r>
      <w:r>
        <w:rPr>
          <w:rFonts w:hAnsi="宋体"/>
          <w:b/>
          <w:color w:val="000000" w:themeColor="text1"/>
          <w:sz w:val="21"/>
          <w:highlight w:val="none"/>
          <w14:textFill>
            <w14:solidFill>
              <w14:schemeClr w14:val="tx1"/>
            </w14:solidFill>
          </w14:textFill>
        </w:rPr>
        <w:t>柳州市公共资源交易中心（柳州市龙湖路13号柳州市民服务中心北</w:t>
      </w:r>
      <w:r>
        <w:rPr>
          <w:rFonts w:hint="eastAsia" w:hAnsi="宋体"/>
          <w:b/>
          <w:color w:val="000000" w:themeColor="text1"/>
          <w:sz w:val="21"/>
          <w:highlight w:val="none"/>
          <w14:textFill>
            <w14:solidFill>
              <w14:schemeClr w14:val="tx1"/>
            </w14:solidFill>
          </w14:textFill>
        </w:rPr>
        <w:t>楼4楼</w:t>
      </w:r>
      <w:r>
        <w:rPr>
          <w:rFonts w:hAnsi="宋体"/>
          <w:b/>
          <w:color w:val="000000" w:themeColor="text1"/>
          <w:sz w:val="21"/>
          <w:highlight w:val="none"/>
          <w14:textFill>
            <w14:solidFill>
              <w14:schemeClr w14:val="tx1"/>
            </w14:solidFill>
          </w14:textFill>
        </w:rPr>
        <w:t>）</w:t>
      </w:r>
      <w:r>
        <w:rPr>
          <w:rFonts w:hint="eastAsia" w:hAnsi="宋体"/>
          <w:b/>
          <w:color w:val="000000" w:themeColor="text1"/>
          <w:sz w:val="21"/>
          <w:highlight w:val="none"/>
          <w14:textFill>
            <w14:solidFill>
              <w14:schemeClr w14:val="tx1"/>
            </w14:solidFill>
          </w14:textFill>
        </w:rPr>
        <w:t>对应开标室，</w:t>
      </w:r>
      <w:r>
        <w:rPr>
          <w:rFonts w:hint="eastAsia"/>
          <w:b/>
          <w:color w:val="000000" w:themeColor="text1"/>
          <w:sz w:val="21"/>
          <w:highlight w:val="none"/>
          <w14:textFill>
            <w14:solidFill>
              <w14:schemeClr w14:val="tx1"/>
            </w14:solidFill>
          </w14:textFill>
        </w:rPr>
        <w:t>采用电子保函方式交纳磋商保证金的，不需提交]。</w:t>
      </w:r>
    </w:p>
    <w:p w14:paraId="5F83BC03">
      <w:pPr>
        <w:spacing w:line="300" w:lineRule="auto"/>
        <w:ind w:firstLine="0" w:firstLineChars="0"/>
        <w:rPr>
          <w:rFonts w:ascii="宋体" w:hAnsi="宋体" w:cs="方正小标宋简体"/>
          <w:b/>
          <w:color w:val="000000" w:themeColor="text1"/>
          <w:szCs w:val="21"/>
          <w:highlight w:val="none"/>
          <w14:textFill>
            <w14:solidFill>
              <w14:schemeClr w14:val="tx1"/>
            </w14:solidFill>
          </w14:textFill>
        </w:rPr>
      </w:pPr>
    </w:p>
    <w:p w14:paraId="5BD0AB0F">
      <w:pPr>
        <w:spacing w:line="360" w:lineRule="auto"/>
        <w:ind w:firstLine="0" w:firstLineChars="0"/>
        <w:jc w:val="left"/>
        <w:rPr>
          <w:rFonts w:ascii="宋体" w:hAnsi="宋体" w:cs="方正小标宋简体"/>
          <w:b/>
          <w:color w:val="000000" w:themeColor="text1"/>
          <w:szCs w:val="21"/>
          <w:highlight w:val="none"/>
          <w14:textFill>
            <w14:solidFill>
              <w14:schemeClr w14:val="tx1"/>
            </w14:solidFill>
          </w14:textFill>
        </w:rPr>
      </w:pPr>
    </w:p>
    <w:p w14:paraId="6F3F54D5">
      <w:pPr>
        <w:spacing w:line="360" w:lineRule="auto"/>
        <w:ind w:firstLine="0" w:firstLineChars="0"/>
        <w:jc w:val="left"/>
        <w:rPr>
          <w:rFonts w:ascii="宋体" w:hAnsi="宋体" w:cs="方正小标宋简体"/>
          <w:b/>
          <w:color w:val="000000" w:themeColor="text1"/>
          <w:sz w:val="28"/>
          <w:szCs w:val="28"/>
          <w:highlight w:val="none"/>
          <w14:textFill>
            <w14:solidFill>
              <w14:schemeClr w14:val="tx1"/>
            </w14:solidFill>
          </w14:textFill>
        </w:rPr>
      </w:pPr>
    </w:p>
    <w:p w14:paraId="6BA66F47">
      <w:pPr>
        <w:pStyle w:val="17"/>
        <w:spacing w:line="360" w:lineRule="auto"/>
        <w:ind w:firstLine="0" w:firstLineChars="0"/>
        <w:jc w:val="center"/>
        <w:rPr>
          <w:rFonts w:ascii="宋体" w:hAnsi="宋体" w:cs="宋体"/>
          <w:color w:val="000000" w:themeColor="text1"/>
          <w:kern w:val="0"/>
          <w:sz w:val="30"/>
          <w:szCs w:val="30"/>
          <w:highlight w:val="none"/>
          <w:lang w:bidi="ar"/>
          <w14:textFill>
            <w14:solidFill>
              <w14:schemeClr w14:val="tx1"/>
            </w14:solidFill>
          </w14:textFill>
        </w:rPr>
      </w:pPr>
      <w:r>
        <w:rPr>
          <w:rFonts w:hint="eastAsia" w:ascii="宋体" w:hAnsi="宋体" w:cs="宋体"/>
          <w:color w:val="000000" w:themeColor="text1"/>
          <w:kern w:val="0"/>
          <w:sz w:val="30"/>
          <w:szCs w:val="30"/>
          <w:highlight w:val="none"/>
          <w:lang w:bidi="ar"/>
          <w14:textFill>
            <w14:solidFill>
              <w14:schemeClr w14:val="tx1"/>
            </w14:solidFill>
          </w14:textFill>
        </w:rPr>
        <w:t>（如项目不收取磋商保证金的，不需提供）</w:t>
      </w:r>
    </w:p>
    <w:p w14:paraId="6B07F964">
      <w:pPr>
        <w:spacing w:line="360" w:lineRule="auto"/>
        <w:ind w:firstLine="0" w:firstLineChars="0"/>
        <w:jc w:val="left"/>
        <w:rPr>
          <w:rFonts w:ascii="宋体" w:hAnsi="宋体" w:cs="方正小标宋简体"/>
          <w:b/>
          <w:color w:val="000000" w:themeColor="text1"/>
          <w:szCs w:val="21"/>
          <w:highlight w:val="none"/>
          <w14:textFill>
            <w14:solidFill>
              <w14:schemeClr w14:val="tx1"/>
            </w14:solidFill>
          </w14:textFill>
        </w:rPr>
      </w:pPr>
      <w:r>
        <w:rPr>
          <w:rFonts w:ascii="宋体" w:hAnsi="宋体" w:cs="方正小标宋简体"/>
          <w:b/>
          <w:color w:val="000000" w:themeColor="text1"/>
          <w:szCs w:val="21"/>
          <w:highlight w:val="none"/>
          <w14:textFill>
            <w14:solidFill>
              <w14:schemeClr w14:val="tx1"/>
            </w14:solidFill>
          </w14:textFill>
        </w:rPr>
        <w:br w:type="page"/>
      </w:r>
      <w:r>
        <w:rPr>
          <w:rFonts w:hint="eastAsia" w:ascii="宋体" w:hAnsi="宋体" w:cs="方正小标宋简体"/>
          <w:b/>
          <w:color w:val="000000" w:themeColor="text1"/>
          <w:szCs w:val="21"/>
          <w:highlight w:val="none"/>
          <w14:textFill>
            <w14:solidFill>
              <w14:schemeClr w14:val="tx1"/>
            </w14:solidFill>
          </w14:textFill>
        </w:rPr>
        <w:t>附件</w:t>
      </w:r>
    </w:p>
    <w:p w14:paraId="2BF7623F">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无串通竞标行为的承诺函（格式）</w:t>
      </w:r>
    </w:p>
    <w:p w14:paraId="4C80DA89">
      <w:pPr>
        <w:spacing w:line="360" w:lineRule="auto"/>
        <w:ind w:firstLine="643"/>
        <w:jc w:val="center"/>
        <w:rPr>
          <w:rFonts w:ascii="宋体" w:hAnsi="宋体" w:cs="仿宋_GB2312"/>
          <w:b/>
          <w:color w:val="000000" w:themeColor="text1"/>
          <w:sz w:val="32"/>
          <w:szCs w:val="32"/>
          <w:highlight w:val="none"/>
          <w14:textFill>
            <w14:solidFill>
              <w14:schemeClr w14:val="tx1"/>
            </w14:solidFill>
          </w14:textFill>
        </w:rPr>
      </w:pPr>
    </w:p>
    <w:p w14:paraId="064C96D6">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一、我方承诺无下列相互串通竞标的情形：</w:t>
      </w:r>
    </w:p>
    <w:p w14:paraId="434333C8">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1.不同供应商的响应文件由同一单位或者个人编制；或不同供应商报名的IP地址一致的；</w:t>
      </w:r>
    </w:p>
    <w:p w14:paraId="042667A9">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2.不同供应商委托同一单位或者个人办理竞标事宜；</w:t>
      </w:r>
    </w:p>
    <w:p w14:paraId="5063765E">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3.不同供应商的响应文件载明的项目管理员为同一个人；</w:t>
      </w:r>
    </w:p>
    <w:p w14:paraId="12C0C1ED">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4.不</w:t>
      </w:r>
      <w:r>
        <w:rPr>
          <w:rFonts w:hint="eastAsia" w:ascii="宋体" w:hAnsi="宋体" w:cs="仿宋_GB2312"/>
          <w:color w:val="000000" w:themeColor="text1"/>
          <w:spacing w:val="-6"/>
          <w:szCs w:val="21"/>
          <w:highlight w:val="none"/>
          <w14:textFill>
            <w14:solidFill>
              <w14:schemeClr w14:val="tx1"/>
            </w14:solidFill>
          </w14:textFill>
        </w:rPr>
        <w:t>同供应商的响应文件异常一致或竞标报价呈规律性差异；</w:t>
      </w:r>
    </w:p>
    <w:p w14:paraId="07DC6968">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5.不同供应商的响应文件相互混装；</w:t>
      </w:r>
    </w:p>
    <w:p w14:paraId="2DC4791F">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6.不同供应商的磋商保证金从同一单位或者个人账户转出。</w:t>
      </w:r>
    </w:p>
    <w:p w14:paraId="656778E5">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二、我方承诺无下列恶意串通的情形：</w:t>
      </w:r>
    </w:p>
    <w:p w14:paraId="4D95D2D7">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07C6604B">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2.供应商按照采购人或者采购代理机构的授意撤换、修改响应文件；</w:t>
      </w:r>
    </w:p>
    <w:p w14:paraId="6068DD15">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3.供</w:t>
      </w:r>
      <w:r>
        <w:rPr>
          <w:rFonts w:hint="eastAsia" w:ascii="宋体" w:hAnsi="宋体" w:cs="仿宋_GB2312"/>
          <w:color w:val="000000" w:themeColor="text1"/>
          <w:spacing w:val="-6"/>
          <w:szCs w:val="21"/>
          <w:highlight w:val="none"/>
          <w14:textFill>
            <w14:solidFill>
              <w14:schemeClr w14:val="tx1"/>
            </w14:solidFill>
          </w14:textFill>
        </w:rPr>
        <w:t>应商之间协商报价、技术方案等响应文件的实质性内容；</w:t>
      </w:r>
    </w:p>
    <w:p w14:paraId="31F6658B">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4.属于同一集团、协会、商会等组织成员的供应商按照该组织要求协同参加政府采购活动；</w:t>
      </w:r>
    </w:p>
    <w:p w14:paraId="54A24316">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6FF488AB">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6.供应商之间商定部分供应商放弃参加政府采购活动或者放弃成交；</w:t>
      </w:r>
    </w:p>
    <w:p w14:paraId="132BF49F">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Cs w:val="21"/>
          <w:highlight w:val="none"/>
          <w14:textFill>
            <w14:solidFill>
              <w14:schemeClr w14:val="tx1"/>
            </w14:solidFill>
          </w14:textFill>
        </w:rPr>
        <w:t>谋求特定供应商成交或者排斥其他供应商的其他串通行为。</w:t>
      </w:r>
    </w:p>
    <w:p w14:paraId="18542BD7">
      <w:pPr>
        <w:spacing w:line="360" w:lineRule="auto"/>
        <w:ind w:firstLine="420"/>
        <w:rPr>
          <w:rFonts w:ascii="宋体" w:hAnsi="宋体" w:cs="仿宋_GB2312"/>
          <w:color w:val="000000" w:themeColor="text1"/>
          <w:szCs w:val="21"/>
          <w:highlight w:val="none"/>
          <w14:textFill>
            <w14:solidFill>
              <w14:schemeClr w14:val="tx1"/>
            </w14:solidFill>
          </w14:textFill>
        </w:rPr>
      </w:pPr>
    </w:p>
    <w:p w14:paraId="702293CB">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以上情形一经核查属实，我方愿意承担一切后果，并不再寻求任何旨在减轻或免除法律责任的辩解。</w:t>
      </w:r>
    </w:p>
    <w:p w14:paraId="798CD7E4">
      <w:pPr>
        <w:spacing w:line="360" w:lineRule="auto"/>
        <w:ind w:firstLine="420"/>
        <w:rPr>
          <w:rFonts w:ascii="宋体" w:hAnsi="宋体" w:cs="仿宋_GB2312"/>
          <w:color w:val="000000" w:themeColor="text1"/>
          <w:szCs w:val="21"/>
          <w:highlight w:val="none"/>
          <w14:textFill>
            <w14:solidFill>
              <w14:schemeClr w14:val="tx1"/>
            </w14:solidFill>
          </w14:textFill>
        </w:rPr>
      </w:pPr>
    </w:p>
    <w:p w14:paraId="2B433D7D">
      <w:pPr>
        <w:spacing w:line="360" w:lineRule="auto"/>
        <w:ind w:firstLine="420"/>
        <w:rPr>
          <w:rFonts w:ascii="宋体" w:hAnsi="宋体" w:cs="仿宋_GB2312"/>
          <w:color w:val="000000" w:themeColor="text1"/>
          <w:szCs w:val="21"/>
          <w:highlight w:val="none"/>
          <w14:textFill>
            <w14:solidFill>
              <w14:schemeClr w14:val="tx1"/>
            </w14:solidFill>
          </w14:textFill>
        </w:rPr>
      </w:pPr>
    </w:p>
    <w:p w14:paraId="4D9AC165">
      <w:pPr>
        <w:spacing w:line="360" w:lineRule="auto"/>
        <w:ind w:firstLine="4819" w:firstLineChars="2295"/>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供应商名称（</w:t>
      </w:r>
      <w:r>
        <w:rPr>
          <w:rFonts w:hint="eastAsia" w:ascii="宋体" w:hAnsi="宋体"/>
          <w:color w:val="000000" w:themeColor="text1"/>
          <w:szCs w:val="21"/>
          <w:highlight w:val="none"/>
          <w14:textFill>
            <w14:solidFill>
              <w14:schemeClr w14:val="tx1"/>
            </w14:solidFill>
          </w14:textFill>
        </w:rPr>
        <w:t>加盖电子公章</w:t>
      </w:r>
      <w:r>
        <w:rPr>
          <w:rFonts w:hint="eastAsia" w:ascii="宋体" w:hAnsi="宋体" w:cs="仿宋_GB2312"/>
          <w:color w:val="000000" w:themeColor="text1"/>
          <w:szCs w:val="21"/>
          <w:highlight w:val="none"/>
          <w14:textFill>
            <w14:solidFill>
              <w14:schemeClr w14:val="tx1"/>
            </w14:solidFill>
          </w14:textFill>
        </w:rPr>
        <w:t>）：</w:t>
      </w:r>
      <w:r>
        <w:rPr>
          <w:rFonts w:hint="eastAsia" w:ascii="宋体" w:hAnsi="宋体" w:cs="仿宋_GB2312"/>
          <w:color w:val="000000" w:themeColor="text1"/>
          <w:szCs w:val="21"/>
          <w:highlight w:val="none"/>
          <w:u w:val="single"/>
          <w14:textFill>
            <w14:solidFill>
              <w14:schemeClr w14:val="tx1"/>
            </w14:solidFill>
          </w14:textFill>
        </w:rPr>
        <w:t xml:space="preserve">              </w:t>
      </w:r>
    </w:p>
    <w:p w14:paraId="44FA297D">
      <w:pPr>
        <w:spacing w:line="360" w:lineRule="auto"/>
        <w:ind w:firstLine="420"/>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 xml:space="preserve">                                                  </w:t>
      </w:r>
      <w:r>
        <w:rPr>
          <w:rFonts w:ascii="宋体" w:hAnsi="宋体" w:cs="仿宋_GB2312"/>
          <w:color w:val="000000" w:themeColor="text1"/>
          <w:szCs w:val="21"/>
          <w:highlight w:val="non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4C168C88">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p>
    <w:p w14:paraId="181A1B5E">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p>
    <w:p w14:paraId="3C98B672">
      <w:pPr>
        <w:snapToGrid w:val="0"/>
        <w:spacing w:before="50"/>
        <w:ind w:firstLine="0" w:firstLineChars="0"/>
        <w:jc w:val="left"/>
        <w:rPr>
          <w:rFonts w:ascii="宋体" w:hAnsi="宋体" w:cs="宋体"/>
          <w:b/>
          <w:bCs/>
          <w:color w:val="000000" w:themeColor="text1"/>
          <w:sz w:val="24"/>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499C1053">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bookmarkStart w:id="97" w:name="_Toc153444885"/>
      <w:bookmarkStart w:id="98" w:name="_Toc118483117"/>
      <w:bookmarkStart w:id="99" w:name="_Toc89760768"/>
      <w:bookmarkStart w:id="100" w:name="_Toc106033443"/>
      <w:r>
        <w:rPr>
          <w:rFonts w:hint="eastAsia" w:ascii="宋体" w:hAnsi="宋体" w:cs="方正小标宋简体"/>
          <w:b/>
          <w:color w:val="000000" w:themeColor="text1"/>
          <w:sz w:val="32"/>
          <w:szCs w:val="32"/>
          <w:highlight w:val="none"/>
          <w14:textFill>
            <w14:solidFill>
              <w14:schemeClr w14:val="tx1"/>
            </w14:solidFill>
          </w14:textFill>
        </w:rPr>
        <w:t>商务条款偏离表（格式）</w:t>
      </w:r>
      <w:bookmarkEnd w:id="97"/>
      <w:bookmarkEnd w:id="98"/>
      <w:bookmarkEnd w:id="99"/>
      <w:bookmarkEnd w:id="100"/>
    </w:p>
    <w:p w14:paraId="540ECD1E">
      <w:p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分标号：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tbl>
      <w:tblPr>
        <w:tblStyle w:val="51"/>
        <w:tblW w:w="49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3"/>
        <w:gridCol w:w="2075"/>
        <w:gridCol w:w="2764"/>
        <w:gridCol w:w="2338"/>
        <w:gridCol w:w="1597"/>
      </w:tblGrid>
      <w:tr w14:paraId="1546D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28E9E76E">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序号</w:t>
            </w:r>
          </w:p>
        </w:tc>
        <w:tc>
          <w:tcPr>
            <w:tcW w:w="2026" w:type="dxa"/>
            <w:tcBorders>
              <w:right w:val="single" w:color="auto" w:sz="4" w:space="0"/>
            </w:tcBorders>
            <w:vAlign w:val="center"/>
          </w:tcPr>
          <w:p w14:paraId="30601E30">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项目</w:t>
            </w:r>
          </w:p>
        </w:tc>
        <w:tc>
          <w:tcPr>
            <w:tcW w:w="2699" w:type="dxa"/>
            <w:tcBorders>
              <w:left w:val="single" w:color="auto" w:sz="4" w:space="0"/>
            </w:tcBorders>
            <w:vAlign w:val="center"/>
          </w:tcPr>
          <w:p w14:paraId="7272DCE5">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竞争性磋商文件商务条款</w:t>
            </w:r>
          </w:p>
          <w:p w14:paraId="3B9125A4">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要求</w:t>
            </w:r>
          </w:p>
        </w:tc>
        <w:tc>
          <w:tcPr>
            <w:tcW w:w="2283" w:type="dxa"/>
            <w:vAlign w:val="center"/>
          </w:tcPr>
          <w:p w14:paraId="4A5DE682">
            <w:pPr>
              <w:pStyle w:val="20"/>
              <w:spacing w:line="360" w:lineRule="auto"/>
              <w:ind w:firstLine="0" w:firstLineChars="0"/>
              <w:contextualSpacing/>
              <w:jc w:val="center"/>
              <w:rPr>
                <w:rFonts w:ascii="宋体" w:hAnsi="宋体" w:eastAsia="宋体" w:cs="仿宋_GB2312"/>
                <w:b/>
                <w:color w:val="000000" w:themeColor="text1"/>
                <w:sz w:val="21"/>
                <w:szCs w:val="21"/>
                <w:highlight w:val="none"/>
                <w14:textFill>
                  <w14:solidFill>
                    <w14:schemeClr w14:val="tx1"/>
                  </w14:solidFill>
                </w14:textFill>
              </w:rPr>
            </w:pPr>
            <w:r>
              <w:rPr>
                <w:rFonts w:hint="eastAsia" w:ascii="宋体" w:hAnsi="宋体" w:eastAsia="宋体" w:cs="仿宋_GB2312"/>
                <w:b/>
                <w:color w:val="000000" w:themeColor="text1"/>
                <w:sz w:val="21"/>
                <w:szCs w:val="21"/>
                <w:highlight w:val="none"/>
                <w14:textFill>
                  <w14:solidFill>
                    <w14:schemeClr w14:val="tx1"/>
                  </w14:solidFill>
                </w14:textFill>
              </w:rPr>
              <w:t>供应商的响应</w:t>
            </w:r>
          </w:p>
        </w:tc>
        <w:tc>
          <w:tcPr>
            <w:tcW w:w="1559" w:type="dxa"/>
            <w:vAlign w:val="center"/>
          </w:tcPr>
          <w:p w14:paraId="0F60F294">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偏离说明</w:t>
            </w:r>
          </w:p>
        </w:tc>
      </w:tr>
      <w:tr w14:paraId="52AEB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5A290196">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ascii="宋体" w:hAnsi="宋体" w:eastAsia="宋体" w:cs="仿宋_GB2312"/>
                <w:color w:val="000000" w:themeColor="text1"/>
                <w:kern w:val="2"/>
                <w:sz w:val="21"/>
                <w:szCs w:val="21"/>
                <w:highlight w:val="none"/>
                <w14:textFill>
                  <w14:solidFill>
                    <w14:schemeClr w14:val="tx1"/>
                  </w14:solidFill>
                </w14:textFill>
              </w:rPr>
              <w:t>1</w:t>
            </w:r>
          </w:p>
        </w:tc>
        <w:tc>
          <w:tcPr>
            <w:tcW w:w="2026" w:type="dxa"/>
            <w:tcBorders>
              <w:right w:val="single" w:color="auto" w:sz="4" w:space="0"/>
            </w:tcBorders>
            <w:vAlign w:val="center"/>
          </w:tcPr>
          <w:p w14:paraId="722ECCE7">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服务期限及地点</w:t>
            </w:r>
          </w:p>
        </w:tc>
        <w:tc>
          <w:tcPr>
            <w:tcW w:w="2699" w:type="dxa"/>
            <w:tcBorders>
              <w:left w:val="single" w:color="auto" w:sz="4" w:space="0"/>
            </w:tcBorders>
            <w:vAlign w:val="center"/>
          </w:tcPr>
          <w:p w14:paraId="0877ABF6">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2283" w:type="dxa"/>
            <w:vAlign w:val="center"/>
          </w:tcPr>
          <w:p w14:paraId="720CC186">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559" w:type="dxa"/>
            <w:vAlign w:val="center"/>
          </w:tcPr>
          <w:p w14:paraId="6E69249E">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6CD3E1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3A0CAB96">
            <w:pPr>
              <w:ind w:firstLine="33" w:firstLineChars="16"/>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p>
        </w:tc>
        <w:tc>
          <w:tcPr>
            <w:tcW w:w="2026" w:type="dxa"/>
            <w:tcBorders>
              <w:right w:val="single" w:color="auto" w:sz="4" w:space="0"/>
            </w:tcBorders>
            <w:vAlign w:val="center"/>
          </w:tcPr>
          <w:p w14:paraId="131F5AAF">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报价要求</w:t>
            </w:r>
          </w:p>
        </w:tc>
        <w:tc>
          <w:tcPr>
            <w:tcW w:w="2699" w:type="dxa"/>
            <w:tcBorders>
              <w:left w:val="single" w:color="auto" w:sz="4" w:space="0"/>
            </w:tcBorders>
            <w:vAlign w:val="center"/>
          </w:tcPr>
          <w:p w14:paraId="34E6A01A">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2283" w:type="dxa"/>
            <w:vAlign w:val="center"/>
          </w:tcPr>
          <w:p w14:paraId="0E98C596">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559" w:type="dxa"/>
            <w:vAlign w:val="center"/>
          </w:tcPr>
          <w:p w14:paraId="15E0D18E">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4417A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3F9070C3">
            <w:pPr>
              <w:ind w:firstLine="33" w:firstLineChars="16"/>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p>
        </w:tc>
        <w:tc>
          <w:tcPr>
            <w:tcW w:w="2026" w:type="dxa"/>
            <w:tcBorders>
              <w:right w:val="single" w:color="auto" w:sz="4" w:space="0"/>
            </w:tcBorders>
            <w:vAlign w:val="center"/>
          </w:tcPr>
          <w:p w14:paraId="2342B891">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付款方式</w:t>
            </w:r>
          </w:p>
        </w:tc>
        <w:tc>
          <w:tcPr>
            <w:tcW w:w="2699" w:type="dxa"/>
            <w:tcBorders>
              <w:left w:val="single" w:color="auto" w:sz="4" w:space="0"/>
            </w:tcBorders>
            <w:vAlign w:val="center"/>
          </w:tcPr>
          <w:p w14:paraId="51AF5057">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2283" w:type="dxa"/>
            <w:vAlign w:val="center"/>
          </w:tcPr>
          <w:p w14:paraId="4DAA0640">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559" w:type="dxa"/>
            <w:vAlign w:val="center"/>
          </w:tcPr>
          <w:p w14:paraId="0EBEADA1">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7F0C5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5B78AFB8">
            <w:pPr>
              <w:ind w:firstLine="33" w:firstLineChars="16"/>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p>
        </w:tc>
        <w:tc>
          <w:tcPr>
            <w:tcW w:w="2026" w:type="dxa"/>
            <w:tcBorders>
              <w:right w:val="single" w:color="auto" w:sz="4" w:space="0"/>
            </w:tcBorders>
            <w:vAlign w:val="center"/>
          </w:tcPr>
          <w:p w14:paraId="3FFA1663">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违约和相关处罚</w:t>
            </w:r>
          </w:p>
        </w:tc>
        <w:tc>
          <w:tcPr>
            <w:tcW w:w="2699" w:type="dxa"/>
            <w:tcBorders>
              <w:left w:val="single" w:color="auto" w:sz="4" w:space="0"/>
            </w:tcBorders>
            <w:vAlign w:val="center"/>
          </w:tcPr>
          <w:p w14:paraId="7839A70F">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2283" w:type="dxa"/>
            <w:vAlign w:val="center"/>
          </w:tcPr>
          <w:p w14:paraId="56CAD525">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559" w:type="dxa"/>
            <w:vAlign w:val="center"/>
          </w:tcPr>
          <w:p w14:paraId="3E5FDF75">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40A1E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188D5EAC">
            <w:pPr>
              <w:ind w:firstLine="33" w:firstLineChars="16"/>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w:t>
            </w:r>
          </w:p>
        </w:tc>
        <w:tc>
          <w:tcPr>
            <w:tcW w:w="2026" w:type="dxa"/>
            <w:tcBorders>
              <w:right w:val="single" w:color="auto" w:sz="4" w:space="0"/>
            </w:tcBorders>
            <w:vAlign w:val="center"/>
          </w:tcPr>
          <w:p w14:paraId="02759F37">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签订合同日期</w:t>
            </w:r>
          </w:p>
        </w:tc>
        <w:tc>
          <w:tcPr>
            <w:tcW w:w="2699" w:type="dxa"/>
            <w:tcBorders>
              <w:left w:val="single" w:color="auto" w:sz="4" w:space="0"/>
            </w:tcBorders>
            <w:vAlign w:val="center"/>
          </w:tcPr>
          <w:p w14:paraId="7569B354">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2283" w:type="dxa"/>
            <w:vAlign w:val="center"/>
          </w:tcPr>
          <w:p w14:paraId="7311A01D">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559" w:type="dxa"/>
            <w:vAlign w:val="center"/>
          </w:tcPr>
          <w:p w14:paraId="06388062">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734A7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77694FE5">
            <w:pPr>
              <w:ind w:firstLine="33" w:firstLineChars="16"/>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p>
        </w:tc>
        <w:tc>
          <w:tcPr>
            <w:tcW w:w="2026" w:type="dxa"/>
            <w:tcBorders>
              <w:right w:val="single" w:color="auto" w:sz="4" w:space="0"/>
            </w:tcBorders>
            <w:vAlign w:val="center"/>
          </w:tcPr>
          <w:p w14:paraId="1E2B0D8A">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采购标的验收标准</w:t>
            </w:r>
          </w:p>
        </w:tc>
        <w:tc>
          <w:tcPr>
            <w:tcW w:w="2699" w:type="dxa"/>
            <w:tcBorders>
              <w:left w:val="single" w:color="auto" w:sz="4" w:space="0"/>
            </w:tcBorders>
            <w:vAlign w:val="center"/>
          </w:tcPr>
          <w:p w14:paraId="74B318A8">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2283" w:type="dxa"/>
            <w:vAlign w:val="center"/>
          </w:tcPr>
          <w:p w14:paraId="15C5E7B6">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559" w:type="dxa"/>
            <w:vAlign w:val="center"/>
          </w:tcPr>
          <w:p w14:paraId="6456DC33">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50A80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vAlign w:val="center"/>
          </w:tcPr>
          <w:p w14:paraId="1F62F2FD">
            <w:pPr>
              <w:ind w:firstLine="33" w:firstLineChars="16"/>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p>
        </w:tc>
        <w:tc>
          <w:tcPr>
            <w:tcW w:w="2026" w:type="dxa"/>
            <w:tcBorders>
              <w:right w:val="single" w:color="auto" w:sz="4" w:space="0"/>
            </w:tcBorders>
            <w:vAlign w:val="center"/>
          </w:tcPr>
          <w:p w14:paraId="32109DDE">
            <w:pPr>
              <w:ind w:firstLine="33" w:firstLineChars="16"/>
              <w:jc w:val="center"/>
              <w:rPr>
                <w:rFonts w:ascii="宋体" w:hAnsi="宋体" w:cs="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合同条款</w:t>
            </w:r>
          </w:p>
        </w:tc>
        <w:tc>
          <w:tcPr>
            <w:tcW w:w="2699" w:type="dxa"/>
            <w:tcBorders>
              <w:left w:val="single" w:color="auto" w:sz="4" w:space="0"/>
            </w:tcBorders>
            <w:vAlign w:val="center"/>
          </w:tcPr>
          <w:p w14:paraId="42850BD7">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具体内容详见竞争性磋商文件“第六章 合同”内容</w:t>
            </w:r>
          </w:p>
        </w:tc>
        <w:tc>
          <w:tcPr>
            <w:tcW w:w="2283" w:type="dxa"/>
            <w:vAlign w:val="center"/>
          </w:tcPr>
          <w:p w14:paraId="052407CF">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559" w:type="dxa"/>
            <w:tcBorders>
              <w:right w:val="single" w:color="auto" w:sz="4" w:space="0"/>
            </w:tcBorders>
            <w:vAlign w:val="center"/>
          </w:tcPr>
          <w:p w14:paraId="524C355D">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2DE21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vAlign w:val="center"/>
          </w:tcPr>
          <w:p w14:paraId="5A366797">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w:t>
            </w:r>
          </w:p>
        </w:tc>
        <w:tc>
          <w:tcPr>
            <w:tcW w:w="2026" w:type="dxa"/>
            <w:tcBorders>
              <w:right w:val="single" w:color="auto" w:sz="4" w:space="0"/>
            </w:tcBorders>
            <w:vAlign w:val="center"/>
          </w:tcPr>
          <w:p w14:paraId="7430DF3F">
            <w:pPr>
              <w:pStyle w:val="20"/>
              <w:spacing w:line="360" w:lineRule="auto"/>
              <w:ind w:firstLine="33" w:firstLineChars="16"/>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w:t>
            </w:r>
          </w:p>
        </w:tc>
        <w:tc>
          <w:tcPr>
            <w:tcW w:w="2699" w:type="dxa"/>
            <w:tcBorders>
              <w:left w:val="single" w:color="auto" w:sz="4" w:space="0"/>
            </w:tcBorders>
            <w:vAlign w:val="center"/>
          </w:tcPr>
          <w:p w14:paraId="11F17A76">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2283" w:type="dxa"/>
            <w:vAlign w:val="center"/>
          </w:tcPr>
          <w:p w14:paraId="77F3BD08">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559" w:type="dxa"/>
            <w:tcBorders>
              <w:right w:val="single" w:color="auto" w:sz="4" w:space="0"/>
            </w:tcBorders>
            <w:vAlign w:val="center"/>
          </w:tcPr>
          <w:p w14:paraId="5CA7D6A3">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bl>
    <w:p w14:paraId="55F69895">
      <w:pPr>
        <w:pStyle w:val="18"/>
        <w:spacing w:line="360" w:lineRule="auto"/>
        <w:ind w:firstLine="0" w:firstLineChars="0"/>
        <w:contextualSpacing/>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注：</w:t>
      </w:r>
    </w:p>
    <w:p w14:paraId="70485D20">
      <w:pPr>
        <w:pStyle w:val="18"/>
        <w:spacing w:line="360" w:lineRule="auto"/>
        <w:ind w:firstLine="422"/>
        <w:contextualSpacing/>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1.说明：应对照竞争性磋商文件“第三章 采购需求”中的“商务条款”及“第六章 合同”中的“合同条款”作出明确响应，并作出偏离说明。</w:t>
      </w:r>
    </w:p>
    <w:p w14:paraId="23297C07">
      <w:pPr>
        <w:snapToGrid w:val="0"/>
        <w:spacing w:line="360" w:lineRule="auto"/>
        <w:ind w:firstLine="420"/>
        <w:rPr>
          <w:rFonts w:ascii="宋体" w:hAnsi="宋体" w:cs="仿宋_GB2312"/>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2.供应商应根据自身的承诺，对照竞争性磋商文件要求在“偏离说明”中注明“正偏离”、“负偏离”或者“无偏离”。既不属于“正偏离”也不属于“负偏离”即为“无偏离”。</w:t>
      </w:r>
    </w:p>
    <w:p w14:paraId="0987E57F">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14:paraId="3D7C0185">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14:paraId="595310A0">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14:paraId="62B1A4A3">
      <w:pPr>
        <w:pStyle w:val="26"/>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5405EB3D">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021E5DD4">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p>
    <w:p w14:paraId="6202393F">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0A5B1EAD">
      <w:pPr>
        <w:spacing w:line="360" w:lineRule="exact"/>
        <w:ind w:firstLine="0" w:firstLineChars="0"/>
        <w:jc w:val="right"/>
        <w:rPr>
          <w:rFonts w:hAnsi="宋体"/>
          <w:color w:val="000000" w:themeColor="text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64B495D5">
      <w:pPr>
        <w:spacing w:line="360" w:lineRule="exact"/>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7EE4F50D">
      <w:pPr>
        <w:spacing w:line="360" w:lineRule="exact"/>
        <w:ind w:right="840"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3099EA69">
      <w:pPr>
        <w:pStyle w:val="26"/>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服务需求偏离表（格式）</w:t>
      </w:r>
    </w:p>
    <w:p w14:paraId="1BC28D32">
      <w:pPr>
        <w:snapToGrid w:val="0"/>
        <w:spacing w:before="50"/>
        <w:ind w:firstLine="198" w:firstLineChars="94"/>
        <w:jc w:val="left"/>
        <w:rPr>
          <w:rFonts w:ascii="宋体" w:hAnsi="宋体" w:cs="宋体"/>
          <w:b/>
          <w:color w:val="000000" w:themeColor="text1"/>
          <w:szCs w:val="21"/>
          <w:highlight w:val="none"/>
          <w14:textFill>
            <w14:solidFill>
              <w14:schemeClr w14:val="tx1"/>
            </w14:solidFill>
          </w14:textFill>
        </w:rPr>
      </w:pPr>
    </w:p>
    <w:p w14:paraId="26C0FFA5">
      <w:pPr>
        <w:snapToGrid w:val="0"/>
        <w:spacing w:before="50"/>
        <w:ind w:firstLine="197" w:firstLineChars="94"/>
        <w:jc w:val="left"/>
        <w:rPr>
          <w:rFonts w:ascii="宋体" w:hAnsi="宋体" w:cs="宋体"/>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分标号：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7"/>
        <w:gridCol w:w="2173"/>
        <w:gridCol w:w="2673"/>
        <w:gridCol w:w="2402"/>
        <w:gridCol w:w="1583"/>
      </w:tblGrid>
      <w:tr w14:paraId="07908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4" w:type="pct"/>
            <w:vAlign w:val="center"/>
          </w:tcPr>
          <w:p w14:paraId="11AF82D8">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bookmarkStart w:id="101" w:name="_Toc373333689"/>
            <w:bookmarkStart w:id="102" w:name="_Toc254970588"/>
            <w:bookmarkStart w:id="103" w:name="_Toc173066401"/>
            <w:bookmarkStart w:id="104" w:name="_Toc301781611"/>
            <w:bookmarkStart w:id="105" w:name="_Toc297193185"/>
            <w:bookmarkStart w:id="106" w:name="_Toc173211900"/>
            <w:bookmarkStart w:id="107" w:name="_Toc254970729"/>
            <w:bookmarkStart w:id="108" w:name="_Toc383699906"/>
            <w:bookmarkStart w:id="109" w:name="_Toc295404981"/>
            <w:r>
              <w:rPr>
                <w:rFonts w:hint="eastAsia" w:ascii="宋体" w:hAnsi="宋体" w:eastAsia="宋体" w:cs="仿宋_GB2312"/>
                <w:b/>
                <w:color w:val="000000" w:themeColor="text1"/>
                <w:kern w:val="2"/>
                <w:sz w:val="21"/>
                <w:szCs w:val="21"/>
                <w:highlight w:val="none"/>
                <w14:textFill>
                  <w14:solidFill>
                    <w14:schemeClr w14:val="tx1"/>
                  </w14:solidFill>
                </w14:textFill>
              </w:rPr>
              <w:t>序号</w:t>
            </w:r>
            <w:bookmarkEnd w:id="101"/>
            <w:bookmarkEnd w:id="102"/>
            <w:bookmarkEnd w:id="103"/>
            <w:bookmarkEnd w:id="104"/>
            <w:bookmarkEnd w:id="105"/>
            <w:bookmarkEnd w:id="106"/>
            <w:bookmarkEnd w:id="107"/>
            <w:bookmarkEnd w:id="108"/>
            <w:bookmarkEnd w:id="109"/>
          </w:p>
        </w:tc>
        <w:tc>
          <w:tcPr>
            <w:tcW w:w="1128" w:type="pct"/>
            <w:tcBorders>
              <w:right w:val="single" w:color="auto" w:sz="4" w:space="0"/>
            </w:tcBorders>
            <w:vAlign w:val="center"/>
          </w:tcPr>
          <w:p w14:paraId="153B5D7B">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项目</w:t>
            </w:r>
          </w:p>
        </w:tc>
        <w:tc>
          <w:tcPr>
            <w:tcW w:w="1388" w:type="pct"/>
            <w:tcBorders>
              <w:left w:val="single" w:color="auto" w:sz="4" w:space="0"/>
            </w:tcBorders>
            <w:vAlign w:val="center"/>
          </w:tcPr>
          <w:p w14:paraId="217DF653">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竞争性磋商文件服务需求</w:t>
            </w:r>
          </w:p>
        </w:tc>
        <w:tc>
          <w:tcPr>
            <w:tcW w:w="1247" w:type="pct"/>
            <w:vAlign w:val="center"/>
          </w:tcPr>
          <w:p w14:paraId="785FA24B">
            <w:pPr>
              <w:pStyle w:val="20"/>
              <w:spacing w:line="360" w:lineRule="auto"/>
              <w:ind w:firstLine="0" w:firstLineChars="0"/>
              <w:contextualSpacing/>
              <w:jc w:val="center"/>
              <w:rPr>
                <w:rFonts w:ascii="宋体" w:hAnsi="宋体" w:eastAsia="宋体" w:cs="仿宋_GB2312"/>
                <w:b/>
                <w:color w:val="000000" w:themeColor="text1"/>
                <w:sz w:val="21"/>
                <w:szCs w:val="21"/>
                <w:highlight w:val="none"/>
                <w14:textFill>
                  <w14:solidFill>
                    <w14:schemeClr w14:val="tx1"/>
                  </w14:solidFill>
                </w14:textFill>
              </w:rPr>
            </w:pPr>
            <w:bookmarkStart w:id="110" w:name="_Toc173211902"/>
            <w:bookmarkStart w:id="111" w:name="_Toc254970590"/>
            <w:bookmarkStart w:id="112" w:name="_Toc383699908"/>
            <w:bookmarkStart w:id="113" w:name="_Toc254970731"/>
            <w:bookmarkStart w:id="114" w:name="_Toc297193187"/>
            <w:bookmarkStart w:id="115" w:name="_Toc173066403"/>
            <w:bookmarkStart w:id="116" w:name="_Toc301781613"/>
            <w:bookmarkStart w:id="117" w:name="_Toc373333691"/>
            <w:bookmarkStart w:id="118" w:name="_Toc295404983"/>
            <w:r>
              <w:rPr>
                <w:rFonts w:hint="eastAsia" w:ascii="宋体" w:hAnsi="宋体" w:eastAsia="宋体" w:cs="仿宋_GB2312"/>
                <w:b/>
                <w:color w:val="000000" w:themeColor="text1"/>
                <w:sz w:val="21"/>
                <w:szCs w:val="21"/>
                <w:highlight w:val="none"/>
                <w14:textFill>
                  <w14:solidFill>
                    <w14:schemeClr w14:val="tx1"/>
                  </w14:solidFill>
                </w14:textFill>
              </w:rPr>
              <w:t>竞标响应</w:t>
            </w:r>
            <w:bookmarkEnd w:id="110"/>
            <w:bookmarkEnd w:id="111"/>
            <w:bookmarkEnd w:id="112"/>
            <w:bookmarkEnd w:id="113"/>
            <w:bookmarkEnd w:id="114"/>
            <w:bookmarkEnd w:id="115"/>
            <w:bookmarkEnd w:id="116"/>
            <w:bookmarkEnd w:id="117"/>
            <w:bookmarkEnd w:id="118"/>
          </w:p>
        </w:tc>
        <w:tc>
          <w:tcPr>
            <w:tcW w:w="822" w:type="pct"/>
            <w:vAlign w:val="center"/>
          </w:tcPr>
          <w:p w14:paraId="07E216C7">
            <w:pPr>
              <w:pStyle w:val="20"/>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bookmarkStart w:id="119" w:name="_Toc254970732"/>
            <w:bookmarkStart w:id="120" w:name="_Toc173066404"/>
            <w:bookmarkStart w:id="121" w:name="_Toc295404984"/>
            <w:bookmarkStart w:id="122" w:name="_Toc254970591"/>
            <w:bookmarkStart w:id="123" w:name="_Toc173211903"/>
            <w:bookmarkStart w:id="124" w:name="_Toc373333692"/>
            <w:bookmarkStart w:id="125" w:name="_Toc301781614"/>
            <w:bookmarkStart w:id="126" w:name="_Toc297193188"/>
            <w:bookmarkStart w:id="127" w:name="_Toc383699909"/>
            <w:r>
              <w:rPr>
                <w:rFonts w:hint="eastAsia" w:ascii="宋体" w:hAnsi="宋体" w:eastAsia="宋体" w:cs="仿宋_GB2312"/>
                <w:b/>
                <w:color w:val="000000" w:themeColor="text1"/>
                <w:kern w:val="2"/>
                <w:sz w:val="21"/>
                <w:szCs w:val="21"/>
                <w:highlight w:val="none"/>
                <w14:textFill>
                  <w14:solidFill>
                    <w14:schemeClr w14:val="tx1"/>
                  </w14:solidFill>
                </w14:textFill>
              </w:rPr>
              <w:t>偏离</w:t>
            </w:r>
            <w:bookmarkEnd w:id="119"/>
            <w:bookmarkEnd w:id="120"/>
            <w:bookmarkEnd w:id="121"/>
            <w:bookmarkEnd w:id="122"/>
            <w:bookmarkEnd w:id="123"/>
            <w:bookmarkEnd w:id="124"/>
            <w:bookmarkEnd w:id="125"/>
            <w:bookmarkEnd w:id="126"/>
            <w:bookmarkEnd w:id="127"/>
            <w:bookmarkStart w:id="128" w:name="_Toc254970592"/>
            <w:bookmarkStart w:id="129" w:name="_Toc297193189"/>
            <w:bookmarkStart w:id="130" w:name="_Toc173211904"/>
            <w:bookmarkStart w:id="131" w:name="_Toc295404985"/>
            <w:bookmarkStart w:id="132" w:name="_Toc373333693"/>
            <w:bookmarkStart w:id="133" w:name="_Toc173066405"/>
            <w:bookmarkStart w:id="134" w:name="_Toc383699910"/>
            <w:bookmarkStart w:id="135" w:name="_Toc301781615"/>
            <w:bookmarkStart w:id="136" w:name="_Toc254970733"/>
            <w:r>
              <w:rPr>
                <w:rFonts w:hint="eastAsia" w:ascii="宋体" w:hAnsi="宋体" w:eastAsia="宋体" w:cs="仿宋_GB2312"/>
                <w:b/>
                <w:color w:val="000000" w:themeColor="text1"/>
                <w:kern w:val="2"/>
                <w:sz w:val="21"/>
                <w:szCs w:val="21"/>
                <w:highlight w:val="none"/>
                <w14:textFill>
                  <w14:solidFill>
                    <w14:schemeClr w14:val="tx1"/>
                  </w14:solidFill>
                </w14:textFill>
              </w:rPr>
              <w:t>说明</w:t>
            </w:r>
            <w:bookmarkEnd w:id="128"/>
            <w:bookmarkEnd w:id="129"/>
            <w:bookmarkEnd w:id="130"/>
            <w:bookmarkEnd w:id="131"/>
            <w:bookmarkEnd w:id="132"/>
            <w:bookmarkEnd w:id="133"/>
            <w:bookmarkEnd w:id="134"/>
            <w:bookmarkEnd w:id="135"/>
            <w:bookmarkEnd w:id="136"/>
          </w:p>
        </w:tc>
      </w:tr>
      <w:tr w14:paraId="3BD50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F01E3E4">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1</w:t>
            </w:r>
          </w:p>
        </w:tc>
        <w:tc>
          <w:tcPr>
            <w:tcW w:w="1128" w:type="pct"/>
            <w:tcBorders>
              <w:right w:val="single" w:color="auto" w:sz="4" w:space="0"/>
            </w:tcBorders>
            <w:vAlign w:val="center"/>
          </w:tcPr>
          <w:p w14:paraId="16908ACE">
            <w:pPr>
              <w:pStyle w:val="20"/>
              <w:spacing w:line="360" w:lineRule="auto"/>
              <w:ind w:firstLine="0" w:firstLineChars="0"/>
              <w:contextualSpacing/>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药品质量要求</w:t>
            </w:r>
          </w:p>
        </w:tc>
        <w:tc>
          <w:tcPr>
            <w:tcW w:w="1388" w:type="pct"/>
            <w:tcBorders>
              <w:left w:val="single" w:color="auto" w:sz="4" w:space="0"/>
            </w:tcBorders>
            <w:vAlign w:val="center"/>
          </w:tcPr>
          <w:p w14:paraId="4229C6AB">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14:paraId="57B7730C">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14:paraId="33C586E6">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5FA1E0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75DAD169">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2</w:t>
            </w:r>
          </w:p>
        </w:tc>
        <w:tc>
          <w:tcPr>
            <w:tcW w:w="1128" w:type="pct"/>
            <w:tcBorders>
              <w:right w:val="single" w:color="auto" w:sz="4" w:space="0"/>
            </w:tcBorders>
            <w:vAlign w:val="center"/>
          </w:tcPr>
          <w:p w14:paraId="66A0AB25">
            <w:pPr>
              <w:pStyle w:val="20"/>
              <w:spacing w:line="360" w:lineRule="auto"/>
              <w:ind w:firstLine="0" w:firstLineChars="0"/>
              <w:contextualSpacing/>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服务要求</w:t>
            </w:r>
          </w:p>
        </w:tc>
        <w:tc>
          <w:tcPr>
            <w:tcW w:w="1388" w:type="pct"/>
            <w:tcBorders>
              <w:left w:val="single" w:color="auto" w:sz="4" w:space="0"/>
            </w:tcBorders>
            <w:vAlign w:val="center"/>
          </w:tcPr>
          <w:p w14:paraId="3CD289FA">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14:paraId="740405FF">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14:paraId="59670118">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6CE12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602E1564">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3</w:t>
            </w:r>
          </w:p>
        </w:tc>
        <w:tc>
          <w:tcPr>
            <w:tcW w:w="1128" w:type="pct"/>
            <w:tcBorders>
              <w:right w:val="single" w:color="auto" w:sz="4" w:space="0"/>
            </w:tcBorders>
            <w:vAlign w:val="center"/>
          </w:tcPr>
          <w:p w14:paraId="62F79270">
            <w:pPr>
              <w:pStyle w:val="20"/>
              <w:spacing w:line="360" w:lineRule="auto"/>
              <w:ind w:firstLine="0" w:firstLineChars="0"/>
              <w:contextualSpacing/>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配送及验收要求</w:t>
            </w:r>
          </w:p>
        </w:tc>
        <w:tc>
          <w:tcPr>
            <w:tcW w:w="1388" w:type="pct"/>
            <w:tcBorders>
              <w:left w:val="single" w:color="auto" w:sz="4" w:space="0"/>
            </w:tcBorders>
            <w:vAlign w:val="center"/>
          </w:tcPr>
          <w:p w14:paraId="4EB9CF38">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14:paraId="494F6CD6">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14:paraId="070F3140">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00F55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4" w:type="pct"/>
            <w:vAlign w:val="center"/>
          </w:tcPr>
          <w:p w14:paraId="05FDBD37">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bookmarkStart w:id="137" w:name="_Toc173211914"/>
            <w:bookmarkStart w:id="138" w:name="_Toc297193195"/>
            <w:bookmarkStart w:id="139" w:name="_Toc295404991"/>
            <w:bookmarkStart w:id="140" w:name="_Toc254970743"/>
            <w:bookmarkStart w:id="141" w:name="_Toc254970602"/>
            <w:bookmarkStart w:id="142" w:name="_Toc301781621"/>
            <w:bookmarkStart w:id="143" w:name="_Toc383699916"/>
            <w:bookmarkStart w:id="144" w:name="_Toc173066415"/>
            <w:bookmarkStart w:id="145" w:name="_Toc373333699"/>
            <w:r>
              <w:rPr>
                <w:rFonts w:hint="eastAsia" w:ascii="宋体" w:hAnsi="宋体" w:eastAsia="宋体" w:cs="仿宋_GB2312"/>
                <w:color w:val="000000" w:themeColor="text1"/>
                <w:kern w:val="2"/>
                <w:sz w:val="21"/>
                <w:szCs w:val="21"/>
                <w:highlight w:val="none"/>
                <w14:textFill>
                  <w14:solidFill>
                    <w14:schemeClr w14:val="tx1"/>
                  </w14:solidFill>
                </w14:textFill>
              </w:rPr>
              <w:t>…</w:t>
            </w:r>
            <w:bookmarkEnd w:id="137"/>
            <w:bookmarkEnd w:id="138"/>
            <w:bookmarkEnd w:id="139"/>
            <w:bookmarkEnd w:id="140"/>
            <w:bookmarkEnd w:id="141"/>
            <w:bookmarkEnd w:id="142"/>
            <w:bookmarkEnd w:id="143"/>
            <w:bookmarkEnd w:id="144"/>
            <w:bookmarkEnd w:id="145"/>
          </w:p>
        </w:tc>
        <w:tc>
          <w:tcPr>
            <w:tcW w:w="1128" w:type="pct"/>
            <w:tcBorders>
              <w:right w:val="single" w:color="auto" w:sz="4" w:space="0"/>
            </w:tcBorders>
            <w:vAlign w:val="center"/>
          </w:tcPr>
          <w:p w14:paraId="7250A3AB">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ascii="宋体" w:hAnsi="宋体" w:eastAsia="宋体" w:cs="仿宋_GB2312"/>
                <w:color w:val="000000" w:themeColor="text1"/>
                <w:kern w:val="2"/>
                <w:sz w:val="21"/>
                <w:szCs w:val="21"/>
                <w:highlight w:val="none"/>
                <w14:textFill>
                  <w14:solidFill>
                    <w14:schemeClr w14:val="tx1"/>
                  </w14:solidFill>
                </w14:textFill>
              </w:rPr>
              <w:t>…</w:t>
            </w:r>
          </w:p>
        </w:tc>
        <w:tc>
          <w:tcPr>
            <w:tcW w:w="1388" w:type="pct"/>
            <w:tcBorders>
              <w:left w:val="single" w:color="auto" w:sz="4" w:space="0"/>
            </w:tcBorders>
            <w:vAlign w:val="center"/>
          </w:tcPr>
          <w:p w14:paraId="1AA3DC45">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14:paraId="1B46145E">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tcBorders>
              <w:right w:val="single" w:color="auto" w:sz="4" w:space="0"/>
            </w:tcBorders>
            <w:vAlign w:val="center"/>
          </w:tcPr>
          <w:p w14:paraId="6A8810B2">
            <w:pPr>
              <w:pStyle w:val="20"/>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bl>
    <w:p w14:paraId="605D5504">
      <w:pPr>
        <w:snapToGrid w:val="0"/>
        <w:spacing w:line="360" w:lineRule="auto"/>
        <w:ind w:firstLine="0" w:firstLineChars="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77935809">
      <w:pPr>
        <w:pStyle w:val="18"/>
        <w:spacing w:line="360" w:lineRule="auto"/>
        <w:ind w:firstLine="422"/>
        <w:contextualSpacing/>
        <w:rPr>
          <w:rFonts w:ascii="宋体" w:hAnsi="宋体" w:cs="宋体"/>
          <w:bCs w:val="0"/>
          <w:color w:val="000000" w:themeColor="text1"/>
          <w:sz w:val="21"/>
          <w:szCs w:val="21"/>
          <w:highlight w:val="none"/>
          <w14:textFill>
            <w14:solidFill>
              <w14:schemeClr w14:val="tx1"/>
            </w14:solidFill>
          </w14:textFill>
        </w:rPr>
      </w:pPr>
      <w:r>
        <w:rPr>
          <w:rFonts w:hint="eastAsia" w:ascii="宋体" w:hAnsi="宋体" w:cs="宋体"/>
          <w:bCs w:val="0"/>
          <w:color w:val="000000" w:themeColor="text1"/>
          <w:sz w:val="21"/>
          <w:szCs w:val="21"/>
          <w:highlight w:val="none"/>
          <w14:textFill>
            <w14:solidFill>
              <w14:schemeClr w14:val="tx1"/>
            </w14:solidFill>
          </w14:textFill>
        </w:rPr>
        <w:t>1.应对照竞争性</w:t>
      </w:r>
      <w:r>
        <w:rPr>
          <w:rFonts w:hint="eastAsia" w:ascii="宋体" w:hAnsi="宋体"/>
          <w:color w:val="000000" w:themeColor="text1"/>
          <w:kern w:val="0"/>
          <w:sz w:val="21"/>
          <w:szCs w:val="21"/>
          <w:highlight w:val="none"/>
          <w14:textFill>
            <w14:solidFill>
              <w14:schemeClr w14:val="tx1"/>
            </w14:solidFill>
          </w14:textFill>
        </w:rPr>
        <w:t>磋商</w:t>
      </w:r>
      <w:r>
        <w:rPr>
          <w:rFonts w:hint="eastAsia" w:ascii="宋体" w:hAnsi="宋体" w:cs="宋体"/>
          <w:bCs w:val="0"/>
          <w:color w:val="000000" w:themeColor="text1"/>
          <w:sz w:val="21"/>
          <w:szCs w:val="21"/>
          <w:highlight w:val="none"/>
          <w14:textFill>
            <w14:solidFill>
              <w14:schemeClr w14:val="tx1"/>
            </w14:solidFill>
          </w14:textFill>
        </w:rPr>
        <w:t>文件“第三章 采购需求”中的“服务需求”作出明确响应，并作出偏离说明。</w:t>
      </w:r>
    </w:p>
    <w:p w14:paraId="6AA557EA">
      <w:pPr>
        <w:pStyle w:val="18"/>
        <w:spacing w:line="360" w:lineRule="auto"/>
        <w:ind w:firstLine="420"/>
        <w:contextualSpacing/>
        <w:rPr>
          <w:rFonts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2.供应商应根据自身的承诺，对照竞争性磋商文件要求，在“偏离说明”中注明“正偏离”、“负偏离”或者“无偏离”。既不属于“正偏离”也不属于“负偏离”即为“无偏离”。</w:t>
      </w:r>
    </w:p>
    <w:p w14:paraId="642A9594">
      <w:pPr>
        <w:snapToGrid w:val="0"/>
        <w:spacing w:before="50" w:line="276" w:lineRule="auto"/>
        <w:ind w:firstLine="198" w:firstLineChars="82"/>
        <w:jc w:val="left"/>
        <w:rPr>
          <w:rFonts w:ascii="宋体" w:hAnsi="宋体" w:cs="宋体"/>
          <w:b/>
          <w:bCs/>
          <w:color w:val="000000" w:themeColor="text1"/>
          <w:sz w:val="24"/>
          <w:highlight w:val="none"/>
          <w14:textFill>
            <w14:solidFill>
              <w14:schemeClr w14:val="tx1"/>
            </w14:solidFill>
          </w14:textFill>
        </w:rPr>
      </w:pPr>
    </w:p>
    <w:p w14:paraId="50B94C58">
      <w:pPr>
        <w:pStyle w:val="26"/>
        <w:spacing w:line="360" w:lineRule="auto"/>
        <w:ind w:firstLine="3780" w:firstLineChars="1800"/>
        <w:rPr>
          <w:rFonts w:hAnsi="宋体" w:cs="宋体"/>
          <w:color w:val="000000" w:themeColor="text1"/>
          <w:sz w:val="21"/>
          <w:highlight w:val="none"/>
          <w14:textFill>
            <w14:solidFill>
              <w14:schemeClr w14:val="tx1"/>
            </w14:solidFill>
          </w14:textFill>
        </w:rPr>
      </w:pPr>
    </w:p>
    <w:p w14:paraId="6FB2B64A">
      <w:pPr>
        <w:pStyle w:val="26"/>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36082B6C">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72768F7F">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496BDCFE">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4A09DECE">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26C395BB">
      <w:pPr>
        <w:pStyle w:val="26"/>
        <w:wordWrap w:val="0"/>
        <w:ind w:firstLine="480"/>
        <w:jc w:val="right"/>
        <w:rPr>
          <w:rFonts w:hAnsi="宋体" w:cs="宋体"/>
          <w:color w:val="000000" w:themeColor="text1"/>
          <w:sz w:val="24"/>
          <w:highlight w:val="none"/>
          <w14:textFill>
            <w14:solidFill>
              <w14:schemeClr w14:val="tx1"/>
            </w14:solidFill>
          </w14:textFill>
        </w:rPr>
        <w:sectPr>
          <w:footerReference r:id="rId11" w:type="first"/>
          <w:pgSz w:w="11906" w:h="16838"/>
          <w:pgMar w:top="1418" w:right="1247" w:bottom="1418" w:left="1247" w:header="851" w:footer="992" w:gutter="0"/>
          <w:cols w:space="720" w:num="1"/>
          <w:docGrid w:linePitch="312" w:charSpace="0"/>
        </w:sectPr>
      </w:pPr>
    </w:p>
    <w:p w14:paraId="032C0DF7">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bookmarkStart w:id="146" w:name="_Toc356165644"/>
      <w:bookmarkStart w:id="147" w:name="_Toc356979893"/>
      <w:r>
        <w:rPr>
          <w:rFonts w:hint="eastAsia" w:ascii="宋体" w:hAnsi="宋体" w:cs="宋体"/>
          <w:b/>
          <w:color w:val="000000" w:themeColor="text1"/>
          <w:szCs w:val="21"/>
          <w:highlight w:val="none"/>
          <w14:textFill>
            <w14:solidFill>
              <w14:schemeClr w14:val="tx1"/>
            </w14:solidFill>
          </w14:textFill>
        </w:rPr>
        <w:t>附件</w:t>
      </w:r>
    </w:p>
    <w:p w14:paraId="4C2069C3">
      <w:pPr>
        <w:pStyle w:val="26"/>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12863E0E">
      <w:pPr>
        <w:pStyle w:val="26"/>
        <w:spacing w:line="400" w:lineRule="exact"/>
        <w:ind w:firstLine="0" w:firstLineChars="0"/>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项目拟投入人员一览表（格式）</w:t>
      </w:r>
    </w:p>
    <w:p w14:paraId="43074BE5">
      <w:pPr>
        <w:pStyle w:val="26"/>
        <w:spacing w:line="400" w:lineRule="exact"/>
        <w:ind w:firstLine="400"/>
        <w:jc w:val="left"/>
        <w:rPr>
          <w:rFonts w:hAnsi="宋体"/>
          <w:color w:val="000000" w:themeColor="text1"/>
          <w:sz w:val="2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w:t>
      </w:r>
    </w:p>
    <w:tbl>
      <w:tblPr>
        <w:tblStyle w:val="51"/>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64"/>
        <w:gridCol w:w="1276"/>
        <w:gridCol w:w="3379"/>
        <w:gridCol w:w="1137"/>
        <w:gridCol w:w="1418"/>
      </w:tblGrid>
      <w:tr w14:paraId="75B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9F75B7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姓名</w:t>
            </w:r>
          </w:p>
        </w:tc>
        <w:tc>
          <w:tcPr>
            <w:tcW w:w="1264" w:type="dxa"/>
            <w:vAlign w:val="center"/>
          </w:tcPr>
          <w:p w14:paraId="717DDFAA">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职务</w:t>
            </w:r>
          </w:p>
        </w:tc>
        <w:tc>
          <w:tcPr>
            <w:tcW w:w="1276" w:type="dxa"/>
            <w:vAlign w:val="center"/>
          </w:tcPr>
          <w:p w14:paraId="04FA765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拟投入岗位</w:t>
            </w:r>
          </w:p>
        </w:tc>
        <w:tc>
          <w:tcPr>
            <w:tcW w:w="3379" w:type="dxa"/>
            <w:vAlign w:val="center"/>
          </w:tcPr>
          <w:p w14:paraId="179BC67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专业技术资格（职称）或者职业资格或者执业资格证或者其他证书</w:t>
            </w:r>
          </w:p>
        </w:tc>
        <w:tc>
          <w:tcPr>
            <w:tcW w:w="1137" w:type="dxa"/>
            <w:vAlign w:val="center"/>
          </w:tcPr>
          <w:p w14:paraId="4E1AC184">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证书编号</w:t>
            </w:r>
          </w:p>
        </w:tc>
        <w:tc>
          <w:tcPr>
            <w:tcW w:w="1418" w:type="dxa"/>
            <w:vAlign w:val="center"/>
          </w:tcPr>
          <w:p w14:paraId="737EB47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参加本单位</w:t>
            </w:r>
          </w:p>
          <w:p w14:paraId="5EDD954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工作时间</w:t>
            </w:r>
          </w:p>
        </w:tc>
      </w:tr>
      <w:tr w14:paraId="0E9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AE35196">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1DBDA6A9">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0FAF5998">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550CD889">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68DBE21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567CD8BB">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r w14:paraId="0965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4BDC28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3EDDCBC1">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5DDE82DA">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3C4ED9E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380B7F84">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2C27AEB1">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r w14:paraId="2D9F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4A8E985">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2F133FC0">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10817794">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51D51F8A">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7827C280">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285DB2B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bl>
    <w:p w14:paraId="4815336C">
      <w:pPr>
        <w:pStyle w:val="26"/>
        <w:spacing w:line="400" w:lineRule="exact"/>
        <w:ind w:firstLine="0" w:firstLineChars="0"/>
        <w:jc w:val="left"/>
        <w:rPr>
          <w:rFonts w:hAnsi="宋体" w:cs="宋体"/>
          <w:b/>
          <w:color w:val="000000" w:themeColor="text1"/>
          <w:sz w:val="32"/>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注：在填写时，如本表格不适合供应商的实际情况，可根据本表格式自行制表填写。</w:t>
      </w:r>
    </w:p>
    <w:p w14:paraId="70628C2D">
      <w:pPr>
        <w:pStyle w:val="26"/>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0FA8814D">
      <w:pPr>
        <w:pStyle w:val="26"/>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4E7530A0">
      <w:pPr>
        <w:pStyle w:val="26"/>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00D7592C">
      <w:pPr>
        <w:pStyle w:val="26"/>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6084A7CD">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5C2653DD">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456C3C45">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64510DFD">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14928478">
      <w:pPr>
        <w:pStyle w:val="26"/>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53F0B61A">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5486DA5C">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5473F03C">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7ED40E73">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283B5E1F">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089686FC">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11C51C1C">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51D4183E">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50B2D398">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776C5C96">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1328D5B0">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209A89B2">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63A13373">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p>
    <w:p w14:paraId="3A3FAF0D">
      <w:pPr>
        <w:pStyle w:val="26"/>
        <w:spacing w:line="400" w:lineRule="exact"/>
        <w:ind w:firstLine="0" w:firstLineChars="0"/>
        <w:jc w:val="left"/>
        <w:rPr>
          <w:rFonts w:hAnsi="宋体" w:cs="宋体"/>
          <w:b/>
          <w:color w:val="000000" w:themeColor="text1"/>
          <w:sz w:val="32"/>
          <w:highlight w:val="none"/>
          <w14:textFill>
            <w14:solidFill>
              <w14:schemeClr w14:val="tx1"/>
            </w14:solidFill>
          </w14:textFill>
        </w:rPr>
      </w:pPr>
      <w:r>
        <w:rPr>
          <w:rFonts w:hAnsi="宋体" w:cs="宋体"/>
          <w:b/>
          <w:bCs/>
          <w:color w:val="000000" w:themeColor="text1"/>
          <w:highlight w:val="none"/>
          <w14:textFill>
            <w14:solidFill>
              <w14:schemeClr w14:val="tx1"/>
            </w14:solidFill>
          </w14:textFill>
        </w:rPr>
        <w:br w:type="page"/>
      </w:r>
      <w:r>
        <w:rPr>
          <w:rFonts w:hint="eastAsia" w:hAnsi="宋体" w:cs="宋体"/>
          <w:b/>
          <w:bCs/>
          <w:color w:val="000000" w:themeColor="text1"/>
          <w:highlight w:val="none"/>
          <w14:textFill>
            <w14:solidFill>
              <w14:schemeClr w14:val="tx1"/>
            </w14:solidFill>
          </w14:textFill>
        </w:rPr>
        <w:t>附件</w:t>
      </w:r>
    </w:p>
    <w:p w14:paraId="382B4B42">
      <w:pPr>
        <w:pStyle w:val="26"/>
        <w:spacing w:line="400" w:lineRule="exact"/>
        <w:ind w:firstLine="643"/>
        <w:jc w:val="center"/>
        <w:rPr>
          <w:rFonts w:hAnsi="宋体" w:cs="宋体"/>
          <w:b/>
          <w:color w:val="000000" w:themeColor="text1"/>
          <w:sz w:val="32"/>
          <w:highlight w:val="none"/>
          <w14:textFill>
            <w14:solidFill>
              <w14:schemeClr w14:val="tx1"/>
            </w14:solidFill>
          </w14:textFill>
        </w:rPr>
      </w:pPr>
    </w:p>
    <w:p w14:paraId="6FF2EC07">
      <w:pPr>
        <w:pStyle w:val="26"/>
        <w:spacing w:line="400" w:lineRule="exact"/>
        <w:ind w:firstLine="643"/>
        <w:jc w:val="center"/>
        <w:rPr>
          <w:rFonts w:hAnsi="宋体" w:cs="宋体"/>
          <w:color w:val="000000" w:themeColor="text1"/>
          <w:sz w:val="32"/>
          <w:szCs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技术方案（格式）</w:t>
      </w:r>
    </w:p>
    <w:p w14:paraId="5555CC91">
      <w:pPr>
        <w:pStyle w:val="26"/>
        <w:spacing w:line="400" w:lineRule="exact"/>
        <w:ind w:firstLine="643"/>
        <w:jc w:val="center"/>
        <w:rPr>
          <w:rFonts w:hAnsi="宋体" w:cs="宋体"/>
          <w:b/>
          <w:color w:val="000000" w:themeColor="text1"/>
          <w:sz w:val="32"/>
          <w:highlight w:val="none"/>
          <w14:textFill>
            <w14:solidFill>
              <w14:schemeClr w14:val="tx1"/>
            </w14:solidFill>
          </w14:textFill>
        </w:rPr>
      </w:pPr>
    </w:p>
    <w:p w14:paraId="5795B29D">
      <w:pPr>
        <w:pStyle w:val="26"/>
        <w:spacing w:line="360" w:lineRule="auto"/>
        <w:ind w:firstLine="371" w:firstLineChars="177"/>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说明：由供应商按“第三章 采购需求”及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第四章 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中的评分点自行编制。</w:t>
      </w:r>
    </w:p>
    <w:p w14:paraId="24F20601">
      <w:pPr>
        <w:autoSpaceDE w:val="0"/>
        <w:autoSpaceDN w:val="0"/>
        <w:adjustRightInd w:val="0"/>
        <w:spacing w:line="360" w:lineRule="auto"/>
        <w:ind w:firstLine="42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配送服务方案</w:t>
      </w:r>
    </w:p>
    <w:p w14:paraId="73DD2D73">
      <w:pPr>
        <w:autoSpaceDE w:val="0"/>
        <w:autoSpaceDN w:val="0"/>
        <w:adjustRightInd w:val="0"/>
        <w:spacing w:line="360" w:lineRule="auto"/>
        <w:ind w:firstLine="42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w:t>
      </w:r>
    </w:p>
    <w:p w14:paraId="072593DC">
      <w:pPr>
        <w:autoSpaceDE w:val="0"/>
        <w:autoSpaceDN w:val="0"/>
        <w:adjustRightInd w:val="0"/>
        <w:spacing w:line="360" w:lineRule="auto"/>
        <w:ind w:firstLine="42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售后服务方案</w:t>
      </w:r>
    </w:p>
    <w:p w14:paraId="47A614CC">
      <w:pPr>
        <w:autoSpaceDE w:val="0"/>
        <w:autoSpaceDN w:val="0"/>
        <w:adjustRightInd w:val="0"/>
        <w:spacing w:line="360" w:lineRule="auto"/>
        <w:ind w:firstLine="42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w:t>
      </w:r>
    </w:p>
    <w:p w14:paraId="4978A096">
      <w:pPr>
        <w:autoSpaceDE w:val="0"/>
        <w:autoSpaceDN w:val="0"/>
        <w:adjustRightInd w:val="0"/>
        <w:spacing w:line="360" w:lineRule="auto"/>
        <w:ind w:firstLine="42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应急服务方案</w:t>
      </w:r>
    </w:p>
    <w:p w14:paraId="33B58976">
      <w:pPr>
        <w:autoSpaceDE w:val="0"/>
        <w:autoSpaceDN w:val="0"/>
        <w:adjustRightInd w:val="0"/>
        <w:spacing w:line="360" w:lineRule="auto"/>
        <w:ind w:firstLine="42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w:t>
      </w:r>
    </w:p>
    <w:p w14:paraId="6532C74F">
      <w:pPr>
        <w:pStyle w:val="26"/>
        <w:ind w:firstLine="371" w:firstLineChars="177"/>
        <w:rPr>
          <w:rFonts w:hAnsi="宋体"/>
          <w:color w:val="000000" w:themeColor="text1"/>
          <w:sz w:val="21"/>
          <w:highlight w:val="none"/>
          <w14:textFill>
            <w14:solidFill>
              <w14:schemeClr w14:val="tx1"/>
            </w14:solidFill>
          </w14:textFill>
        </w:rPr>
      </w:pPr>
    </w:p>
    <w:p w14:paraId="6815201A">
      <w:pPr>
        <w:pStyle w:val="26"/>
        <w:ind w:firstLine="371" w:firstLineChars="177"/>
        <w:rPr>
          <w:rFonts w:hAnsi="宋体"/>
          <w:color w:val="000000" w:themeColor="text1"/>
          <w:sz w:val="21"/>
          <w:highlight w:val="none"/>
          <w14:textFill>
            <w14:solidFill>
              <w14:schemeClr w14:val="tx1"/>
            </w14:solidFill>
          </w14:textFill>
        </w:rPr>
      </w:pPr>
    </w:p>
    <w:p w14:paraId="0D7D6FB2">
      <w:pPr>
        <w:pStyle w:val="26"/>
        <w:ind w:firstLine="371" w:firstLineChars="177"/>
        <w:rPr>
          <w:rFonts w:hAnsi="宋体"/>
          <w:color w:val="000000" w:themeColor="text1"/>
          <w:sz w:val="21"/>
          <w:highlight w:val="none"/>
          <w14:textFill>
            <w14:solidFill>
              <w14:schemeClr w14:val="tx1"/>
            </w14:solidFill>
          </w14:textFill>
        </w:rPr>
      </w:pPr>
    </w:p>
    <w:p w14:paraId="2032C8DF">
      <w:pPr>
        <w:pStyle w:val="26"/>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5750D83F">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5384BC6E">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263DB61C">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28800419">
      <w:pPr>
        <w:pStyle w:val="26"/>
        <w:spacing w:line="400" w:lineRule="exact"/>
        <w:ind w:firstLine="0" w:firstLineChars="0"/>
        <w:jc w:val="right"/>
        <w:rPr>
          <w:rFonts w:ascii="Times New Roman" w:hAnsi="宋体"/>
          <w:color w:val="000000" w:themeColor="text1"/>
          <w:kern w:val="2"/>
          <w:sz w:val="21"/>
          <w:szCs w:val="24"/>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ascii="Times New Roman" w:hAnsi="宋体"/>
          <w:color w:val="000000" w:themeColor="text1"/>
          <w:kern w:val="2"/>
          <w:sz w:val="21"/>
          <w:szCs w:val="24"/>
          <w:highlight w:val="none"/>
          <w14:textFill>
            <w14:solidFill>
              <w14:schemeClr w14:val="tx1"/>
            </w14:solidFill>
          </w14:textFill>
        </w:rPr>
        <w:t>日</w:t>
      </w:r>
    </w:p>
    <w:p w14:paraId="522A0833">
      <w:pPr>
        <w:pStyle w:val="26"/>
        <w:spacing w:line="400" w:lineRule="exact"/>
        <w:ind w:firstLine="0" w:firstLineChars="0"/>
        <w:jc w:val="left"/>
        <w:rPr>
          <w:rFonts w:hAnsi="宋体" w:cs="宋体"/>
          <w:b/>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Ansi="宋体" w:cs="宋体"/>
          <w:b/>
          <w:bCs/>
          <w:color w:val="000000" w:themeColor="text1"/>
          <w:highlight w:val="none"/>
          <w14:textFill>
            <w14:solidFill>
              <w14:schemeClr w14:val="tx1"/>
            </w14:solidFill>
          </w14:textFill>
        </w:rPr>
        <w:t xml:space="preserve"> </w:t>
      </w:r>
      <w:r>
        <w:rPr>
          <w:rFonts w:hint="eastAsia" w:hAnsi="宋体" w:cs="宋体"/>
          <w:b/>
          <w:color w:val="000000" w:themeColor="text1"/>
          <w:highlight w:val="none"/>
          <w14:textFill>
            <w14:solidFill>
              <w14:schemeClr w14:val="tx1"/>
            </w14:solidFill>
          </w14:textFill>
        </w:rPr>
        <w:t>附件</w:t>
      </w:r>
    </w:p>
    <w:p w14:paraId="3189738E">
      <w:pPr>
        <w:snapToGrid w:val="0"/>
        <w:spacing w:before="50" w:after="50" w:line="360" w:lineRule="auto"/>
        <w:ind w:firstLine="422"/>
        <w:rPr>
          <w:rFonts w:hAnsi="宋体"/>
          <w:b/>
          <w:color w:val="000000" w:themeColor="text1"/>
          <w:highlight w:val="none"/>
          <w14:textFill>
            <w14:solidFill>
              <w14:schemeClr w14:val="tx1"/>
            </w14:solidFill>
          </w14:textFill>
        </w:rPr>
      </w:pPr>
    </w:p>
    <w:p w14:paraId="0122DF10">
      <w:pPr>
        <w:pStyle w:val="38"/>
        <w:snapToGrid w:val="0"/>
        <w:spacing w:line="360" w:lineRule="auto"/>
        <w:ind w:left="643" w:hanging="643"/>
        <w:jc w:val="center"/>
        <w:rPr>
          <w:rFonts w:ascii="宋体" w:hAnsi="宋体" w:cs="宋体"/>
          <w:b/>
          <w:color w:val="000000" w:themeColor="text1"/>
          <w:kern w:val="0"/>
          <w:sz w:val="32"/>
          <w:szCs w:val="21"/>
          <w:highlight w:val="none"/>
          <w14:textFill>
            <w14:solidFill>
              <w14:schemeClr w14:val="tx1"/>
            </w14:solidFill>
          </w14:textFill>
        </w:rPr>
      </w:pPr>
      <w:r>
        <w:rPr>
          <w:rFonts w:hint="eastAsia" w:ascii="宋体" w:hAnsi="宋体" w:cs="宋体"/>
          <w:b/>
          <w:color w:val="000000" w:themeColor="text1"/>
          <w:kern w:val="0"/>
          <w:sz w:val="32"/>
          <w:szCs w:val="21"/>
          <w:highlight w:val="none"/>
          <w14:textFill>
            <w14:solidFill>
              <w14:schemeClr w14:val="tx1"/>
            </w14:solidFill>
          </w14:textFill>
        </w:rPr>
        <w:t>同类项目实施情况一览表（格式）</w:t>
      </w:r>
    </w:p>
    <w:p w14:paraId="31D41F70">
      <w:pPr>
        <w:pStyle w:val="38"/>
        <w:snapToGrid w:val="0"/>
        <w:spacing w:line="360" w:lineRule="auto"/>
        <w:ind w:left="562" w:hanging="562"/>
        <w:jc w:val="center"/>
        <w:rPr>
          <w:rFonts w:ascii="宋体" w:hAnsi="宋体"/>
          <w:color w:val="000000" w:themeColor="text1"/>
          <w:szCs w:val="28"/>
          <w:highlight w:val="none"/>
          <w14:textFill>
            <w14:solidFill>
              <w14:schemeClr w14:val="tx1"/>
            </w14:solidFill>
          </w14:textFill>
        </w:rPr>
      </w:pPr>
      <w:r>
        <w:rPr>
          <w:rFonts w:hint="eastAsia" w:ascii="宋体" w:hAnsi="宋体" w:cs="宋体"/>
          <w:b/>
          <w:color w:val="000000" w:themeColor="text1"/>
          <w:kern w:val="0"/>
          <w:szCs w:val="28"/>
          <w:highlight w:val="none"/>
          <w14:textFill>
            <w14:solidFill>
              <w14:schemeClr w14:val="tx1"/>
            </w14:solidFill>
          </w14:textFill>
        </w:rPr>
        <w:t>（附合同原件扫描件）</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55180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31C6CF20">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3304CFE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AA7FDB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BD00D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合同金额</w:t>
            </w:r>
          </w:p>
          <w:p w14:paraId="62D58EB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35D2050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采购单位联系人及联系电话</w:t>
            </w:r>
          </w:p>
        </w:tc>
      </w:tr>
      <w:tr w14:paraId="1D8A7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15DE124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03703C2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C0A8DF">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11B1A6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57D18FE7">
            <w:pPr>
              <w:widowControl/>
              <w:spacing w:line="360" w:lineRule="auto"/>
              <w:ind w:firstLine="420"/>
              <w:rPr>
                <w:rFonts w:hAnsi="宋体"/>
                <w:color w:val="000000" w:themeColor="text1"/>
                <w:highlight w:val="none"/>
                <w14:textFill>
                  <w14:solidFill>
                    <w14:schemeClr w14:val="tx1"/>
                  </w14:solidFill>
                </w14:textFill>
              </w:rPr>
            </w:pPr>
          </w:p>
        </w:tc>
      </w:tr>
      <w:tr w14:paraId="4A9FF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3CF3365">
            <w:pPr>
              <w:snapToGrid w:val="0"/>
              <w:spacing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EF39358">
            <w:pPr>
              <w:snapToGrid w:val="0"/>
              <w:spacing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01684ECB">
            <w:pPr>
              <w:snapToGrid w:val="0"/>
              <w:spacing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9A38196">
            <w:pPr>
              <w:snapToGrid w:val="0"/>
              <w:spacing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30AF280B">
            <w:pPr>
              <w:snapToGrid w:val="0"/>
              <w:spacing w:line="360" w:lineRule="auto"/>
              <w:ind w:firstLine="420"/>
              <w:jc w:val="center"/>
              <w:rPr>
                <w:rFonts w:hAnsi="宋体"/>
                <w:color w:val="000000" w:themeColor="text1"/>
                <w:highlight w:val="none"/>
                <w14:textFill>
                  <w14:solidFill>
                    <w14:schemeClr w14:val="tx1"/>
                  </w14:solidFill>
                </w14:textFill>
              </w:rPr>
            </w:pPr>
          </w:p>
        </w:tc>
      </w:tr>
      <w:tr w14:paraId="2B4AF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D6FB51">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3743F5F">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2DAFFD8C">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39EBC20">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0BA3F06B">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1C23E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C133D6">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FEE8817">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CE78AD5">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9C5FB39">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6B439E7C">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01F43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6E25D6">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47AE3AF0">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0217EBDF">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AC085F4">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76DFC778">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56415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0223654">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B8AF9C1">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D9C254C">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A4FB9B1">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7F93701F">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bl>
    <w:p w14:paraId="23CBE427">
      <w:pPr>
        <w:spacing w:line="360" w:lineRule="auto"/>
        <w:ind w:firstLine="420"/>
        <w:jc w:val="center"/>
        <w:rPr>
          <w:rFonts w:hAnsi="宋体"/>
          <w:color w:val="000000" w:themeColor="text1"/>
          <w:highlight w:val="none"/>
          <w14:textFill>
            <w14:solidFill>
              <w14:schemeClr w14:val="tx1"/>
            </w14:solidFill>
          </w14:textFill>
        </w:rPr>
      </w:pPr>
    </w:p>
    <w:p w14:paraId="5FFC8123">
      <w:pPr>
        <w:spacing w:line="360" w:lineRule="auto"/>
        <w:ind w:firstLine="420"/>
        <w:jc w:val="center"/>
        <w:rPr>
          <w:rFonts w:hAnsi="宋体"/>
          <w:color w:val="000000" w:themeColor="text1"/>
          <w:highlight w:val="none"/>
          <w14:textFill>
            <w14:solidFill>
              <w14:schemeClr w14:val="tx1"/>
            </w14:solidFill>
          </w14:textFill>
        </w:rPr>
      </w:pPr>
    </w:p>
    <w:p w14:paraId="74F2F4CD">
      <w:pPr>
        <w:pStyle w:val="26"/>
        <w:wordWrap w:val="0"/>
        <w:ind w:firstLine="420"/>
        <w:rPr>
          <w:rFonts w:hAnsi="宋体"/>
          <w:color w:val="000000" w:themeColor="text1"/>
          <w:kern w:val="2"/>
          <w:sz w:val="21"/>
          <w:highlight w:val="none"/>
          <w14:textFill>
            <w14:solidFill>
              <w14:schemeClr w14:val="tx1"/>
            </w14:solidFill>
          </w14:textFill>
        </w:rPr>
      </w:pPr>
    </w:p>
    <w:p w14:paraId="27A65B8E">
      <w:pPr>
        <w:pStyle w:val="26"/>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34130C76">
      <w:pPr>
        <w:pStyle w:val="26"/>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59D1D558">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61F27FF0">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2F22F467">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6B06E191">
      <w:pPr>
        <w:pStyle w:val="26"/>
        <w:spacing w:line="400" w:lineRule="exact"/>
        <w:ind w:firstLine="0" w:firstLineChars="0"/>
        <w:jc w:val="left"/>
        <w:rPr>
          <w:rFonts w:hAnsi="宋体" w:cs="宋体"/>
          <w:b/>
          <w:bCs/>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bookmarkEnd w:id="146"/>
      <w:bookmarkEnd w:id="147"/>
    </w:p>
    <w:p w14:paraId="020862D4">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16C408E7">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79964E00">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163B3CC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79986667">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669D66C4">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3F7C5607">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1FFD28C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4E132DA5">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50CADF5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11E7FD7B">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0BF4137B">
      <w:pPr>
        <w:autoSpaceDE w:val="0"/>
        <w:autoSpaceDN w:val="0"/>
        <w:spacing w:line="300" w:lineRule="auto"/>
        <w:ind w:firstLine="0" w:firstLineChars="0"/>
        <w:rPr>
          <w:rFonts w:ascii="宋体" w:hAnsi="宋体" w:cs="宋体"/>
          <w:color w:val="000000" w:themeColor="text1"/>
          <w:szCs w:val="21"/>
          <w:highlight w:val="none"/>
          <w14:textFill>
            <w14:solidFill>
              <w14:schemeClr w14:val="tx1"/>
            </w14:solidFill>
          </w14:textFill>
        </w:rPr>
      </w:pPr>
    </w:p>
    <w:p w14:paraId="2D9C0736">
      <w:pPr>
        <w:pStyle w:val="3"/>
        <w:ind w:firstLine="0" w:firstLineChars="0"/>
        <w:jc w:val="center"/>
        <w:rPr>
          <w:rFonts w:ascii="宋体" w:hAnsi="宋体" w:cs="宋体"/>
          <w:color w:val="000000" w:themeColor="text1"/>
          <w:highlight w:val="none"/>
          <w14:textFill>
            <w14:solidFill>
              <w14:schemeClr w14:val="tx1"/>
            </w14:solidFill>
          </w14:textFill>
        </w:rPr>
      </w:pPr>
      <w:bookmarkStart w:id="148" w:name="_Hlt106033508"/>
      <w:bookmarkEnd w:id="148"/>
      <w:bookmarkStart w:id="149" w:name="_Hlt97194062"/>
      <w:bookmarkEnd w:id="149"/>
      <w:bookmarkStart w:id="150" w:name="_Toc153444886"/>
      <w:bookmarkStart w:id="151" w:name="_Toc3395206"/>
      <w:r>
        <w:rPr>
          <w:rFonts w:hint="eastAsia" w:ascii="宋体" w:hAnsi="宋体" w:cs="宋体"/>
          <w:color w:val="000000" w:themeColor="text1"/>
          <w:highlight w:val="none"/>
          <w14:textFill>
            <w14:solidFill>
              <w14:schemeClr w14:val="tx1"/>
            </w14:solidFill>
          </w14:textFill>
        </w:rPr>
        <w:t>第六章 合同</w:t>
      </w:r>
      <w:bookmarkEnd w:id="150"/>
      <w:bookmarkEnd w:id="151"/>
    </w:p>
    <w:p w14:paraId="55CD7EEE">
      <w:pPr>
        <w:ind w:firstLine="420"/>
        <w:rPr>
          <w:color w:val="000000" w:themeColor="text1"/>
          <w:highlight w:val="none"/>
          <w14:textFill>
            <w14:solidFill>
              <w14:schemeClr w14:val="tx1"/>
            </w14:solidFill>
          </w14:textFill>
        </w:rPr>
      </w:pPr>
    </w:p>
    <w:p w14:paraId="478B41E8">
      <w:pPr>
        <w:ind w:firstLine="420"/>
        <w:rPr>
          <w:color w:val="000000" w:themeColor="text1"/>
          <w:highlight w:val="none"/>
          <w14:textFill>
            <w14:solidFill>
              <w14:schemeClr w14:val="tx1"/>
            </w14:solidFill>
          </w14:textFill>
        </w:rPr>
      </w:pPr>
    </w:p>
    <w:p w14:paraId="446C4C21">
      <w:pPr>
        <w:pStyle w:val="26"/>
        <w:spacing w:line="360" w:lineRule="exact"/>
        <w:ind w:firstLine="357" w:firstLineChars="11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br w:type="page"/>
      </w:r>
      <w:bookmarkStart w:id="152" w:name="_Toc462320925"/>
      <w:r>
        <w:rPr>
          <w:rFonts w:hint="eastAsia" w:hAnsi="宋体" w:cs="宋体"/>
          <w:b/>
          <w:color w:val="000000" w:themeColor="text1"/>
          <w:sz w:val="18"/>
          <w:szCs w:val="18"/>
          <w:highlight w:val="none"/>
          <w14:textFill>
            <w14:solidFill>
              <w14:schemeClr w14:val="tx1"/>
            </w14:solidFill>
          </w14:textFill>
        </w:rPr>
        <w:t>说明：</w:t>
      </w:r>
    </w:p>
    <w:p w14:paraId="09B16895">
      <w:pPr>
        <w:pStyle w:val="26"/>
        <w:spacing w:line="360" w:lineRule="exact"/>
        <w:ind w:firstLine="36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18"/>
          <w:szCs w:val="18"/>
          <w:highlight w:val="none"/>
          <w14:textFill>
            <w14:solidFill>
              <w14:schemeClr w14:val="tx1"/>
            </w14:solidFill>
          </w14:textFill>
        </w:rPr>
        <w:t>1.以下合同仅供签订正式合同时参考用，正式合同书应包括此参考格式的内容。</w:t>
      </w:r>
    </w:p>
    <w:p w14:paraId="7605C064">
      <w:pPr>
        <w:pStyle w:val="26"/>
        <w:spacing w:line="360" w:lineRule="exact"/>
        <w:ind w:firstLine="36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18"/>
          <w:szCs w:val="18"/>
          <w:highlight w:val="none"/>
          <w14:textFill>
            <w14:solidFill>
              <w14:schemeClr w14:val="tx1"/>
            </w14:solidFill>
          </w14:textFill>
        </w:rPr>
        <w:t>2.合同签订双方可根据项目的具体要求进行修订，但合同条款不得与竞争性磋商文件和成交供应商响应文件有实质性偏离。</w:t>
      </w:r>
    </w:p>
    <w:bookmarkEnd w:id="152"/>
    <w:p w14:paraId="55B2B93C">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bookmarkStart w:id="153" w:name="_Toc153444887"/>
      <w:r>
        <w:rPr>
          <w:rFonts w:hint="eastAsia" w:ascii="宋体" w:hAnsi="宋体" w:cs="方正小标宋简体"/>
          <w:b/>
          <w:color w:val="000000" w:themeColor="text1"/>
          <w:sz w:val="32"/>
          <w:szCs w:val="32"/>
          <w:highlight w:val="none"/>
          <w14:textFill>
            <w14:solidFill>
              <w14:schemeClr w14:val="tx1"/>
            </w14:solidFill>
          </w14:textFill>
        </w:rPr>
        <w:t>合同书</w:t>
      </w:r>
      <w:bookmarkEnd w:id="153"/>
      <w:r>
        <w:rPr>
          <w:rFonts w:hint="eastAsia" w:ascii="宋体" w:hAnsi="宋体" w:cs="方正小标宋简体"/>
          <w:b/>
          <w:color w:val="000000" w:themeColor="text1"/>
          <w:sz w:val="32"/>
          <w:szCs w:val="32"/>
          <w:highlight w:val="none"/>
          <w14:textFill>
            <w14:solidFill>
              <w14:schemeClr w14:val="tx1"/>
            </w14:solidFill>
          </w14:textFill>
        </w:rPr>
        <w:t>（格式）（适用分标1）</w:t>
      </w:r>
    </w:p>
    <w:p w14:paraId="23CF9406">
      <w:pPr>
        <w:wordWrap w:val="0"/>
        <w:snapToGrid w:val="0"/>
        <w:spacing w:line="360" w:lineRule="auto"/>
        <w:ind w:right="840" w:firstLine="0" w:firstLineChars="0"/>
        <w:jc w:val="right"/>
        <w:rPr>
          <w:rFonts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合同编号：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6D6E7F25">
      <w:pP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p>
    <w:p w14:paraId="4310ADE5">
      <w:pPr>
        <w:snapToGrid w:val="0"/>
        <w:spacing w:line="360" w:lineRule="auto"/>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采购单位（甲方）：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采购计划文号：</w:t>
      </w:r>
      <w:r>
        <w:rPr>
          <w:rFonts w:hint="eastAsia" w:ascii="宋体" w:hAnsi="宋体"/>
          <w:color w:val="000000" w:themeColor="text1"/>
          <w:szCs w:val="21"/>
          <w:highlight w:val="none"/>
          <w:u w:val="single"/>
          <w14:textFill>
            <w14:solidFill>
              <w14:schemeClr w14:val="tx1"/>
            </w14:solidFill>
          </w14:textFill>
        </w:rPr>
        <w:t xml:space="preserve">                           </w:t>
      </w:r>
    </w:p>
    <w:p w14:paraId="71EC02FB">
      <w:pPr>
        <w:snapToGrid w:val="0"/>
        <w:spacing w:line="360" w:lineRule="auto"/>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供应商（乙方）：</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项目名称及编号</w:t>
      </w:r>
      <w:r>
        <w:rPr>
          <w:rFonts w:hint="eastAsia" w:ascii="宋体" w:hAnsi="宋体"/>
          <w:color w:val="000000" w:themeColor="text1"/>
          <w:spacing w:val="-2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063B3A64">
      <w:pPr>
        <w:snapToGrid w:val="0"/>
        <w:spacing w:line="360" w:lineRule="auto"/>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签订地点：</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签订时间：</w:t>
      </w:r>
      <w:r>
        <w:rPr>
          <w:rFonts w:hint="eastAsia" w:ascii="宋体" w:hAnsi="宋体"/>
          <w:color w:val="000000" w:themeColor="text1"/>
          <w:szCs w:val="21"/>
          <w:highlight w:val="none"/>
          <w:u w:val="single"/>
          <w14:textFill>
            <w14:solidFill>
              <w14:schemeClr w14:val="tx1"/>
            </w14:solidFill>
          </w14:textFill>
        </w:rPr>
        <w:t xml:space="preserve">         年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月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日  </w:t>
      </w:r>
    </w:p>
    <w:p w14:paraId="293BD4B0">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775B2CEA">
      <w:pPr>
        <w:snapToGrid w:val="0"/>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根据《中华人民共和国政府采购法》、《中华人民共和国民法典》等法律、法规规定，按照采购文件、响应文件规定条款和乙方承诺，甲乙双方签订本合同。</w:t>
      </w:r>
    </w:p>
    <w:p w14:paraId="7FD70A0F">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1.合同文件</w:t>
      </w:r>
    </w:p>
    <w:p w14:paraId="77A9E7CB">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本合同所附下列文件是构成本合同不可分割的部分：</w:t>
      </w:r>
    </w:p>
    <w:p w14:paraId="4C2E4ACF">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(1)合同基本条款</w:t>
      </w:r>
    </w:p>
    <w:p w14:paraId="26F8CEFA">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(2)采购需求</w:t>
      </w:r>
    </w:p>
    <w:p w14:paraId="32291640">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w:t>
      </w:r>
      <w:r>
        <w:rPr>
          <w:rFonts w:hint="eastAsia" w:ascii="宋体" w:hAnsi="宋体"/>
          <w:color w:val="000000" w:themeColor="text1"/>
          <w:spacing w:val="-8"/>
          <w:szCs w:val="21"/>
          <w:highlight w:val="none"/>
          <w14:textFill>
            <w14:solidFill>
              <w14:schemeClr w14:val="tx1"/>
            </w14:solidFill>
          </w14:textFill>
        </w:rPr>
        <w:t>提交的响应文件</w:t>
      </w:r>
    </w:p>
    <w:p w14:paraId="6D476F63">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(4)成交通知书</w:t>
      </w:r>
    </w:p>
    <w:p w14:paraId="68891682">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(5)甲、乙双方商定的补充协议</w:t>
      </w:r>
    </w:p>
    <w:p w14:paraId="6E3168A4">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2.合同范围和条件</w:t>
      </w:r>
    </w:p>
    <w:p w14:paraId="78885F99">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本合同的范围和条件应与上述合同文件的规定相一致。</w:t>
      </w:r>
    </w:p>
    <w:p w14:paraId="22C872E2">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3.货物采购和服务内容</w:t>
      </w:r>
    </w:p>
    <w:p w14:paraId="7EEC1D24">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本合同所涉及的乙方应提供的货物和服务内容详见采购</w:t>
      </w:r>
      <w:r>
        <w:rPr>
          <w:rFonts w:ascii="宋体" w:hAnsi="宋体"/>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第二章“采购需求”及响应文件中所列内容和“合同基本条款”。</w:t>
      </w:r>
    </w:p>
    <w:p w14:paraId="4326F480">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4.合同金额和合同</w:t>
      </w:r>
      <w:r>
        <w:rPr>
          <w:rFonts w:ascii="宋体" w:hAnsi="宋体"/>
          <w:b/>
          <w:color w:val="000000" w:themeColor="text1"/>
          <w:szCs w:val="21"/>
          <w:highlight w:val="none"/>
          <w14:textFill>
            <w14:solidFill>
              <w14:schemeClr w14:val="tx1"/>
            </w14:solidFill>
          </w14:textFill>
        </w:rPr>
        <w:t>期限</w:t>
      </w:r>
    </w:p>
    <w:p w14:paraId="487EA73E">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4.1根据成交内容及</w:t>
      </w:r>
      <w:r>
        <w:rPr>
          <w:rFonts w:ascii="宋体" w:hAnsi="宋体"/>
          <w:color w:val="000000" w:themeColor="text1"/>
          <w:szCs w:val="21"/>
          <w:highlight w:val="none"/>
          <w14:textFill>
            <w14:solidFill>
              <w14:schemeClr w14:val="tx1"/>
            </w14:solidFill>
          </w14:textFill>
        </w:rPr>
        <w:t>乙方的</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标报价表</w:t>
      </w:r>
      <w:r>
        <w:rPr>
          <w:rFonts w:hint="eastAsia" w:ascii="宋体" w:hAnsi="宋体"/>
          <w:color w:val="000000" w:themeColor="text1"/>
          <w:szCs w:val="21"/>
          <w:highlight w:val="none"/>
          <w14:textFill>
            <w14:solidFill>
              <w14:schemeClr w14:val="tx1"/>
            </w14:solidFill>
          </w14:textFill>
        </w:rPr>
        <w:t>，各项产</w:t>
      </w:r>
      <w:r>
        <w:rPr>
          <w:rFonts w:ascii="宋体" w:hAnsi="宋体"/>
          <w:color w:val="000000" w:themeColor="text1"/>
          <w:szCs w:val="21"/>
          <w:highlight w:val="none"/>
          <w14:textFill>
            <w14:solidFill>
              <w14:schemeClr w14:val="tx1"/>
            </w14:solidFill>
          </w14:textFill>
        </w:rPr>
        <w:t>品单价如下：</w:t>
      </w:r>
    </w:p>
    <w:tbl>
      <w:tblPr>
        <w:tblStyle w:val="5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134"/>
        <w:gridCol w:w="1003"/>
        <w:gridCol w:w="1417"/>
        <w:gridCol w:w="1134"/>
        <w:gridCol w:w="987"/>
        <w:gridCol w:w="1418"/>
      </w:tblGrid>
      <w:tr w14:paraId="0526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vAlign w:val="center"/>
          </w:tcPr>
          <w:p w14:paraId="0599AA0C">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134" w:type="dxa"/>
            <w:vAlign w:val="center"/>
          </w:tcPr>
          <w:p w14:paraId="731D4F65">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药品名称</w:t>
            </w:r>
          </w:p>
        </w:tc>
        <w:tc>
          <w:tcPr>
            <w:tcW w:w="1134" w:type="dxa"/>
            <w:vAlign w:val="center"/>
          </w:tcPr>
          <w:p w14:paraId="611C4429">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生产厂家</w:t>
            </w:r>
          </w:p>
        </w:tc>
        <w:tc>
          <w:tcPr>
            <w:tcW w:w="1003" w:type="dxa"/>
            <w:vAlign w:val="center"/>
          </w:tcPr>
          <w:p w14:paraId="467BC90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w:t>
            </w:r>
          </w:p>
        </w:tc>
        <w:tc>
          <w:tcPr>
            <w:tcW w:w="1417" w:type="dxa"/>
            <w:vAlign w:val="center"/>
          </w:tcPr>
          <w:p w14:paraId="15DB1A2F">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外径*长径</w:t>
            </w:r>
          </w:p>
        </w:tc>
        <w:tc>
          <w:tcPr>
            <w:tcW w:w="1134" w:type="dxa"/>
            <w:vAlign w:val="center"/>
          </w:tcPr>
          <w:p w14:paraId="3472D817">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国药准字</w:t>
            </w:r>
          </w:p>
        </w:tc>
        <w:tc>
          <w:tcPr>
            <w:tcW w:w="987" w:type="dxa"/>
            <w:vAlign w:val="center"/>
          </w:tcPr>
          <w:p w14:paraId="77A70977">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1418" w:type="dxa"/>
            <w:vAlign w:val="center"/>
          </w:tcPr>
          <w:p w14:paraId="5E2323F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单价（元）</w:t>
            </w:r>
          </w:p>
        </w:tc>
      </w:tr>
      <w:tr w14:paraId="7F5C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6" w:type="dxa"/>
            <w:vAlign w:val="center"/>
          </w:tcPr>
          <w:p w14:paraId="42AD88E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vAlign w:val="center"/>
          </w:tcPr>
          <w:p w14:paraId="1669154E">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tcPr>
          <w:p w14:paraId="1D87583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003" w:type="dxa"/>
            <w:vAlign w:val="center"/>
          </w:tcPr>
          <w:p w14:paraId="58630496">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7" w:type="dxa"/>
          </w:tcPr>
          <w:p w14:paraId="69B3D19F">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1969E30F">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987" w:type="dxa"/>
            <w:vAlign w:val="center"/>
          </w:tcPr>
          <w:p w14:paraId="24BD60DA">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10394019">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r>
      <w:tr w14:paraId="0386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6" w:type="dxa"/>
            <w:vAlign w:val="center"/>
          </w:tcPr>
          <w:p w14:paraId="239999D8">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134" w:type="dxa"/>
            <w:vAlign w:val="center"/>
          </w:tcPr>
          <w:p w14:paraId="56AFC8D0">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tcPr>
          <w:p w14:paraId="3350D203">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003" w:type="dxa"/>
            <w:vAlign w:val="center"/>
          </w:tcPr>
          <w:p w14:paraId="30B7A92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7" w:type="dxa"/>
          </w:tcPr>
          <w:p w14:paraId="10E04177">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4D233B0E">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987" w:type="dxa"/>
            <w:vAlign w:val="center"/>
          </w:tcPr>
          <w:p w14:paraId="3EFC3BB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6D8ADE7F">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r>
      <w:tr w14:paraId="18C4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6" w:type="dxa"/>
            <w:vAlign w:val="center"/>
          </w:tcPr>
          <w:p w14:paraId="60FD8FCC">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134" w:type="dxa"/>
            <w:vAlign w:val="center"/>
          </w:tcPr>
          <w:p w14:paraId="7A8280BD">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tcPr>
          <w:p w14:paraId="08901F6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003" w:type="dxa"/>
            <w:vAlign w:val="center"/>
          </w:tcPr>
          <w:p w14:paraId="7B91C79F">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7" w:type="dxa"/>
          </w:tcPr>
          <w:p w14:paraId="22A40D6F">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547C4D43">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987" w:type="dxa"/>
            <w:vAlign w:val="center"/>
          </w:tcPr>
          <w:p w14:paraId="676E6B35">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1213B2F0">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r>
      <w:tr w14:paraId="7A2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6" w:type="dxa"/>
            <w:vAlign w:val="center"/>
          </w:tcPr>
          <w:p w14:paraId="4035A0D1">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N</w:t>
            </w:r>
          </w:p>
        </w:tc>
        <w:tc>
          <w:tcPr>
            <w:tcW w:w="1134" w:type="dxa"/>
            <w:vAlign w:val="center"/>
          </w:tcPr>
          <w:p w14:paraId="646745FE">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tcPr>
          <w:p w14:paraId="4552E3DA">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003" w:type="dxa"/>
            <w:vAlign w:val="center"/>
          </w:tcPr>
          <w:p w14:paraId="68F519D5">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7" w:type="dxa"/>
          </w:tcPr>
          <w:p w14:paraId="1DECE430">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vAlign w:val="center"/>
          </w:tcPr>
          <w:p w14:paraId="64443E4D">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987" w:type="dxa"/>
            <w:vAlign w:val="center"/>
          </w:tcPr>
          <w:p w14:paraId="6F0EE27E">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8" w:type="dxa"/>
            <w:vAlign w:val="center"/>
          </w:tcPr>
          <w:p w14:paraId="2913DD68">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r>
    </w:tbl>
    <w:p w14:paraId="73F72D31">
      <w:pPr>
        <w:autoSpaceDE w:val="0"/>
        <w:autoSpaceDN w:val="0"/>
        <w:adjustRightInd w:val="0"/>
        <w:spacing w:line="360" w:lineRule="auto"/>
        <w:ind w:right="-23" w:firstLine="420"/>
        <w:jc w:val="left"/>
        <w:rPr>
          <w:rFonts w:ascii="Calibri"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w:t>
      </w:r>
      <w:r>
        <w:rPr>
          <w:rFonts w:ascii="宋体" w:hAnsi="宋体"/>
          <w:color w:val="000000" w:themeColor="text1"/>
          <w:szCs w:val="21"/>
          <w:highlight w:val="none"/>
          <w14:textFill>
            <w14:solidFill>
              <w14:schemeClr w14:val="tx1"/>
            </w14:solidFill>
          </w14:textFill>
        </w:rPr>
        <w:t>本合同为固定单价合同，最终结算按甲方实际采购数量结算</w:t>
      </w:r>
      <w:r>
        <w:rPr>
          <w:rFonts w:hint="eastAsia" w:ascii="宋体" w:hAnsi="宋体"/>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上述货物单价已包含</w:t>
      </w:r>
      <w:r>
        <w:rPr>
          <w:rFonts w:hint="eastAsia" w:ascii="宋体" w:hAnsi="宋体"/>
          <w:color w:val="000000" w:themeColor="text1"/>
          <w:szCs w:val="21"/>
          <w:highlight w:val="none"/>
          <w14:textFill>
            <w14:solidFill>
              <w14:schemeClr w14:val="tx1"/>
            </w14:solidFill>
          </w14:textFill>
        </w:rPr>
        <w:t>产品送达指定地点，验收合格至正常使用前所有可能发生的费用。即包含但不限于：</w:t>
      </w:r>
      <w:r>
        <w:rPr>
          <w:rFonts w:hint="eastAsia" w:ascii="Calibri" w:hAnsi="宋体" w:cs="宋体"/>
          <w:color w:val="000000" w:themeColor="text1"/>
          <w:szCs w:val="21"/>
          <w:highlight w:val="none"/>
          <w14:textFill>
            <w14:solidFill>
              <w14:schemeClr w14:val="tx1"/>
            </w14:solidFill>
          </w14:textFill>
        </w:rPr>
        <w:t>货物本身费用、运输费、装卸搬运费、人工劳务费、税金等。乙方认为必须的费用也需综合考虑在报价中，在合同期间，甲方不予提高供货单价，如遇国家或自治区等政策性降价，则应按最低价格执行</w:t>
      </w:r>
      <w:r>
        <w:rPr>
          <w:rFonts w:hint="eastAsia" w:ascii="宋体" w:hAnsi="宋体"/>
          <w:color w:val="000000" w:themeColor="text1"/>
          <w:szCs w:val="21"/>
          <w:highlight w:val="none"/>
          <w14:textFill>
            <w14:solidFill>
              <w14:schemeClr w14:val="tx1"/>
            </w14:solidFill>
          </w14:textFill>
        </w:rPr>
        <w:t>。</w:t>
      </w:r>
    </w:p>
    <w:p w14:paraId="6C8DA4F1">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合同期限：</w:t>
      </w:r>
      <w:r>
        <w:rPr>
          <w:rFonts w:hint="eastAsia" w:ascii="宋体" w:hAnsi="宋体" w:cs="宋体"/>
          <w:color w:val="000000" w:themeColor="text1"/>
          <w:szCs w:val="21"/>
          <w:highlight w:val="none"/>
          <w14:textFill>
            <w14:solidFill>
              <w14:schemeClr w14:val="tx1"/>
            </w14:solidFill>
          </w14:textFill>
        </w:rPr>
        <w:t>自签订合同之日起两年，2年内采购金额达到本项目合同总金额</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，合同自动终止。</w:t>
      </w:r>
    </w:p>
    <w:p w14:paraId="10FD90F0">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5.付款条件</w:t>
      </w:r>
    </w:p>
    <w:p w14:paraId="6AAE0381">
      <w:pPr>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履约保证金：</w:t>
      </w:r>
    </w:p>
    <w:p w14:paraId="09F33038">
      <w:pPr>
        <w:snapToGrid w:val="0"/>
        <w:spacing w:line="360" w:lineRule="auto"/>
        <w:ind w:firstLine="422"/>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□本项目不收取履约保证金。</w:t>
      </w:r>
    </w:p>
    <w:p w14:paraId="518D7B02">
      <w:pPr>
        <w:snapToGrid w:val="0"/>
        <w:spacing w:line="360" w:lineRule="auto"/>
        <w:ind w:firstLine="422"/>
        <w:jc w:val="left"/>
        <w:rPr>
          <w:rFonts w:ascii="宋体" w:hAnsi="宋体"/>
          <w:color w:val="000000" w:themeColor="text1"/>
          <w:szCs w:val="21"/>
          <w:highlight w:val="none"/>
          <w14:textFill>
            <w14:solidFill>
              <w14:schemeClr w14:val="tx1"/>
            </w14:solidFill>
          </w14:textFill>
        </w:rPr>
      </w:pPr>
      <w:r>
        <w:rPr>
          <w:rFonts w:ascii="Segoe UI Symbol" w:hAnsi="Segoe UI Symbol" w:cs="Segoe UI Symbol"/>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本项目收取履约保证金，具体规定如下</w:t>
      </w:r>
      <w:r>
        <w:rPr>
          <w:rFonts w:hint="eastAsia" w:ascii="宋体" w:hAnsi="宋体"/>
          <w:color w:val="000000" w:themeColor="text1"/>
          <w:szCs w:val="21"/>
          <w:highlight w:val="none"/>
          <w14:textFill>
            <w14:solidFill>
              <w14:schemeClr w14:val="tx1"/>
            </w14:solidFill>
          </w14:textFill>
        </w:rPr>
        <w:t>：</w:t>
      </w:r>
    </w:p>
    <w:p w14:paraId="3BB4D694">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w:t>
      </w:r>
      <w:r>
        <w:rPr>
          <w:rFonts w:hint="eastAsia" w:ascii="宋体" w:hAnsi="宋体" w:cs="宋体"/>
          <w:bCs/>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14:textFill>
            <w14:solidFill>
              <w14:schemeClr w14:val="tx1"/>
            </w14:solidFill>
          </w14:textFill>
        </w:rPr>
        <w:t>金额：</w:t>
      </w:r>
    </w:p>
    <w:p w14:paraId="2398BBA4">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（1）乙方为大型企业，须缴纳履约保证金金额：</w:t>
      </w:r>
      <w:r>
        <w:rPr>
          <w:rFonts w:hint="eastAsia" w:ascii="宋体" w:hAnsi="宋体"/>
          <w:b/>
          <w:bCs/>
          <w:color w:val="000000" w:themeColor="text1"/>
          <w:szCs w:val="21"/>
          <w:highlight w:val="none"/>
          <w14:textFill>
            <w14:solidFill>
              <w14:schemeClr w14:val="tx1"/>
            </w14:solidFill>
          </w14:textFill>
        </w:rPr>
        <w:t>合同金额的5%；</w:t>
      </w:r>
    </w:p>
    <w:p w14:paraId="35634E2F">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（2）乙方为中型企业，须缴纳履约保证金金额：</w:t>
      </w:r>
      <w:r>
        <w:rPr>
          <w:rFonts w:hint="eastAsia" w:ascii="宋体" w:hAnsi="宋体"/>
          <w:b/>
          <w:bCs/>
          <w:color w:val="000000" w:themeColor="text1"/>
          <w:szCs w:val="21"/>
          <w:highlight w:val="none"/>
          <w14:textFill>
            <w14:solidFill>
              <w14:schemeClr w14:val="tx1"/>
            </w14:solidFill>
          </w14:textFill>
        </w:rPr>
        <w:t>合同金额的2%；</w:t>
      </w:r>
    </w:p>
    <w:p w14:paraId="3DBB1F1E">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（3）乙方为</w:t>
      </w:r>
      <w:r>
        <w:rPr>
          <w:rFonts w:hint="eastAsia" w:ascii="宋体" w:hAnsi="宋体" w:cs="宋体"/>
          <w:color w:val="000000" w:themeColor="text1"/>
          <w:szCs w:val="21"/>
          <w:highlight w:val="none"/>
          <w14:textFill>
            <w14:solidFill>
              <w14:schemeClr w14:val="tx1"/>
            </w14:solidFill>
          </w14:textFill>
        </w:rPr>
        <w:t>小微企业或</w:t>
      </w:r>
      <w:r>
        <w:rPr>
          <w:rFonts w:hint="eastAsia" w:ascii="宋体" w:hAnsi="宋体"/>
          <w:color w:val="000000" w:themeColor="text1"/>
          <w:szCs w:val="21"/>
          <w:highlight w:val="none"/>
          <w14:textFill>
            <w14:solidFill>
              <w14:schemeClr w14:val="tx1"/>
            </w14:solidFill>
          </w14:textFill>
        </w:rPr>
        <w:t>监狱</w:t>
      </w:r>
      <w:r>
        <w:rPr>
          <w:rFonts w:hint="eastAsia" w:ascii="宋体" w:hAnsi="宋体" w:cs="宋体"/>
          <w:color w:val="000000" w:themeColor="text1"/>
          <w:szCs w:val="21"/>
          <w:highlight w:val="none"/>
          <w14:textFill>
            <w14:solidFill>
              <w14:schemeClr w14:val="tx1"/>
            </w14:solidFill>
          </w14:textFill>
        </w:rPr>
        <w:t>企业或残疾人福利性单位：</w:t>
      </w:r>
      <w:r>
        <w:rPr>
          <w:rFonts w:hint="eastAsia" w:ascii="宋体" w:hAnsi="宋体" w:cs="宋体"/>
          <w:b/>
          <w:bCs/>
          <w:color w:val="000000" w:themeColor="text1"/>
          <w:szCs w:val="21"/>
          <w:highlight w:val="none"/>
          <w14:textFill>
            <w14:solidFill>
              <w14:schemeClr w14:val="tx1"/>
            </w14:solidFill>
          </w14:textFill>
        </w:rPr>
        <w:t>免收履约保证金。</w:t>
      </w:r>
    </w:p>
    <w:p w14:paraId="4EA584A9">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履约保证金提交及退付方式、时间及条件：</w:t>
      </w:r>
    </w:p>
    <w:p w14:paraId="3EDF1B2A">
      <w:pPr>
        <w:snapToGrid w:val="0"/>
        <w:spacing w:line="360" w:lineRule="auto"/>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乙方接到成交通知后，必须在合同签订前5日内，乙方以银行转账、支票、汇票、本票或者金融机构、担保机构出具的保险、保函（含电子保函，下同）等非现金方式向甲方提交履约保证金，</w:t>
      </w:r>
      <w:r>
        <w:rPr>
          <w:rFonts w:hint="eastAsia" w:ascii="宋体" w:hAnsi="宋体" w:cs="宋体"/>
          <w:bCs/>
          <w:color w:val="000000" w:themeColor="text1"/>
          <w:szCs w:val="21"/>
          <w:highlight w:val="none"/>
          <w14:textFill>
            <w14:solidFill>
              <w14:schemeClr w14:val="tx1"/>
            </w14:solidFill>
          </w14:textFill>
        </w:rPr>
        <w:t>履约保证金缴纳成功后，</w:t>
      </w:r>
      <w:r>
        <w:rPr>
          <w:rFonts w:hint="eastAsia" w:ascii="宋体" w:hAnsi="宋体"/>
          <w:color w:val="000000" w:themeColor="text1"/>
          <w:szCs w:val="21"/>
          <w:highlight w:val="none"/>
          <w14:textFill>
            <w14:solidFill>
              <w14:schemeClr w14:val="tx1"/>
            </w14:solidFill>
          </w14:textFill>
        </w:rPr>
        <w:t>乙方</w:t>
      </w:r>
      <w:r>
        <w:rPr>
          <w:rFonts w:hint="eastAsia" w:ascii="宋体" w:hAnsi="宋体" w:cs="宋体"/>
          <w:bCs/>
          <w:color w:val="000000" w:themeColor="text1"/>
          <w:szCs w:val="21"/>
          <w:highlight w:val="none"/>
          <w14:textFill>
            <w14:solidFill>
              <w14:schemeClr w14:val="tx1"/>
            </w14:solidFill>
          </w14:textFill>
        </w:rPr>
        <w:t>应妥当保管甲方财务部门提供的收费收据，在合同到期前，提前一个月将收费收据提交至甲方</w:t>
      </w:r>
      <w:r>
        <w:rPr>
          <w:rFonts w:hint="eastAsia" w:ascii="宋体" w:hAnsi="宋体"/>
          <w:color w:val="000000" w:themeColor="text1"/>
          <w:szCs w:val="21"/>
          <w:highlight w:val="none"/>
          <w14:textFill>
            <w14:solidFill>
              <w14:schemeClr w14:val="tx1"/>
            </w14:solidFill>
          </w14:textFill>
        </w:rPr>
        <w:t>。履约保证金在乙方提供所承诺的货物及服务期满后，并收到乙方申请后5个工作日内退还全部履约保证金（不计利息，如在合同执行过程中违反合同规定或违约，则扣除相应履约保证金后退还剩下履约保证金）。若因乙方的原因未在规定时限内缴纳履约保证金的，则视为违约，</w:t>
      </w:r>
      <w:r>
        <w:rPr>
          <w:rFonts w:hint="eastAsia" w:ascii="宋体" w:hAnsi="宋体" w:cs="宋体"/>
          <w:bCs/>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有权取消其成交资格、拒绝签订合同。若因乙方的原因不能签订合同的，不退还履约保证金。在履约保证金退还日期前，若乙方的开户名称、开户银行、账号有变动的，请以书面形式通知</w:t>
      </w:r>
      <w:r>
        <w:rPr>
          <w:rFonts w:hint="eastAsia" w:ascii="宋体" w:hAnsi="宋体" w:cs="宋体"/>
          <w:bCs/>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，否则由此产生的后果由乙方自负。</w:t>
      </w:r>
      <w:r>
        <w:rPr>
          <w:rFonts w:hint="eastAsia" w:ascii="宋体" w:hAnsi="宋体"/>
          <w:bCs/>
          <w:color w:val="000000" w:themeColor="text1"/>
          <w:szCs w:val="21"/>
          <w:highlight w:val="none"/>
          <w14:textFill>
            <w14:solidFill>
              <w14:schemeClr w14:val="tx1"/>
            </w14:solidFill>
          </w14:textFill>
        </w:rPr>
        <w:t>若因</w:t>
      </w:r>
      <w:r>
        <w:rPr>
          <w:rFonts w:hint="eastAsia" w:ascii="宋体" w:hAnsi="宋体"/>
          <w:color w:val="000000" w:themeColor="text1"/>
          <w:szCs w:val="21"/>
          <w:highlight w:val="none"/>
          <w14:textFill>
            <w14:solidFill>
              <w14:schemeClr w14:val="tx1"/>
            </w14:solidFill>
          </w14:textFill>
        </w:rPr>
        <w:t>乙方</w:t>
      </w:r>
      <w:r>
        <w:rPr>
          <w:rFonts w:hint="eastAsia" w:ascii="宋体" w:hAnsi="宋体"/>
          <w:bCs/>
          <w:color w:val="000000" w:themeColor="text1"/>
          <w:szCs w:val="21"/>
          <w:highlight w:val="none"/>
          <w14:textFill>
            <w14:solidFill>
              <w14:schemeClr w14:val="tx1"/>
            </w14:solidFill>
          </w14:textFill>
        </w:rPr>
        <w:t>丢失履约保证金收费收据，导致无法退还或不能及时退还履约保证金的，由</w:t>
      </w:r>
      <w:r>
        <w:rPr>
          <w:rFonts w:hint="eastAsia" w:ascii="宋体" w:hAnsi="宋体"/>
          <w:color w:val="000000" w:themeColor="text1"/>
          <w:szCs w:val="21"/>
          <w:highlight w:val="none"/>
          <w14:textFill>
            <w14:solidFill>
              <w14:schemeClr w14:val="tx1"/>
            </w14:solidFill>
          </w14:textFill>
        </w:rPr>
        <w:t>乙方</w:t>
      </w:r>
      <w:r>
        <w:rPr>
          <w:rFonts w:hint="eastAsia" w:ascii="宋体" w:hAnsi="宋体"/>
          <w:bCs/>
          <w:color w:val="000000" w:themeColor="text1"/>
          <w:szCs w:val="21"/>
          <w:highlight w:val="none"/>
          <w14:textFill>
            <w14:solidFill>
              <w14:schemeClr w14:val="tx1"/>
            </w14:solidFill>
          </w14:textFill>
        </w:rPr>
        <w:t>自行负责并承担全部责任。</w:t>
      </w:r>
    </w:p>
    <w:p w14:paraId="1021F6F3">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履约保证金账户：</w:t>
      </w:r>
    </w:p>
    <w:p w14:paraId="020B6FD8">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称：柳州市中医医院（柳州市壮医医院）</w:t>
      </w:r>
    </w:p>
    <w:p w14:paraId="0BCE615A">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开户行：交通银行柳州中山东支行</w:t>
      </w:r>
    </w:p>
    <w:p w14:paraId="07796FCD">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  号：4520 6050 1018 0000 77552</w:t>
      </w:r>
    </w:p>
    <w:p w14:paraId="58C2B51F">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转账时注明：××××项目，项目编号××××履约保证金</w:t>
      </w:r>
    </w:p>
    <w:p w14:paraId="40AB56E8">
      <w:pPr>
        <w:snapToGrid w:val="0"/>
        <w:spacing w:line="360" w:lineRule="auto"/>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转账的持银行回执复印件（非转账的出具其他保证金递交证明文件）、</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通知书及合同到柳州市中医医院（柳州市壮医医院）签订合同。</w:t>
      </w:r>
    </w:p>
    <w:p w14:paraId="5EBDB10E">
      <w:pPr>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付款方式：</w:t>
      </w:r>
    </w:p>
    <w:p w14:paraId="6A0E7099">
      <w:pPr>
        <w:spacing w:line="360" w:lineRule="auto"/>
        <w:ind w:firstLine="426"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项目无预付款，采取定期结算方式进行结算。即乙方按甲方要求完成供货，验收合格后，向甲方提供真实、准确、正式、全额发票以及相关资料，甲方从签订合同后从第七个月开始按实际采购量逐月支付货款。如因乙方自身无法及时提供资料导致无法按时结算，由乙方自行承担责任。如乙方向甲方提供虚假税务发票或委托第三方进行结算，甲方有权拒绝支付乙方的所有货款，报经财政部门同意后，</w:t>
      </w:r>
      <w:r>
        <w:rPr>
          <w:rFonts w:hint="eastAsia" w:ascii="宋体" w:hAnsi="宋体"/>
          <w:color w:val="000000" w:themeColor="text1"/>
          <w:kern w:val="0"/>
          <w:szCs w:val="21"/>
          <w:highlight w:val="none"/>
          <w14:textFill>
            <w14:solidFill>
              <w14:schemeClr w14:val="tx1"/>
            </w14:solidFill>
          </w14:textFill>
        </w:rPr>
        <w:t>解除</w:t>
      </w:r>
      <w:r>
        <w:rPr>
          <w:rFonts w:hint="eastAsia" w:ascii="宋体" w:hAnsi="宋体"/>
          <w:color w:val="000000" w:themeColor="text1"/>
          <w:kern w:val="0"/>
          <w:szCs w:val="21"/>
          <w:highlight w:val="none"/>
          <w14:textFill>
            <w14:solidFill>
              <w14:schemeClr w14:val="tx1"/>
            </w14:solidFill>
          </w14:textFill>
        </w:rPr>
        <w:t>合同。如有政策变化等特殊原因，再行商议。</w:t>
      </w:r>
    </w:p>
    <w:p w14:paraId="296B87A1">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6.配送及验收要求</w:t>
      </w:r>
    </w:p>
    <w:p w14:paraId="07ACEDDC">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102DC85F">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放射性药品的运输，按国家运输、邮政等部门制订的有关规定执行。</w:t>
      </w:r>
      <w:r>
        <w:rPr>
          <w:rFonts w:hint="eastAsia" w:ascii="宋体" w:hAnsi="宋体"/>
          <w:bCs/>
          <w:color w:val="000000" w:themeColor="text1"/>
          <w:szCs w:val="21"/>
          <w:highlight w:val="none"/>
          <w14:textFill>
            <w14:solidFill>
              <w14:schemeClr w14:val="tx1"/>
            </w14:solidFill>
          </w14:textFill>
        </w:rPr>
        <w:t>用于药品运输的车辆及设备必须符合《放射性物品道路运输管理规定》中的相关规定，且由专车运送至甲方指定地点，送货人员持有《道路运输从业人员从业资格证》及《辐射安全与防护培训合格证》。</w:t>
      </w:r>
    </w:p>
    <w:p w14:paraId="476CA7DF">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6.3</w:t>
      </w:r>
      <w:r>
        <w:rPr>
          <w:rFonts w:hint="eastAsia" w:ascii="宋体" w:hAnsi="宋体"/>
          <w:bCs/>
          <w:color w:val="000000" w:themeColor="text1"/>
          <w:szCs w:val="21"/>
          <w:highlight w:val="none"/>
          <w14:textFill>
            <w14:solidFill>
              <w14:schemeClr w14:val="tx1"/>
            </w14:solidFill>
          </w14:textFill>
        </w:rPr>
        <w:t>乙方所供药品应按相关要求包装并实施保护措施，以防止药品在转运中损坏或变质，确保药品安全无损运抵指定地点。如发现药品出现损坏（包括表面损坏），或出现水渍、受潮等导致药品性质改变或含量不足的，乙方必须2日内完成无条件退货。药品在交付甲方前发生的风险均由乙方负责。</w:t>
      </w:r>
    </w:p>
    <w:p w14:paraId="2E70FB2B">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4乙方</w:t>
      </w:r>
      <w:r>
        <w:rPr>
          <w:rFonts w:ascii="宋体" w:hAnsi="宋体"/>
          <w:bCs/>
          <w:color w:val="000000" w:themeColor="text1"/>
          <w:szCs w:val="21"/>
          <w:highlight w:val="none"/>
          <w14:textFill>
            <w14:solidFill>
              <w14:schemeClr w14:val="tx1"/>
            </w14:solidFill>
          </w14:textFill>
        </w:rPr>
        <w:t>根据采购计划按规定送达货物后，</w:t>
      </w:r>
      <w:r>
        <w:rPr>
          <w:rFonts w:hint="eastAsia" w:ascii="宋体" w:hAnsi="宋体"/>
          <w:bCs/>
          <w:color w:val="000000" w:themeColor="text1"/>
          <w:szCs w:val="21"/>
          <w:highlight w:val="none"/>
          <w14:textFill>
            <w14:solidFill>
              <w14:schemeClr w14:val="tx1"/>
            </w14:solidFill>
          </w14:textFill>
        </w:rPr>
        <w:t>将检验报告等验收资料以及一式四份的送货清单交使用部门验收，验收人员验收无误后将送货清单交西药库入库，乙方及使用部门各留一份，剩余两份交由西药库</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甲方按照《中华人民共和国药品管理法》、《放射性药品管理办法》等有关规定，对乙方提供的药品进行验收，验收项目包括：品名、规格、放射性活度、厂家、批号、数量、有效期及外观质量、货物包装等。同时查验乙方及药品资质证件（药品合格证明、检验报告等），若出现质量、有效期、包装不符合要求或证书无效、证书不全等情况，甲方有权拒绝接收，并拒付货款，乙方应当在2日内处理退货并负责收回所退药品，退款从当月货款中扣除，退货不及时的按逾期交货处罚。如发生上述情况</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甲方不承担</w:t>
      </w:r>
      <w:r>
        <w:rPr>
          <w:rFonts w:ascii="宋体" w:hAnsi="宋体"/>
          <w:bCs/>
          <w:color w:val="000000" w:themeColor="text1"/>
          <w:szCs w:val="21"/>
          <w:highlight w:val="none"/>
          <w14:textFill>
            <w14:solidFill>
              <w14:schemeClr w14:val="tx1"/>
            </w14:solidFill>
          </w14:textFill>
        </w:rPr>
        <w:t>乙方</w:t>
      </w:r>
      <w:r>
        <w:rPr>
          <w:rFonts w:hint="eastAsia" w:ascii="宋体" w:hAnsi="宋体"/>
          <w:bCs/>
          <w:color w:val="000000" w:themeColor="text1"/>
          <w:szCs w:val="21"/>
          <w:highlight w:val="none"/>
          <w14:textFill>
            <w14:solidFill>
              <w14:schemeClr w14:val="tx1"/>
            </w14:solidFill>
          </w14:textFill>
        </w:rPr>
        <w:t>由此产生的任何费用，并对其给甲方造成的损失</w:t>
      </w:r>
      <w:r>
        <w:rPr>
          <w:rFonts w:ascii="宋体" w:hAnsi="宋体"/>
          <w:bCs/>
          <w:color w:val="000000" w:themeColor="text1"/>
          <w:szCs w:val="21"/>
          <w:highlight w:val="none"/>
          <w14:textFill>
            <w14:solidFill>
              <w14:schemeClr w14:val="tx1"/>
            </w14:solidFill>
          </w14:textFill>
        </w:rPr>
        <w:t>保留追索</w:t>
      </w:r>
      <w:r>
        <w:rPr>
          <w:rFonts w:hint="eastAsia" w:ascii="宋体" w:hAnsi="宋体"/>
          <w:bCs/>
          <w:color w:val="000000" w:themeColor="text1"/>
          <w:szCs w:val="21"/>
          <w:highlight w:val="none"/>
          <w14:textFill>
            <w14:solidFill>
              <w14:schemeClr w14:val="tx1"/>
            </w14:solidFill>
          </w14:textFill>
        </w:rPr>
        <w:t>权利。</w:t>
      </w:r>
    </w:p>
    <w:p w14:paraId="3F605C57">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6.5</w:t>
      </w:r>
      <w:r>
        <w:rPr>
          <w:rFonts w:hint="eastAsia" w:ascii="宋体" w:hAnsi="宋体"/>
          <w:bCs/>
          <w:color w:val="000000" w:themeColor="text1"/>
          <w:szCs w:val="21"/>
          <w:highlight w:val="none"/>
          <w14:textFill>
            <w14:solidFill>
              <w14:schemeClr w14:val="tx1"/>
            </w14:solidFill>
          </w14:textFill>
        </w:rPr>
        <w:t>使用科室验收后，根据病人具体情况使用碘[125I]密封籽源，手术结束后未用完的药品乙方承诺无条件退货并安排专业人员收回所退药品。</w:t>
      </w:r>
    </w:p>
    <w:p w14:paraId="6EC34687">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6乙方应具备解决紧急问题的能力，如甲方在使用放射性药品的过程中发现问题，乙方应及时到现场解决。</w:t>
      </w:r>
    </w:p>
    <w:p w14:paraId="5475897A">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7药品有异常情况（例如：剂量不符、目测药物异常、溢岀</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外漏、包装破损、过期等），乙方必须</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完全回收，并重新提供合格的药品。所有发生的费用由乙方承担。</w:t>
      </w:r>
    </w:p>
    <w:p w14:paraId="3C27DE78">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8乙方定期并及时</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回收所使用药品的防护容器。</w:t>
      </w:r>
    </w:p>
    <w:p w14:paraId="608E7091">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9乙方每次供货应同时提供该批次药品清单（送货单），提供的送货单上须包含药品名称、规格、单价、数量、总金额、生产厂家、生产批号、有效期、国药准字等信息，同时加盖公章或乙方出库专用章。送货单不得涂改，标记不清的，甲方将拒绝签收。</w:t>
      </w:r>
    </w:p>
    <w:p w14:paraId="570829FF">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10在药品有效期内，如甲方发现药品存在质量问题的，该批次药品剩余库存乙方应在2日内完成无条件退货，</w:t>
      </w:r>
      <w:r>
        <w:rPr>
          <w:rFonts w:hint="eastAsia" w:ascii="宋体" w:hAnsi="宋体"/>
          <w:color w:val="000000" w:themeColor="text1"/>
          <w:szCs w:val="21"/>
          <w:highlight w:val="none"/>
          <w14:textFill>
            <w14:solidFill>
              <w14:schemeClr w14:val="tx1"/>
            </w14:solidFill>
          </w14:textFill>
        </w:rPr>
        <w:t>甲方按</w:t>
      </w:r>
      <w:r>
        <w:rPr>
          <w:rFonts w:hint="eastAsia" w:ascii="宋体" w:hAnsi="宋体"/>
          <w:color w:val="000000" w:themeColor="text1"/>
          <w:szCs w:val="21"/>
          <w:highlight w:val="none"/>
          <w14:textFill>
            <w14:solidFill>
              <w14:schemeClr w14:val="tx1"/>
            </w14:solidFill>
          </w14:textFill>
        </w:rPr>
        <w:t>“合同基本条款”中</w:t>
      </w:r>
      <w:r>
        <w:rPr>
          <w:rFonts w:hint="eastAsia" w:ascii="宋体" w:hAnsi="宋体"/>
          <w:color w:val="000000" w:themeColor="text1"/>
          <w:szCs w:val="21"/>
          <w:highlight w:val="none"/>
          <w14:textFill>
            <w14:solidFill>
              <w14:schemeClr w14:val="tx1"/>
            </w14:solidFill>
          </w14:textFill>
        </w:rPr>
        <w:t>的“</w:t>
      </w:r>
      <w:r>
        <w:rPr>
          <w:rFonts w:hint="eastAsia" w:ascii="宋体" w:hAnsi="宋体"/>
          <w:bCs/>
          <w:color w:val="000000" w:themeColor="text1"/>
          <w:szCs w:val="21"/>
          <w:highlight w:val="none"/>
          <w14:textFill>
            <w14:solidFill>
              <w14:schemeClr w14:val="tx1"/>
            </w14:solidFill>
          </w14:textFill>
        </w:rPr>
        <w:t>违约责任</w:t>
      </w:r>
      <w:r>
        <w:rPr>
          <w:rFonts w:hint="eastAsia" w:ascii="宋体" w:hAnsi="宋体"/>
          <w:color w:val="000000" w:themeColor="text1"/>
          <w:szCs w:val="21"/>
          <w:highlight w:val="none"/>
          <w14:textFill>
            <w14:solidFill>
              <w14:schemeClr w14:val="tx1"/>
            </w14:solidFill>
          </w14:textFill>
        </w:rPr>
        <w:t>”的第5条处罚，如由此造成的一切损失（包括经济损失、消除影响等）均由乙方无条件承担</w:t>
      </w:r>
      <w:r>
        <w:rPr>
          <w:rFonts w:ascii="宋体" w:hAnsi="宋体"/>
          <w:color w:val="000000" w:themeColor="text1"/>
          <w:szCs w:val="21"/>
          <w:highlight w:val="none"/>
          <w14:textFill>
            <w14:solidFill>
              <w14:schemeClr w14:val="tx1"/>
            </w14:solidFill>
          </w14:textFill>
        </w:rPr>
        <w:t>。</w:t>
      </w:r>
    </w:p>
    <w:p w14:paraId="318FFD72">
      <w:pPr>
        <w:spacing w:line="360" w:lineRule="auto"/>
        <w:ind w:firstLine="422"/>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7</w:t>
      </w:r>
      <w:r>
        <w:rPr>
          <w:rFonts w:hint="eastAsia" w:ascii="宋体" w:hAnsi="宋体"/>
          <w:b/>
          <w:color w:val="000000" w:themeColor="text1"/>
          <w:szCs w:val="21"/>
          <w:highlight w:val="none"/>
          <w14:textFill>
            <w14:solidFill>
              <w14:schemeClr w14:val="tx1"/>
            </w14:solidFill>
          </w14:textFill>
        </w:rPr>
        <w:t>.交货时间</w:t>
      </w:r>
      <w:r>
        <w:rPr>
          <w:rFonts w:ascii="宋体" w:hAnsi="宋体"/>
          <w:b/>
          <w:color w:val="000000" w:themeColor="text1"/>
          <w:szCs w:val="21"/>
          <w:highlight w:val="none"/>
          <w14:textFill>
            <w14:solidFill>
              <w14:schemeClr w14:val="tx1"/>
            </w14:solidFill>
          </w14:textFill>
        </w:rPr>
        <w:t>和</w:t>
      </w:r>
      <w:r>
        <w:rPr>
          <w:rFonts w:hint="eastAsia" w:ascii="宋体" w:hAnsi="宋体"/>
          <w:b/>
          <w:color w:val="000000" w:themeColor="text1"/>
          <w:szCs w:val="21"/>
          <w:highlight w:val="none"/>
          <w14:textFill>
            <w14:solidFill>
              <w14:schemeClr w14:val="tx1"/>
            </w14:solidFill>
          </w14:textFill>
        </w:rPr>
        <w:t>地点</w:t>
      </w:r>
    </w:p>
    <w:p w14:paraId="78BA43FC">
      <w:pPr>
        <w:snapToGrid w:val="0"/>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根据甲方需求，分批次供货。</w:t>
      </w:r>
      <w:r>
        <w:rPr>
          <w:rFonts w:hint="eastAsia" w:ascii="宋体" w:hAnsi="宋体"/>
          <w:bCs/>
          <w:color w:val="000000" w:themeColor="text1"/>
          <w:szCs w:val="21"/>
          <w:highlight w:val="none"/>
          <w14:textFill>
            <w14:solidFill>
              <w14:schemeClr w14:val="tx1"/>
            </w14:solidFill>
          </w14:textFill>
        </w:rPr>
        <w:t>甲方按需提前</w:t>
      </w:r>
      <w:r>
        <w:rPr>
          <w:rFonts w:ascii="宋体" w:hAnsi="宋体"/>
          <w:bCs/>
          <w:color w:val="000000" w:themeColor="text1"/>
          <w:szCs w:val="21"/>
          <w:highlight w:val="none"/>
          <w14:textFill>
            <w14:solidFill>
              <w14:schemeClr w14:val="tx1"/>
            </w14:solidFill>
          </w14:textFill>
        </w:rPr>
        <w:t>作出采购</w:t>
      </w:r>
      <w:r>
        <w:rPr>
          <w:rFonts w:hint="eastAsia" w:ascii="宋体" w:hAnsi="宋体"/>
          <w:bCs/>
          <w:color w:val="000000" w:themeColor="text1"/>
          <w:szCs w:val="21"/>
          <w:highlight w:val="none"/>
          <w14:textFill>
            <w14:solidFill>
              <w14:schemeClr w14:val="tx1"/>
            </w14:solidFill>
          </w14:textFill>
        </w:rPr>
        <w:t>计划，乙方须</w:t>
      </w:r>
      <w:r>
        <w:rPr>
          <w:rFonts w:ascii="宋体" w:hAnsi="宋体"/>
          <w:bCs/>
          <w:color w:val="000000" w:themeColor="text1"/>
          <w:szCs w:val="21"/>
          <w:highlight w:val="none"/>
          <w14:textFill>
            <w14:solidFill>
              <w14:schemeClr w14:val="tx1"/>
            </w14:solidFill>
          </w14:textFill>
        </w:rPr>
        <w:t>保证</w:t>
      </w:r>
      <w:r>
        <w:rPr>
          <w:rFonts w:hint="eastAsia" w:ascii="宋体" w:hAnsi="宋体"/>
          <w:bCs/>
          <w:color w:val="000000" w:themeColor="text1"/>
          <w:szCs w:val="21"/>
          <w:highlight w:val="none"/>
          <w14:textFill>
            <w14:solidFill>
              <w14:schemeClr w14:val="tx1"/>
            </w14:solidFill>
          </w14:textFill>
        </w:rPr>
        <w:t>在接到</w:t>
      </w:r>
      <w:r>
        <w:rPr>
          <w:rFonts w:ascii="宋体" w:hAnsi="宋体"/>
          <w:bCs/>
          <w:color w:val="000000" w:themeColor="text1"/>
          <w:szCs w:val="21"/>
          <w:highlight w:val="none"/>
          <w14:textFill>
            <w14:solidFill>
              <w14:schemeClr w14:val="tx1"/>
            </w14:solidFill>
          </w14:textFill>
        </w:rPr>
        <w:t>采购计划</w:t>
      </w:r>
      <w:r>
        <w:rPr>
          <w:rFonts w:hint="eastAsia" w:ascii="宋体" w:hAnsi="宋体"/>
          <w:bCs/>
          <w:color w:val="000000" w:themeColor="text1"/>
          <w:szCs w:val="21"/>
          <w:highlight w:val="none"/>
          <w14:textFill>
            <w14:solidFill>
              <w14:schemeClr w14:val="tx1"/>
            </w14:solidFill>
          </w14:textFill>
        </w:rPr>
        <w:t>后2日</w:t>
      </w:r>
      <w:r>
        <w:rPr>
          <w:rFonts w:ascii="宋体" w:hAnsi="宋体"/>
          <w:bCs/>
          <w:color w:val="000000" w:themeColor="text1"/>
          <w:szCs w:val="21"/>
          <w:highlight w:val="none"/>
          <w14:textFill>
            <w14:solidFill>
              <w14:schemeClr w14:val="tx1"/>
            </w14:solidFill>
          </w14:textFill>
        </w:rPr>
        <w:t>内将货物送</w:t>
      </w:r>
      <w:r>
        <w:rPr>
          <w:rFonts w:hint="eastAsia" w:ascii="宋体" w:hAnsi="宋体"/>
          <w:bCs/>
          <w:color w:val="000000" w:themeColor="text1"/>
          <w:szCs w:val="21"/>
          <w:highlight w:val="none"/>
          <w14:textFill>
            <w14:solidFill>
              <w14:schemeClr w14:val="tx1"/>
            </w14:solidFill>
          </w14:textFill>
        </w:rPr>
        <w:t>达甲方</w:t>
      </w:r>
      <w:r>
        <w:rPr>
          <w:rFonts w:ascii="宋体" w:hAnsi="宋体"/>
          <w:bCs/>
          <w:color w:val="000000" w:themeColor="text1"/>
          <w:szCs w:val="21"/>
          <w:highlight w:val="none"/>
          <w14:textFill>
            <w14:solidFill>
              <w14:schemeClr w14:val="tx1"/>
            </w14:solidFill>
          </w14:textFill>
        </w:rPr>
        <w:t>指定地点</w:t>
      </w:r>
      <w:r>
        <w:rPr>
          <w:rFonts w:hint="eastAsia" w:ascii="宋体" w:hAnsi="宋体"/>
          <w:bCs/>
          <w:color w:val="000000" w:themeColor="text1"/>
          <w:szCs w:val="21"/>
          <w:highlight w:val="none"/>
          <w14:textFill>
            <w14:solidFill>
              <w14:schemeClr w14:val="tx1"/>
            </w14:solidFill>
          </w14:textFill>
        </w:rPr>
        <w:t>（如：莲花山院区门诊负一楼核医学科）</w:t>
      </w:r>
    </w:p>
    <w:p w14:paraId="54CF46C7">
      <w:pPr>
        <w:snapToGrid w:val="0"/>
        <w:spacing w:line="360" w:lineRule="auto"/>
        <w:ind w:firstLine="422"/>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8</w:t>
      </w:r>
      <w:r>
        <w:rPr>
          <w:rFonts w:hint="eastAsia" w:ascii="宋体" w:hAnsi="宋体"/>
          <w:b/>
          <w:color w:val="000000" w:themeColor="text1"/>
          <w:szCs w:val="21"/>
          <w:highlight w:val="none"/>
          <w14:textFill>
            <w14:solidFill>
              <w14:schemeClr w14:val="tx1"/>
            </w14:solidFill>
          </w14:textFill>
        </w:rPr>
        <w:t>.送达条款</w:t>
      </w:r>
    </w:p>
    <w:p w14:paraId="2EDB2D8A">
      <w:pPr>
        <w:snapToGrid w:val="0"/>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1甲、乙双方在本合同中注明的通讯地址/联系电话/电子邮箱为双方往来信函等文件送达地址/联系电话/电子邮箱；若一方变更地址/联系电话/电子邮箱，应当自变更之日起三日内以书面形式通知对方，否则视为没有变更，该方自行承担由此导致的法律责任和法律后果。</w:t>
      </w:r>
    </w:p>
    <w:p w14:paraId="296EDA88">
      <w:pPr>
        <w:spacing w:line="360" w:lineRule="auto"/>
        <w:ind w:firstLine="426" w:firstLineChars="0"/>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一方可以当面送交、快递、传真、短信、电子邮件等方式向对方送达文件，对方应当予以签收当面送交、快递送达的文件；若对方不予以签收，以传真、快递方式送达的，自传真发出之日起、信件交邮局或交快递公司之日起三日届满即视为已送达。以电子邮件方式、短信发出的，电子邮件到达对方邮箱之日、短信送达对方手机之日视为已送达。</w:t>
      </w:r>
    </w:p>
    <w:p w14:paraId="1CC24D41">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9</w:t>
      </w:r>
      <w:r>
        <w:rPr>
          <w:rFonts w:hint="eastAsia" w:ascii="宋体" w:hAnsi="宋体"/>
          <w:b/>
          <w:color w:val="000000" w:themeColor="text1"/>
          <w:szCs w:val="21"/>
          <w:highlight w:val="none"/>
          <w14:textFill>
            <w14:solidFill>
              <w14:schemeClr w14:val="tx1"/>
            </w14:solidFill>
          </w14:textFill>
        </w:rPr>
        <w:t>.合同生效及其它</w:t>
      </w:r>
    </w:p>
    <w:p w14:paraId="651A72C7">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本合同一式六份，经甲乙双方法定代表人或委托代理人签字并加盖公章或合同章后生效。甲方执三份，乙方执二份，采购代理机构执一份。</w:t>
      </w:r>
    </w:p>
    <w:p w14:paraId="42B23707">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49F5CF40">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761C9D91">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甲方：（公章或合同章）                    乙方：（公章或合同章）</w:t>
      </w:r>
    </w:p>
    <w:p w14:paraId="42D5C347">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法定代表人                              法定代表人 </w:t>
      </w:r>
    </w:p>
    <w:p w14:paraId="1DB16186">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或委托代理人：                          或委托代理人：</w:t>
      </w:r>
    </w:p>
    <w:p w14:paraId="38F70648">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地    址：                              地    址： </w:t>
      </w:r>
    </w:p>
    <w:p w14:paraId="77B8BF43">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                              联系电话：</w:t>
      </w:r>
    </w:p>
    <w:p w14:paraId="058E55A5">
      <w:pPr>
        <w:spacing w:line="360" w:lineRule="auto"/>
        <w:ind w:firstLine="1470" w:firstLineChars="7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账    号：</w:t>
      </w:r>
    </w:p>
    <w:p w14:paraId="4078486C">
      <w:pPr>
        <w:spacing w:line="360" w:lineRule="auto"/>
        <w:ind w:firstLine="1470" w:firstLineChars="7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开 户 行：</w:t>
      </w:r>
    </w:p>
    <w:p w14:paraId="617F3AE3">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合同签订时间：                                   </w:t>
      </w:r>
    </w:p>
    <w:p w14:paraId="690306A1">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合同签订地点：</w:t>
      </w:r>
    </w:p>
    <w:p w14:paraId="34224B78">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Cs w:val="21"/>
          <w:highlight w:val="none"/>
          <w14:textFill>
            <w14:solidFill>
              <w14:schemeClr w14:val="tx1"/>
            </w14:solidFill>
          </w14:textFill>
        </w:rPr>
        <w:t xml:space="preserve"> 合同基本条款</w:t>
      </w:r>
    </w:p>
    <w:p w14:paraId="22B61389">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    说明</w:t>
      </w:r>
    </w:p>
    <w:p w14:paraId="3E18398C">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1.1合同基本条款是指采购人（以下简称甲方）和成交人（以下简称乙方）应共同遵守的基本原则，并做为双方签约的依据。对于合同的其他条款，双方应本着互谅互让的精神，在谈判中协商解决。</w:t>
      </w:r>
    </w:p>
    <w:p w14:paraId="42649457">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1.2制订《合同基本条款》的依据是：《中华人民共和国民法典》。</w:t>
      </w:r>
      <w:r>
        <w:rPr>
          <w:rFonts w:hint="eastAsia" w:ascii="宋体" w:hAnsi="宋体"/>
          <w:color w:val="000000" w:themeColor="text1"/>
          <w:szCs w:val="21"/>
          <w:highlight w:val="none"/>
          <w14:textFill>
            <w14:solidFill>
              <w14:schemeClr w14:val="tx1"/>
            </w14:solidFill>
          </w14:textFill>
        </w:rPr>
        <w:cr/>
      </w:r>
    </w:p>
    <w:p w14:paraId="279B9756">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    货物条款</w:t>
      </w:r>
    </w:p>
    <w:p w14:paraId="17098DE5">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2.1甲、乙双方应将采购文件、响应文件及评标委员会确认的货物名称、规格型号、技术要求、质量标准、数量、交货日期和售后服务内容等作为本条款的基础。</w:t>
      </w:r>
    </w:p>
    <w:p w14:paraId="649540E3">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4CE7353B">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    技术资料</w:t>
      </w:r>
    </w:p>
    <w:p w14:paraId="5CF2006F">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3.1甲方向乙方提供所竞标采购的货物等有关技术资料。</w:t>
      </w:r>
    </w:p>
    <w:p w14:paraId="4B0780A9">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3.2乙方须按采购文件规定的时间向甲方提供使用货物的有关技术资料。</w:t>
      </w:r>
    </w:p>
    <w:p w14:paraId="79DFA12B">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3.3乙方响应文件中注明产品为进口的，须提供海关商检等货物合格证明。</w:t>
      </w:r>
    </w:p>
    <w:p w14:paraId="1336DD4B">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3AD444A9">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    质量保证</w:t>
      </w:r>
    </w:p>
    <w:p w14:paraId="7C5AECFE">
      <w:pPr>
        <w:spacing w:line="360" w:lineRule="auto"/>
        <w:ind w:firstLine="426" w:firstLineChars="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1乙方根据合同要求交货后，必须定期跟踪落实产品的使用情况，在保质期内出现质量问题的，无条件更换。提供服务专线，并有专人负责以方便工作联系和服务。负责</w:t>
      </w:r>
      <w:r>
        <w:rPr>
          <w:rFonts w:ascii="宋体" w:hAnsi="宋体"/>
          <w:bCs/>
          <w:color w:val="000000" w:themeColor="text1"/>
          <w:szCs w:val="21"/>
          <w:highlight w:val="none"/>
          <w14:textFill>
            <w14:solidFill>
              <w14:schemeClr w14:val="tx1"/>
            </w14:solidFill>
          </w14:textFill>
        </w:rPr>
        <w:t>人姓名：</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电话</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4742D82A">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14:paraId="6A6BA1E4">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乙方应保证产品涉及到的知识产权和所提供的相关技术资料是合法取得，并享有完整的知识产权，不会因为甲方的使用而被责令停止使用、追偿或要求赔偿损失，如出现此情况，一切经济和法律责任均由乙方承担。</w:t>
      </w:r>
    </w:p>
    <w:p w14:paraId="3E2E917A">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4.4所有产品必须为正规厂家生产的全新、合格、无侵权货品，符合国家有关安全、环保、包装标准。</w:t>
      </w:r>
    </w:p>
    <w:p w14:paraId="1B8FD382">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4.5乙方所供应的产品应不低于采购文件规定的技术质量相关要求，否则视为不合格产品，甲方有权退货、并拒付货款；如发生上述情况，甲方不承担乙方由此产生的任何费用，并对其给甲方造成的损失保留追索权利。</w:t>
      </w:r>
    </w:p>
    <w:p w14:paraId="77B1E210">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4.6对于双方存在争议的产品，甲方有权随机抽取相同产品1件（套）送质检部门（由甲方指定）检测，所需经费（含差旅费用和检测产生的相关费用及样品费用等）由乙方承担，乙方同时须补齐被抽取作为检测样品的产品。</w:t>
      </w:r>
    </w:p>
    <w:p w14:paraId="7E3A76B8">
      <w:pPr>
        <w:widowControl/>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4.7未尽事宜按国家现行有关规范、标准执行。</w:t>
      </w:r>
    </w:p>
    <w:p w14:paraId="23E97B3D">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p>
    <w:p w14:paraId="4F299984">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    配送</w:t>
      </w:r>
      <w:r>
        <w:rPr>
          <w:rFonts w:ascii="宋体" w:hAnsi="宋体"/>
          <w:b/>
          <w:color w:val="000000" w:themeColor="text1"/>
          <w:szCs w:val="21"/>
          <w:highlight w:val="none"/>
          <w14:textFill>
            <w14:solidFill>
              <w14:schemeClr w14:val="tx1"/>
            </w14:solidFill>
          </w14:textFill>
        </w:rPr>
        <w:t>及</w:t>
      </w:r>
      <w:r>
        <w:rPr>
          <w:rFonts w:hint="eastAsia" w:ascii="宋体" w:hAnsi="宋体"/>
          <w:b/>
          <w:color w:val="000000" w:themeColor="text1"/>
          <w:szCs w:val="21"/>
          <w:highlight w:val="none"/>
          <w14:textFill>
            <w14:solidFill>
              <w14:schemeClr w14:val="tx1"/>
            </w14:solidFill>
          </w14:textFill>
        </w:rPr>
        <w:t>验收</w:t>
      </w:r>
    </w:p>
    <w:p w14:paraId="09F34C4D">
      <w:pPr>
        <w:widowControl/>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5.1配送及验收：详见合同正文第6条。</w:t>
      </w:r>
    </w:p>
    <w:p w14:paraId="55C2D64D">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    交货期及交货方式</w:t>
      </w:r>
    </w:p>
    <w:p w14:paraId="2EA427E2">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.1交货期及交货方式：详见合同正文第</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条。</w:t>
      </w:r>
    </w:p>
    <w:p w14:paraId="6A9ACFC2">
      <w:pPr>
        <w:spacing w:line="360" w:lineRule="auto"/>
        <w:ind w:firstLine="3687" w:firstLineChars="1749"/>
        <w:jc w:val="left"/>
        <w:rPr>
          <w:rFonts w:ascii="宋体" w:hAnsi="宋体"/>
          <w:b/>
          <w:color w:val="000000" w:themeColor="text1"/>
          <w:szCs w:val="21"/>
          <w:highlight w:val="none"/>
          <w14:textFill>
            <w14:solidFill>
              <w14:schemeClr w14:val="tx1"/>
            </w14:solidFill>
          </w14:textFill>
        </w:rPr>
      </w:pPr>
    </w:p>
    <w:p w14:paraId="50212A54">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    付款方式</w:t>
      </w:r>
    </w:p>
    <w:p w14:paraId="2361C517">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7.1付款方式：详见合同正文第5.2条。</w:t>
      </w:r>
    </w:p>
    <w:p w14:paraId="78D2BE65">
      <w:pPr>
        <w:spacing w:line="360" w:lineRule="auto"/>
        <w:ind w:firstLine="3776" w:firstLineChars="1791"/>
        <w:jc w:val="left"/>
        <w:rPr>
          <w:rFonts w:ascii="宋体" w:hAnsi="宋体"/>
          <w:b/>
          <w:color w:val="000000" w:themeColor="text1"/>
          <w:szCs w:val="21"/>
          <w:highlight w:val="none"/>
          <w14:textFill>
            <w14:solidFill>
              <w14:schemeClr w14:val="tx1"/>
            </w14:solidFill>
          </w14:textFill>
        </w:rPr>
      </w:pPr>
    </w:p>
    <w:p w14:paraId="47DF2DFD">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    违约责任</w:t>
      </w:r>
    </w:p>
    <w:p w14:paraId="449FD83A">
      <w:pPr>
        <w:spacing w:line="360" w:lineRule="auto"/>
        <w:ind w:firstLine="420"/>
        <w:rPr>
          <w:rFonts w:ascii="宋体" w:hAns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1乙方提供的货物如侵犯了第三方合法权益而引发的任何纠纷或诉讼，均由乙方自行负责交涉并承担全部责任。</w:t>
      </w:r>
    </w:p>
    <w:p w14:paraId="43370F7F">
      <w:pPr>
        <w:spacing w:line="360" w:lineRule="auto"/>
        <w:ind w:firstLine="420"/>
        <w:rPr>
          <w:rFonts w:ascii="宋体" w:hAns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2甲方发出供货通知后，乙方未在</w:t>
      </w:r>
      <w:r>
        <w:rPr>
          <w:rFonts w:hint="eastAsia" w:ascii="宋体" w:hAnsi="宋体" w:cs="宋体"/>
          <w:bCs/>
          <w:color w:val="000000" w:themeColor="text1"/>
          <w:szCs w:val="21"/>
          <w:highlight w:val="none"/>
          <w14:textFill>
            <w14:solidFill>
              <w14:schemeClr w14:val="tx1"/>
            </w14:solidFill>
          </w14:textFill>
        </w:rPr>
        <w:t>2日</w:t>
      </w:r>
      <w:r>
        <w:rPr>
          <w:rFonts w:hint="eastAsia" w:ascii="宋体" w:hAnsi="宋体" w:cs="宋体"/>
          <w:bCs/>
          <w:color w:val="000000" w:themeColor="text1"/>
          <w:szCs w:val="21"/>
          <w:highlight w:val="none"/>
          <w14:textFill>
            <w14:solidFill>
              <w14:schemeClr w14:val="tx1"/>
            </w14:solidFill>
          </w14:textFill>
        </w:rPr>
        <w:t>内送达指定地点的，影响临床用药的，每逾期一天按本批货物金额的5%计算违约金，从履约保证金中扣罚，</w:t>
      </w:r>
      <w:r>
        <w:rPr>
          <w:rFonts w:hint="eastAsia" w:ascii="宋体" w:hAnsi="宋体" w:cs="宋体"/>
          <w:color w:val="000000" w:themeColor="text1"/>
          <w:szCs w:val="21"/>
          <w:highlight w:val="none"/>
          <w14:textFill>
            <w14:solidFill>
              <w14:schemeClr w14:val="tx1"/>
            </w14:solidFill>
          </w14:textFill>
        </w:rPr>
        <w:t>不足的从货款中扣罚。</w:t>
      </w:r>
      <w:r>
        <w:rPr>
          <w:rFonts w:hint="eastAsia" w:ascii="宋体" w:hAnsi="宋体" w:cs="宋体"/>
          <w:bCs/>
          <w:color w:val="000000" w:themeColor="text1"/>
          <w:szCs w:val="21"/>
          <w:highlight w:val="none"/>
          <w14:textFill>
            <w14:solidFill>
              <w14:schemeClr w14:val="tx1"/>
            </w14:solidFill>
          </w14:textFill>
        </w:rPr>
        <w:t>如逾期达3次，报经财政部门同意后，甲方有权单方</w:t>
      </w:r>
      <w:r>
        <w:rPr>
          <w:rFonts w:hint="eastAsia" w:ascii="宋体" w:hAnsi="宋体" w:cs="宋体"/>
          <w:bCs/>
          <w:color w:val="000000" w:themeColor="text1"/>
          <w:szCs w:val="21"/>
          <w:highlight w:val="none"/>
          <w14:textFill>
            <w14:solidFill>
              <w14:schemeClr w14:val="tx1"/>
            </w14:solidFill>
          </w14:textFill>
        </w:rPr>
        <w:t>解除</w:t>
      </w:r>
      <w:r>
        <w:rPr>
          <w:rFonts w:hint="eastAsia" w:ascii="宋体" w:hAnsi="宋体" w:cs="宋体"/>
          <w:bCs/>
          <w:color w:val="000000" w:themeColor="text1"/>
          <w:szCs w:val="21"/>
          <w:highlight w:val="none"/>
          <w14:textFill>
            <w14:solidFill>
              <w14:schemeClr w14:val="tx1"/>
            </w14:solidFill>
          </w14:textFill>
        </w:rPr>
        <w:t>合同。</w:t>
      </w:r>
    </w:p>
    <w:p w14:paraId="325A6097">
      <w:pPr>
        <w:spacing w:line="360" w:lineRule="auto"/>
        <w:ind w:firstLine="420"/>
        <w:rPr>
          <w:rFonts w:ascii="宋体" w:hAnsi="宋体" w:cs="宋体"/>
          <w:color w:val="000000" w:themeColor="text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3乙方送货工作人员不遵守甲方管理规定，做出有损甲方形象和利益的事情,</w:t>
      </w:r>
      <w:r>
        <w:rPr>
          <w:rFonts w:hint="eastAsia" w:ascii="宋体" w:hAnsi="宋体" w:cs="宋体"/>
          <w:color w:val="000000" w:themeColor="text1"/>
          <w:highlight w:val="none"/>
          <w14:textFill>
            <w14:solidFill>
              <w14:schemeClr w14:val="tx1"/>
            </w14:solidFill>
          </w14:textFill>
        </w:rPr>
        <w:t>每次按本批货物金额的5%计算违约金。</w:t>
      </w:r>
    </w:p>
    <w:p w14:paraId="50385872">
      <w:pPr>
        <w:spacing w:line="360" w:lineRule="auto"/>
        <w:ind w:firstLine="420"/>
        <w:rPr>
          <w:rFonts w:ascii="宋体" w:hAns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4在包装、运输、装卸等环节不符合国家相关要求的，甲方有权拒收货物，每次按本批货物金额的5%计算违约金。</w:t>
      </w:r>
    </w:p>
    <w:p w14:paraId="1CA5F438">
      <w:pPr>
        <w:spacing w:line="360" w:lineRule="auto"/>
        <w:ind w:firstLine="420"/>
        <w:rPr>
          <w:rFonts w:ascii="宋体" w:hAnsi="宋体"/>
          <w:bCs/>
          <w:color w:val="000000" w:themeColor="text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货物质量验收不合格，每次按本批货物金额的10%计算违约金，达两次的按下文第6条处理。</w:t>
      </w:r>
    </w:p>
    <w:p w14:paraId="2596C3EA">
      <w:pPr>
        <w:spacing w:line="360" w:lineRule="auto"/>
        <w:ind w:firstLine="420"/>
        <w:rPr>
          <w:rFonts w:ascii="宋体" w:hAns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6有下列行为之一的，报经财政部门同意后，甲方有权单方取消其成交资格、解除合同，按本项目的合同总金额（   元）的</w:t>
      </w:r>
      <w:r>
        <w:rPr>
          <w:rFonts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计算扣减违约金，因所供产品质量不合格导致其他损失的，乙方应赔偿所有相关损失。</w:t>
      </w:r>
    </w:p>
    <w:p w14:paraId="23E6AAFF">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（1）提供任何虚假资料的。</w:t>
      </w:r>
    </w:p>
    <w:p w14:paraId="633ABAF2">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（2）未经甲方同意，擅自</w:t>
      </w:r>
      <w:r>
        <w:rPr>
          <w:rFonts w:hint="eastAsia" w:ascii="宋体" w:hAnsi="宋体" w:cs="宋体"/>
          <w:color w:val="000000" w:themeColor="text1"/>
          <w:szCs w:val="21"/>
          <w:highlight w:val="none"/>
          <w14:textFill>
            <w14:solidFill>
              <w14:schemeClr w14:val="tx1"/>
            </w14:solidFill>
          </w14:textFill>
        </w:rPr>
        <w:t>提高药品供货价格的</w:t>
      </w:r>
      <w:r>
        <w:rPr>
          <w:rFonts w:hint="eastAsia" w:ascii="宋体" w:hAnsi="宋体" w:cs="宋体"/>
          <w:bCs/>
          <w:color w:val="000000" w:themeColor="text1"/>
          <w:szCs w:val="21"/>
          <w:highlight w:val="none"/>
          <w14:textFill>
            <w14:solidFill>
              <w14:schemeClr w14:val="tx1"/>
            </w14:solidFill>
          </w14:textFill>
        </w:rPr>
        <w:t>；</w:t>
      </w:r>
    </w:p>
    <w:p w14:paraId="5F22CC99">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（3）私自转让协议给其他厂商进行供货的；</w:t>
      </w:r>
    </w:p>
    <w:p w14:paraId="550FFEFE">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（4）验收发现所供药品质量不合格达两次以上的；</w:t>
      </w:r>
    </w:p>
    <w:p w14:paraId="61B64850">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（5）把甲方验收不合格退货的药品重新供应给甲方的；</w:t>
      </w:r>
    </w:p>
    <w:p w14:paraId="29011070">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（6）所供应的药品为假药、劣药的；</w:t>
      </w:r>
    </w:p>
    <w:p w14:paraId="28E05754">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（7）乙方</w:t>
      </w:r>
      <w:r>
        <w:rPr>
          <w:rFonts w:hint="eastAsia" w:ascii="宋体" w:hAnsi="宋体" w:cs="宋体"/>
          <w:color w:val="000000" w:themeColor="text1"/>
          <w:szCs w:val="21"/>
          <w:highlight w:val="none"/>
          <w14:textFill>
            <w14:solidFill>
              <w14:schemeClr w14:val="tx1"/>
            </w14:solidFill>
          </w14:textFill>
        </w:rPr>
        <w:t>对药品安全及药品质量等各项检查不严格，造成甲方重大损失，影响监管安全的；</w:t>
      </w:r>
    </w:p>
    <w:p w14:paraId="418305A9">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（8）在合同期内，非甲方原因，不能按合同及采购要求供货次数达到3次；</w:t>
      </w:r>
    </w:p>
    <w:p w14:paraId="5A7CFD8F">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（9）将本项目转让、分包给他人的；</w:t>
      </w:r>
    </w:p>
    <w:p w14:paraId="081836A3">
      <w:pPr>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（10）不按响应文件服务承诺有关条款约定履行的。</w:t>
      </w:r>
    </w:p>
    <w:p w14:paraId="0D2A6451">
      <w:pPr>
        <w:spacing w:line="360" w:lineRule="auto"/>
        <w:ind w:firstLine="420"/>
        <w:rPr>
          <w:rFonts w:ascii="宋体" w:hAnsi="宋体"/>
          <w:b/>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7如乙方存在以上违约情形，违约金优先从履约保证金中扣减，如因小微企业或监狱企业或残疾人福利性单位无需缴纳履约保证金或履约保证金扣除后不足部分，则从货款中扣减。</w:t>
      </w:r>
    </w:p>
    <w:p w14:paraId="2E57256F">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    不可抗力事件处理</w:t>
      </w:r>
    </w:p>
    <w:p w14:paraId="6043DB07">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.1在合同有效期限内，任何一方因不可抗力事件导致不能履行合同，则合同履行期可延长，其延长期与不可抗力影响期相同。</w:t>
      </w:r>
    </w:p>
    <w:p w14:paraId="2636953A">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.2不可抗力事件发生后，应立即通知对方，并寄送有关权威机构出具的证明。</w:t>
      </w:r>
    </w:p>
    <w:p w14:paraId="1707AB50">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.3不可抗力事件延续120天以上，双方应通过友好协商，确定是否继续履行合同。</w:t>
      </w:r>
    </w:p>
    <w:p w14:paraId="1C43DC5A">
      <w:pPr>
        <w:spacing w:line="360" w:lineRule="auto"/>
        <w:ind w:firstLine="3776" w:firstLineChars="1791"/>
        <w:jc w:val="left"/>
        <w:rPr>
          <w:rFonts w:ascii="宋体" w:hAnsi="宋体"/>
          <w:b/>
          <w:color w:val="000000" w:themeColor="text1"/>
          <w:szCs w:val="21"/>
          <w:highlight w:val="none"/>
          <w14:textFill>
            <w14:solidFill>
              <w14:schemeClr w14:val="tx1"/>
            </w14:solidFill>
          </w14:textFill>
        </w:rPr>
      </w:pPr>
    </w:p>
    <w:p w14:paraId="72693CB0">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    合同争议解决</w:t>
      </w:r>
    </w:p>
    <w:p w14:paraId="4A4A1D87">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因货物质量问题发生争议的，应邀请国家认可的质量检测机构对货物质量进行鉴定，鉴定费由乙方先行垫付。货物符合标准的，鉴定费由甲方承担；货物不符合标准的，鉴定费由乙方承担。</w:t>
      </w:r>
    </w:p>
    <w:p w14:paraId="185BABF9">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10.2</w:t>
      </w:r>
      <w:r>
        <w:rPr>
          <w:rFonts w:hint="eastAsia" w:ascii="宋体" w:hAnsi="宋体"/>
          <w:color w:val="000000" w:themeColor="text1"/>
          <w:szCs w:val="21"/>
          <w:highlight w:val="none"/>
          <w14:textFill>
            <w14:solidFill>
              <w14:schemeClr w14:val="tx1"/>
            </w14:solidFill>
          </w14:textFill>
        </w:rPr>
        <w:t>因履行本合同引起的或与本合同有关的争议，甲、乙双方应首先通过友好协商解决。如果协商不能解决，可选择如下方式之一进行解决：</w:t>
      </w:r>
    </w:p>
    <w:p w14:paraId="0FE12077">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□向柳州市仲裁委员会申请仲裁；</w:t>
      </w:r>
    </w:p>
    <w:p w14:paraId="4AA720C3">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fldChar w:fldCharType="begin"/>
      </w:r>
      <w:r>
        <w:rPr>
          <w:rFonts w:ascii="宋体" w:hAnsi="宋体"/>
          <w:bCs/>
          <w:color w:val="000000" w:themeColor="text1"/>
          <w:szCs w:val="21"/>
          <w:highlight w:val="none"/>
          <w14:textFill>
            <w14:solidFill>
              <w14:schemeClr w14:val="tx1"/>
            </w14:solidFill>
          </w14:textFill>
        </w:rPr>
        <w:instrText xml:space="preserve"> </w:instrText>
      </w:r>
      <w:r>
        <w:rPr>
          <w:rFonts w:hint="eastAsia" w:ascii="宋体" w:hAnsi="宋体"/>
          <w:bCs/>
          <w:color w:val="000000" w:themeColor="text1"/>
          <w:szCs w:val="21"/>
          <w:highlight w:val="none"/>
          <w14:textFill>
            <w14:solidFill>
              <w14:schemeClr w14:val="tx1"/>
            </w14:solidFill>
          </w14:textFill>
        </w:rPr>
        <w:instrText xml:space="preserve">eq \o\ac(□,√)</w:instrText>
      </w:r>
      <w:r>
        <w:rPr>
          <w:rFonts w:ascii="宋体" w:hAnsi="宋体"/>
          <w:bCs/>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向柳州市城中区人民法院提起诉讼。</w:t>
      </w:r>
    </w:p>
    <w:p w14:paraId="08A0C723">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10.3</w:t>
      </w:r>
      <w:r>
        <w:rPr>
          <w:rFonts w:hint="eastAsia" w:ascii="宋体" w:hAnsi="宋体"/>
          <w:color w:val="000000" w:themeColor="text1"/>
          <w:szCs w:val="21"/>
          <w:highlight w:val="none"/>
          <w14:textFill>
            <w14:solidFill>
              <w14:schemeClr w14:val="tx1"/>
            </w14:solidFill>
          </w14:textFill>
        </w:rPr>
        <w:t>甲乙双方以诉讼方式解决争议的，违约方应当承担守约方为诉讼而支出的相关费用，包括但不限于诉讼费、律师费、保全费、公告费、差旅费等。</w:t>
      </w:r>
    </w:p>
    <w:p w14:paraId="1B044B94">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十一    合同生效及其它</w:t>
      </w:r>
    </w:p>
    <w:p w14:paraId="0ED439A5">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.1合同经双方法定代表人或委托代理人签字并加盖公章或合同章后生效。</w:t>
      </w:r>
    </w:p>
    <w:p w14:paraId="7EB4305A">
      <w:pPr>
        <w:snapToGrid w:val="0"/>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.2合同履行中，如需修改或补充合同内容，由双方协商另签署书面修改或补充协议作为主合同不可分割的一部分。</w:t>
      </w:r>
    </w:p>
    <w:p w14:paraId="447904D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br w:type="page"/>
      </w:r>
    </w:p>
    <w:p w14:paraId="2BFDB240">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合同书（格式）（适用分标</w:t>
      </w:r>
      <w:r>
        <w:rPr>
          <w:rFonts w:ascii="宋体" w:hAnsi="宋体" w:cs="方正小标宋简体"/>
          <w:b/>
          <w:color w:val="000000" w:themeColor="text1"/>
          <w:sz w:val="32"/>
          <w:szCs w:val="32"/>
          <w:highlight w:val="none"/>
          <w14:textFill>
            <w14:solidFill>
              <w14:schemeClr w14:val="tx1"/>
            </w14:solidFill>
          </w14:textFill>
        </w:rPr>
        <w:t>2</w:t>
      </w:r>
      <w:r>
        <w:rPr>
          <w:rFonts w:hint="eastAsia" w:ascii="宋体" w:hAnsi="宋体" w:cs="方正小标宋简体"/>
          <w:b/>
          <w:color w:val="000000" w:themeColor="text1"/>
          <w:sz w:val="32"/>
          <w:szCs w:val="32"/>
          <w:highlight w:val="none"/>
          <w14:textFill>
            <w14:solidFill>
              <w14:schemeClr w14:val="tx1"/>
            </w14:solidFill>
          </w14:textFill>
        </w:rPr>
        <w:t>、</w:t>
      </w:r>
      <w:r>
        <w:rPr>
          <w:rFonts w:hint="eastAsia" w:ascii="宋体" w:hAnsi="宋体" w:cs="方正小标宋简体"/>
          <w:b/>
          <w:color w:val="000000" w:themeColor="text1"/>
          <w:sz w:val="32"/>
          <w:szCs w:val="32"/>
          <w:highlight w:val="none"/>
          <w14:textFill>
            <w14:solidFill>
              <w14:schemeClr w14:val="tx1"/>
            </w14:solidFill>
          </w14:textFill>
        </w:rPr>
        <w:t>分标3</w:t>
      </w:r>
      <w:r>
        <w:rPr>
          <w:rFonts w:hint="eastAsia" w:ascii="宋体" w:hAnsi="宋体" w:cs="方正小标宋简体"/>
          <w:b/>
          <w:color w:val="000000" w:themeColor="text1"/>
          <w:sz w:val="32"/>
          <w:szCs w:val="32"/>
          <w:highlight w:val="none"/>
          <w14:textFill>
            <w14:solidFill>
              <w14:schemeClr w14:val="tx1"/>
            </w14:solidFill>
          </w14:textFill>
        </w:rPr>
        <w:t>）</w:t>
      </w:r>
    </w:p>
    <w:p w14:paraId="3EAC074F">
      <w:pPr>
        <w:wordWrap w:val="0"/>
        <w:snapToGrid w:val="0"/>
        <w:spacing w:line="360" w:lineRule="auto"/>
        <w:ind w:right="840" w:firstLine="0" w:firstLineChars="0"/>
        <w:jc w:val="center"/>
        <w:rPr>
          <w:rFonts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合同编号：            </w:t>
      </w:r>
    </w:p>
    <w:p w14:paraId="68A1352B">
      <w:pP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p>
    <w:p w14:paraId="0B8199CD">
      <w:pPr>
        <w:snapToGrid w:val="0"/>
        <w:spacing w:line="360" w:lineRule="auto"/>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采购单位（甲方）：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采购计划文号：</w:t>
      </w:r>
      <w:r>
        <w:rPr>
          <w:rFonts w:hint="eastAsia" w:ascii="宋体" w:hAnsi="宋体"/>
          <w:color w:val="000000" w:themeColor="text1"/>
          <w:szCs w:val="21"/>
          <w:highlight w:val="none"/>
          <w:u w:val="single"/>
          <w14:textFill>
            <w14:solidFill>
              <w14:schemeClr w14:val="tx1"/>
            </w14:solidFill>
          </w14:textFill>
        </w:rPr>
        <w:t xml:space="preserve">                           </w:t>
      </w:r>
    </w:p>
    <w:p w14:paraId="05F60586">
      <w:pPr>
        <w:snapToGrid w:val="0"/>
        <w:spacing w:line="360" w:lineRule="auto"/>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供应商（乙方）：</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项目名称及编号</w:t>
      </w:r>
      <w:r>
        <w:rPr>
          <w:rFonts w:hint="eastAsia" w:ascii="宋体" w:hAnsi="宋体"/>
          <w:color w:val="000000" w:themeColor="text1"/>
          <w:spacing w:val="-2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4A3E940F">
      <w:pPr>
        <w:snapToGrid w:val="0"/>
        <w:spacing w:line="360" w:lineRule="auto"/>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签订地点：</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签订时间：</w:t>
      </w:r>
      <w:r>
        <w:rPr>
          <w:rFonts w:hint="eastAsia" w:ascii="宋体" w:hAnsi="宋体"/>
          <w:color w:val="000000" w:themeColor="text1"/>
          <w:szCs w:val="21"/>
          <w:highlight w:val="none"/>
          <w:u w:val="single"/>
          <w14:textFill>
            <w14:solidFill>
              <w14:schemeClr w14:val="tx1"/>
            </w14:solidFill>
          </w14:textFill>
        </w:rPr>
        <w:t xml:space="preserve">         年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月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日  </w:t>
      </w:r>
    </w:p>
    <w:p w14:paraId="5DC2EDFF">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1A3134B8">
      <w:pPr>
        <w:snapToGrid w:val="0"/>
        <w:spacing w:line="44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根据《中华人民共和国政府采购法》、《中华人民共和国民法典》等法律、法规规定，按照采购文件、响应文件规定条款和乙方承诺，甲乙双方签订本合同。</w:t>
      </w:r>
    </w:p>
    <w:p w14:paraId="6CC02B97">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1.合同文件</w:t>
      </w:r>
    </w:p>
    <w:p w14:paraId="23553B44">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本合同所附下列文件是构成本合同不可分割的部分：</w:t>
      </w:r>
    </w:p>
    <w:p w14:paraId="17CF597A">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(1)合同基本条款</w:t>
      </w:r>
    </w:p>
    <w:p w14:paraId="08A85286">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(2)采购需求</w:t>
      </w:r>
    </w:p>
    <w:p w14:paraId="3C7290CF">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w:t>
      </w:r>
      <w:r>
        <w:rPr>
          <w:rFonts w:hint="eastAsia" w:ascii="宋体" w:hAnsi="宋体"/>
          <w:color w:val="000000" w:themeColor="text1"/>
          <w:spacing w:val="-8"/>
          <w:szCs w:val="21"/>
          <w:highlight w:val="none"/>
          <w14:textFill>
            <w14:solidFill>
              <w14:schemeClr w14:val="tx1"/>
            </w14:solidFill>
          </w14:textFill>
        </w:rPr>
        <w:t>提交的响应文件</w:t>
      </w:r>
    </w:p>
    <w:p w14:paraId="122A1C89">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(4)成交通知书</w:t>
      </w:r>
    </w:p>
    <w:p w14:paraId="7495643F">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(5)甲、乙双方商定的补充协议</w:t>
      </w:r>
    </w:p>
    <w:p w14:paraId="2233B2BC">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2.合同范围和条件</w:t>
      </w:r>
    </w:p>
    <w:p w14:paraId="345C94DD">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本合同的范围和条件应与上述合同文件的规定相一致。</w:t>
      </w:r>
    </w:p>
    <w:p w14:paraId="5EC7AF76">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3.货物采购和服务内容</w:t>
      </w:r>
    </w:p>
    <w:p w14:paraId="2DA31F28">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本合同所涉及的乙方应提供的货物和服务内容详见采购</w:t>
      </w:r>
      <w:r>
        <w:rPr>
          <w:rFonts w:ascii="宋体" w:hAnsi="宋体"/>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第二章“采购需求”及响应文件中所列内容和“合同基本条款”。</w:t>
      </w:r>
    </w:p>
    <w:p w14:paraId="65EEFA7A">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4.合同金额和合同</w:t>
      </w:r>
      <w:r>
        <w:rPr>
          <w:rFonts w:ascii="宋体" w:hAnsi="宋体"/>
          <w:b/>
          <w:color w:val="000000" w:themeColor="text1"/>
          <w:szCs w:val="21"/>
          <w:highlight w:val="none"/>
          <w14:textFill>
            <w14:solidFill>
              <w14:schemeClr w14:val="tx1"/>
            </w14:solidFill>
          </w14:textFill>
        </w:rPr>
        <w:t>期限</w:t>
      </w:r>
    </w:p>
    <w:p w14:paraId="1C0BF5F6">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4.1根据成交内容及</w:t>
      </w:r>
      <w:r>
        <w:rPr>
          <w:rFonts w:ascii="宋体" w:hAnsi="宋体"/>
          <w:color w:val="000000" w:themeColor="text1"/>
          <w:szCs w:val="21"/>
          <w:highlight w:val="none"/>
          <w14:textFill>
            <w14:solidFill>
              <w14:schemeClr w14:val="tx1"/>
            </w14:solidFill>
          </w14:textFill>
        </w:rPr>
        <w:t>乙方的</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标报价表</w:t>
      </w:r>
      <w:r>
        <w:rPr>
          <w:rFonts w:hint="eastAsia" w:ascii="宋体" w:hAnsi="宋体"/>
          <w:color w:val="000000" w:themeColor="text1"/>
          <w:szCs w:val="21"/>
          <w:highlight w:val="none"/>
          <w14:textFill>
            <w14:solidFill>
              <w14:schemeClr w14:val="tx1"/>
            </w14:solidFill>
          </w14:textFill>
        </w:rPr>
        <w:t>，各项产</w:t>
      </w:r>
      <w:r>
        <w:rPr>
          <w:rFonts w:ascii="宋体" w:hAnsi="宋体"/>
          <w:color w:val="000000" w:themeColor="text1"/>
          <w:szCs w:val="21"/>
          <w:highlight w:val="none"/>
          <w14:textFill>
            <w14:solidFill>
              <w14:schemeClr w14:val="tx1"/>
            </w14:solidFill>
          </w14:textFill>
        </w:rPr>
        <w:t>品单价如下：</w:t>
      </w:r>
    </w:p>
    <w:tbl>
      <w:tblPr>
        <w:tblStyle w:val="5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287"/>
        <w:gridCol w:w="1407"/>
        <w:gridCol w:w="1417"/>
        <w:gridCol w:w="1134"/>
        <w:gridCol w:w="1276"/>
      </w:tblGrid>
      <w:tr w14:paraId="09E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B11D481">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46120020">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药品名称</w:t>
            </w:r>
          </w:p>
        </w:tc>
        <w:tc>
          <w:tcPr>
            <w:tcW w:w="1287" w:type="dxa"/>
            <w:tcBorders>
              <w:top w:val="single" w:color="auto" w:sz="4" w:space="0"/>
              <w:left w:val="single" w:color="auto" w:sz="4" w:space="0"/>
              <w:bottom w:val="single" w:color="auto" w:sz="4" w:space="0"/>
              <w:right w:val="single" w:color="auto" w:sz="4" w:space="0"/>
            </w:tcBorders>
            <w:vAlign w:val="center"/>
          </w:tcPr>
          <w:p w14:paraId="3B9BAC5C">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生产厂家</w:t>
            </w:r>
          </w:p>
        </w:tc>
        <w:tc>
          <w:tcPr>
            <w:tcW w:w="1407" w:type="dxa"/>
            <w:tcBorders>
              <w:top w:val="single" w:color="auto" w:sz="4" w:space="0"/>
              <w:left w:val="single" w:color="auto" w:sz="4" w:space="0"/>
              <w:bottom w:val="single" w:color="auto" w:sz="4" w:space="0"/>
              <w:right w:val="single" w:color="auto" w:sz="4" w:space="0"/>
            </w:tcBorders>
            <w:vAlign w:val="center"/>
          </w:tcPr>
          <w:p w14:paraId="5E300C01">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w:t>
            </w:r>
          </w:p>
        </w:tc>
        <w:tc>
          <w:tcPr>
            <w:tcW w:w="1417" w:type="dxa"/>
            <w:tcBorders>
              <w:top w:val="single" w:color="auto" w:sz="4" w:space="0"/>
              <w:left w:val="single" w:color="auto" w:sz="4" w:space="0"/>
              <w:bottom w:val="single" w:color="auto" w:sz="4" w:space="0"/>
              <w:right w:val="single" w:color="auto" w:sz="4" w:space="0"/>
            </w:tcBorders>
            <w:vAlign w:val="center"/>
          </w:tcPr>
          <w:p w14:paraId="3DFE4194">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国药准字</w:t>
            </w:r>
          </w:p>
        </w:tc>
        <w:tc>
          <w:tcPr>
            <w:tcW w:w="1134" w:type="dxa"/>
            <w:tcBorders>
              <w:top w:val="single" w:color="auto" w:sz="4" w:space="0"/>
              <w:left w:val="single" w:color="auto" w:sz="4" w:space="0"/>
              <w:bottom w:val="single" w:color="auto" w:sz="4" w:space="0"/>
              <w:right w:val="single" w:color="auto" w:sz="4" w:space="0"/>
            </w:tcBorders>
            <w:vAlign w:val="center"/>
          </w:tcPr>
          <w:p w14:paraId="0C99939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7ABEEF13">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单价（元）</w:t>
            </w:r>
          </w:p>
        </w:tc>
      </w:tr>
      <w:tr w14:paraId="630F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F4BD1A9">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14:paraId="4AB74385">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73A61A5B">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vAlign w:val="center"/>
          </w:tcPr>
          <w:p w14:paraId="464E1B7B">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1BACCA26">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F40136E">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8363801">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r>
      <w:tr w14:paraId="54D9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FA629D4">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vAlign w:val="center"/>
          </w:tcPr>
          <w:p w14:paraId="049F86A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76FC9571">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vAlign w:val="center"/>
          </w:tcPr>
          <w:p w14:paraId="52FE10C7">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7AC0F1E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FEDFE92">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84BF3EB">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r>
      <w:tr w14:paraId="0A7C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D70CB73">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417" w:type="dxa"/>
            <w:tcBorders>
              <w:top w:val="single" w:color="auto" w:sz="4" w:space="0"/>
              <w:left w:val="single" w:color="auto" w:sz="4" w:space="0"/>
              <w:bottom w:val="single" w:color="auto" w:sz="4" w:space="0"/>
              <w:right w:val="single" w:color="auto" w:sz="4" w:space="0"/>
            </w:tcBorders>
            <w:vAlign w:val="center"/>
          </w:tcPr>
          <w:p w14:paraId="5B39D4EA">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54AA028D">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vAlign w:val="center"/>
          </w:tcPr>
          <w:p w14:paraId="1930CA7E">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2C59D32B">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BA50C2A">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5D07DF3">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r>
      <w:tr w14:paraId="41E9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CF2FF18">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N</w:t>
            </w:r>
          </w:p>
        </w:tc>
        <w:tc>
          <w:tcPr>
            <w:tcW w:w="1417" w:type="dxa"/>
            <w:tcBorders>
              <w:top w:val="single" w:color="auto" w:sz="4" w:space="0"/>
              <w:left w:val="single" w:color="auto" w:sz="4" w:space="0"/>
              <w:bottom w:val="single" w:color="auto" w:sz="4" w:space="0"/>
              <w:right w:val="single" w:color="auto" w:sz="4" w:space="0"/>
            </w:tcBorders>
            <w:vAlign w:val="center"/>
          </w:tcPr>
          <w:p w14:paraId="41312093">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14BB6DC3">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vAlign w:val="center"/>
          </w:tcPr>
          <w:p w14:paraId="756E9AD1">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4F67BD2B">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E6A999F">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A942F59">
            <w:pPr>
              <w:snapToGrid w:val="0"/>
              <w:spacing w:line="360" w:lineRule="auto"/>
              <w:ind w:firstLine="0" w:firstLineChars="0"/>
              <w:jc w:val="center"/>
              <w:rPr>
                <w:rFonts w:ascii="宋体" w:hAnsi="宋体"/>
                <w:color w:val="000000" w:themeColor="text1"/>
                <w:szCs w:val="21"/>
                <w:highlight w:val="none"/>
                <w14:textFill>
                  <w14:solidFill>
                    <w14:schemeClr w14:val="tx1"/>
                  </w14:solidFill>
                </w14:textFill>
              </w:rPr>
            </w:pPr>
          </w:p>
        </w:tc>
      </w:tr>
    </w:tbl>
    <w:p w14:paraId="4FAB8CBF">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32CD033B">
      <w:pPr>
        <w:autoSpaceDE w:val="0"/>
        <w:autoSpaceDN w:val="0"/>
        <w:adjustRightInd w:val="0"/>
        <w:spacing w:line="360" w:lineRule="auto"/>
        <w:ind w:right="-23" w:firstLine="420"/>
        <w:jc w:val="left"/>
        <w:rPr>
          <w:rFonts w:ascii="Calibri"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w:t>
      </w:r>
      <w:r>
        <w:rPr>
          <w:rFonts w:ascii="宋体" w:hAnsi="宋体"/>
          <w:color w:val="000000" w:themeColor="text1"/>
          <w:szCs w:val="21"/>
          <w:highlight w:val="none"/>
          <w14:textFill>
            <w14:solidFill>
              <w14:schemeClr w14:val="tx1"/>
            </w14:solidFill>
          </w14:textFill>
        </w:rPr>
        <w:t>本合同为固定单价合同，最终结算按甲方实际采购数量结算</w:t>
      </w:r>
      <w:r>
        <w:rPr>
          <w:rFonts w:hint="eastAsia" w:ascii="宋体" w:hAnsi="宋体"/>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上述货物单价已包含</w:t>
      </w:r>
      <w:r>
        <w:rPr>
          <w:rFonts w:hint="eastAsia" w:ascii="宋体" w:hAnsi="宋体"/>
          <w:color w:val="000000" w:themeColor="text1"/>
          <w:szCs w:val="21"/>
          <w:highlight w:val="none"/>
          <w14:textFill>
            <w14:solidFill>
              <w14:schemeClr w14:val="tx1"/>
            </w14:solidFill>
          </w14:textFill>
        </w:rPr>
        <w:t>产品送达指定地点，验收合格至正常使用前所有可能发生的费用。即包含但不限于：</w:t>
      </w:r>
      <w:r>
        <w:rPr>
          <w:rFonts w:hint="eastAsia" w:ascii="Calibri" w:hAnsi="宋体" w:cs="宋体"/>
          <w:color w:val="000000" w:themeColor="text1"/>
          <w:szCs w:val="21"/>
          <w:highlight w:val="none"/>
          <w14:textFill>
            <w14:solidFill>
              <w14:schemeClr w14:val="tx1"/>
            </w14:solidFill>
          </w14:textFill>
        </w:rPr>
        <w:t>货物本身费用、运输费、装卸搬运费、人工劳务费、税金等。乙方认为必须的费用也需综合考虑在报价中，在合同期间，甲方不予提高供货单价，如遇国家或自治区等政策性降价，则应按最低价格执行</w:t>
      </w:r>
      <w:r>
        <w:rPr>
          <w:rFonts w:hint="eastAsia" w:ascii="宋体" w:hAnsi="宋体"/>
          <w:color w:val="000000" w:themeColor="text1"/>
          <w:szCs w:val="21"/>
          <w:highlight w:val="none"/>
          <w14:textFill>
            <w14:solidFill>
              <w14:schemeClr w14:val="tx1"/>
            </w14:solidFill>
          </w14:textFill>
        </w:rPr>
        <w:t>。</w:t>
      </w:r>
    </w:p>
    <w:p w14:paraId="7E01BEE7">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合同期限：</w:t>
      </w:r>
      <w:r>
        <w:rPr>
          <w:rFonts w:hint="eastAsia" w:ascii="宋体" w:hAnsi="宋体" w:cs="宋体"/>
          <w:color w:val="000000" w:themeColor="text1"/>
          <w:szCs w:val="21"/>
          <w:highlight w:val="none"/>
          <w14:textFill>
            <w14:solidFill>
              <w14:schemeClr w14:val="tx1"/>
            </w14:solidFill>
          </w14:textFill>
        </w:rPr>
        <w:t>自签订合同之日起两年，2年内采购金额达到本项目合同总金额</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，合同自动终止。</w:t>
      </w:r>
    </w:p>
    <w:p w14:paraId="2405A745">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5.付款条件</w:t>
      </w:r>
    </w:p>
    <w:p w14:paraId="07EEC595">
      <w:pPr>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履约保证金：</w:t>
      </w:r>
    </w:p>
    <w:p w14:paraId="6E1E8B7D">
      <w:pPr>
        <w:snapToGrid w:val="0"/>
        <w:spacing w:line="360" w:lineRule="auto"/>
        <w:ind w:firstLine="422"/>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□本项目不收取履约保证金。</w:t>
      </w:r>
    </w:p>
    <w:p w14:paraId="24DA3A9D">
      <w:pPr>
        <w:snapToGrid w:val="0"/>
        <w:spacing w:line="360" w:lineRule="auto"/>
        <w:ind w:firstLine="422"/>
        <w:jc w:val="left"/>
        <w:rPr>
          <w:rFonts w:ascii="宋体" w:hAnsi="宋体"/>
          <w:color w:val="000000" w:themeColor="text1"/>
          <w:szCs w:val="21"/>
          <w:highlight w:val="none"/>
          <w14:textFill>
            <w14:solidFill>
              <w14:schemeClr w14:val="tx1"/>
            </w14:solidFill>
          </w14:textFill>
        </w:rPr>
      </w:pPr>
      <w:r>
        <w:rPr>
          <w:rFonts w:ascii="Segoe UI Symbol" w:hAnsi="Segoe UI Symbol" w:cs="Segoe UI Symbol"/>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本项目收取履约保证金，具体规定如下</w:t>
      </w:r>
      <w:r>
        <w:rPr>
          <w:rFonts w:hint="eastAsia" w:ascii="宋体" w:hAnsi="宋体"/>
          <w:color w:val="000000" w:themeColor="text1"/>
          <w:szCs w:val="21"/>
          <w:highlight w:val="none"/>
          <w14:textFill>
            <w14:solidFill>
              <w14:schemeClr w14:val="tx1"/>
            </w14:solidFill>
          </w14:textFill>
        </w:rPr>
        <w:t>：</w:t>
      </w:r>
    </w:p>
    <w:p w14:paraId="63076AC8">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w:t>
      </w:r>
      <w:r>
        <w:rPr>
          <w:rFonts w:hint="eastAsia" w:ascii="宋体" w:hAnsi="宋体" w:cs="宋体"/>
          <w:bCs/>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14:textFill>
            <w14:solidFill>
              <w14:schemeClr w14:val="tx1"/>
            </w14:solidFill>
          </w14:textFill>
        </w:rPr>
        <w:t>金额：</w:t>
      </w:r>
    </w:p>
    <w:p w14:paraId="2E985B04">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（1）乙方为大型企业，须缴纳履约保证金金额：</w:t>
      </w:r>
      <w:r>
        <w:rPr>
          <w:rFonts w:hint="eastAsia" w:ascii="宋体" w:hAnsi="宋体"/>
          <w:b/>
          <w:bCs/>
          <w:color w:val="000000" w:themeColor="text1"/>
          <w:szCs w:val="21"/>
          <w:highlight w:val="none"/>
          <w14:textFill>
            <w14:solidFill>
              <w14:schemeClr w14:val="tx1"/>
            </w14:solidFill>
          </w14:textFill>
        </w:rPr>
        <w:t>合同金额的5%；</w:t>
      </w:r>
    </w:p>
    <w:p w14:paraId="25E8728F">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（2）乙方为中型企业，须缴纳履约保证金金额：</w:t>
      </w:r>
      <w:r>
        <w:rPr>
          <w:rFonts w:hint="eastAsia" w:ascii="宋体" w:hAnsi="宋体"/>
          <w:b/>
          <w:bCs/>
          <w:color w:val="000000" w:themeColor="text1"/>
          <w:szCs w:val="21"/>
          <w:highlight w:val="none"/>
          <w14:textFill>
            <w14:solidFill>
              <w14:schemeClr w14:val="tx1"/>
            </w14:solidFill>
          </w14:textFill>
        </w:rPr>
        <w:t>合同金额的2%；</w:t>
      </w:r>
    </w:p>
    <w:p w14:paraId="617FA413">
      <w:pPr>
        <w:snapToGrid w:val="0"/>
        <w:spacing w:line="360" w:lineRule="auto"/>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（3）乙方为</w:t>
      </w:r>
      <w:r>
        <w:rPr>
          <w:rFonts w:hint="eastAsia" w:ascii="宋体" w:hAnsi="宋体" w:cs="宋体"/>
          <w:color w:val="000000" w:themeColor="text1"/>
          <w:szCs w:val="21"/>
          <w:highlight w:val="none"/>
          <w14:textFill>
            <w14:solidFill>
              <w14:schemeClr w14:val="tx1"/>
            </w14:solidFill>
          </w14:textFill>
        </w:rPr>
        <w:t>小微企业或</w:t>
      </w:r>
      <w:r>
        <w:rPr>
          <w:rFonts w:hint="eastAsia" w:ascii="宋体" w:hAnsi="宋体"/>
          <w:color w:val="000000" w:themeColor="text1"/>
          <w:szCs w:val="21"/>
          <w:highlight w:val="none"/>
          <w14:textFill>
            <w14:solidFill>
              <w14:schemeClr w14:val="tx1"/>
            </w14:solidFill>
          </w14:textFill>
        </w:rPr>
        <w:t>监狱</w:t>
      </w:r>
      <w:r>
        <w:rPr>
          <w:rFonts w:hint="eastAsia" w:ascii="宋体" w:hAnsi="宋体" w:cs="宋体"/>
          <w:color w:val="000000" w:themeColor="text1"/>
          <w:szCs w:val="21"/>
          <w:highlight w:val="none"/>
          <w14:textFill>
            <w14:solidFill>
              <w14:schemeClr w14:val="tx1"/>
            </w14:solidFill>
          </w14:textFill>
        </w:rPr>
        <w:t>企业或残疾人福利性单位：</w:t>
      </w:r>
      <w:r>
        <w:rPr>
          <w:rFonts w:hint="eastAsia" w:ascii="宋体" w:hAnsi="宋体" w:cs="宋体"/>
          <w:b/>
          <w:bCs/>
          <w:color w:val="000000" w:themeColor="text1"/>
          <w:szCs w:val="21"/>
          <w:highlight w:val="none"/>
          <w14:textFill>
            <w14:solidFill>
              <w14:schemeClr w14:val="tx1"/>
            </w14:solidFill>
          </w14:textFill>
        </w:rPr>
        <w:t>免收履约保证金。</w:t>
      </w:r>
    </w:p>
    <w:p w14:paraId="78C65BB8">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履约保证金提交及退付方式、时间及条件：</w:t>
      </w:r>
    </w:p>
    <w:p w14:paraId="6CB9947B">
      <w:pPr>
        <w:snapToGrid w:val="0"/>
        <w:spacing w:line="360" w:lineRule="auto"/>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乙方接到成交通知后，必须在合同签订前5日内，乙方以银行转账、支票、汇票、本票或者金融机构、担保机构出具的保险、保函（含电子保函，下同）等非现金方式向甲方提交履约保证金，</w:t>
      </w:r>
      <w:r>
        <w:rPr>
          <w:rFonts w:hint="eastAsia" w:ascii="宋体" w:hAnsi="宋体" w:cs="宋体"/>
          <w:bCs/>
          <w:color w:val="000000" w:themeColor="text1"/>
          <w:szCs w:val="21"/>
          <w:highlight w:val="none"/>
          <w14:textFill>
            <w14:solidFill>
              <w14:schemeClr w14:val="tx1"/>
            </w14:solidFill>
          </w14:textFill>
        </w:rPr>
        <w:t>履约保证金缴纳成功后，</w:t>
      </w:r>
      <w:r>
        <w:rPr>
          <w:rFonts w:hint="eastAsia" w:ascii="宋体" w:hAnsi="宋体"/>
          <w:color w:val="000000" w:themeColor="text1"/>
          <w:szCs w:val="21"/>
          <w:highlight w:val="none"/>
          <w14:textFill>
            <w14:solidFill>
              <w14:schemeClr w14:val="tx1"/>
            </w14:solidFill>
          </w14:textFill>
        </w:rPr>
        <w:t>乙方</w:t>
      </w:r>
      <w:r>
        <w:rPr>
          <w:rFonts w:hint="eastAsia" w:ascii="宋体" w:hAnsi="宋体" w:cs="宋体"/>
          <w:bCs/>
          <w:color w:val="000000" w:themeColor="text1"/>
          <w:szCs w:val="21"/>
          <w:highlight w:val="none"/>
          <w14:textFill>
            <w14:solidFill>
              <w14:schemeClr w14:val="tx1"/>
            </w14:solidFill>
          </w14:textFill>
        </w:rPr>
        <w:t>应妥当保管甲方财务部门提供的收费收据，在合同到期前，提前一个月将收费收据提交至甲方</w:t>
      </w:r>
      <w:r>
        <w:rPr>
          <w:rFonts w:hint="eastAsia" w:ascii="宋体" w:hAnsi="宋体"/>
          <w:color w:val="000000" w:themeColor="text1"/>
          <w:szCs w:val="21"/>
          <w:highlight w:val="none"/>
          <w14:textFill>
            <w14:solidFill>
              <w14:schemeClr w14:val="tx1"/>
            </w14:solidFill>
          </w14:textFill>
        </w:rPr>
        <w:t>。履约保证金在乙方提供所承诺的货物及服务期满后，并收到乙方申请后5个工作日内退还全部履约保证金（不计利息，如在合同执行过程中违反合同规定或违约，则扣除相应履约保证金后退还剩下履约保证金）。若因乙方的原因未在规定时限内缴纳履约保证金的，则视为违约，</w:t>
      </w:r>
      <w:r>
        <w:rPr>
          <w:rFonts w:hint="eastAsia" w:ascii="宋体" w:hAnsi="宋体" w:cs="宋体"/>
          <w:bCs/>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有权取消其成交资格、拒绝签订合同。若因乙方的原因不能签订合同的，不退还履约保证金。在履约保证金退还日期前，若乙方的开户名称、开户银行、账号有变动的，请以书面形式通知</w:t>
      </w:r>
      <w:r>
        <w:rPr>
          <w:rFonts w:hint="eastAsia" w:ascii="宋体" w:hAnsi="宋体" w:cs="宋体"/>
          <w:bCs/>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，否则由此产生的后果由乙方自负。</w:t>
      </w:r>
      <w:r>
        <w:rPr>
          <w:rFonts w:hint="eastAsia" w:ascii="宋体" w:hAnsi="宋体"/>
          <w:bCs/>
          <w:color w:val="000000" w:themeColor="text1"/>
          <w:szCs w:val="21"/>
          <w:highlight w:val="none"/>
          <w14:textFill>
            <w14:solidFill>
              <w14:schemeClr w14:val="tx1"/>
            </w14:solidFill>
          </w14:textFill>
        </w:rPr>
        <w:t>若因</w:t>
      </w:r>
      <w:r>
        <w:rPr>
          <w:rFonts w:hint="eastAsia" w:ascii="宋体" w:hAnsi="宋体"/>
          <w:color w:val="000000" w:themeColor="text1"/>
          <w:szCs w:val="21"/>
          <w:highlight w:val="none"/>
          <w14:textFill>
            <w14:solidFill>
              <w14:schemeClr w14:val="tx1"/>
            </w14:solidFill>
          </w14:textFill>
        </w:rPr>
        <w:t>乙方</w:t>
      </w:r>
      <w:r>
        <w:rPr>
          <w:rFonts w:hint="eastAsia" w:ascii="宋体" w:hAnsi="宋体"/>
          <w:bCs/>
          <w:color w:val="000000" w:themeColor="text1"/>
          <w:szCs w:val="21"/>
          <w:highlight w:val="none"/>
          <w14:textFill>
            <w14:solidFill>
              <w14:schemeClr w14:val="tx1"/>
            </w14:solidFill>
          </w14:textFill>
        </w:rPr>
        <w:t>丢失履约保证金收费收据，导致无法退还或不能及时退还履约保证金的，由</w:t>
      </w:r>
      <w:r>
        <w:rPr>
          <w:rFonts w:hint="eastAsia" w:ascii="宋体" w:hAnsi="宋体"/>
          <w:color w:val="000000" w:themeColor="text1"/>
          <w:szCs w:val="21"/>
          <w:highlight w:val="none"/>
          <w14:textFill>
            <w14:solidFill>
              <w14:schemeClr w14:val="tx1"/>
            </w14:solidFill>
          </w14:textFill>
        </w:rPr>
        <w:t>乙方</w:t>
      </w:r>
      <w:r>
        <w:rPr>
          <w:rFonts w:hint="eastAsia" w:ascii="宋体" w:hAnsi="宋体"/>
          <w:bCs/>
          <w:color w:val="000000" w:themeColor="text1"/>
          <w:szCs w:val="21"/>
          <w:highlight w:val="none"/>
          <w14:textFill>
            <w14:solidFill>
              <w14:schemeClr w14:val="tx1"/>
            </w14:solidFill>
          </w14:textFill>
        </w:rPr>
        <w:t>自行负责并承担全部责任。</w:t>
      </w:r>
    </w:p>
    <w:p w14:paraId="26822F97">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履约保证金账户：</w:t>
      </w:r>
    </w:p>
    <w:p w14:paraId="6B6885E6">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称：柳州市中医医院（柳州市壮医医院）</w:t>
      </w:r>
    </w:p>
    <w:p w14:paraId="23E5C4CA">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开户行：交通银行柳州中山东支行</w:t>
      </w:r>
    </w:p>
    <w:p w14:paraId="40BB3327">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  号：4520 6050 1018 0000 77552</w:t>
      </w:r>
    </w:p>
    <w:p w14:paraId="68A63ABA">
      <w:pPr>
        <w:snapToGrid w:val="0"/>
        <w:spacing w:line="360" w:lineRule="auto"/>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转账时注明：××××项目，项目编号××××履约保证金</w:t>
      </w:r>
    </w:p>
    <w:p w14:paraId="4C27F06C">
      <w:pPr>
        <w:snapToGrid w:val="0"/>
        <w:spacing w:line="360" w:lineRule="auto"/>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转账的持银行回执复印件（非转账的出具其他保证金递交证明文件）、</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通知书及合同到柳州市中医医院（柳州市壮医医院）签订合同。</w:t>
      </w:r>
    </w:p>
    <w:p w14:paraId="333F4CEE">
      <w:pPr>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付款方式：</w:t>
      </w:r>
    </w:p>
    <w:p w14:paraId="1E771D4E">
      <w:pPr>
        <w:spacing w:line="360" w:lineRule="auto"/>
        <w:ind w:firstLine="426"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项目无预付款，采取定期结算方式进行结算。即乙方按甲方要求完成供货，验收合格后，向甲方提供真实、准确、正式、全额发票以及相关资料，甲方从签订合同后从第七个月开始按实际采购量逐月支付货款。如因乙方自身无法及时提供资料导致无法按时结算，由乙方自行承担责任。如乙方向甲方提供虚假税务发票或委托第三方进行结算，甲方有权拒绝支付乙方的所有货款，报经财政部门同意后，解除合同。如有政策变化等特殊原因，再行商议。</w:t>
      </w:r>
    </w:p>
    <w:p w14:paraId="5AAC00D1">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6.配送及验收要求</w:t>
      </w:r>
    </w:p>
    <w:p w14:paraId="7DB94308">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474D7CEC">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放射性药品的运输，按国家运输、邮政等部门制订的有关规定执行。</w:t>
      </w:r>
      <w:r>
        <w:rPr>
          <w:rFonts w:hint="eastAsia" w:ascii="宋体" w:hAnsi="宋体"/>
          <w:bCs/>
          <w:color w:val="000000" w:themeColor="text1"/>
          <w:szCs w:val="21"/>
          <w:highlight w:val="none"/>
          <w14:textFill>
            <w14:solidFill>
              <w14:schemeClr w14:val="tx1"/>
            </w14:solidFill>
          </w14:textFill>
        </w:rPr>
        <w:t>用于药品运输的车辆及设备必须符合《放射性物品道路运输管理规定》中的相关规定，且由专车运送至甲方指定地点，送货人员持有《道路运输从业人员从业资格证》及《辐射安全与防护培训合格证》。</w:t>
      </w:r>
    </w:p>
    <w:p w14:paraId="02BE3CAF">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3放射性药品进入院区运输过程中，乙方提供铅防护，防护标准符合国家环保要求。</w:t>
      </w:r>
    </w:p>
    <w:p w14:paraId="572ABBF9">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4乙方所供药品应按相关要求包装并实施保护措施，以防止药品在转运中损坏或变质，确保药品安全无损运抵指定地点。如发现药品出现损坏（包括表面损坏），或出现水渍、受潮等导致药品性质改变或含量不足的，乙方必须2日内完成无条件退货。药品在交付甲方前发生的风险均由乙方负责。</w:t>
      </w:r>
    </w:p>
    <w:p w14:paraId="1D7A145B">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乙方根据采购计划按规定送达货物后，</w:t>
      </w:r>
      <w:r>
        <w:rPr>
          <w:rFonts w:hint="eastAsia" w:ascii="宋体" w:hAnsi="宋体"/>
          <w:bCs/>
          <w:color w:val="000000" w:themeColor="text1"/>
          <w:szCs w:val="21"/>
          <w:highlight w:val="none"/>
          <w14:textFill>
            <w14:solidFill>
              <w14:schemeClr w14:val="tx1"/>
            </w14:solidFill>
          </w14:textFill>
        </w:rPr>
        <w:t>将检验报告等验收资料以及一式四份的送货清单交使用部门验收，验收人员验收无误后将送货清单交西药库入库，乙方及使用部门各留一份，剩余两份交由西药库</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甲方按照《中华人民共和国药品管理法》、《放射性药品管理办法》等有关规定，对乙方提供的药品进行验收，验收项目包括：品名、规格、放射性活度、厂家、批号、数量、有效期及外观质量、货物包装等。同时查验乙方及药品资质证件（药品合格证明、检验报告等），若出现质量、有效期、包装不符合要求或证书无效、证书不全等情况，甲方有权拒绝接收，并拒付货款，乙方应当在2日内处理退货并负责收回所退药品，退款从当月货款中扣除，退货不及时的按逾期交货处罚。如发生上述情况</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甲方不承担</w:t>
      </w:r>
      <w:r>
        <w:rPr>
          <w:rFonts w:ascii="宋体" w:hAnsi="宋体"/>
          <w:bCs/>
          <w:color w:val="000000" w:themeColor="text1"/>
          <w:szCs w:val="21"/>
          <w:highlight w:val="none"/>
          <w14:textFill>
            <w14:solidFill>
              <w14:schemeClr w14:val="tx1"/>
            </w14:solidFill>
          </w14:textFill>
        </w:rPr>
        <w:t>乙方</w:t>
      </w:r>
      <w:r>
        <w:rPr>
          <w:rFonts w:hint="eastAsia" w:ascii="宋体" w:hAnsi="宋体"/>
          <w:bCs/>
          <w:color w:val="000000" w:themeColor="text1"/>
          <w:szCs w:val="21"/>
          <w:highlight w:val="none"/>
          <w14:textFill>
            <w14:solidFill>
              <w14:schemeClr w14:val="tx1"/>
            </w14:solidFill>
          </w14:textFill>
        </w:rPr>
        <w:t>由此产生的任何费用，并对其给甲方造成的损失</w:t>
      </w:r>
      <w:r>
        <w:rPr>
          <w:rFonts w:ascii="宋体" w:hAnsi="宋体"/>
          <w:bCs/>
          <w:color w:val="000000" w:themeColor="text1"/>
          <w:szCs w:val="21"/>
          <w:highlight w:val="none"/>
          <w14:textFill>
            <w14:solidFill>
              <w14:schemeClr w14:val="tx1"/>
            </w14:solidFill>
          </w14:textFill>
        </w:rPr>
        <w:t>保留追索</w:t>
      </w:r>
      <w:r>
        <w:rPr>
          <w:rFonts w:hint="eastAsia" w:ascii="宋体" w:hAnsi="宋体"/>
          <w:bCs/>
          <w:color w:val="000000" w:themeColor="text1"/>
          <w:szCs w:val="21"/>
          <w:highlight w:val="none"/>
          <w14:textFill>
            <w14:solidFill>
              <w14:schemeClr w14:val="tx1"/>
            </w14:solidFill>
          </w14:textFill>
        </w:rPr>
        <w:t>权利。</w:t>
      </w:r>
    </w:p>
    <w:p w14:paraId="6F6BA9D1">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6乙方应具备解决紧急问题的能力，如甲方在使用放射性药品的过程中发现问题，乙方应及时到现场解决。</w:t>
      </w:r>
    </w:p>
    <w:p w14:paraId="105EB110">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7药品有异常情况（例如：剂量不符、目测药物异常、溢岀/外漏、包装破损、过期等），乙方必须</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完全回收，并重新提供合格的药品。所有发生的费用由乙方承担。</w:t>
      </w:r>
    </w:p>
    <w:p w14:paraId="1BBB694A">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8乙方定期并及时</w:t>
      </w:r>
      <w:r>
        <w:rPr>
          <w:rFonts w:hint="eastAsia" w:ascii="宋体" w:hAnsi="宋体"/>
          <w:bCs/>
          <w:color w:val="000000" w:themeColor="text1"/>
          <w:szCs w:val="21"/>
          <w:highlight w:val="none"/>
          <w14:textFill>
            <w14:solidFill>
              <w14:schemeClr w14:val="tx1"/>
            </w14:solidFill>
          </w14:textFill>
        </w:rPr>
        <w:t>负责</w:t>
      </w:r>
      <w:r>
        <w:rPr>
          <w:rFonts w:hint="eastAsia" w:ascii="宋体" w:hAnsi="宋体"/>
          <w:bCs/>
          <w:color w:val="000000" w:themeColor="text1"/>
          <w:szCs w:val="21"/>
          <w:highlight w:val="none"/>
          <w14:textFill>
            <w14:solidFill>
              <w14:schemeClr w14:val="tx1"/>
            </w14:solidFill>
          </w14:textFill>
        </w:rPr>
        <w:t>回收所使用药品的防护容器。</w:t>
      </w:r>
    </w:p>
    <w:p w14:paraId="7FC2F161">
      <w:pPr>
        <w:spacing w:line="360" w:lineRule="auto"/>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9乙方每次供货应同时提供该批次药品清单（送货单），提供的送货单上须包含药品名称、规格、单价、数量、总金额、生产厂家、生产批号、有效期、国药准字等信息，同时加盖公章或乙方出库专用章。送货单不得涂改，标记不清的，甲方将拒绝签收。</w:t>
      </w:r>
    </w:p>
    <w:p w14:paraId="6CFEB0DD">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10在药品有效期内，如甲方发现药品存在质量问题的，该批次药品剩余库存乙方应在2日内完成无条件退货，</w:t>
      </w:r>
      <w:r>
        <w:rPr>
          <w:rFonts w:hint="eastAsia" w:ascii="宋体" w:hAnsi="宋体"/>
          <w:color w:val="000000" w:themeColor="text1"/>
          <w:szCs w:val="21"/>
          <w:highlight w:val="none"/>
          <w14:textFill>
            <w14:solidFill>
              <w14:schemeClr w14:val="tx1"/>
            </w14:solidFill>
          </w14:textFill>
        </w:rPr>
        <w:t>甲方按</w:t>
      </w:r>
      <w:r>
        <w:rPr>
          <w:rFonts w:hint="eastAsia" w:ascii="宋体" w:hAnsi="宋体"/>
          <w:color w:val="000000" w:themeColor="text1"/>
          <w:szCs w:val="21"/>
          <w:highlight w:val="none"/>
          <w14:textFill>
            <w14:solidFill>
              <w14:schemeClr w14:val="tx1"/>
            </w14:solidFill>
          </w14:textFill>
        </w:rPr>
        <w:t>“合同基本条款”</w:t>
      </w:r>
      <w:r>
        <w:rPr>
          <w:rFonts w:hint="eastAsia" w:ascii="宋体" w:hAnsi="宋体"/>
          <w:color w:val="000000" w:themeColor="text1"/>
          <w:szCs w:val="21"/>
          <w:highlight w:val="none"/>
          <w14:textFill>
            <w14:solidFill>
              <w14:schemeClr w14:val="tx1"/>
            </w14:solidFill>
          </w14:textFill>
        </w:rPr>
        <w:t>中的“</w:t>
      </w:r>
      <w:r>
        <w:rPr>
          <w:rFonts w:hint="eastAsia" w:ascii="宋体" w:hAnsi="宋体"/>
          <w:bCs/>
          <w:color w:val="000000" w:themeColor="text1"/>
          <w:szCs w:val="21"/>
          <w:highlight w:val="none"/>
          <w14:textFill>
            <w14:solidFill>
              <w14:schemeClr w14:val="tx1"/>
            </w14:solidFill>
          </w14:textFill>
        </w:rPr>
        <w:t>违约</w:t>
      </w:r>
      <w:r>
        <w:rPr>
          <w:rFonts w:hint="eastAsia" w:ascii="宋体" w:hAnsi="宋体"/>
          <w:bCs/>
          <w:color w:val="000000" w:themeColor="text1"/>
          <w:szCs w:val="21"/>
          <w:highlight w:val="none"/>
          <w14:textFill>
            <w14:solidFill>
              <w14:schemeClr w14:val="tx1"/>
            </w14:solidFill>
          </w14:textFill>
        </w:rPr>
        <w:t>责任</w:t>
      </w:r>
      <w:r>
        <w:rPr>
          <w:rFonts w:hint="eastAsia" w:ascii="宋体" w:hAnsi="宋体"/>
          <w:color w:val="000000" w:themeColor="text1"/>
          <w:szCs w:val="21"/>
          <w:highlight w:val="none"/>
          <w14:textFill>
            <w14:solidFill>
              <w14:schemeClr w14:val="tx1"/>
            </w14:solidFill>
          </w14:textFill>
        </w:rPr>
        <w:t>”的第5条处罚，如由此造成的一切损失(包括经济损失、消除影响等)均由乙方无条件承担</w:t>
      </w:r>
      <w:r>
        <w:rPr>
          <w:rFonts w:ascii="宋体" w:hAnsi="宋体"/>
          <w:color w:val="000000" w:themeColor="text1"/>
          <w:szCs w:val="21"/>
          <w:highlight w:val="none"/>
          <w14:textFill>
            <w14:solidFill>
              <w14:schemeClr w14:val="tx1"/>
            </w14:solidFill>
          </w14:textFill>
        </w:rPr>
        <w:t>。</w:t>
      </w:r>
    </w:p>
    <w:p w14:paraId="01D3ED00">
      <w:pPr>
        <w:spacing w:line="360" w:lineRule="auto"/>
        <w:ind w:firstLine="422"/>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7</w:t>
      </w:r>
      <w:r>
        <w:rPr>
          <w:rFonts w:hint="eastAsia" w:ascii="宋体" w:hAnsi="宋体"/>
          <w:b/>
          <w:color w:val="000000" w:themeColor="text1"/>
          <w:szCs w:val="21"/>
          <w:highlight w:val="none"/>
          <w14:textFill>
            <w14:solidFill>
              <w14:schemeClr w14:val="tx1"/>
            </w14:solidFill>
          </w14:textFill>
        </w:rPr>
        <w:t>.交货时间</w:t>
      </w:r>
      <w:r>
        <w:rPr>
          <w:rFonts w:ascii="宋体" w:hAnsi="宋体"/>
          <w:b/>
          <w:color w:val="000000" w:themeColor="text1"/>
          <w:szCs w:val="21"/>
          <w:highlight w:val="none"/>
          <w14:textFill>
            <w14:solidFill>
              <w14:schemeClr w14:val="tx1"/>
            </w14:solidFill>
          </w14:textFill>
        </w:rPr>
        <w:t>和</w:t>
      </w:r>
      <w:r>
        <w:rPr>
          <w:rFonts w:hint="eastAsia" w:ascii="宋体" w:hAnsi="宋体"/>
          <w:b/>
          <w:color w:val="000000" w:themeColor="text1"/>
          <w:szCs w:val="21"/>
          <w:highlight w:val="none"/>
          <w14:textFill>
            <w14:solidFill>
              <w14:schemeClr w14:val="tx1"/>
            </w14:solidFill>
          </w14:textFill>
        </w:rPr>
        <w:t>地点</w:t>
      </w:r>
    </w:p>
    <w:p w14:paraId="3A37BCE4">
      <w:pPr>
        <w:snapToGrid w:val="0"/>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根据甲方需求，分批次供货。</w:t>
      </w:r>
      <w:r>
        <w:rPr>
          <w:rFonts w:hint="eastAsia" w:ascii="宋体" w:hAnsi="宋体"/>
          <w:bCs/>
          <w:color w:val="000000" w:themeColor="text1"/>
          <w:szCs w:val="21"/>
          <w:highlight w:val="none"/>
          <w14:textFill>
            <w14:solidFill>
              <w14:schemeClr w14:val="tx1"/>
            </w14:solidFill>
          </w14:textFill>
        </w:rPr>
        <w:t>甲方按需提前</w:t>
      </w:r>
      <w:r>
        <w:rPr>
          <w:rFonts w:ascii="宋体" w:hAnsi="宋体"/>
          <w:bCs/>
          <w:color w:val="000000" w:themeColor="text1"/>
          <w:szCs w:val="21"/>
          <w:highlight w:val="none"/>
          <w14:textFill>
            <w14:solidFill>
              <w14:schemeClr w14:val="tx1"/>
            </w14:solidFill>
          </w14:textFill>
        </w:rPr>
        <w:t>作出采购</w:t>
      </w:r>
      <w:r>
        <w:rPr>
          <w:rFonts w:hint="eastAsia" w:ascii="宋体" w:hAnsi="宋体"/>
          <w:bCs/>
          <w:color w:val="000000" w:themeColor="text1"/>
          <w:szCs w:val="21"/>
          <w:highlight w:val="none"/>
          <w14:textFill>
            <w14:solidFill>
              <w14:schemeClr w14:val="tx1"/>
            </w14:solidFill>
          </w14:textFill>
        </w:rPr>
        <w:t>计划，乙方须</w:t>
      </w:r>
      <w:r>
        <w:rPr>
          <w:rFonts w:ascii="宋体" w:hAnsi="宋体"/>
          <w:bCs/>
          <w:color w:val="000000" w:themeColor="text1"/>
          <w:szCs w:val="21"/>
          <w:highlight w:val="none"/>
          <w14:textFill>
            <w14:solidFill>
              <w14:schemeClr w14:val="tx1"/>
            </w14:solidFill>
          </w14:textFill>
        </w:rPr>
        <w:t>保证</w:t>
      </w:r>
      <w:r>
        <w:rPr>
          <w:rFonts w:hint="eastAsia" w:ascii="宋体" w:hAnsi="宋体"/>
          <w:bCs/>
          <w:color w:val="000000" w:themeColor="text1"/>
          <w:szCs w:val="21"/>
          <w:highlight w:val="none"/>
          <w14:textFill>
            <w14:solidFill>
              <w14:schemeClr w14:val="tx1"/>
            </w14:solidFill>
          </w14:textFill>
        </w:rPr>
        <w:t>在接到</w:t>
      </w:r>
      <w:r>
        <w:rPr>
          <w:rFonts w:ascii="宋体" w:hAnsi="宋体"/>
          <w:bCs/>
          <w:color w:val="000000" w:themeColor="text1"/>
          <w:szCs w:val="21"/>
          <w:highlight w:val="none"/>
          <w14:textFill>
            <w14:solidFill>
              <w14:schemeClr w14:val="tx1"/>
            </w14:solidFill>
          </w14:textFill>
        </w:rPr>
        <w:t>采购计划</w:t>
      </w:r>
      <w:r>
        <w:rPr>
          <w:rFonts w:hint="eastAsia" w:ascii="宋体" w:hAnsi="宋体"/>
          <w:bCs/>
          <w:color w:val="000000" w:themeColor="text1"/>
          <w:szCs w:val="21"/>
          <w:highlight w:val="none"/>
          <w14:textFill>
            <w14:solidFill>
              <w14:schemeClr w14:val="tx1"/>
            </w14:solidFill>
          </w14:textFill>
        </w:rPr>
        <w:t>后2日</w:t>
      </w:r>
      <w:r>
        <w:rPr>
          <w:rFonts w:ascii="宋体" w:hAnsi="宋体"/>
          <w:bCs/>
          <w:color w:val="000000" w:themeColor="text1"/>
          <w:szCs w:val="21"/>
          <w:highlight w:val="none"/>
          <w14:textFill>
            <w14:solidFill>
              <w14:schemeClr w14:val="tx1"/>
            </w14:solidFill>
          </w14:textFill>
        </w:rPr>
        <w:t>内将货物送</w:t>
      </w:r>
      <w:r>
        <w:rPr>
          <w:rFonts w:hint="eastAsia" w:ascii="宋体" w:hAnsi="宋体"/>
          <w:bCs/>
          <w:color w:val="000000" w:themeColor="text1"/>
          <w:szCs w:val="21"/>
          <w:highlight w:val="none"/>
          <w14:textFill>
            <w14:solidFill>
              <w14:schemeClr w14:val="tx1"/>
            </w14:solidFill>
          </w14:textFill>
        </w:rPr>
        <w:t>达甲方</w:t>
      </w:r>
      <w:r>
        <w:rPr>
          <w:rFonts w:ascii="宋体" w:hAnsi="宋体"/>
          <w:bCs/>
          <w:color w:val="000000" w:themeColor="text1"/>
          <w:szCs w:val="21"/>
          <w:highlight w:val="none"/>
          <w14:textFill>
            <w14:solidFill>
              <w14:schemeClr w14:val="tx1"/>
            </w14:solidFill>
          </w14:textFill>
        </w:rPr>
        <w:t>指定地点</w:t>
      </w:r>
      <w:r>
        <w:rPr>
          <w:rFonts w:hint="eastAsia" w:ascii="宋体" w:hAnsi="宋体"/>
          <w:bCs/>
          <w:color w:val="000000" w:themeColor="text1"/>
          <w:szCs w:val="21"/>
          <w:highlight w:val="none"/>
          <w14:textFill>
            <w14:solidFill>
              <w14:schemeClr w14:val="tx1"/>
            </w14:solidFill>
          </w14:textFill>
        </w:rPr>
        <w:t>（如：莲花山院区门诊负一楼核医学科）</w:t>
      </w:r>
    </w:p>
    <w:p w14:paraId="075650E6">
      <w:pPr>
        <w:snapToGrid w:val="0"/>
        <w:spacing w:line="360" w:lineRule="auto"/>
        <w:ind w:firstLine="422"/>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8</w:t>
      </w:r>
      <w:r>
        <w:rPr>
          <w:rFonts w:hint="eastAsia" w:ascii="宋体" w:hAnsi="宋体"/>
          <w:b/>
          <w:color w:val="000000" w:themeColor="text1"/>
          <w:szCs w:val="21"/>
          <w:highlight w:val="none"/>
          <w14:textFill>
            <w14:solidFill>
              <w14:schemeClr w14:val="tx1"/>
            </w14:solidFill>
          </w14:textFill>
        </w:rPr>
        <w:t>.送达条款</w:t>
      </w:r>
    </w:p>
    <w:p w14:paraId="156A3869">
      <w:pPr>
        <w:snapToGrid w:val="0"/>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1甲、乙双方在本合同中注明的通讯地址/联系电话/电子邮箱为双方往来信函等文件送达地址/联系电话/电子邮箱；若一方变更地址/联系电话/电子邮箱，应当自变更之日起三日内以书面形式通知对方，否则视为没有变更，该方自行承担由此导致的法律责任和法律后果。</w:t>
      </w:r>
    </w:p>
    <w:p w14:paraId="2702D81B">
      <w:pPr>
        <w:spacing w:line="360" w:lineRule="auto"/>
        <w:ind w:firstLine="426" w:firstLineChars="0"/>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一方可以当面送交、快递、传真、短信、电子邮件等方式向对方送达文件，对方应当予以签收当面送交、快递送达的文件；若对方不予以签收，以传真、快递方式送达的，自传真发出之日起、信件交邮局或交快递公司之日起三日届满即视为已送达。以电子邮件方式、短信发出的，电子邮件到达对方邮箱之日、短信送达对方手机之日视为已送达。</w:t>
      </w:r>
    </w:p>
    <w:p w14:paraId="332953FC">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9</w:t>
      </w:r>
      <w:r>
        <w:rPr>
          <w:rFonts w:hint="eastAsia" w:ascii="宋体" w:hAnsi="宋体"/>
          <w:b/>
          <w:color w:val="000000" w:themeColor="text1"/>
          <w:szCs w:val="21"/>
          <w:highlight w:val="none"/>
          <w14:textFill>
            <w14:solidFill>
              <w14:schemeClr w14:val="tx1"/>
            </w14:solidFill>
          </w14:textFill>
        </w:rPr>
        <w:t>.合同生效及其它</w:t>
      </w:r>
    </w:p>
    <w:p w14:paraId="0865B1AC">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本合同一式六份，经甲乙双方法定代表人或委托代理人签字并加盖公章或合同章后生效。甲方执三份，乙方执二份，采购代理机构执一份。</w:t>
      </w:r>
    </w:p>
    <w:p w14:paraId="16D14651">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758355AF">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4A7B069F">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甲方：（公章或合同章）                    乙方：（公章或合同章）</w:t>
      </w:r>
    </w:p>
    <w:p w14:paraId="6CB9D8E7">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法定代表人                              法定代表人 </w:t>
      </w:r>
    </w:p>
    <w:p w14:paraId="30C2F946">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或委托代理人：                          或委托代理人：</w:t>
      </w:r>
    </w:p>
    <w:p w14:paraId="42E1C6E0">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地    址：                              地    址： </w:t>
      </w:r>
    </w:p>
    <w:p w14:paraId="6A974E0C">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                              联系电话：</w:t>
      </w:r>
    </w:p>
    <w:p w14:paraId="499A17EC">
      <w:pPr>
        <w:spacing w:line="360" w:lineRule="auto"/>
        <w:ind w:firstLine="1470" w:firstLineChars="7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账    号：</w:t>
      </w:r>
    </w:p>
    <w:p w14:paraId="37949259">
      <w:pPr>
        <w:spacing w:line="360" w:lineRule="auto"/>
        <w:ind w:firstLine="1470" w:firstLineChars="7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开 户 行：</w:t>
      </w:r>
    </w:p>
    <w:p w14:paraId="59BF4376">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合同签订时间：                                   </w:t>
      </w:r>
    </w:p>
    <w:p w14:paraId="198BEB9F">
      <w:pPr>
        <w:spacing w:line="360" w:lineRule="auto"/>
        <w:ind w:firstLine="426" w:firstLineChars="0"/>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合同签订地点：</w:t>
      </w:r>
    </w:p>
    <w:p w14:paraId="27DAFFDD">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Cs w:val="21"/>
          <w:highlight w:val="none"/>
          <w14:textFill>
            <w14:solidFill>
              <w14:schemeClr w14:val="tx1"/>
            </w14:solidFill>
          </w14:textFill>
        </w:rPr>
        <w:t xml:space="preserve"> 合同基本条款</w:t>
      </w:r>
    </w:p>
    <w:p w14:paraId="1796979B">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    说明</w:t>
      </w:r>
    </w:p>
    <w:p w14:paraId="0742D261">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1.1合同基本条款是指采购人（以下简称甲方）和成交人（以下简称乙方）应共同遵守的基本原则，并做为双方签约的依据。对于合同的其他条款，双方应本着互谅互让的精神，在谈判中协商解决。</w:t>
      </w:r>
    </w:p>
    <w:p w14:paraId="298D8824">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1.2制订《合同基本条款》的依据是：《中华人民共和国民法典》。</w:t>
      </w:r>
      <w:r>
        <w:rPr>
          <w:rFonts w:hint="eastAsia" w:ascii="宋体" w:hAnsi="宋体"/>
          <w:color w:val="000000" w:themeColor="text1"/>
          <w:szCs w:val="21"/>
          <w:highlight w:val="none"/>
          <w14:textFill>
            <w14:solidFill>
              <w14:schemeClr w14:val="tx1"/>
            </w14:solidFill>
          </w14:textFill>
        </w:rPr>
        <w:cr/>
      </w:r>
    </w:p>
    <w:p w14:paraId="35AC89B2">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    货物条款</w:t>
      </w:r>
    </w:p>
    <w:p w14:paraId="372B497B">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2.1甲、乙双方应将采购文件、响应文件及评标委员会确认的货物名称、规格型号、技术要求、质量标准、数量、交货日期和售后服务内容等作为本条款的基础。</w:t>
      </w:r>
    </w:p>
    <w:p w14:paraId="12AEC908">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5662E71C">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    技术资料</w:t>
      </w:r>
    </w:p>
    <w:p w14:paraId="2B4907A6">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3.1甲方向乙方提供所竞标采购的货物等有关技术资料。</w:t>
      </w:r>
    </w:p>
    <w:p w14:paraId="2BB7230E">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3.2乙方须按采购文件规定的时间向甲方提供使用货物的有关技术资料。</w:t>
      </w:r>
    </w:p>
    <w:p w14:paraId="2BC888F5">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3.3乙方响应文件中注明产品为进口的，须提供海关商检等货物合格证明。</w:t>
      </w:r>
    </w:p>
    <w:p w14:paraId="473AF3AC">
      <w:pPr>
        <w:spacing w:line="360" w:lineRule="auto"/>
        <w:ind w:firstLine="426" w:firstLineChars="0"/>
        <w:jc w:val="left"/>
        <w:rPr>
          <w:rFonts w:ascii="宋体" w:hAnsi="宋体"/>
          <w:color w:val="000000" w:themeColor="text1"/>
          <w:szCs w:val="21"/>
          <w:highlight w:val="none"/>
          <w14:textFill>
            <w14:solidFill>
              <w14:schemeClr w14:val="tx1"/>
            </w14:solidFill>
          </w14:textFill>
        </w:rPr>
      </w:pPr>
    </w:p>
    <w:p w14:paraId="3BA2F111">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    质量保证</w:t>
      </w:r>
    </w:p>
    <w:p w14:paraId="7506DC02">
      <w:pPr>
        <w:spacing w:line="360" w:lineRule="auto"/>
        <w:ind w:firstLine="426" w:firstLineChars="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1乙方根据合同要求交货后，必须定期跟踪落实产品的使用情况，在保质期内出现质量问题的，无条件更换。提供服务专线，并有专人负责以方便工作联系和服务。负责</w:t>
      </w:r>
      <w:r>
        <w:rPr>
          <w:rFonts w:ascii="宋体" w:hAnsi="宋体"/>
          <w:bCs/>
          <w:color w:val="000000" w:themeColor="text1"/>
          <w:szCs w:val="21"/>
          <w:highlight w:val="none"/>
          <w14:textFill>
            <w14:solidFill>
              <w14:schemeClr w14:val="tx1"/>
            </w14:solidFill>
          </w14:textFill>
        </w:rPr>
        <w:t>人姓名：</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电话</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233339D5">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14:paraId="7F3E52A7">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乙方应保证产品涉及到的知识产权和所提供的相关技术资料是合法取得，并享有完整的知识产权，不会因为甲方的使用而被责令停止使用、追偿或要求赔偿损失，如出现此情况，一切经济和法律责任均由乙方承担。</w:t>
      </w:r>
    </w:p>
    <w:p w14:paraId="14F5CC4D">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4.4所有产品必须为正规厂家生产的全新、合格、无侵权货品，符合国家有关安全、环保、包装标准。</w:t>
      </w:r>
    </w:p>
    <w:p w14:paraId="34AB74B9">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4.5乙方所供应的产品应不低于采购文件规定的技术质量相关要求，否则视为不合格产品，甲方有权退货、并拒付货款；如发生上述情况，甲方不承担乙方由此产生的任何费用，并对其给甲方造成的损失保留追索权利。</w:t>
      </w:r>
    </w:p>
    <w:p w14:paraId="30A9B360">
      <w:pPr>
        <w:adjustRightInd w:val="0"/>
        <w:spacing w:line="360" w:lineRule="auto"/>
        <w:ind w:firstLine="42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4.6对于双方存在争议的产品，甲方有权随机抽取相同产品1件（套）送质检部门（由甲方指定）检测，所需经费（含差旅费用和检测产生的相关费用及样品费用等）由乙方承担，乙方同时须补齐被抽取作为检测样品的产品。</w:t>
      </w:r>
    </w:p>
    <w:p w14:paraId="79533F5D">
      <w:pPr>
        <w:widowControl/>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4.7未尽事宜按国家现行有关规范、标准执行。</w:t>
      </w:r>
    </w:p>
    <w:p w14:paraId="09B2DCA8">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p>
    <w:p w14:paraId="2DC7D4E7">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    配送</w:t>
      </w:r>
      <w:r>
        <w:rPr>
          <w:rFonts w:ascii="宋体" w:hAnsi="宋体"/>
          <w:b/>
          <w:color w:val="000000" w:themeColor="text1"/>
          <w:szCs w:val="21"/>
          <w:highlight w:val="none"/>
          <w14:textFill>
            <w14:solidFill>
              <w14:schemeClr w14:val="tx1"/>
            </w14:solidFill>
          </w14:textFill>
        </w:rPr>
        <w:t>及</w:t>
      </w:r>
      <w:r>
        <w:rPr>
          <w:rFonts w:hint="eastAsia" w:ascii="宋体" w:hAnsi="宋体"/>
          <w:b/>
          <w:color w:val="000000" w:themeColor="text1"/>
          <w:szCs w:val="21"/>
          <w:highlight w:val="none"/>
          <w14:textFill>
            <w14:solidFill>
              <w14:schemeClr w14:val="tx1"/>
            </w14:solidFill>
          </w14:textFill>
        </w:rPr>
        <w:t>验收</w:t>
      </w:r>
    </w:p>
    <w:p w14:paraId="663F5A69">
      <w:pPr>
        <w:widowControl/>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5.1配送及验收：详见合同正文第6条。</w:t>
      </w:r>
    </w:p>
    <w:p w14:paraId="277C6CB3">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    交货期及交货方式</w:t>
      </w:r>
    </w:p>
    <w:p w14:paraId="6B62E0D9">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.1交货期及交货方式：详见合同正文第</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条。</w:t>
      </w:r>
    </w:p>
    <w:p w14:paraId="4B58CC28">
      <w:pPr>
        <w:spacing w:line="360" w:lineRule="auto"/>
        <w:ind w:firstLine="3687" w:firstLineChars="1749"/>
        <w:jc w:val="left"/>
        <w:rPr>
          <w:rFonts w:ascii="宋体" w:hAnsi="宋体"/>
          <w:b/>
          <w:color w:val="000000" w:themeColor="text1"/>
          <w:szCs w:val="21"/>
          <w:highlight w:val="none"/>
          <w14:textFill>
            <w14:solidFill>
              <w14:schemeClr w14:val="tx1"/>
            </w14:solidFill>
          </w14:textFill>
        </w:rPr>
      </w:pPr>
    </w:p>
    <w:p w14:paraId="289D06F4">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    付款方式</w:t>
      </w:r>
    </w:p>
    <w:p w14:paraId="2B20921D">
      <w:pPr>
        <w:spacing w:line="360" w:lineRule="auto"/>
        <w:ind w:firstLine="426"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7.1付款方式：详见合同正文第5.2条。</w:t>
      </w:r>
    </w:p>
    <w:p w14:paraId="1B92235A">
      <w:pPr>
        <w:spacing w:line="360" w:lineRule="auto"/>
        <w:ind w:firstLine="3776" w:firstLineChars="1791"/>
        <w:jc w:val="left"/>
        <w:rPr>
          <w:rFonts w:ascii="宋体" w:hAnsi="宋体"/>
          <w:b/>
          <w:color w:val="000000" w:themeColor="text1"/>
          <w:szCs w:val="21"/>
          <w:highlight w:val="none"/>
          <w14:textFill>
            <w14:solidFill>
              <w14:schemeClr w14:val="tx1"/>
            </w14:solidFill>
          </w14:textFill>
        </w:rPr>
      </w:pPr>
    </w:p>
    <w:p w14:paraId="5062EBBE">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    违约责任</w:t>
      </w:r>
    </w:p>
    <w:p w14:paraId="0DB3274A">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1乙方提供的货物如侵犯了第三方合法权益而引发的任何纠纷或诉讼，均由乙方自行负责交涉并承担全部责任。</w:t>
      </w:r>
    </w:p>
    <w:p w14:paraId="2CF6EDCB">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2甲方发出供货通知后，乙方未在</w:t>
      </w:r>
      <w:r>
        <w:rPr>
          <w:rFonts w:hint="eastAsia" w:ascii="宋体" w:hAnsi="宋体" w:cs="宋体"/>
          <w:bCs/>
          <w:color w:val="000000" w:themeColor="text1"/>
          <w:szCs w:val="21"/>
          <w:highlight w:val="none"/>
          <w14:textFill>
            <w14:solidFill>
              <w14:schemeClr w14:val="tx1"/>
            </w14:solidFill>
          </w14:textFill>
        </w:rPr>
        <w:t>2日</w:t>
      </w:r>
      <w:r>
        <w:rPr>
          <w:rFonts w:hint="eastAsia" w:ascii="宋体" w:hAnsi="宋体" w:cs="宋体"/>
          <w:bCs/>
          <w:color w:val="000000" w:themeColor="text1"/>
          <w:szCs w:val="21"/>
          <w:highlight w:val="none"/>
          <w14:textFill>
            <w14:solidFill>
              <w14:schemeClr w14:val="tx1"/>
            </w14:solidFill>
          </w14:textFill>
        </w:rPr>
        <w:t>内送达指定地点的，影响临床用药的，每逾期一天按本批货物金额的5%计算违约金，从履约保证金中扣罚，</w:t>
      </w:r>
      <w:r>
        <w:rPr>
          <w:rFonts w:hint="eastAsia" w:ascii="宋体" w:hAnsi="宋体" w:cs="宋体"/>
          <w:color w:val="000000" w:themeColor="text1"/>
          <w:szCs w:val="21"/>
          <w:highlight w:val="none"/>
          <w14:textFill>
            <w14:solidFill>
              <w14:schemeClr w14:val="tx1"/>
            </w14:solidFill>
          </w14:textFill>
        </w:rPr>
        <w:t>不足的从货款中扣罚。</w:t>
      </w:r>
      <w:r>
        <w:rPr>
          <w:rFonts w:hint="eastAsia" w:ascii="宋体" w:hAnsi="宋体" w:cs="宋体"/>
          <w:bCs/>
          <w:color w:val="000000" w:themeColor="text1"/>
          <w:szCs w:val="21"/>
          <w:highlight w:val="none"/>
          <w14:textFill>
            <w14:solidFill>
              <w14:schemeClr w14:val="tx1"/>
            </w14:solidFill>
          </w14:textFill>
        </w:rPr>
        <w:t>如逾期达3次，报经财政部门同意后，甲方有权单方</w:t>
      </w:r>
      <w:r>
        <w:rPr>
          <w:rFonts w:hint="eastAsia" w:ascii="宋体" w:hAnsi="宋体" w:cs="宋体"/>
          <w:bCs/>
          <w:color w:val="000000" w:themeColor="text1"/>
          <w:szCs w:val="21"/>
          <w:highlight w:val="none"/>
          <w14:textFill>
            <w14:solidFill>
              <w14:schemeClr w14:val="tx1"/>
            </w14:solidFill>
          </w14:textFill>
        </w:rPr>
        <w:t>解除</w:t>
      </w:r>
      <w:r>
        <w:rPr>
          <w:rFonts w:hint="eastAsia" w:ascii="宋体" w:hAnsi="宋体" w:cs="宋体"/>
          <w:bCs/>
          <w:color w:val="000000" w:themeColor="text1"/>
          <w:szCs w:val="21"/>
          <w:highlight w:val="none"/>
          <w14:textFill>
            <w14:solidFill>
              <w14:schemeClr w14:val="tx1"/>
            </w14:solidFill>
          </w14:textFill>
        </w:rPr>
        <w:t>合同。</w:t>
      </w:r>
    </w:p>
    <w:p w14:paraId="180D4929">
      <w:pPr>
        <w:spacing w:line="360" w:lineRule="auto"/>
        <w:ind w:firstLine="420" w:firstLineChars="0"/>
        <w:rPr>
          <w:rFonts w:ascii="宋体" w:hAnsi="宋体" w:cs="宋体"/>
          <w:color w:val="000000" w:themeColor="text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3乙方送货工作人员不遵守甲方管理规定，做出有损甲方形象和利益的事情，</w:t>
      </w:r>
      <w:r>
        <w:rPr>
          <w:rFonts w:hint="eastAsia" w:ascii="宋体" w:hAnsi="宋体" w:cs="宋体"/>
          <w:color w:val="000000" w:themeColor="text1"/>
          <w:highlight w:val="none"/>
          <w14:textFill>
            <w14:solidFill>
              <w14:schemeClr w14:val="tx1"/>
            </w14:solidFill>
          </w14:textFill>
        </w:rPr>
        <w:t>每次按本批货物金额的5%计算违约金。</w:t>
      </w:r>
    </w:p>
    <w:p w14:paraId="50BC5727">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4在包装、运输、装卸等环节不符合国家相关要求的，甲方有权拒收货物，每次按本批货物金额的5%计算违约金。</w:t>
      </w:r>
    </w:p>
    <w:p w14:paraId="646841EA">
      <w:pPr>
        <w:spacing w:line="360" w:lineRule="auto"/>
        <w:ind w:firstLine="420" w:firstLineChars="0"/>
        <w:rPr>
          <w:rFonts w:ascii="宋体" w:hAnsi="宋体"/>
          <w:bCs/>
          <w:color w:val="000000" w:themeColor="text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货物质量验收不合格，每次按本批货物金额的10%计算违约金，达两次的按下文第6条处理。</w:t>
      </w:r>
    </w:p>
    <w:p w14:paraId="0EB5AA8B">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 xml:space="preserve">6有下列行为之一的，报经财政部门同意后，甲方有权单方取消其成交资格、解除合同，按本项目的合同总金额（   </w:t>
      </w:r>
      <w:r>
        <w:rPr>
          <w:rFonts w:ascii="宋体" w:hAnsi="宋体" w:cs="宋体"/>
          <w:bCs/>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元）的</w:t>
      </w:r>
      <w:r>
        <w:rPr>
          <w:rFonts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%计算扣减违约金，因所供产品质量不合格导致其他损失的，乙方应赔偿所有相关损失。</w:t>
      </w:r>
    </w:p>
    <w:p w14:paraId="6A5C45A0">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（1）提供任何虚假资料的。</w:t>
      </w:r>
    </w:p>
    <w:p w14:paraId="70E7EEA1">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（2）未经甲方同意，擅自</w:t>
      </w:r>
      <w:r>
        <w:rPr>
          <w:rFonts w:hint="eastAsia" w:ascii="宋体" w:hAnsi="宋体" w:cs="宋体"/>
          <w:color w:val="000000" w:themeColor="text1"/>
          <w:szCs w:val="21"/>
          <w:highlight w:val="none"/>
          <w14:textFill>
            <w14:solidFill>
              <w14:schemeClr w14:val="tx1"/>
            </w14:solidFill>
          </w14:textFill>
        </w:rPr>
        <w:t>提高药品供货价格的</w:t>
      </w:r>
      <w:r>
        <w:rPr>
          <w:rFonts w:hint="eastAsia" w:ascii="宋体" w:hAnsi="宋体" w:cs="宋体"/>
          <w:bCs/>
          <w:color w:val="000000" w:themeColor="text1"/>
          <w:szCs w:val="21"/>
          <w:highlight w:val="none"/>
          <w14:textFill>
            <w14:solidFill>
              <w14:schemeClr w14:val="tx1"/>
            </w14:solidFill>
          </w14:textFill>
        </w:rPr>
        <w:t>；</w:t>
      </w:r>
    </w:p>
    <w:p w14:paraId="0CBA78B9">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（3）私自转让协议给其他厂商进行供货的；</w:t>
      </w:r>
    </w:p>
    <w:p w14:paraId="68B609C7">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（4）验收发现所供药品质量不合格达两次以上的；</w:t>
      </w:r>
    </w:p>
    <w:p w14:paraId="2AA1F674">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（5）把甲方验收不合格退货的药品重新供应给甲方的；</w:t>
      </w:r>
    </w:p>
    <w:p w14:paraId="22788DD8">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（6）所供应的药品为假药、劣药的；</w:t>
      </w:r>
    </w:p>
    <w:p w14:paraId="05E658CF">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（7）乙方</w:t>
      </w:r>
      <w:r>
        <w:rPr>
          <w:rFonts w:hint="eastAsia" w:ascii="宋体" w:hAnsi="宋体" w:cs="宋体"/>
          <w:color w:val="000000" w:themeColor="text1"/>
          <w:szCs w:val="21"/>
          <w:highlight w:val="none"/>
          <w14:textFill>
            <w14:solidFill>
              <w14:schemeClr w14:val="tx1"/>
            </w14:solidFill>
          </w14:textFill>
        </w:rPr>
        <w:t>对药品安全及药品质量等各项检查不严格，造成甲方重大损失，影响监管安全的；</w:t>
      </w:r>
    </w:p>
    <w:p w14:paraId="70E9BFA8">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（8）在合同期内，非甲方原因，不能按合同及采购要求供货次数达到3次；</w:t>
      </w:r>
    </w:p>
    <w:p w14:paraId="526A94A7">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（9）将本项目转让、分包给他人的；</w:t>
      </w:r>
    </w:p>
    <w:p w14:paraId="5DD5B7FD">
      <w:pPr>
        <w:spacing w:line="360" w:lineRule="auto"/>
        <w:ind w:firstLine="420"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（10）不按响应文件服务承诺有关条款约定履行的。</w:t>
      </w:r>
    </w:p>
    <w:p w14:paraId="1415CFC9">
      <w:pPr>
        <w:spacing w:line="360" w:lineRule="auto"/>
        <w:ind w:firstLine="420"/>
        <w:rPr>
          <w:rFonts w:ascii="宋体" w:hAnsi="宋体"/>
          <w:b/>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7如乙方存在以上违约情形，违约金优先从履约保证金中扣减，如因小微企业或监狱企业或残疾人福利性单位无需缴纳履约保证金或履约保证金扣除后不足部分，则从货款中扣减。</w:t>
      </w:r>
    </w:p>
    <w:p w14:paraId="23D1014D">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    不可抗力事件处理</w:t>
      </w:r>
    </w:p>
    <w:p w14:paraId="242BB20E">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.1在合同有效期限内，任何一方因不可抗力事件导致不能履行合同，则合同履行期可延长，其延长期与不可抗力影响期相同。</w:t>
      </w:r>
    </w:p>
    <w:p w14:paraId="3B5A76B6">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.2不可抗力事件发生后，应立即通知对方，并寄送有关权威机构出具的证明。</w:t>
      </w:r>
    </w:p>
    <w:p w14:paraId="188903BA">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.3不可抗力事件延续120天以上，双方应通过友好协商，确定是否继续履行合同。</w:t>
      </w:r>
    </w:p>
    <w:p w14:paraId="5B60C7B7">
      <w:pPr>
        <w:spacing w:line="360" w:lineRule="auto"/>
        <w:ind w:firstLine="3776" w:firstLineChars="1791"/>
        <w:jc w:val="left"/>
        <w:rPr>
          <w:rFonts w:ascii="宋体" w:hAnsi="宋体"/>
          <w:b/>
          <w:color w:val="000000" w:themeColor="text1"/>
          <w:szCs w:val="21"/>
          <w:highlight w:val="none"/>
          <w14:textFill>
            <w14:solidFill>
              <w14:schemeClr w14:val="tx1"/>
            </w14:solidFill>
          </w14:textFill>
        </w:rPr>
      </w:pPr>
    </w:p>
    <w:p w14:paraId="2ADAACD2">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    合同争议解决</w:t>
      </w:r>
    </w:p>
    <w:p w14:paraId="2224B900">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10.1</w:t>
      </w:r>
      <w:r>
        <w:rPr>
          <w:rFonts w:hint="eastAsia" w:ascii="宋体" w:hAnsi="宋体"/>
          <w:color w:val="000000" w:themeColor="text1"/>
          <w:szCs w:val="21"/>
          <w:highlight w:val="none"/>
          <w14:textFill>
            <w14:solidFill>
              <w14:schemeClr w14:val="tx1"/>
            </w14:solidFill>
          </w14:textFill>
        </w:rPr>
        <w:t>因货物质量问题发生争议的，应邀请国家认可的质量检测机构对货物质量进行鉴定，鉴定费由乙方先行垫付。货物符合标准的，鉴定费由甲方承担；货物不符合标准的，鉴定费由乙方承担。</w:t>
      </w:r>
    </w:p>
    <w:p w14:paraId="75D9FE21">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10.2</w:t>
      </w:r>
      <w:r>
        <w:rPr>
          <w:rFonts w:hint="eastAsia" w:ascii="宋体" w:hAnsi="宋体"/>
          <w:color w:val="000000" w:themeColor="text1"/>
          <w:szCs w:val="21"/>
          <w:highlight w:val="none"/>
          <w14:textFill>
            <w14:solidFill>
              <w14:schemeClr w14:val="tx1"/>
            </w14:solidFill>
          </w14:textFill>
        </w:rPr>
        <w:t>因履行本合同引起的或与本合同有关的争议，甲、乙双方应首先通过友好协商解决。如果协商不能解决，可选择如下方式之一进行解决：</w:t>
      </w:r>
    </w:p>
    <w:p w14:paraId="46F71C9E">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□向柳州市仲裁委员会申请仲裁；</w:t>
      </w:r>
    </w:p>
    <w:p w14:paraId="1111B125">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fldChar w:fldCharType="begin"/>
      </w:r>
      <w:r>
        <w:rPr>
          <w:rFonts w:ascii="宋体" w:hAnsi="宋体"/>
          <w:bCs/>
          <w:color w:val="000000" w:themeColor="text1"/>
          <w:szCs w:val="21"/>
          <w:highlight w:val="none"/>
          <w14:textFill>
            <w14:solidFill>
              <w14:schemeClr w14:val="tx1"/>
            </w14:solidFill>
          </w14:textFill>
        </w:rPr>
        <w:instrText xml:space="preserve"> </w:instrText>
      </w:r>
      <w:r>
        <w:rPr>
          <w:rFonts w:hint="eastAsia" w:ascii="宋体" w:hAnsi="宋体"/>
          <w:bCs/>
          <w:color w:val="000000" w:themeColor="text1"/>
          <w:szCs w:val="21"/>
          <w:highlight w:val="none"/>
          <w14:textFill>
            <w14:solidFill>
              <w14:schemeClr w14:val="tx1"/>
            </w14:solidFill>
          </w14:textFill>
        </w:rPr>
        <w:instrText xml:space="preserve">eq \o\ac(□,√)</w:instrText>
      </w:r>
      <w:r>
        <w:rPr>
          <w:rFonts w:ascii="宋体" w:hAnsi="宋体"/>
          <w:bCs/>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向柳州市城中区人民法院提起诉讼。</w:t>
      </w:r>
    </w:p>
    <w:p w14:paraId="6EC58073">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10.3</w:t>
      </w:r>
      <w:r>
        <w:rPr>
          <w:rFonts w:hint="eastAsia" w:ascii="宋体" w:hAnsi="宋体"/>
          <w:color w:val="000000" w:themeColor="text1"/>
          <w:szCs w:val="21"/>
          <w:highlight w:val="none"/>
          <w14:textFill>
            <w14:solidFill>
              <w14:schemeClr w14:val="tx1"/>
            </w14:solidFill>
          </w14:textFill>
        </w:rPr>
        <w:t>甲乙双方以诉讼方式解决争议的，违约方应当承担守约方为诉讼而支出的相关费用，包括但不限于诉讼费、律师费、保全费、公告费、差旅费等。</w:t>
      </w:r>
    </w:p>
    <w:p w14:paraId="29DDBBD5">
      <w:pPr>
        <w:spacing w:line="360" w:lineRule="auto"/>
        <w:ind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十一    合同生效及其它</w:t>
      </w:r>
    </w:p>
    <w:p w14:paraId="3A7B9E31">
      <w:pPr>
        <w:spacing w:line="360" w:lineRule="auto"/>
        <w:ind w:firstLine="426"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.1合同经双方法定代表人或委托代理人签字并加盖公章或合同章后生效。</w:t>
      </w:r>
    </w:p>
    <w:p w14:paraId="3370800A">
      <w:pPr>
        <w:snapToGrid w:val="0"/>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.2合同履行中，如需修改或补充合同内容，由双方协商另签署书面修改或补充协议作为主合同不可分割的一部分。</w:t>
      </w:r>
    </w:p>
    <w:p w14:paraId="7DECC8FC">
      <w:pPr>
        <w:spacing w:line="360" w:lineRule="auto"/>
        <w:ind w:firstLine="420"/>
        <w:rPr>
          <w:rFonts w:ascii="宋体" w:hAnsi="宋体" w:cs="宋体"/>
          <w:color w:val="000000" w:themeColor="text1"/>
          <w:szCs w:val="21"/>
          <w:highlight w:val="none"/>
          <w14:textFill>
            <w14:solidFill>
              <w14:schemeClr w14:val="tx1"/>
            </w14:solidFill>
          </w14:textFill>
        </w:rPr>
      </w:pPr>
    </w:p>
    <w:p w14:paraId="29F43B5C">
      <w:pPr>
        <w:spacing w:line="360" w:lineRule="auto"/>
        <w:ind w:firstLine="420"/>
        <w:rPr>
          <w:rFonts w:ascii="宋体" w:hAnsi="宋体" w:cs="宋体"/>
          <w:color w:val="000000" w:themeColor="text1"/>
          <w:szCs w:val="21"/>
          <w:highlight w:val="none"/>
          <w14:textFill>
            <w14:solidFill>
              <w14:schemeClr w14:val="tx1"/>
            </w14:solidFill>
          </w14:textFill>
        </w:rPr>
      </w:pPr>
    </w:p>
    <w:sectPr>
      <w:footerReference r:id="rId14" w:type="first"/>
      <w:headerReference r:id="rId12" w:type="even"/>
      <w:footerReference r:id="rId13" w:type="even"/>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34F3D9-529D-45F5-9E1E-CA41F2BE89B1}"/>
  </w:font>
  <w:font w:name="黑体">
    <w:panose1 w:val="02010609060101010101"/>
    <w:charset w:val="86"/>
    <w:family w:val="auto"/>
    <w:pitch w:val="default"/>
    <w:sig w:usb0="800002BF" w:usb1="38CF7CFA" w:usb2="00000016" w:usb3="00000000" w:csb0="00040001" w:csb1="00000000"/>
    <w:embedRegular r:id="rId2" w:fontKey="{14F2780D-D46B-4A6E-9AD2-197C84704AA9}"/>
  </w:font>
  <w:font w:name="Courier New">
    <w:panose1 w:val="02070309020205020404"/>
    <w:charset w:val="01"/>
    <w:family w:val="modern"/>
    <w:pitch w:val="default"/>
    <w:sig w:usb0="E0002EFF" w:usb1="C0007843" w:usb2="00000009" w:usb3="00000000" w:csb0="400001FF" w:csb1="FFFF0000"/>
    <w:embedRegular r:id="rId3" w:fontKey="{9D6B7F60-F171-4B5F-B19D-820975BDCFE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CE5E5FD-7494-4EB1-BABE-5168185F804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BAE63498-B19F-4ABE-A4FB-9C6DC5AF5132}"/>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6" w:fontKey="{23114E5B-B425-4B64-8EE0-C3BF82A7A5DF}"/>
  </w:font>
  <w:font w:name="华文新魏">
    <w:panose1 w:val="02010800040101010101"/>
    <w:charset w:val="86"/>
    <w:family w:val="auto"/>
    <w:pitch w:val="default"/>
    <w:sig w:usb0="00000001" w:usb1="080F0000" w:usb2="00000000" w:usb3="00000000" w:csb0="00040000" w:csb1="00000000"/>
    <w:embedRegular r:id="rId7" w:fontKey="{1AEFFFEE-65EA-484F-80AF-98CF521DB214}"/>
  </w:font>
  <w:font w:name="华康简魏碑">
    <w:altName w:val="宋体"/>
    <w:panose1 w:val="00000000000000000000"/>
    <w:charset w:val="86"/>
    <w:family w:val="modern"/>
    <w:pitch w:val="default"/>
    <w:sig w:usb0="00000000" w:usb1="00000000" w:usb2="00000010" w:usb3="00000000" w:csb0="00040000" w:csb1="00000000"/>
    <w:embedRegular r:id="rId8" w:fontKey="{C9B797C4-C61B-485A-813D-BECEE9F65E06}"/>
  </w:font>
  <w:font w:name="MS Gothic">
    <w:panose1 w:val="020B0609070205080204"/>
    <w:charset w:val="80"/>
    <w:family w:val="modern"/>
    <w:pitch w:val="default"/>
    <w:sig w:usb0="E00002FF" w:usb1="6AC7FDFB" w:usb2="08000012" w:usb3="00000000" w:csb0="4002009F" w:csb1="DFD70000"/>
    <w:embedRegular r:id="rId9" w:fontKey="{83B7D4A1-8151-44FE-B554-B245BDE7027F}"/>
  </w:font>
  <w:font w:name="Segoe UI">
    <w:panose1 w:val="020B0502040204020203"/>
    <w:charset w:val="00"/>
    <w:family w:val="swiss"/>
    <w:pitch w:val="default"/>
    <w:sig w:usb0="E4002EFF" w:usb1="C000E47F" w:usb2="00000009" w:usb3="00000000" w:csb0="200001FF" w:csb1="00000000"/>
    <w:embedRegular r:id="rId10" w:fontKey="{3A5DA9BE-DCD6-4FA2-8980-FA91BFF9402D}"/>
  </w:font>
  <w:font w:name="方正小标宋简体">
    <w:panose1 w:val="02000000000000000000"/>
    <w:charset w:val="86"/>
    <w:family w:val="script"/>
    <w:pitch w:val="default"/>
    <w:sig w:usb0="00000001" w:usb1="08000000" w:usb2="00000000" w:usb3="00000000" w:csb0="00040000" w:csb1="00000000"/>
    <w:embedRegular r:id="rId11" w:fontKey="{6BE42B19-D5C3-4919-ABA4-6818EED6D5C7}"/>
  </w:font>
  <w:font w:name="Segoe UI Symbol">
    <w:panose1 w:val="020B0502040204020203"/>
    <w:charset w:val="00"/>
    <w:family w:val="swiss"/>
    <w:pitch w:val="default"/>
    <w:sig w:usb0="800001E3" w:usb1="1200FFEF" w:usb2="00040000" w:usb3="04000000" w:csb0="00000001" w:csb1="40000000"/>
    <w:embedRegular r:id="rId12" w:fontKey="{B5432A95-04C0-49A7-9DEF-C3EFB120DE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AF6E">
    <w:pPr>
      <w:pStyle w:val="32"/>
      <w:ind w:firstLine="0" w:firstLineChars="0"/>
      <w:jc w:val="center"/>
    </w:pPr>
    <w:r>
      <w:fldChar w:fldCharType="begin"/>
    </w:r>
    <w:r>
      <w:instrText xml:space="preserve"> PAGE   \* MERGEFORMAT </w:instrText>
    </w:r>
    <w:r>
      <w:fldChar w:fldCharType="separate"/>
    </w:r>
    <w:r>
      <w:rPr>
        <w:lang w:val="zh-CN"/>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C515">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CB16">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1393">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A7B6">
    <w:pPr>
      <w:pStyle w:val="32"/>
      <w:ind w:firstLine="360"/>
    </w:pPr>
  </w:p>
  <w:p w14:paraId="60A4D9A4">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BAAF">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340F">
    <w:pPr>
      <w:pBdr>
        <w:bottom w:val="single" w:color="auto" w:sz="6" w:space="1"/>
      </w:pBdr>
      <w:tabs>
        <w:tab w:val="center" w:pos="4153"/>
        <w:tab w:val="right" w:pos="8306"/>
      </w:tabs>
      <w:snapToGrid w:val="0"/>
      <w:ind w:firstLine="0" w:firstLineChars="0"/>
      <w:rPr>
        <w:bCs/>
        <w:color w:val="auto"/>
        <w:kern w:val="0"/>
        <w:sz w:val="18"/>
        <w:szCs w:val="18"/>
      </w:rPr>
    </w:pPr>
    <w:r>
      <w:rPr>
        <w:rFonts w:hint="eastAsia"/>
        <w:bCs/>
        <w:color w:val="auto"/>
        <w:kern w:val="0"/>
        <w:sz w:val="18"/>
        <w:szCs w:val="18"/>
      </w:rPr>
      <w:t>项目名称：</w:t>
    </w:r>
    <w:r>
      <w:rPr>
        <w:rFonts w:hint="eastAsia" w:ascii="宋体" w:hAnsi="宋体" w:cs="宋体"/>
        <w:color w:val="auto"/>
        <w:sz w:val="18"/>
        <w:szCs w:val="18"/>
      </w:rPr>
      <w:t>碘【125I】、碘【131I】等放射性药品配送服务采购</w:t>
    </w:r>
    <w:r>
      <w:rPr>
        <w:rFonts w:hint="eastAsia" w:ascii="宋体" w:hAnsi="宋体" w:cs="仿宋"/>
        <w:color w:val="auto"/>
        <w:kern w:val="0"/>
        <w:sz w:val="18"/>
        <w:szCs w:val="21"/>
      </w:rPr>
      <w:t xml:space="preserve">   </w:t>
    </w:r>
    <w:r>
      <w:rPr>
        <w:rFonts w:ascii="宋体" w:hAnsi="宋体" w:cs="仿宋"/>
        <w:color w:val="auto"/>
        <w:kern w:val="0"/>
        <w:sz w:val="18"/>
        <w:szCs w:val="21"/>
      </w:rPr>
      <w:t xml:space="preserve">  </w:t>
    </w:r>
    <w:r>
      <w:rPr>
        <w:rFonts w:hint="eastAsia" w:ascii="宋体" w:hAnsi="宋体" w:cs="仿宋"/>
        <w:color w:val="auto"/>
        <w:kern w:val="0"/>
        <w:sz w:val="18"/>
        <w:szCs w:val="21"/>
      </w:rPr>
      <w:t xml:space="preserve">   </w:t>
    </w:r>
    <w:r>
      <w:rPr>
        <w:rFonts w:hint="eastAsia"/>
        <w:bCs/>
        <w:color w:val="auto"/>
        <w:kern w:val="0"/>
        <w:sz w:val="18"/>
        <w:szCs w:val="18"/>
      </w:rPr>
      <w:t>项目编号：</w:t>
    </w:r>
    <w:r>
      <w:rPr>
        <w:bCs/>
        <w:color w:val="auto"/>
        <w:kern w:val="0"/>
        <w:sz w:val="18"/>
        <w:szCs w:val="18"/>
        <w:lang w:val="zh-CN"/>
      </w:rPr>
      <w:t>LZZC2025-C3-990254-GXDD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8F11">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53A4">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5606">
    <w:pPr>
      <w:pStyle w:val="33"/>
      <w:ind w:firstLine="360"/>
    </w:pPr>
  </w:p>
  <w:p w14:paraId="0E4EEC4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A2EDD"/>
    <w:multiLevelType w:val="singleLevel"/>
    <w:tmpl w:val="AB5A2EDD"/>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1"/>
      <w:lvlText w:val="%1."/>
      <w:lvlJc w:val="left"/>
      <w:pPr>
        <w:tabs>
          <w:tab w:val="left" w:pos="1483"/>
        </w:tabs>
        <w:ind w:left="1483" w:hanging="360"/>
      </w:pPr>
    </w:lvl>
  </w:abstractNum>
  <w:abstractNum w:abstractNumId="2">
    <w:nsid w:val="076C7C35"/>
    <w:multiLevelType w:val="multilevel"/>
    <w:tmpl w:val="076C7C35"/>
    <w:lvl w:ilvl="0" w:tentative="0">
      <w:start w:val="1"/>
      <w:numFmt w:val="decimal"/>
      <w:pStyle w:val="16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F886337"/>
    <w:multiLevelType w:val="multilevel"/>
    <w:tmpl w:val="4F886337"/>
    <w:lvl w:ilvl="0" w:tentative="0">
      <w:start w:val="1"/>
      <w:numFmt w:val="decimal"/>
      <w:pStyle w:val="97"/>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04"/>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6E83EA1"/>
    <w:multiLevelType w:val="multilevel"/>
    <w:tmpl w:val="56E83EA1"/>
    <w:lvl w:ilvl="0" w:tentative="0">
      <w:start w:val="1"/>
      <w:numFmt w:val="decimal"/>
      <w:pStyle w:val="15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AA82CBE"/>
    <w:multiLevelType w:val="singleLevel"/>
    <w:tmpl w:val="5AA82CBE"/>
    <w:lvl w:ilvl="0" w:tentative="0">
      <w:start w:val="3"/>
      <w:numFmt w:val="chineseCounting"/>
      <w:suff w:val="nothing"/>
      <w:lvlText w:val="%1、"/>
      <w:lvlJc w:val="left"/>
      <w:rPr>
        <w:rFonts w:hint="eastAsia"/>
      </w:rPr>
    </w:lvl>
  </w:abstractNum>
  <w:abstractNum w:abstractNumId="9">
    <w:nsid w:val="62D26C8C"/>
    <w:multiLevelType w:val="multilevel"/>
    <w:tmpl w:val="62D26C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74EE4E3E"/>
    <w:multiLevelType w:val="singleLevel"/>
    <w:tmpl w:val="74EE4E3E"/>
    <w:lvl w:ilvl="0" w:tentative="0">
      <w:start w:val="1"/>
      <w:numFmt w:val="decimal"/>
      <w:pStyle w:val="200"/>
      <w:suff w:val="nothing"/>
      <w:lvlText w:val="%1、"/>
      <w:lvlJc w:val="left"/>
    </w:lvl>
  </w:abstractNum>
  <w:num w:numId="1">
    <w:abstractNumId w:val="4"/>
  </w:num>
  <w:num w:numId="2">
    <w:abstractNumId w:val="1"/>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9"/>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dit="forms"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TQwZTFkNDM2MzIwOTQ3YmNlNjNiYjBlZWE1MzIifQ=="/>
  </w:docVars>
  <w:rsids>
    <w:rsidRoot w:val="00F34B14"/>
    <w:rsid w:val="00000275"/>
    <w:rsid w:val="000004C5"/>
    <w:rsid w:val="00000672"/>
    <w:rsid w:val="00000F48"/>
    <w:rsid w:val="00001010"/>
    <w:rsid w:val="000010D2"/>
    <w:rsid w:val="000014A8"/>
    <w:rsid w:val="00001A25"/>
    <w:rsid w:val="00001DD9"/>
    <w:rsid w:val="000021E2"/>
    <w:rsid w:val="000025AB"/>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6CA5"/>
    <w:rsid w:val="00007744"/>
    <w:rsid w:val="0000784B"/>
    <w:rsid w:val="00007A35"/>
    <w:rsid w:val="00007B96"/>
    <w:rsid w:val="000103BB"/>
    <w:rsid w:val="00010669"/>
    <w:rsid w:val="000108E1"/>
    <w:rsid w:val="00010D86"/>
    <w:rsid w:val="00010E6B"/>
    <w:rsid w:val="0001125B"/>
    <w:rsid w:val="00011482"/>
    <w:rsid w:val="0001172C"/>
    <w:rsid w:val="00011AEF"/>
    <w:rsid w:val="00012854"/>
    <w:rsid w:val="0001286C"/>
    <w:rsid w:val="00012C92"/>
    <w:rsid w:val="00012D6B"/>
    <w:rsid w:val="00012EC8"/>
    <w:rsid w:val="00013257"/>
    <w:rsid w:val="000132E8"/>
    <w:rsid w:val="000134BD"/>
    <w:rsid w:val="00013684"/>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3F"/>
    <w:rsid w:val="00021A68"/>
    <w:rsid w:val="00021DBD"/>
    <w:rsid w:val="00022237"/>
    <w:rsid w:val="000222F3"/>
    <w:rsid w:val="00022792"/>
    <w:rsid w:val="00022987"/>
    <w:rsid w:val="00023943"/>
    <w:rsid w:val="000239CF"/>
    <w:rsid w:val="00023D11"/>
    <w:rsid w:val="00023D2C"/>
    <w:rsid w:val="00024027"/>
    <w:rsid w:val="00024079"/>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66C"/>
    <w:rsid w:val="00041E36"/>
    <w:rsid w:val="00042C82"/>
    <w:rsid w:val="00042CB8"/>
    <w:rsid w:val="00042EC5"/>
    <w:rsid w:val="00044185"/>
    <w:rsid w:val="0004440C"/>
    <w:rsid w:val="00044F97"/>
    <w:rsid w:val="00044F9A"/>
    <w:rsid w:val="00045E1F"/>
    <w:rsid w:val="00045F55"/>
    <w:rsid w:val="000462DC"/>
    <w:rsid w:val="000467A4"/>
    <w:rsid w:val="000469AF"/>
    <w:rsid w:val="0004747E"/>
    <w:rsid w:val="000475CE"/>
    <w:rsid w:val="0004774B"/>
    <w:rsid w:val="00047DBF"/>
    <w:rsid w:val="000502B7"/>
    <w:rsid w:val="00050584"/>
    <w:rsid w:val="000509D9"/>
    <w:rsid w:val="00050D4B"/>
    <w:rsid w:val="000510D2"/>
    <w:rsid w:val="000515DA"/>
    <w:rsid w:val="000518A1"/>
    <w:rsid w:val="00051F2A"/>
    <w:rsid w:val="00052131"/>
    <w:rsid w:val="0005234F"/>
    <w:rsid w:val="00052E2D"/>
    <w:rsid w:val="00053018"/>
    <w:rsid w:val="0005354B"/>
    <w:rsid w:val="00053A46"/>
    <w:rsid w:val="00053C00"/>
    <w:rsid w:val="00053FB5"/>
    <w:rsid w:val="0005463A"/>
    <w:rsid w:val="00054A69"/>
    <w:rsid w:val="00054E94"/>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6055"/>
    <w:rsid w:val="00066204"/>
    <w:rsid w:val="00066674"/>
    <w:rsid w:val="00066BCD"/>
    <w:rsid w:val="000672DE"/>
    <w:rsid w:val="000673E2"/>
    <w:rsid w:val="00067443"/>
    <w:rsid w:val="00067B74"/>
    <w:rsid w:val="00067E69"/>
    <w:rsid w:val="000706F4"/>
    <w:rsid w:val="00070925"/>
    <w:rsid w:val="00071028"/>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4E5C"/>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6F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81A"/>
    <w:rsid w:val="000D2229"/>
    <w:rsid w:val="000D2626"/>
    <w:rsid w:val="000D29DC"/>
    <w:rsid w:val="000D2D0F"/>
    <w:rsid w:val="000D2DC6"/>
    <w:rsid w:val="000D2ECF"/>
    <w:rsid w:val="000D2FFF"/>
    <w:rsid w:val="000D31C8"/>
    <w:rsid w:val="000D3ECD"/>
    <w:rsid w:val="000D3FDC"/>
    <w:rsid w:val="000D3FF0"/>
    <w:rsid w:val="000D40C0"/>
    <w:rsid w:val="000D417F"/>
    <w:rsid w:val="000D47A4"/>
    <w:rsid w:val="000D48EE"/>
    <w:rsid w:val="000D4B00"/>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2B0"/>
    <w:rsid w:val="000E3F14"/>
    <w:rsid w:val="000E46A6"/>
    <w:rsid w:val="000E476D"/>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79D"/>
    <w:rsid w:val="000F5B1F"/>
    <w:rsid w:val="000F660D"/>
    <w:rsid w:val="000F6852"/>
    <w:rsid w:val="000F6C3F"/>
    <w:rsid w:val="000F77B4"/>
    <w:rsid w:val="0010003D"/>
    <w:rsid w:val="00100991"/>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5A5"/>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D71"/>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15E"/>
    <w:rsid w:val="0013486E"/>
    <w:rsid w:val="00135B9C"/>
    <w:rsid w:val="0013615F"/>
    <w:rsid w:val="00137ACA"/>
    <w:rsid w:val="00137BBF"/>
    <w:rsid w:val="00140133"/>
    <w:rsid w:val="0014028B"/>
    <w:rsid w:val="001402DB"/>
    <w:rsid w:val="00140326"/>
    <w:rsid w:val="00141C9C"/>
    <w:rsid w:val="001427DD"/>
    <w:rsid w:val="00142A6C"/>
    <w:rsid w:val="00143431"/>
    <w:rsid w:val="0014355A"/>
    <w:rsid w:val="0014446C"/>
    <w:rsid w:val="0014459D"/>
    <w:rsid w:val="001448D5"/>
    <w:rsid w:val="00144F1C"/>
    <w:rsid w:val="0014559E"/>
    <w:rsid w:val="001459D2"/>
    <w:rsid w:val="00145AC7"/>
    <w:rsid w:val="00146E9C"/>
    <w:rsid w:val="00147134"/>
    <w:rsid w:val="001471F6"/>
    <w:rsid w:val="00147413"/>
    <w:rsid w:val="00147802"/>
    <w:rsid w:val="00147B81"/>
    <w:rsid w:val="00147BAB"/>
    <w:rsid w:val="00147BE9"/>
    <w:rsid w:val="00150A9B"/>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94"/>
    <w:rsid w:val="00181EE5"/>
    <w:rsid w:val="00182008"/>
    <w:rsid w:val="00182190"/>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90537"/>
    <w:rsid w:val="0019152A"/>
    <w:rsid w:val="0019181F"/>
    <w:rsid w:val="0019231C"/>
    <w:rsid w:val="001925CC"/>
    <w:rsid w:val="00192977"/>
    <w:rsid w:val="00192E96"/>
    <w:rsid w:val="00192EE0"/>
    <w:rsid w:val="001930B1"/>
    <w:rsid w:val="00193139"/>
    <w:rsid w:val="001934DC"/>
    <w:rsid w:val="0019383D"/>
    <w:rsid w:val="00193C48"/>
    <w:rsid w:val="00194979"/>
    <w:rsid w:val="0019525D"/>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73"/>
    <w:rsid w:val="001A2084"/>
    <w:rsid w:val="001A22C0"/>
    <w:rsid w:val="001A240A"/>
    <w:rsid w:val="001A265B"/>
    <w:rsid w:val="001A26CD"/>
    <w:rsid w:val="001A2A14"/>
    <w:rsid w:val="001A2F9D"/>
    <w:rsid w:val="001A3109"/>
    <w:rsid w:val="001A3212"/>
    <w:rsid w:val="001A3545"/>
    <w:rsid w:val="001A35E7"/>
    <w:rsid w:val="001A36D2"/>
    <w:rsid w:val="001A3C94"/>
    <w:rsid w:val="001A3CF9"/>
    <w:rsid w:val="001A3EDE"/>
    <w:rsid w:val="001A44D0"/>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B8C"/>
    <w:rsid w:val="001C0C21"/>
    <w:rsid w:val="001C10BD"/>
    <w:rsid w:val="001C11C2"/>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D0"/>
    <w:rsid w:val="001D2AA4"/>
    <w:rsid w:val="001D3CC1"/>
    <w:rsid w:val="001D3FCB"/>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35BB"/>
    <w:rsid w:val="001E3B64"/>
    <w:rsid w:val="001E40B9"/>
    <w:rsid w:val="001E41C9"/>
    <w:rsid w:val="001E4232"/>
    <w:rsid w:val="001E4748"/>
    <w:rsid w:val="001E474A"/>
    <w:rsid w:val="001E47E8"/>
    <w:rsid w:val="001E4B11"/>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1F6983"/>
    <w:rsid w:val="00200A2C"/>
    <w:rsid w:val="00200CD5"/>
    <w:rsid w:val="00200DB7"/>
    <w:rsid w:val="00201424"/>
    <w:rsid w:val="00201B3D"/>
    <w:rsid w:val="00201D82"/>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4F49"/>
    <w:rsid w:val="00215314"/>
    <w:rsid w:val="00215635"/>
    <w:rsid w:val="002156AE"/>
    <w:rsid w:val="0021599B"/>
    <w:rsid w:val="002161C8"/>
    <w:rsid w:val="00216258"/>
    <w:rsid w:val="00216453"/>
    <w:rsid w:val="0021692E"/>
    <w:rsid w:val="00216C8B"/>
    <w:rsid w:val="00216D43"/>
    <w:rsid w:val="00216F6B"/>
    <w:rsid w:val="00217DB2"/>
    <w:rsid w:val="0022090D"/>
    <w:rsid w:val="00220A81"/>
    <w:rsid w:val="00220D8D"/>
    <w:rsid w:val="00221035"/>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1B5"/>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57E60"/>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7078"/>
    <w:rsid w:val="002672FD"/>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64C"/>
    <w:rsid w:val="002768C9"/>
    <w:rsid w:val="00276B3F"/>
    <w:rsid w:val="00277622"/>
    <w:rsid w:val="002806B3"/>
    <w:rsid w:val="002807EF"/>
    <w:rsid w:val="00280DCD"/>
    <w:rsid w:val="002810B2"/>
    <w:rsid w:val="00281399"/>
    <w:rsid w:val="00281FA5"/>
    <w:rsid w:val="0028241B"/>
    <w:rsid w:val="00282569"/>
    <w:rsid w:val="002827AD"/>
    <w:rsid w:val="00282932"/>
    <w:rsid w:val="00282B36"/>
    <w:rsid w:val="00282D8B"/>
    <w:rsid w:val="002835B0"/>
    <w:rsid w:val="0028368D"/>
    <w:rsid w:val="00283761"/>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4176"/>
    <w:rsid w:val="002A4632"/>
    <w:rsid w:val="002A46EC"/>
    <w:rsid w:val="002A5709"/>
    <w:rsid w:val="002A5A72"/>
    <w:rsid w:val="002A5D15"/>
    <w:rsid w:val="002A5F28"/>
    <w:rsid w:val="002A61EC"/>
    <w:rsid w:val="002A682F"/>
    <w:rsid w:val="002A78ED"/>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A44"/>
    <w:rsid w:val="002C3E70"/>
    <w:rsid w:val="002C3EE9"/>
    <w:rsid w:val="002C405A"/>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2783"/>
    <w:rsid w:val="002D3657"/>
    <w:rsid w:val="002D3B9F"/>
    <w:rsid w:val="002D41C3"/>
    <w:rsid w:val="002D44DE"/>
    <w:rsid w:val="002D48E8"/>
    <w:rsid w:val="002D4B03"/>
    <w:rsid w:val="002D4DB7"/>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D02"/>
    <w:rsid w:val="002E2EFF"/>
    <w:rsid w:val="002E32FD"/>
    <w:rsid w:val="002E354B"/>
    <w:rsid w:val="002E4163"/>
    <w:rsid w:val="002E42A9"/>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768C"/>
    <w:rsid w:val="002F782C"/>
    <w:rsid w:val="002F7912"/>
    <w:rsid w:val="002F7A7F"/>
    <w:rsid w:val="002F7D1E"/>
    <w:rsid w:val="00300479"/>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209"/>
    <w:rsid w:val="003067AA"/>
    <w:rsid w:val="003069A7"/>
    <w:rsid w:val="00306AFC"/>
    <w:rsid w:val="00307895"/>
    <w:rsid w:val="00307F82"/>
    <w:rsid w:val="00310512"/>
    <w:rsid w:val="0031067F"/>
    <w:rsid w:val="00311E8B"/>
    <w:rsid w:val="003128E3"/>
    <w:rsid w:val="00312943"/>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A7"/>
    <w:rsid w:val="00317E5D"/>
    <w:rsid w:val="00317F71"/>
    <w:rsid w:val="003200AD"/>
    <w:rsid w:val="003208B0"/>
    <w:rsid w:val="00320A1E"/>
    <w:rsid w:val="00320CD5"/>
    <w:rsid w:val="00321280"/>
    <w:rsid w:val="003212DA"/>
    <w:rsid w:val="003218B4"/>
    <w:rsid w:val="00321E16"/>
    <w:rsid w:val="00322050"/>
    <w:rsid w:val="003222EA"/>
    <w:rsid w:val="00322520"/>
    <w:rsid w:val="003225D1"/>
    <w:rsid w:val="003226FB"/>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4B7"/>
    <w:rsid w:val="0033796F"/>
    <w:rsid w:val="00337E2E"/>
    <w:rsid w:val="00337EF1"/>
    <w:rsid w:val="00340319"/>
    <w:rsid w:val="00341605"/>
    <w:rsid w:val="003416BA"/>
    <w:rsid w:val="00341B79"/>
    <w:rsid w:val="00342718"/>
    <w:rsid w:val="00342908"/>
    <w:rsid w:val="0034291C"/>
    <w:rsid w:val="00342B8B"/>
    <w:rsid w:val="00342D82"/>
    <w:rsid w:val="00342DE9"/>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7BE"/>
    <w:rsid w:val="00361D6F"/>
    <w:rsid w:val="0036218F"/>
    <w:rsid w:val="003622F9"/>
    <w:rsid w:val="00362768"/>
    <w:rsid w:val="003629C8"/>
    <w:rsid w:val="00362C39"/>
    <w:rsid w:val="00363BED"/>
    <w:rsid w:val="00364034"/>
    <w:rsid w:val="00364187"/>
    <w:rsid w:val="0036421B"/>
    <w:rsid w:val="00364648"/>
    <w:rsid w:val="003646C1"/>
    <w:rsid w:val="00364919"/>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1C3"/>
    <w:rsid w:val="003832B3"/>
    <w:rsid w:val="003835EF"/>
    <w:rsid w:val="00383E08"/>
    <w:rsid w:val="00384A20"/>
    <w:rsid w:val="00384C09"/>
    <w:rsid w:val="00385622"/>
    <w:rsid w:val="00385A9C"/>
    <w:rsid w:val="00385B3D"/>
    <w:rsid w:val="0038611E"/>
    <w:rsid w:val="0038623E"/>
    <w:rsid w:val="00386398"/>
    <w:rsid w:val="003867A8"/>
    <w:rsid w:val="00386BB3"/>
    <w:rsid w:val="00387199"/>
    <w:rsid w:val="003875A4"/>
    <w:rsid w:val="00387610"/>
    <w:rsid w:val="00387929"/>
    <w:rsid w:val="00390286"/>
    <w:rsid w:val="0039058F"/>
    <w:rsid w:val="003905D1"/>
    <w:rsid w:val="00390975"/>
    <w:rsid w:val="003909CD"/>
    <w:rsid w:val="00390C17"/>
    <w:rsid w:val="00390EF6"/>
    <w:rsid w:val="0039166A"/>
    <w:rsid w:val="003918D0"/>
    <w:rsid w:val="00391EDB"/>
    <w:rsid w:val="0039222F"/>
    <w:rsid w:val="00392E52"/>
    <w:rsid w:val="00392F8D"/>
    <w:rsid w:val="00392FC8"/>
    <w:rsid w:val="003939F7"/>
    <w:rsid w:val="00393A2F"/>
    <w:rsid w:val="00393EC8"/>
    <w:rsid w:val="00394068"/>
    <w:rsid w:val="00394167"/>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1B7F"/>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94E"/>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3080"/>
    <w:rsid w:val="003D3245"/>
    <w:rsid w:val="003D3DF1"/>
    <w:rsid w:val="003D3F41"/>
    <w:rsid w:val="003D3FD9"/>
    <w:rsid w:val="003D44C7"/>
    <w:rsid w:val="003D453C"/>
    <w:rsid w:val="003D50B5"/>
    <w:rsid w:val="003D50ED"/>
    <w:rsid w:val="003D5893"/>
    <w:rsid w:val="003D65D8"/>
    <w:rsid w:val="003D6CA4"/>
    <w:rsid w:val="003D6F64"/>
    <w:rsid w:val="003D70C3"/>
    <w:rsid w:val="003D7A3E"/>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4002F5"/>
    <w:rsid w:val="0040118D"/>
    <w:rsid w:val="00401361"/>
    <w:rsid w:val="004014F4"/>
    <w:rsid w:val="00401529"/>
    <w:rsid w:val="00401C55"/>
    <w:rsid w:val="00401E88"/>
    <w:rsid w:val="00401FCB"/>
    <w:rsid w:val="00403C62"/>
    <w:rsid w:val="00403ED6"/>
    <w:rsid w:val="00403F54"/>
    <w:rsid w:val="00404011"/>
    <w:rsid w:val="00405D52"/>
    <w:rsid w:val="00406DDB"/>
    <w:rsid w:val="0040729A"/>
    <w:rsid w:val="00407AD2"/>
    <w:rsid w:val="00407EDB"/>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39"/>
    <w:rsid w:val="00432896"/>
    <w:rsid w:val="0043297D"/>
    <w:rsid w:val="00432C0B"/>
    <w:rsid w:val="00433147"/>
    <w:rsid w:val="004337C7"/>
    <w:rsid w:val="00433B60"/>
    <w:rsid w:val="004341CB"/>
    <w:rsid w:val="00434B49"/>
    <w:rsid w:val="00434BC2"/>
    <w:rsid w:val="00434D61"/>
    <w:rsid w:val="00435095"/>
    <w:rsid w:val="0043546C"/>
    <w:rsid w:val="00435A1B"/>
    <w:rsid w:val="00435BB3"/>
    <w:rsid w:val="00435CAB"/>
    <w:rsid w:val="00436266"/>
    <w:rsid w:val="00436851"/>
    <w:rsid w:val="004372F2"/>
    <w:rsid w:val="004376D9"/>
    <w:rsid w:val="004379E7"/>
    <w:rsid w:val="00437BB6"/>
    <w:rsid w:val="00437C1E"/>
    <w:rsid w:val="00437F06"/>
    <w:rsid w:val="0044003C"/>
    <w:rsid w:val="00440070"/>
    <w:rsid w:val="00440DAC"/>
    <w:rsid w:val="0044193D"/>
    <w:rsid w:val="00441EFD"/>
    <w:rsid w:val="004424DF"/>
    <w:rsid w:val="00442A43"/>
    <w:rsid w:val="00442C4F"/>
    <w:rsid w:val="00442F94"/>
    <w:rsid w:val="00442FA2"/>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92"/>
    <w:rsid w:val="004544E3"/>
    <w:rsid w:val="00454720"/>
    <w:rsid w:val="0045652F"/>
    <w:rsid w:val="0045684C"/>
    <w:rsid w:val="00456AD2"/>
    <w:rsid w:val="004570E5"/>
    <w:rsid w:val="004572F3"/>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7C4"/>
    <w:rsid w:val="004749F6"/>
    <w:rsid w:val="00474BF3"/>
    <w:rsid w:val="00474F12"/>
    <w:rsid w:val="0047507A"/>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437"/>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4FA6"/>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4036"/>
    <w:rsid w:val="004A42EB"/>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B0029"/>
    <w:rsid w:val="004B03FB"/>
    <w:rsid w:val="004B09A4"/>
    <w:rsid w:val="004B0F45"/>
    <w:rsid w:val="004B16A6"/>
    <w:rsid w:val="004B1E5D"/>
    <w:rsid w:val="004B1FF5"/>
    <w:rsid w:val="004B21F0"/>
    <w:rsid w:val="004B241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1BC"/>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B89"/>
    <w:rsid w:val="004E0519"/>
    <w:rsid w:val="004E0764"/>
    <w:rsid w:val="004E0EDB"/>
    <w:rsid w:val="004E17D5"/>
    <w:rsid w:val="004E21E3"/>
    <w:rsid w:val="004E2254"/>
    <w:rsid w:val="004E2576"/>
    <w:rsid w:val="004E25A8"/>
    <w:rsid w:val="004E2DFB"/>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07EB0"/>
    <w:rsid w:val="00510303"/>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BD2"/>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0E2B"/>
    <w:rsid w:val="00531556"/>
    <w:rsid w:val="0053181A"/>
    <w:rsid w:val="005318B7"/>
    <w:rsid w:val="00531911"/>
    <w:rsid w:val="0053195D"/>
    <w:rsid w:val="00532D88"/>
    <w:rsid w:val="00533CFE"/>
    <w:rsid w:val="005341E5"/>
    <w:rsid w:val="00534760"/>
    <w:rsid w:val="00534BE3"/>
    <w:rsid w:val="00534D3F"/>
    <w:rsid w:val="00534F5C"/>
    <w:rsid w:val="005350AE"/>
    <w:rsid w:val="00535291"/>
    <w:rsid w:val="0053536F"/>
    <w:rsid w:val="005359B8"/>
    <w:rsid w:val="00535F31"/>
    <w:rsid w:val="0053798F"/>
    <w:rsid w:val="00540314"/>
    <w:rsid w:val="00540631"/>
    <w:rsid w:val="00541007"/>
    <w:rsid w:val="005410C1"/>
    <w:rsid w:val="00541304"/>
    <w:rsid w:val="00541556"/>
    <w:rsid w:val="00541EA3"/>
    <w:rsid w:val="00541FF4"/>
    <w:rsid w:val="0054207C"/>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545D"/>
    <w:rsid w:val="00555465"/>
    <w:rsid w:val="005556CA"/>
    <w:rsid w:val="005556FD"/>
    <w:rsid w:val="00555834"/>
    <w:rsid w:val="00555D0C"/>
    <w:rsid w:val="005564B1"/>
    <w:rsid w:val="005564DA"/>
    <w:rsid w:val="005565DA"/>
    <w:rsid w:val="0055698C"/>
    <w:rsid w:val="00556AE9"/>
    <w:rsid w:val="00556DD6"/>
    <w:rsid w:val="0055775F"/>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99C"/>
    <w:rsid w:val="00566D99"/>
    <w:rsid w:val="005678DE"/>
    <w:rsid w:val="00567C37"/>
    <w:rsid w:val="00567C64"/>
    <w:rsid w:val="00567D27"/>
    <w:rsid w:val="0057047D"/>
    <w:rsid w:val="005704C3"/>
    <w:rsid w:val="00570577"/>
    <w:rsid w:val="00570E50"/>
    <w:rsid w:val="0057125D"/>
    <w:rsid w:val="005719AE"/>
    <w:rsid w:val="00571B23"/>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048"/>
    <w:rsid w:val="00581662"/>
    <w:rsid w:val="00581982"/>
    <w:rsid w:val="00581AD7"/>
    <w:rsid w:val="00581EB5"/>
    <w:rsid w:val="00582452"/>
    <w:rsid w:val="00583393"/>
    <w:rsid w:val="005836C7"/>
    <w:rsid w:val="00583BF5"/>
    <w:rsid w:val="00584703"/>
    <w:rsid w:val="005847D7"/>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B49"/>
    <w:rsid w:val="00590B77"/>
    <w:rsid w:val="00590C03"/>
    <w:rsid w:val="005913A3"/>
    <w:rsid w:val="00591654"/>
    <w:rsid w:val="00591792"/>
    <w:rsid w:val="005917A7"/>
    <w:rsid w:val="00591A66"/>
    <w:rsid w:val="00591DD3"/>
    <w:rsid w:val="00592106"/>
    <w:rsid w:val="0059338D"/>
    <w:rsid w:val="0059348F"/>
    <w:rsid w:val="00593753"/>
    <w:rsid w:val="005937E3"/>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3E8E"/>
    <w:rsid w:val="005A401F"/>
    <w:rsid w:val="005A41C3"/>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32D"/>
    <w:rsid w:val="005C3779"/>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4B96"/>
    <w:rsid w:val="005D58D2"/>
    <w:rsid w:val="005D6978"/>
    <w:rsid w:val="005D6A28"/>
    <w:rsid w:val="005D6DC3"/>
    <w:rsid w:val="005D7606"/>
    <w:rsid w:val="005D7BA5"/>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5A53"/>
    <w:rsid w:val="005E5B81"/>
    <w:rsid w:val="005E6019"/>
    <w:rsid w:val="005E62DF"/>
    <w:rsid w:val="005E666A"/>
    <w:rsid w:val="005E6D55"/>
    <w:rsid w:val="005E6D5E"/>
    <w:rsid w:val="005E7B30"/>
    <w:rsid w:val="005E7F54"/>
    <w:rsid w:val="005F02F0"/>
    <w:rsid w:val="005F04F4"/>
    <w:rsid w:val="005F091A"/>
    <w:rsid w:val="005F0FF8"/>
    <w:rsid w:val="005F1516"/>
    <w:rsid w:val="005F155C"/>
    <w:rsid w:val="005F1ADA"/>
    <w:rsid w:val="005F229E"/>
    <w:rsid w:val="005F29E4"/>
    <w:rsid w:val="005F2A8B"/>
    <w:rsid w:val="005F2C09"/>
    <w:rsid w:val="005F2D9A"/>
    <w:rsid w:val="005F3378"/>
    <w:rsid w:val="005F34AA"/>
    <w:rsid w:val="005F3D9D"/>
    <w:rsid w:val="005F3E74"/>
    <w:rsid w:val="005F4247"/>
    <w:rsid w:val="005F4E52"/>
    <w:rsid w:val="005F4EC2"/>
    <w:rsid w:val="005F4EF5"/>
    <w:rsid w:val="005F4F07"/>
    <w:rsid w:val="005F5360"/>
    <w:rsid w:val="005F5889"/>
    <w:rsid w:val="005F59CB"/>
    <w:rsid w:val="005F5AB3"/>
    <w:rsid w:val="005F5DD6"/>
    <w:rsid w:val="005F5F0D"/>
    <w:rsid w:val="005F6025"/>
    <w:rsid w:val="005F6184"/>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492"/>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D08"/>
    <w:rsid w:val="00614DA0"/>
    <w:rsid w:val="006152CB"/>
    <w:rsid w:val="0061537D"/>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0C9E"/>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4B6A"/>
    <w:rsid w:val="006259BA"/>
    <w:rsid w:val="00626487"/>
    <w:rsid w:val="006268E4"/>
    <w:rsid w:val="00626CA7"/>
    <w:rsid w:val="00627098"/>
    <w:rsid w:val="006273D6"/>
    <w:rsid w:val="0062761A"/>
    <w:rsid w:val="006279FE"/>
    <w:rsid w:val="00627C1D"/>
    <w:rsid w:val="00627E20"/>
    <w:rsid w:val="00630287"/>
    <w:rsid w:val="00630CBA"/>
    <w:rsid w:val="00632D03"/>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9D8"/>
    <w:rsid w:val="006400FC"/>
    <w:rsid w:val="00640166"/>
    <w:rsid w:val="006403CE"/>
    <w:rsid w:val="00640D4B"/>
    <w:rsid w:val="00640F5C"/>
    <w:rsid w:val="00640FAF"/>
    <w:rsid w:val="006415D4"/>
    <w:rsid w:val="006417F1"/>
    <w:rsid w:val="006418FE"/>
    <w:rsid w:val="00641AF8"/>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9B4"/>
    <w:rsid w:val="0064710D"/>
    <w:rsid w:val="006477FF"/>
    <w:rsid w:val="00647DCD"/>
    <w:rsid w:val="006503A4"/>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76E"/>
    <w:rsid w:val="006627AF"/>
    <w:rsid w:val="00662F23"/>
    <w:rsid w:val="00663040"/>
    <w:rsid w:val="00663380"/>
    <w:rsid w:val="00663B40"/>
    <w:rsid w:val="00663E93"/>
    <w:rsid w:val="00663FEA"/>
    <w:rsid w:val="0066455C"/>
    <w:rsid w:val="006645FC"/>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173"/>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7D5"/>
    <w:rsid w:val="006768BC"/>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6B1"/>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244"/>
    <w:rsid w:val="006A6835"/>
    <w:rsid w:val="006A6893"/>
    <w:rsid w:val="006A759C"/>
    <w:rsid w:val="006A75DB"/>
    <w:rsid w:val="006A772E"/>
    <w:rsid w:val="006A7759"/>
    <w:rsid w:val="006A7BE3"/>
    <w:rsid w:val="006B01D1"/>
    <w:rsid w:val="006B030B"/>
    <w:rsid w:val="006B058A"/>
    <w:rsid w:val="006B05E5"/>
    <w:rsid w:val="006B07E8"/>
    <w:rsid w:val="006B0897"/>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AA4"/>
    <w:rsid w:val="006C4F0E"/>
    <w:rsid w:val="006C57AD"/>
    <w:rsid w:val="006C5DB5"/>
    <w:rsid w:val="006C5F01"/>
    <w:rsid w:val="006C6188"/>
    <w:rsid w:val="006C774F"/>
    <w:rsid w:val="006C7C0D"/>
    <w:rsid w:val="006D06EA"/>
    <w:rsid w:val="006D081E"/>
    <w:rsid w:val="006D09FB"/>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449"/>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5C"/>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8B0"/>
    <w:rsid w:val="006F5A12"/>
    <w:rsid w:val="006F6103"/>
    <w:rsid w:val="006F6AD5"/>
    <w:rsid w:val="006F6CB9"/>
    <w:rsid w:val="006F700F"/>
    <w:rsid w:val="006F70BC"/>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AC"/>
    <w:rsid w:val="007168D2"/>
    <w:rsid w:val="00716FFF"/>
    <w:rsid w:val="00717574"/>
    <w:rsid w:val="00717B74"/>
    <w:rsid w:val="00717CF4"/>
    <w:rsid w:val="00720B6B"/>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371"/>
    <w:rsid w:val="00743818"/>
    <w:rsid w:val="00743C63"/>
    <w:rsid w:val="00744517"/>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18A"/>
    <w:rsid w:val="00770471"/>
    <w:rsid w:val="0077064E"/>
    <w:rsid w:val="00770993"/>
    <w:rsid w:val="00770AA8"/>
    <w:rsid w:val="00771376"/>
    <w:rsid w:val="0077137A"/>
    <w:rsid w:val="007715A7"/>
    <w:rsid w:val="007718E9"/>
    <w:rsid w:val="00771AB2"/>
    <w:rsid w:val="00772273"/>
    <w:rsid w:val="007724F6"/>
    <w:rsid w:val="007725BD"/>
    <w:rsid w:val="007726A6"/>
    <w:rsid w:val="00773AA7"/>
    <w:rsid w:val="00773BAD"/>
    <w:rsid w:val="007748E0"/>
    <w:rsid w:val="00775666"/>
    <w:rsid w:val="00775A3B"/>
    <w:rsid w:val="00775C91"/>
    <w:rsid w:val="00775DB2"/>
    <w:rsid w:val="0077693F"/>
    <w:rsid w:val="00776BE5"/>
    <w:rsid w:val="00776CD8"/>
    <w:rsid w:val="00776E86"/>
    <w:rsid w:val="00776F37"/>
    <w:rsid w:val="0077757A"/>
    <w:rsid w:val="007778E8"/>
    <w:rsid w:val="00777985"/>
    <w:rsid w:val="00777B87"/>
    <w:rsid w:val="00780049"/>
    <w:rsid w:val="0078051E"/>
    <w:rsid w:val="007810B4"/>
    <w:rsid w:val="007813D8"/>
    <w:rsid w:val="00781400"/>
    <w:rsid w:val="0078162E"/>
    <w:rsid w:val="0078173E"/>
    <w:rsid w:val="00782270"/>
    <w:rsid w:val="00782895"/>
    <w:rsid w:val="00783079"/>
    <w:rsid w:val="00783199"/>
    <w:rsid w:val="007832C0"/>
    <w:rsid w:val="00783B0D"/>
    <w:rsid w:val="00783FAC"/>
    <w:rsid w:val="0078409D"/>
    <w:rsid w:val="007846A9"/>
    <w:rsid w:val="007857E1"/>
    <w:rsid w:val="00785990"/>
    <w:rsid w:val="00786462"/>
    <w:rsid w:val="007871CB"/>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5048"/>
    <w:rsid w:val="007954B1"/>
    <w:rsid w:val="00795757"/>
    <w:rsid w:val="00795D33"/>
    <w:rsid w:val="0079621C"/>
    <w:rsid w:val="007964FF"/>
    <w:rsid w:val="007966FC"/>
    <w:rsid w:val="00796AAE"/>
    <w:rsid w:val="00796DFC"/>
    <w:rsid w:val="00797526"/>
    <w:rsid w:val="007976C4"/>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06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9EF"/>
    <w:rsid w:val="007D4C50"/>
    <w:rsid w:val="007D4EF6"/>
    <w:rsid w:val="007D53CD"/>
    <w:rsid w:val="007D53F1"/>
    <w:rsid w:val="007D5FDC"/>
    <w:rsid w:val="007D649E"/>
    <w:rsid w:val="007D6D1A"/>
    <w:rsid w:val="007D7536"/>
    <w:rsid w:val="007D7542"/>
    <w:rsid w:val="007D7CB8"/>
    <w:rsid w:val="007E12F3"/>
    <w:rsid w:val="007E150A"/>
    <w:rsid w:val="007E1513"/>
    <w:rsid w:val="007E1552"/>
    <w:rsid w:val="007E1907"/>
    <w:rsid w:val="007E1F32"/>
    <w:rsid w:val="007E2041"/>
    <w:rsid w:val="007E34B0"/>
    <w:rsid w:val="007E3517"/>
    <w:rsid w:val="007E3B7F"/>
    <w:rsid w:val="007E4147"/>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3B3"/>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615"/>
    <w:rsid w:val="007F7A26"/>
    <w:rsid w:val="007F7C61"/>
    <w:rsid w:val="007F7E4C"/>
    <w:rsid w:val="00800150"/>
    <w:rsid w:val="00800504"/>
    <w:rsid w:val="008006C5"/>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742F"/>
    <w:rsid w:val="00807BE3"/>
    <w:rsid w:val="008103A5"/>
    <w:rsid w:val="008107CD"/>
    <w:rsid w:val="00810E8E"/>
    <w:rsid w:val="008111F4"/>
    <w:rsid w:val="00811413"/>
    <w:rsid w:val="0081167B"/>
    <w:rsid w:val="00811B23"/>
    <w:rsid w:val="008124D0"/>
    <w:rsid w:val="0081280D"/>
    <w:rsid w:val="00812AD9"/>
    <w:rsid w:val="00812CBE"/>
    <w:rsid w:val="00813170"/>
    <w:rsid w:val="0081323C"/>
    <w:rsid w:val="00813364"/>
    <w:rsid w:val="00813403"/>
    <w:rsid w:val="00813B92"/>
    <w:rsid w:val="00815320"/>
    <w:rsid w:val="0081553B"/>
    <w:rsid w:val="00816398"/>
    <w:rsid w:val="008163C8"/>
    <w:rsid w:val="008172AA"/>
    <w:rsid w:val="00817AB5"/>
    <w:rsid w:val="008208E7"/>
    <w:rsid w:val="008209CD"/>
    <w:rsid w:val="00820A8E"/>
    <w:rsid w:val="00820B27"/>
    <w:rsid w:val="00820DF4"/>
    <w:rsid w:val="0082114C"/>
    <w:rsid w:val="008215B2"/>
    <w:rsid w:val="00821A3B"/>
    <w:rsid w:val="00821B22"/>
    <w:rsid w:val="00821B52"/>
    <w:rsid w:val="00821C2B"/>
    <w:rsid w:val="00821CAD"/>
    <w:rsid w:val="00821DD5"/>
    <w:rsid w:val="00821E54"/>
    <w:rsid w:val="008221AF"/>
    <w:rsid w:val="0082247F"/>
    <w:rsid w:val="00822C60"/>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B0"/>
    <w:rsid w:val="008730EE"/>
    <w:rsid w:val="00873553"/>
    <w:rsid w:val="00873994"/>
    <w:rsid w:val="00873B4C"/>
    <w:rsid w:val="00874132"/>
    <w:rsid w:val="008742E4"/>
    <w:rsid w:val="008747F1"/>
    <w:rsid w:val="00874944"/>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3874"/>
    <w:rsid w:val="00883C8C"/>
    <w:rsid w:val="008840A4"/>
    <w:rsid w:val="0088412A"/>
    <w:rsid w:val="00884344"/>
    <w:rsid w:val="00884BD8"/>
    <w:rsid w:val="00884E1F"/>
    <w:rsid w:val="00884EAA"/>
    <w:rsid w:val="0088558E"/>
    <w:rsid w:val="008856F8"/>
    <w:rsid w:val="0088580A"/>
    <w:rsid w:val="00886063"/>
    <w:rsid w:val="00886409"/>
    <w:rsid w:val="008864A9"/>
    <w:rsid w:val="008864C7"/>
    <w:rsid w:val="00886986"/>
    <w:rsid w:val="008869F5"/>
    <w:rsid w:val="00886B3B"/>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6DC9"/>
    <w:rsid w:val="008979C4"/>
    <w:rsid w:val="008A0A2B"/>
    <w:rsid w:val="008A0CB2"/>
    <w:rsid w:val="008A0FC9"/>
    <w:rsid w:val="008A114A"/>
    <w:rsid w:val="008A13AB"/>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882"/>
    <w:rsid w:val="008A7D0A"/>
    <w:rsid w:val="008A7D14"/>
    <w:rsid w:val="008B0268"/>
    <w:rsid w:val="008B089B"/>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747"/>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C80"/>
    <w:rsid w:val="008C1DA4"/>
    <w:rsid w:val="008C1DAA"/>
    <w:rsid w:val="008C20A5"/>
    <w:rsid w:val="008C28CC"/>
    <w:rsid w:val="008C2CD5"/>
    <w:rsid w:val="008C3111"/>
    <w:rsid w:val="008C325B"/>
    <w:rsid w:val="008C3429"/>
    <w:rsid w:val="008C353F"/>
    <w:rsid w:val="008C3618"/>
    <w:rsid w:val="008C3DE3"/>
    <w:rsid w:val="008C4040"/>
    <w:rsid w:val="008C4211"/>
    <w:rsid w:val="008C426F"/>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08A"/>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2EA2"/>
    <w:rsid w:val="008E34AD"/>
    <w:rsid w:val="008E3583"/>
    <w:rsid w:val="008E3674"/>
    <w:rsid w:val="008E3825"/>
    <w:rsid w:val="008E3DC5"/>
    <w:rsid w:val="008E41EC"/>
    <w:rsid w:val="008E4361"/>
    <w:rsid w:val="008E465F"/>
    <w:rsid w:val="008E4801"/>
    <w:rsid w:val="008E499E"/>
    <w:rsid w:val="008E53E6"/>
    <w:rsid w:val="008E5BCE"/>
    <w:rsid w:val="008E5FDB"/>
    <w:rsid w:val="008E6687"/>
    <w:rsid w:val="008E6792"/>
    <w:rsid w:val="008E6AD6"/>
    <w:rsid w:val="008E6D1D"/>
    <w:rsid w:val="008E7EE7"/>
    <w:rsid w:val="008F075D"/>
    <w:rsid w:val="008F07F3"/>
    <w:rsid w:val="008F0C4C"/>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9B8"/>
    <w:rsid w:val="008F6BFE"/>
    <w:rsid w:val="008F6C79"/>
    <w:rsid w:val="008F704D"/>
    <w:rsid w:val="008F70F0"/>
    <w:rsid w:val="008F7342"/>
    <w:rsid w:val="008F7DFB"/>
    <w:rsid w:val="008F7E21"/>
    <w:rsid w:val="0090014F"/>
    <w:rsid w:val="009003C4"/>
    <w:rsid w:val="00900BC1"/>
    <w:rsid w:val="00900DC4"/>
    <w:rsid w:val="00901093"/>
    <w:rsid w:val="0090155C"/>
    <w:rsid w:val="009018E1"/>
    <w:rsid w:val="009019AA"/>
    <w:rsid w:val="00901C4B"/>
    <w:rsid w:val="00901DA7"/>
    <w:rsid w:val="00901EF3"/>
    <w:rsid w:val="009022BC"/>
    <w:rsid w:val="009024E3"/>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3B3"/>
    <w:rsid w:val="009116F5"/>
    <w:rsid w:val="009117CA"/>
    <w:rsid w:val="00911C1D"/>
    <w:rsid w:val="00911F01"/>
    <w:rsid w:val="0091213A"/>
    <w:rsid w:val="009128A8"/>
    <w:rsid w:val="00912AC3"/>
    <w:rsid w:val="00912D00"/>
    <w:rsid w:val="00912FA2"/>
    <w:rsid w:val="009134FC"/>
    <w:rsid w:val="00913B42"/>
    <w:rsid w:val="00913D41"/>
    <w:rsid w:val="00913EC2"/>
    <w:rsid w:val="00914063"/>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4EA"/>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243"/>
    <w:rsid w:val="00927B37"/>
    <w:rsid w:val="00930691"/>
    <w:rsid w:val="0093133A"/>
    <w:rsid w:val="009314AB"/>
    <w:rsid w:val="00931B3D"/>
    <w:rsid w:val="00931BD0"/>
    <w:rsid w:val="00931F5D"/>
    <w:rsid w:val="00932BEE"/>
    <w:rsid w:val="00932E7B"/>
    <w:rsid w:val="0093317B"/>
    <w:rsid w:val="0093366D"/>
    <w:rsid w:val="009336B2"/>
    <w:rsid w:val="00933757"/>
    <w:rsid w:val="00933981"/>
    <w:rsid w:val="0093468C"/>
    <w:rsid w:val="00934DD7"/>
    <w:rsid w:val="00937687"/>
    <w:rsid w:val="00937990"/>
    <w:rsid w:val="00937FC3"/>
    <w:rsid w:val="009400EE"/>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595"/>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D5"/>
    <w:rsid w:val="009577B5"/>
    <w:rsid w:val="00957EF6"/>
    <w:rsid w:val="009606F5"/>
    <w:rsid w:val="00960AFD"/>
    <w:rsid w:val="00960BDC"/>
    <w:rsid w:val="00960E02"/>
    <w:rsid w:val="0096197E"/>
    <w:rsid w:val="00962198"/>
    <w:rsid w:val="0096269B"/>
    <w:rsid w:val="00962800"/>
    <w:rsid w:val="00962A94"/>
    <w:rsid w:val="00962AAF"/>
    <w:rsid w:val="00962AB7"/>
    <w:rsid w:val="00962B6A"/>
    <w:rsid w:val="00962BB6"/>
    <w:rsid w:val="00962CA4"/>
    <w:rsid w:val="00962D49"/>
    <w:rsid w:val="00962FA6"/>
    <w:rsid w:val="0096440C"/>
    <w:rsid w:val="00964528"/>
    <w:rsid w:val="0096453B"/>
    <w:rsid w:val="00964BE4"/>
    <w:rsid w:val="009651A2"/>
    <w:rsid w:val="00965FBF"/>
    <w:rsid w:val="00966152"/>
    <w:rsid w:val="00966253"/>
    <w:rsid w:val="00966522"/>
    <w:rsid w:val="00966AD9"/>
    <w:rsid w:val="009670CE"/>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E58"/>
    <w:rsid w:val="00981706"/>
    <w:rsid w:val="009819B7"/>
    <w:rsid w:val="00981D15"/>
    <w:rsid w:val="00981F29"/>
    <w:rsid w:val="009826A4"/>
    <w:rsid w:val="009829D6"/>
    <w:rsid w:val="00983560"/>
    <w:rsid w:val="00983A71"/>
    <w:rsid w:val="00983E22"/>
    <w:rsid w:val="0098419C"/>
    <w:rsid w:val="0098534E"/>
    <w:rsid w:val="00985C3A"/>
    <w:rsid w:val="00985C3D"/>
    <w:rsid w:val="0098613C"/>
    <w:rsid w:val="009861C8"/>
    <w:rsid w:val="0098727F"/>
    <w:rsid w:val="0098757E"/>
    <w:rsid w:val="0098788A"/>
    <w:rsid w:val="00987910"/>
    <w:rsid w:val="00990225"/>
    <w:rsid w:val="00990771"/>
    <w:rsid w:val="00990835"/>
    <w:rsid w:val="00990CA3"/>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C2B"/>
    <w:rsid w:val="009B20F5"/>
    <w:rsid w:val="009B21F6"/>
    <w:rsid w:val="009B2411"/>
    <w:rsid w:val="009B277D"/>
    <w:rsid w:val="009B2A82"/>
    <w:rsid w:val="009B2F9B"/>
    <w:rsid w:val="009B3125"/>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A6A"/>
    <w:rsid w:val="009B7C56"/>
    <w:rsid w:val="009C0128"/>
    <w:rsid w:val="009C01A4"/>
    <w:rsid w:val="009C01BD"/>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3AD5"/>
    <w:rsid w:val="009C42E1"/>
    <w:rsid w:val="009C4DBD"/>
    <w:rsid w:val="009C5233"/>
    <w:rsid w:val="009C535C"/>
    <w:rsid w:val="009C55C6"/>
    <w:rsid w:val="009C5AC2"/>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1B3"/>
    <w:rsid w:val="009E0224"/>
    <w:rsid w:val="009E0C5F"/>
    <w:rsid w:val="009E0C7F"/>
    <w:rsid w:val="009E1406"/>
    <w:rsid w:val="009E1B91"/>
    <w:rsid w:val="009E2325"/>
    <w:rsid w:val="009E2E1B"/>
    <w:rsid w:val="009E30C7"/>
    <w:rsid w:val="009E33B0"/>
    <w:rsid w:val="009E3965"/>
    <w:rsid w:val="009E3EB7"/>
    <w:rsid w:val="009E41DA"/>
    <w:rsid w:val="009E444E"/>
    <w:rsid w:val="009E4857"/>
    <w:rsid w:val="009E4CD1"/>
    <w:rsid w:val="009E501A"/>
    <w:rsid w:val="009E5988"/>
    <w:rsid w:val="009E5AD0"/>
    <w:rsid w:val="009E5C21"/>
    <w:rsid w:val="009E60E2"/>
    <w:rsid w:val="009E67D3"/>
    <w:rsid w:val="009E67FA"/>
    <w:rsid w:val="009E6927"/>
    <w:rsid w:val="009E693D"/>
    <w:rsid w:val="009E720C"/>
    <w:rsid w:val="009E7AA7"/>
    <w:rsid w:val="009E7CA0"/>
    <w:rsid w:val="009E7F90"/>
    <w:rsid w:val="009F041F"/>
    <w:rsid w:val="009F0EC4"/>
    <w:rsid w:val="009F19D5"/>
    <w:rsid w:val="009F1A79"/>
    <w:rsid w:val="009F1B76"/>
    <w:rsid w:val="009F2349"/>
    <w:rsid w:val="009F2788"/>
    <w:rsid w:val="009F2DE5"/>
    <w:rsid w:val="009F307A"/>
    <w:rsid w:val="009F3A29"/>
    <w:rsid w:val="009F3CA2"/>
    <w:rsid w:val="009F4701"/>
    <w:rsid w:val="009F5CFB"/>
    <w:rsid w:val="009F6183"/>
    <w:rsid w:val="009F654A"/>
    <w:rsid w:val="009F65F4"/>
    <w:rsid w:val="009F676B"/>
    <w:rsid w:val="009F69AF"/>
    <w:rsid w:val="009F6C42"/>
    <w:rsid w:val="009F7184"/>
    <w:rsid w:val="009F7A77"/>
    <w:rsid w:val="009F7EC3"/>
    <w:rsid w:val="00A00875"/>
    <w:rsid w:val="00A008FC"/>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441A"/>
    <w:rsid w:val="00A0459D"/>
    <w:rsid w:val="00A0464C"/>
    <w:rsid w:val="00A04C74"/>
    <w:rsid w:val="00A04E0A"/>
    <w:rsid w:val="00A054E0"/>
    <w:rsid w:val="00A05B36"/>
    <w:rsid w:val="00A05CD9"/>
    <w:rsid w:val="00A05D50"/>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6F92"/>
    <w:rsid w:val="00A17EBF"/>
    <w:rsid w:val="00A17EFD"/>
    <w:rsid w:val="00A200A6"/>
    <w:rsid w:val="00A201C2"/>
    <w:rsid w:val="00A20B61"/>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412"/>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31EE"/>
    <w:rsid w:val="00A63514"/>
    <w:rsid w:val="00A63727"/>
    <w:rsid w:val="00A639CD"/>
    <w:rsid w:val="00A63B26"/>
    <w:rsid w:val="00A6451C"/>
    <w:rsid w:val="00A647B1"/>
    <w:rsid w:val="00A6499A"/>
    <w:rsid w:val="00A64D66"/>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B5"/>
    <w:rsid w:val="00A74051"/>
    <w:rsid w:val="00A74400"/>
    <w:rsid w:val="00A74900"/>
    <w:rsid w:val="00A7490B"/>
    <w:rsid w:val="00A74B1D"/>
    <w:rsid w:val="00A74E39"/>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871"/>
    <w:rsid w:val="00A86982"/>
    <w:rsid w:val="00A86A09"/>
    <w:rsid w:val="00A87433"/>
    <w:rsid w:val="00A87712"/>
    <w:rsid w:val="00A87C25"/>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8B5"/>
    <w:rsid w:val="00A96E7E"/>
    <w:rsid w:val="00A97060"/>
    <w:rsid w:val="00A97980"/>
    <w:rsid w:val="00AA0400"/>
    <w:rsid w:val="00AA06A4"/>
    <w:rsid w:val="00AA1911"/>
    <w:rsid w:val="00AA1B35"/>
    <w:rsid w:val="00AA1E23"/>
    <w:rsid w:val="00AA25CB"/>
    <w:rsid w:val="00AA2697"/>
    <w:rsid w:val="00AA26C3"/>
    <w:rsid w:val="00AA28CB"/>
    <w:rsid w:val="00AA2B5C"/>
    <w:rsid w:val="00AA2BEF"/>
    <w:rsid w:val="00AA2F35"/>
    <w:rsid w:val="00AA2F64"/>
    <w:rsid w:val="00AA2F8B"/>
    <w:rsid w:val="00AA313A"/>
    <w:rsid w:val="00AA38D3"/>
    <w:rsid w:val="00AA4485"/>
    <w:rsid w:val="00AA4619"/>
    <w:rsid w:val="00AA4756"/>
    <w:rsid w:val="00AA4B14"/>
    <w:rsid w:val="00AA577F"/>
    <w:rsid w:val="00AA5A22"/>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B15"/>
    <w:rsid w:val="00AB1C5E"/>
    <w:rsid w:val="00AB1C7F"/>
    <w:rsid w:val="00AB1F01"/>
    <w:rsid w:val="00AB21B5"/>
    <w:rsid w:val="00AB248F"/>
    <w:rsid w:val="00AB270B"/>
    <w:rsid w:val="00AB2BA8"/>
    <w:rsid w:val="00AB2C8B"/>
    <w:rsid w:val="00AB3162"/>
    <w:rsid w:val="00AB38CB"/>
    <w:rsid w:val="00AB415B"/>
    <w:rsid w:val="00AB439C"/>
    <w:rsid w:val="00AB4E59"/>
    <w:rsid w:val="00AB524D"/>
    <w:rsid w:val="00AB5417"/>
    <w:rsid w:val="00AB577E"/>
    <w:rsid w:val="00AB5D35"/>
    <w:rsid w:val="00AB6236"/>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2A1"/>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7BB"/>
    <w:rsid w:val="00AC7ADE"/>
    <w:rsid w:val="00AC7C30"/>
    <w:rsid w:val="00AD00D8"/>
    <w:rsid w:val="00AD01E6"/>
    <w:rsid w:val="00AD06B8"/>
    <w:rsid w:val="00AD071A"/>
    <w:rsid w:val="00AD0922"/>
    <w:rsid w:val="00AD0C5D"/>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67"/>
    <w:rsid w:val="00AD6073"/>
    <w:rsid w:val="00AD6206"/>
    <w:rsid w:val="00AD631A"/>
    <w:rsid w:val="00AD6372"/>
    <w:rsid w:val="00AD63D9"/>
    <w:rsid w:val="00AD660A"/>
    <w:rsid w:val="00AD7541"/>
    <w:rsid w:val="00AD77E1"/>
    <w:rsid w:val="00AE00B4"/>
    <w:rsid w:val="00AE03F7"/>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B06"/>
    <w:rsid w:val="00AE4F06"/>
    <w:rsid w:val="00AE56C3"/>
    <w:rsid w:val="00AE5A53"/>
    <w:rsid w:val="00AE5F3C"/>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A04"/>
    <w:rsid w:val="00AF5F9D"/>
    <w:rsid w:val="00AF60D4"/>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2F26"/>
    <w:rsid w:val="00B1311B"/>
    <w:rsid w:val="00B1364A"/>
    <w:rsid w:val="00B13C26"/>
    <w:rsid w:val="00B140F1"/>
    <w:rsid w:val="00B142EB"/>
    <w:rsid w:val="00B147A3"/>
    <w:rsid w:val="00B14B58"/>
    <w:rsid w:val="00B14E0E"/>
    <w:rsid w:val="00B15169"/>
    <w:rsid w:val="00B152BD"/>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537"/>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101"/>
    <w:rsid w:val="00B36865"/>
    <w:rsid w:val="00B36885"/>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462E"/>
    <w:rsid w:val="00B54B73"/>
    <w:rsid w:val="00B54D3E"/>
    <w:rsid w:val="00B54EFB"/>
    <w:rsid w:val="00B552C6"/>
    <w:rsid w:val="00B55BC0"/>
    <w:rsid w:val="00B56067"/>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7F5"/>
    <w:rsid w:val="00B72930"/>
    <w:rsid w:val="00B731D2"/>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0E52"/>
    <w:rsid w:val="00B81038"/>
    <w:rsid w:val="00B810C4"/>
    <w:rsid w:val="00B813B5"/>
    <w:rsid w:val="00B813BE"/>
    <w:rsid w:val="00B81591"/>
    <w:rsid w:val="00B81FEB"/>
    <w:rsid w:val="00B83019"/>
    <w:rsid w:val="00B84060"/>
    <w:rsid w:val="00B847DB"/>
    <w:rsid w:val="00B84992"/>
    <w:rsid w:val="00B8560D"/>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2ED8"/>
    <w:rsid w:val="00BA3563"/>
    <w:rsid w:val="00BA4095"/>
    <w:rsid w:val="00BA4677"/>
    <w:rsid w:val="00BA478B"/>
    <w:rsid w:val="00BA4887"/>
    <w:rsid w:val="00BA514B"/>
    <w:rsid w:val="00BA5330"/>
    <w:rsid w:val="00BA5411"/>
    <w:rsid w:val="00BA5968"/>
    <w:rsid w:val="00BA5BE6"/>
    <w:rsid w:val="00BA5C96"/>
    <w:rsid w:val="00BA6CE0"/>
    <w:rsid w:val="00BA72AA"/>
    <w:rsid w:val="00BA7B9F"/>
    <w:rsid w:val="00BA7CA7"/>
    <w:rsid w:val="00BA7D34"/>
    <w:rsid w:val="00BB03F0"/>
    <w:rsid w:val="00BB040B"/>
    <w:rsid w:val="00BB07D7"/>
    <w:rsid w:val="00BB083A"/>
    <w:rsid w:val="00BB089B"/>
    <w:rsid w:val="00BB0924"/>
    <w:rsid w:val="00BB0B03"/>
    <w:rsid w:val="00BB1BF8"/>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1C"/>
    <w:rsid w:val="00BC5B48"/>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1FCD"/>
    <w:rsid w:val="00BE21BE"/>
    <w:rsid w:val="00BE2457"/>
    <w:rsid w:val="00BE25F7"/>
    <w:rsid w:val="00BE2912"/>
    <w:rsid w:val="00BE29BC"/>
    <w:rsid w:val="00BE3257"/>
    <w:rsid w:val="00BE3427"/>
    <w:rsid w:val="00BE4052"/>
    <w:rsid w:val="00BE41BE"/>
    <w:rsid w:val="00BE45FB"/>
    <w:rsid w:val="00BE4AB4"/>
    <w:rsid w:val="00BE4AB9"/>
    <w:rsid w:val="00BE51CA"/>
    <w:rsid w:val="00BE5AFE"/>
    <w:rsid w:val="00BE6268"/>
    <w:rsid w:val="00BE6539"/>
    <w:rsid w:val="00BE6D61"/>
    <w:rsid w:val="00BE71A7"/>
    <w:rsid w:val="00BE782F"/>
    <w:rsid w:val="00BE7AA0"/>
    <w:rsid w:val="00BF0109"/>
    <w:rsid w:val="00BF02B3"/>
    <w:rsid w:val="00BF0550"/>
    <w:rsid w:val="00BF0B3D"/>
    <w:rsid w:val="00BF1711"/>
    <w:rsid w:val="00BF1945"/>
    <w:rsid w:val="00BF1FD3"/>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FA0"/>
    <w:rsid w:val="00C15500"/>
    <w:rsid w:val="00C15546"/>
    <w:rsid w:val="00C16781"/>
    <w:rsid w:val="00C16A7E"/>
    <w:rsid w:val="00C16DA2"/>
    <w:rsid w:val="00C16F93"/>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4D25"/>
    <w:rsid w:val="00C35228"/>
    <w:rsid w:val="00C3524B"/>
    <w:rsid w:val="00C35473"/>
    <w:rsid w:val="00C356AB"/>
    <w:rsid w:val="00C35B31"/>
    <w:rsid w:val="00C3604C"/>
    <w:rsid w:val="00C360B3"/>
    <w:rsid w:val="00C3628E"/>
    <w:rsid w:val="00C36AD3"/>
    <w:rsid w:val="00C36FAE"/>
    <w:rsid w:val="00C37027"/>
    <w:rsid w:val="00C379AF"/>
    <w:rsid w:val="00C37FD8"/>
    <w:rsid w:val="00C4046A"/>
    <w:rsid w:val="00C40AB8"/>
    <w:rsid w:val="00C40BEA"/>
    <w:rsid w:val="00C40D83"/>
    <w:rsid w:val="00C40DD9"/>
    <w:rsid w:val="00C40F25"/>
    <w:rsid w:val="00C40F52"/>
    <w:rsid w:val="00C41089"/>
    <w:rsid w:val="00C4208B"/>
    <w:rsid w:val="00C4282B"/>
    <w:rsid w:val="00C42B9F"/>
    <w:rsid w:val="00C42E56"/>
    <w:rsid w:val="00C430ED"/>
    <w:rsid w:val="00C4322A"/>
    <w:rsid w:val="00C434AF"/>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9EB"/>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51"/>
    <w:rsid w:val="00C66CCC"/>
    <w:rsid w:val="00C67335"/>
    <w:rsid w:val="00C67759"/>
    <w:rsid w:val="00C67D08"/>
    <w:rsid w:val="00C67D9D"/>
    <w:rsid w:val="00C7004A"/>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4F04"/>
    <w:rsid w:val="00C75682"/>
    <w:rsid w:val="00C757DC"/>
    <w:rsid w:val="00C75C32"/>
    <w:rsid w:val="00C76A1A"/>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B23"/>
    <w:rsid w:val="00C84CFE"/>
    <w:rsid w:val="00C85047"/>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3EA4"/>
    <w:rsid w:val="00C94100"/>
    <w:rsid w:val="00C9415F"/>
    <w:rsid w:val="00C941D4"/>
    <w:rsid w:val="00C941F7"/>
    <w:rsid w:val="00C9475F"/>
    <w:rsid w:val="00C948FD"/>
    <w:rsid w:val="00C94999"/>
    <w:rsid w:val="00C950C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1064"/>
    <w:rsid w:val="00CA231C"/>
    <w:rsid w:val="00CA24B1"/>
    <w:rsid w:val="00CA25C0"/>
    <w:rsid w:val="00CA28B6"/>
    <w:rsid w:val="00CA3014"/>
    <w:rsid w:val="00CA3329"/>
    <w:rsid w:val="00CA33DE"/>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523"/>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60"/>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09D"/>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3ECE"/>
    <w:rsid w:val="00CE4696"/>
    <w:rsid w:val="00CE4A99"/>
    <w:rsid w:val="00CE4DD2"/>
    <w:rsid w:val="00CE4F4D"/>
    <w:rsid w:val="00CE519C"/>
    <w:rsid w:val="00CE56BD"/>
    <w:rsid w:val="00CE5933"/>
    <w:rsid w:val="00CE6311"/>
    <w:rsid w:val="00CE6FC6"/>
    <w:rsid w:val="00CE709A"/>
    <w:rsid w:val="00CE7726"/>
    <w:rsid w:val="00CE7C84"/>
    <w:rsid w:val="00CF044B"/>
    <w:rsid w:val="00CF08B7"/>
    <w:rsid w:val="00CF0A32"/>
    <w:rsid w:val="00CF0B04"/>
    <w:rsid w:val="00CF131A"/>
    <w:rsid w:val="00CF1858"/>
    <w:rsid w:val="00CF195E"/>
    <w:rsid w:val="00CF1A59"/>
    <w:rsid w:val="00CF1EDA"/>
    <w:rsid w:val="00CF237E"/>
    <w:rsid w:val="00CF24AD"/>
    <w:rsid w:val="00CF2889"/>
    <w:rsid w:val="00CF2BE2"/>
    <w:rsid w:val="00CF2C0E"/>
    <w:rsid w:val="00CF31EF"/>
    <w:rsid w:val="00CF3D96"/>
    <w:rsid w:val="00CF3DA7"/>
    <w:rsid w:val="00CF4AC9"/>
    <w:rsid w:val="00CF4DAD"/>
    <w:rsid w:val="00CF50A0"/>
    <w:rsid w:val="00CF51C4"/>
    <w:rsid w:val="00CF51E5"/>
    <w:rsid w:val="00CF5ADF"/>
    <w:rsid w:val="00CF5D06"/>
    <w:rsid w:val="00CF65CB"/>
    <w:rsid w:val="00CF6B48"/>
    <w:rsid w:val="00D00461"/>
    <w:rsid w:val="00D0069E"/>
    <w:rsid w:val="00D0095E"/>
    <w:rsid w:val="00D00CE6"/>
    <w:rsid w:val="00D00DD8"/>
    <w:rsid w:val="00D01030"/>
    <w:rsid w:val="00D011E7"/>
    <w:rsid w:val="00D015B9"/>
    <w:rsid w:val="00D0161D"/>
    <w:rsid w:val="00D01B3E"/>
    <w:rsid w:val="00D01C39"/>
    <w:rsid w:val="00D01C5F"/>
    <w:rsid w:val="00D01CF9"/>
    <w:rsid w:val="00D023E3"/>
    <w:rsid w:val="00D0264C"/>
    <w:rsid w:val="00D02F9F"/>
    <w:rsid w:val="00D0334D"/>
    <w:rsid w:val="00D036E6"/>
    <w:rsid w:val="00D046B1"/>
    <w:rsid w:val="00D047B6"/>
    <w:rsid w:val="00D04F08"/>
    <w:rsid w:val="00D0503C"/>
    <w:rsid w:val="00D05157"/>
    <w:rsid w:val="00D05839"/>
    <w:rsid w:val="00D05967"/>
    <w:rsid w:val="00D05C3C"/>
    <w:rsid w:val="00D06542"/>
    <w:rsid w:val="00D06624"/>
    <w:rsid w:val="00D067C5"/>
    <w:rsid w:val="00D06C72"/>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6F"/>
    <w:rsid w:val="00D1588A"/>
    <w:rsid w:val="00D158D4"/>
    <w:rsid w:val="00D15921"/>
    <w:rsid w:val="00D15F7A"/>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637"/>
    <w:rsid w:val="00D22B04"/>
    <w:rsid w:val="00D23904"/>
    <w:rsid w:val="00D23CD1"/>
    <w:rsid w:val="00D2410C"/>
    <w:rsid w:val="00D2438C"/>
    <w:rsid w:val="00D24836"/>
    <w:rsid w:val="00D24B32"/>
    <w:rsid w:val="00D25423"/>
    <w:rsid w:val="00D25A8A"/>
    <w:rsid w:val="00D25B71"/>
    <w:rsid w:val="00D25EB6"/>
    <w:rsid w:val="00D25FCE"/>
    <w:rsid w:val="00D26007"/>
    <w:rsid w:val="00D26349"/>
    <w:rsid w:val="00D26CED"/>
    <w:rsid w:val="00D26E4F"/>
    <w:rsid w:val="00D27185"/>
    <w:rsid w:val="00D271BD"/>
    <w:rsid w:val="00D27632"/>
    <w:rsid w:val="00D300E4"/>
    <w:rsid w:val="00D303ED"/>
    <w:rsid w:val="00D304AF"/>
    <w:rsid w:val="00D307AF"/>
    <w:rsid w:val="00D30B6D"/>
    <w:rsid w:val="00D316A8"/>
    <w:rsid w:val="00D31716"/>
    <w:rsid w:val="00D32353"/>
    <w:rsid w:val="00D3244D"/>
    <w:rsid w:val="00D3282E"/>
    <w:rsid w:val="00D32890"/>
    <w:rsid w:val="00D32A0B"/>
    <w:rsid w:val="00D32C25"/>
    <w:rsid w:val="00D32CD9"/>
    <w:rsid w:val="00D32F1B"/>
    <w:rsid w:val="00D33767"/>
    <w:rsid w:val="00D338BA"/>
    <w:rsid w:val="00D33AB3"/>
    <w:rsid w:val="00D33B7A"/>
    <w:rsid w:val="00D33CCC"/>
    <w:rsid w:val="00D33CF5"/>
    <w:rsid w:val="00D33DB8"/>
    <w:rsid w:val="00D33E77"/>
    <w:rsid w:val="00D34555"/>
    <w:rsid w:val="00D34AA5"/>
    <w:rsid w:val="00D34B64"/>
    <w:rsid w:val="00D354C2"/>
    <w:rsid w:val="00D358C5"/>
    <w:rsid w:val="00D35B45"/>
    <w:rsid w:val="00D36892"/>
    <w:rsid w:val="00D36C3E"/>
    <w:rsid w:val="00D36E18"/>
    <w:rsid w:val="00D36FFC"/>
    <w:rsid w:val="00D371E5"/>
    <w:rsid w:val="00D37A9D"/>
    <w:rsid w:val="00D40239"/>
    <w:rsid w:val="00D4070C"/>
    <w:rsid w:val="00D4072D"/>
    <w:rsid w:val="00D40748"/>
    <w:rsid w:val="00D40A63"/>
    <w:rsid w:val="00D418BD"/>
    <w:rsid w:val="00D41E6A"/>
    <w:rsid w:val="00D42759"/>
    <w:rsid w:val="00D42B8D"/>
    <w:rsid w:val="00D42BA3"/>
    <w:rsid w:val="00D42F1E"/>
    <w:rsid w:val="00D4337F"/>
    <w:rsid w:val="00D43DDA"/>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4B"/>
    <w:rsid w:val="00D55CC5"/>
    <w:rsid w:val="00D5634D"/>
    <w:rsid w:val="00D56824"/>
    <w:rsid w:val="00D56A8C"/>
    <w:rsid w:val="00D56CED"/>
    <w:rsid w:val="00D56E3E"/>
    <w:rsid w:val="00D572A4"/>
    <w:rsid w:val="00D578F7"/>
    <w:rsid w:val="00D60983"/>
    <w:rsid w:val="00D61237"/>
    <w:rsid w:val="00D615DF"/>
    <w:rsid w:val="00D61622"/>
    <w:rsid w:val="00D61A16"/>
    <w:rsid w:val="00D61EB9"/>
    <w:rsid w:val="00D624AC"/>
    <w:rsid w:val="00D62BAA"/>
    <w:rsid w:val="00D62CF8"/>
    <w:rsid w:val="00D62E63"/>
    <w:rsid w:val="00D63299"/>
    <w:rsid w:val="00D634C4"/>
    <w:rsid w:val="00D63506"/>
    <w:rsid w:val="00D63BD6"/>
    <w:rsid w:val="00D63F38"/>
    <w:rsid w:val="00D640F6"/>
    <w:rsid w:val="00D641A5"/>
    <w:rsid w:val="00D64DDC"/>
    <w:rsid w:val="00D65923"/>
    <w:rsid w:val="00D65C19"/>
    <w:rsid w:val="00D66142"/>
    <w:rsid w:val="00D66160"/>
    <w:rsid w:val="00D66458"/>
    <w:rsid w:val="00D664AD"/>
    <w:rsid w:val="00D66D8B"/>
    <w:rsid w:val="00D66F8E"/>
    <w:rsid w:val="00D67187"/>
    <w:rsid w:val="00D675ED"/>
    <w:rsid w:val="00D67616"/>
    <w:rsid w:val="00D70328"/>
    <w:rsid w:val="00D7106F"/>
    <w:rsid w:val="00D71126"/>
    <w:rsid w:val="00D714C6"/>
    <w:rsid w:val="00D721B7"/>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CF4"/>
    <w:rsid w:val="00D93E1D"/>
    <w:rsid w:val="00D93E22"/>
    <w:rsid w:val="00D93F95"/>
    <w:rsid w:val="00D94286"/>
    <w:rsid w:val="00D94553"/>
    <w:rsid w:val="00D9478C"/>
    <w:rsid w:val="00D94B4B"/>
    <w:rsid w:val="00D94BE0"/>
    <w:rsid w:val="00D95997"/>
    <w:rsid w:val="00D96A14"/>
    <w:rsid w:val="00D97485"/>
    <w:rsid w:val="00D9771B"/>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3D31"/>
    <w:rsid w:val="00DB4224"/>
    <w:rsid w:val="00DB432C"/>
    <w:rsid w:val="00DB4699"/>
    <w:rsid w:val="00DB4CD3"/>
    <w:rsid w:val="00DB5153"/>
    <w:rsid w:val="00DB5286"/>
    <w:rsid w:val="00DB585A"/>
    <w:rsid w:val="00DB6819"/>
    <w:rsid w:val="00DB6A0C"/>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1"/>
    <w:rsid w:val="00DC67D9"/>
    <w:rsid w:val="00DC6E94"/>
    <w:rsid w:val="00DC6EBB"/>
    <w:rsid w:val="00DC74A3"/>
    <w:rsid w:val="00DD0E1D"/>
    <w:rsid w:val="00DD13F9"/>
    <w:rsid w:val="00DD1988"/>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F01F7"/>
    <w:rsid w:val="00DF0403"/>
    <w:rsid w:val="00DF069F"/>
    <w:rsid w:val="00DF0790"/>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8C"/>
    <w:rsid w:val="00E16641"/>
    <w:rsid w:val="00E169DE"/>
    <w:rsid w:val="00E16BA6"/>
    <w:rsid w:val="00E17677"/>
    <w:rsid w:val="00E17984"/>
    <w:rsid w:val="00E2013F"/>
    <w:rsid w:val="00E2024C"/>
    <w:rsid w:val="00E2059C"/>
    <w:rsid w:val="00E20FBB"/>
    <w:rsid w:val="00E216A9"/>
    <w:rsid w:val="00E219CE"/>
    <w:rsid w:val="00E21F4D"/>
    <w:rsid w:val="00E22034"/>
    <w:rsid w:val="00E2273F"/>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D36"/>
    <w:rsid w:val="00E41DE0"/>
    <w:rsid w:val="00E425E0"/>
    <w:rsid w:val="00E42762"/>
    <w:rsid w:val="00E42911"/>
    <w:rsid w:val="00E4293B"/>
    <w:rsid w:val="00E42BA5"/>
    <w:rsid w:val="00E42C03"/>
    <w:rsid w:val="00E43053"/>
    <w:rsid w:val="00E438B7"/>
    <w:rsid w:val="00E43D2D"/>
    <w:rsid w:val="00E44505"/>
    <w:rsid w:val="00E44C65"/>
    <w:rsid w:val="00E4520E"/>
    <w:rsid w:val="00E45896"/>
    <w:rsid w:val="00E4598A"/>
    <w:rsid w:val="00E45A2B"/>
    <w:rsid w:val="00E464F6"/>
    <w:rsid w:val="00E473DC"/>
    <w:rsid w:val="00E4756C"/>
    <w:rsid w:val="00E47BC0"/>
    <w:rsid w:val="00E47BFC"/>
    <w:rsid w:val="00E47EC7"/>
    <w:rsid w:val="00E47EF2"/>
    <w:rsid w:val="00E5079D"/>
    <w:rsid w:val="00E50859"/>
    <w:rsid w:val="00E511F6"/>
    <w:rsid w:val="00E514EB"/>
    <w:rsid w:val="00E51A86"/>
    <w:rsid w:val="00E51B8B"/>
    <w:rsid w:val="00E51C05"/>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60C1A"/>
    <w:rsid w:val="00E60F85"/>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62F"/>
    <w:rsid w:val="00E64685"/>
    <w:rsid w:val="00E654FF"/>
    <w:rsid w:val="00E6567B"/>
    <w:rsid w:val="00E65EBF"/>
    <w:rsid w:val="00E66255"/>
    <w:rsid w:val="00E67080"/>
    <w:rsid w:val="00E671DC"/>
    <w:rsid w:val="00E67861"/>
    <w:rsid w:val="00E67885"/>
    <w:rsid w:val="00E679E5"/>
    <w:rsid w:val="00E67DF2"/>
    <w:rsid w:val="00E67E25"/>
    <w:rsid w:val="00E70EC5"/>
    <w:rsid w:val="00E7121F"/>
    <w:rsid w:val="00E71A62"/>
    <w:rsid w:val="00E71B01"/>
    <w:rsid w:val="00E71BF9"/>
    <w:rsid w:val="00E723F7"/>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CFB"/>
    <w:rsid w:val="00E953FD"/>
    <w:rsid w:val="00E957EE"/>
    <w:rsid w:val="00E95918"/>
    <w:rsid w:val="00E95A0D"/>
    <w:rsid w:val="00E95A4D"/>
    <w:rsid w:val="00E95D07"/>
    <w:rsid w:val="00E9622B"/>
    <w:rsid w:val="00E96640"/>
    <w:rsid w:val="00E96945"/>
    <w:rsid w:val="00E9734C"/>
    <w:rsid w:val="00EA05AA"/>
    <w:rsid w:val="00EA0DEC"/>
    <w:rsid w:val="00EA1592"/>
    <w:rsid w:val="00EA198D"/>
    <w:rsid w:val="00EA229A"/>
    <w:rsid w:val="00EA2460"/>
    <w:rsid w:val="00EA2593"/>
    <w:rsid w:val="00EA25D6"/>
    <w:rsid w:val="00EA28BD"/>
    <w:rsid w:val="00EA3081"/>
    <w:rsid w:val="00EA313E"/>
    <w:rsid w:val="00EA32C1"/>
    <w:rsid w:val="00EA3346"/>
    <w:rsid w:val="00EA36F1"/>
    <w:rsid w:val="00EA3874"/>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21B7"/>
    <w:rsid w:val="00EC2584"/>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C28"/>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9D1"/>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20F3D"/>
    <w:rsid w:val="00F20FA7"/>
    <w:rsid w:val="00F210EE"/>
    <w:rsid w:val="00F2173D"/>
    <w:rsid w:val="00F21A24"/>
    <w:rsid w:val="00F21FA9"/>
    <w:rsid w:val="00F22260"/>
    <w:rsid w:val="00F22756"/>
    <w:rsid w:val="00F22C25"/>
    <w:rsid w:val="00F2311A"/>
    <w:rsid w:val="00F232FF"/>
    <w:rsid w:val="00F2434D"/>
    <w:rsid w:val="00F24486"/>
    <w:rsid w:val="00F24F54"/>
    <w:rsid w:val="00F259C2"/>
    <w:rsid w:val="00F25AF8"/>
    <w:rsid w:val="00F25C3C"/>
    <w:rsid w:val="00F25F3A"/>
    <w:rsid w:val="00F260D9"/>
    <w:rsid w:val="00F2637F"/>
    <w:rsid w:val="00F26745"/>
    <w:rsid w:val="00F26DC0"/>
    <w:rsid w:val="00F26DF8"/>
    <w:rsid w:val="00F26FAE"/>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196"/>
    <w:rsid w:val="00F5175C"/>
    <w:rsid w:val="00F5178B"/>
    <w:rsid w:val="00F51D74"/>
    <w:rsid w:val="00F52963"/>
    <w:rsid w:val="00F52C0B"/>
    <w:rsid w:val="00F52C52"/>
    <w:rsid w:val="00F531AB"/>
    <w:rsid w:val="00F5350A"/>
    <w:rsid w:val="00F53878"/>
    <w:rsid w:val="00F53949"/>
    <w:rsid w:val="00F53958"/>
    <w:rsid w:val="00F53BC8"/>
    <w:rsid w:val="00F53E28"/>
    <w:rsid w:val="00F53E7A"/>
    <w:rsid w:val="00F543D4"/>
    <w:rsid w:val="00F54682"/>
    <w:rsid w:val="00F54862"/>
    <w:rsid w:val="00F55C48"/>
    <w:rsid w:val="00F55DEA"/>
    <w:rsid w:val="00F55EDE"/>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91F"/>
    <w:rsid w:val="00F65DC6"/>
    <w:rsid w:val="00F66833"/>
    <w:rsid w:val="00F66D3D"/>
    <w:rsid w:val="00F674E7"/>
    <w:rsid w:val="00F676B7"/>
    <w:rsid w:val="00F678A9"/>
    <w:rsid w:val="00F7062D"/>
    <w:rsid w:val="00F70799"/>
    <w:rsid w:val="00F70B79"/>
    <w:rsid w:val="00F70E2A"/>
    <w:rsid w:val="00F710A6"/>
    <w:rsid w:val="00F711B5"/>
    <w:rsid w:val="00F71AEF"/>
    <w:rsid w:val="00F71B32"/>
    <w:rsid w:val="00F71BE4"/>
    <w:rsid w:val="00F721F6"/>
    <w:rsid w:val="00F7225D"/>
    <w:rsid w:val="00F724FB"/>
    <w:rsid w:val="00F725D1"/>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231"/>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52D9"/>
    <w:rsid w:val="00F959CD"/>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D8B"/>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74E6"/>
    <w:rsid w:val="00FB79D1"/>
    <w:rsid w:val="00FC01B5"/>
    <w:rsid w:val="00FC066A"/>
    <w:rsid w:val="00FC06E2"/>
    <w:rsid w:val="00FC0BCF"/>
    <w:rsid w:val="00FC0C5A"/>
    <w:rsid w:val="00FC1953"/>
    <w:rsid w:val="00FC29F8"/>
    <w:rsid w:val="00FC3185"/>
    <w:rsid w:val="00FC336C"/>
    <w:rsid w:val="00FC376D"/>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7F4"/>
    <w:rsid w:val="00FD0B97"/>
    <w:rsid w:val="00FD1076"/>
    <w:rsid w:val="00FD2296"/>
    <w:rsid w:val="00FD267F"/>
    <w:rsid w:val="00FD2735"/>
    <w:rsid w:val="00FD30F1"/>
    <w:rsid w:val="00FD3B8D"/>
    <w:rsid w:val="00FD412C"/>
    <w:rsid w:val="00FD416D"/>
    <w:rsid w:val="00FD4275"/>
    <w:rsid w:val="00FD4AA0"/>
    <w:rsid w:val="00FD5B3A"/>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26"/>
    <w:rsid w:val="00FE2658"/>
    <w:rsid w:val="00FE26DB"/>
    <w:rsid w:val="00FE27BE"/>
    <w:rsid w:val="00FE27F6"/>
    <w:rsid w:val="00FE2BC4"/>
    <w:rsid w:val="00FE2D42"/>
    <w:rsid w:val="00FE3059"/>
    <w:rsid w:val="00FE38B9"/>
    <w:rsid w:val="00FE3D5D"/>
    <w:rsid w:val="00FE4991"/>
    <w:rsid w:val="00FE503B"/>
    <w:rsid w:val="00FE6E56"/>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42CF"/>
    <w:rsid w:val="00FF4767"/>
    <w:rsid w:val="00FF48D1"/>
    <w:rsid w:val="00FF4F89"/>
    <w:rsid w:val="00FF50BF"/>
    <w:rsid w:val="00FF51EA"/>
    <w:rsid w:val="00FF57E4"/>
    <w:rsid w:val="00FF60F2"/>
    <w:rsid w:val="00FF68F1"/>
    <w:rsid w:val="00FF7A12"/>
    <w:rsid w:val="00FF7A2F"/>
    <w:rsid w:val="0129164F"/>
    <w:rsid w:val="013B2B96"/>
    <w:rsid w:val="01E1703D"/>
    <w:rsid w:val="01EE6A26"/>
    <w:rsid w:val="026B05AF"/>
    <w:rsid w:val="03076ED3"/>
    <w:rsid w:val="049A2702"/>
    <w:rsid w:val="05847DCB"/>
    <w:rsid w:val="0595397F"/>
    <w:rsid w:val="05DB065E"/>
    <w:rsid w:val="05E22EEC"/>
    <w:rsid w:val="063B325D"/>
    <w:rsid w:val="0681212A"/>
    <w:rsid w:val="079052BE"/>
    <w:rsid w:val="095011A8"/>
    <w:rsid w:val="09B36DAA"/>
    <w:rsid w:val="0A262D8D"/>
    <w:rsid w:val="0B31588C"/>
    <w:rsid w:val="0B8600F0"/>
    <w:rsid w:val="0B907212"/>
    <w:rsid w:val="0BA27093"/>
    <w:rsid w:val="0C4F5948"/>
    <w:rsid w:val="0CA034F0"/>
    <w:rsid w:val="0D093B48"/>
    <w:rsid w:val="0D4610AA"/>
    <w:rsid w:val="0D841421"/>
    <w:rsid w:val="0D8A0626"/>
    <w:rsid w:val="0E506C54"/>
    <w:rsid w:val="0ED10695"/>
    <w:rsid w:val="0EFB7275"/>
    <w:rsid w:val="0F1D7D7F"/>
    <w:rsid w:val="0F3F795B"/>
    <w:rsid w:val="0F4946D0"/>
    <w:rsid w:val="0F7335C5"/>
    <w:rsid w:val="10795489"/>
    <w:rsid w:val="10B20503"/>
    <w:rsid w:val="113101C8"/>
    <w:rsid w:val="11B653E9"/>
    <w:rsid w:val="11C95F9C"/>
    <w:rsid w:val="11DF4949"/>
    <w:rsid w:val="11F40F1A"/>
    <w:rsid w:val="12CC5D44"/>
    <w:rsid w:val="139C49F3"/>
    <w:rsid w:val="13A4275D"/>
    <w:rsid w:val="13D51CBA"/>
    <w:rsid w:val="13EC2D22"/>
    <w:rsid w:val="14013161"/>
    <w:rsid w:val="142B622C"/>
    <w:rsid w:val="14397409"/>
    <w:rsid w:val="15182D18"/>
    <w:rsid w:val="15B91E83"/>
    <w:rsid w:val="15C636F0"/>
    <w:rsid w:val="169D4AF9"/>
    <w:rsid w:val="16CC145B"/>
    <w:rsid w:val="16CF5E02"/>
    <w:rsid w:val="16DE64F3"/>
    <w:rsid w:val="173F3D17"/>
    <w:rsid w:val="17AF74B8"/>
    <w:rsid w:val="181710AC"/>
    <w:rsid w:val="1854279E"/>
    <w:rsid w:val="18C2464E"/>
    <w:rsid w:val="18C708FC"/>
    <w:rsid w:val="19053D5D"/>
    <w:rsid w:val="192B6AA1"/>
    <w:rsid w:val="199D0B74"/>
    <w:rsid w:val="19CE23A1"/>
    <w:rsid w:val="1A292A86"/>
    <w:rsid w:val="1A8C1B75"/>
    <w:rsid w:val="1AC365D7"/>
    <w:rsid w:val="1ACD56B3"/>
    <w:rsid w:val="1B9A74D2"/>
    <w:rsid w:val="1BFE4A94"/>
    <w:rsid w:val="1C4C3A51"/>
    <w:rsid w:val="1CC950A2"/>
    <w:rsid w:val="1DD925F6"/>
    <w:rsid w:val="1DF701F2"/>
    <w:rsid w:val="1E612053"/>
    <w:rsid w:val="1E7B061E"/>
    <w:rsid w:val="1F0B3750"/>
    <w:rsid w:val="1F464996"/>
    <w:rsid w:val="1F4A3163"/>
    <w:rsid w:val="1FAC6E05"/>
    <w:rsid w:val="1FC40251"/>
    <w:rsid w:val="1FFF7034"/>
    <w:rsid w:val="201A5B99"/>
    <w:rsid w:val="2102775E"/>
    <w:rsid w:val="21621621"/>
    <w:rsid w:val="217A6BD0"/>
    <w:rsid w:val="2474508C"/>
    <w:rsid w:val="24AF4B7D"/>
    <w:rsid w:val="2714290A"/>
    <w:rsid w:val="28D7314C"/>
    <w:rsid w:val="28DB46A8"/>
    <w:rsid w:val="28DE1C0C"/>
    <w:rsid w:val="2919534F"/>
    <w:rsid w:val="29704200"/>
    <w:rsid w:val="29AC5B2F"/>
    <w:rsid w:val="29DA58C2"/>
    <w:rsid w:val="2A07637C"/>
    <w:rsid w:val="2A7E3970"/>
    <w:rsid w:val="2ACC5FDE"/>
    <w:rsid w:val="2BCE6231"/>
    <w:rsid w:val="2BF8505C"/>
    <w:rsid w:val="2C622E1D"/>
    <w:rsid w:val="2C870BE6"/>
    <w:rsid w:val="2D03632E"/>
    <w:rsid w:val="2D5F4604"/>
    <w:rsid w:val="2DA76EF1"/>
    <w:rsid w:val="2E0D0E52"/>
    <w:rsid w:val="2E3208DD"/>
    <w:rsid w:val="2EA339A5"/>
    <w:rsid w:val="2F0331FE"/>
    <w:rsid w:val="2F0C5DFB"/>
    <w:rsid w:val="2F193B60"/>
    <w:rsid w:val="300A7A53"/>
    <w:rsid w:val="30120987"/>
    <w:rsid w:val="304E16EE"/>
    <w:rsid w:val="30A235FD"/>
    <w:rsid w:val="31686211"/>
    <w:rsid w:val="31C7503D"/>
    <w:rsid w:val="323532DC"/>
    <w:rsid w:val="32737B32"/>
    <w:rsid w:val="334B0167"/>
    <w:rsid w:val="33956F34"/>
    <w:rsid w:val="34794E28"/>
    <w:rsid w:val="34B36F93"/>
    <w:rsid w:val="34B53FB3"/>
    <w:rsid w:val="357C0AAC"/>
    <w:rsid w:val="35973B37"/>
    <w:rsid w:val="361D7E5F"/>
    <w:rsid w:val="36562C22"/>
    <w:rsid w:val="36624145"/>
    <w:rsid w:val="36AE5215"/>
    <w:rsid w:val="3733112C"/>
    <w:rsid w:val="37971BCD"/>
    <w:rsid w:val="38CC5315"/>
    <w:rsid w:val="39693A3D"/>
    <w:rsid w:val="396D4DDB"/>
    <w:rsid w:val="3A2465D4"/>
    <w:rsid w:val="3AF63BC4"/>
    <w:rsid w:val="3CDA5944"/>
    <w:rsid w:val="3D385ACB"/>
    <w:rsid w:val="3D7D6B80"/>
    <w:rsid w:val="3DDA2813"/>
    <w:rsid w:val="3EFC6676"/>
    <w:rsid w:val="3F3B3785"/>
    <w:rsid w:val="3F433125"/>
    <w:rsid w:val="41257C62"/>
    <w:rsid w:val="41E53E7C"/>
    <w:rsid w:val="41F806FA"/>
    <w:rsid w:val="42B555FD"/>
    <w:rsid w:val="42C817D4"/>
    <w:rsid w:val="44D22552"/>
    <w:rsid w:val="453C0257"/>
    <w:rsid w:val="458614D2"/>
    <w:rsid w:val="459B31D0"/>
    <w:rsid w:val="46C06659"/>
    <w:rsid w:val="46C71DA3"/>
    <w:rsid w:val="46F50E97"/>
    <w:rsid w:val="47206DD0"/>
    <w:rsid w:val="474C63FD"/>
    <w:rsid w:val="47710090"/>
    <w:rsid w:val="4783216D"/>
    <w:rsid w:val="479B51D9"/>
    <w:rsid w:val="480B6C07"/>
    <w:rsid w:val="480E5EDB"/>
    <w:rsid w:val="484E1014"/>
    <w:rsid w:val="489839F7"/>
    <w:rsid w:val="49831FB1"/>
    <w:rsid w:val="49DC33C2"/>
    <w:rsid w:val="49FE7275"/>
    <w:rsid w:val="4A361719"/>
    <w:rsid w:val="4A485BA0"/>
    <w:rsid w:val="4B072810"/>
    <w:rsid w:val="4BA27797"/>
    <w:rsid w:val="4BF076A6"/>
    <w:rsid w:val="4C7B1665"/>
    <w:rsid w:val="4C7D362F"/>
    <w:rsid w:val="4C9156F9"/>
    <w:rsid w:val="4CA7245A"/>
    <w:rsid w:val="4DA62712"/>
    <w:rsid w:val="4E3F30A7"/>
    <w:rsid w:val="4EA26FA3"/>
    <w:rsid w:val="4EE42237"/>
    <w:rsid w:val="4EFE032C"/>
    <w:rsid w:val="4F207833"/>
    <w:rsid w:val="4F2745F5"/>
    <w:rsid w:val="4F6E7333"/>
    <w:rsid w:val="512322CB"/>
    <w:rsid w:val="51363DAD"/>
    <w:rsid w:val="51624BA2"/>
    <w:rsid w:val="51894824"/>
    <w:rsid w:val="52720E14"/>
    <w:rsid w:val="52C30E83"/>
    <w:rsid w:val="5315483C"/>
    <w:rsid w:val="53B73B84"/>
    <w:rsid w:val="53DD77EC"/>
    <w:rsid w:val="54532EC8"/>
    <w:rsid w:val="545555D8"/>
    <w:rsid w:val="551B1C37"/>
    <w:rsid w:val="55234733"/>
    <w:rsid w:val="562B40FC"/>
    <w:rsid w:val="57511940"/>
    <w:rsid w:val="584414A5"/>
    <w:rsid w:val="58692CBA"/>
    <w:rsid w:val="597E2795"/>
    <w:rsid w:val="5A113609"/>
    <w:rsid w:val="5A14757E"/>
    <w:rsid w:val="5A3E3CD2"/>
    <w:rsid w:val="5A4C63EF"/>
    <w:rsid w:val="5A591863"/>
    <w:rsid w:val="5A9B4B84"/>
    <w:rsid w:val="5AC71306"/>
    <w:rsid w:val="5BFA0F81"/>
    <w:rsid w:val="5C133668"/>
    <w:rsid w:val="5D9570FA"/>
    <w:rsid w:val="5EF908A6"/>
    <w:rsid w:val="5FA453BE"/>
    <w:rsid w:val="5FD714BB"/>
    <w:rsid w:val="60221D7C"/>
    <w:rsid w:val="61615E88"/>
    <w:rsid w:val="61776447"/>
    <w:rsid w:val="61B863A0"/>
    <w:rsid w:val="625567C0"/>
    <w:rsid w:val="6339625B"/>
    <w:rsid w:val="637E566E"/>
    <w:rsid w:val="638E5CCA"/>
    <w:rsid w:val="64095562"/>
    <w:rsid w:val="640B2DAF"/>
    <w:rsid w:val="642C556C"/>
    <w:rsid w:val="64A70DF2"/>
    <w:rsid w:val="651B26D3"/>
    <w:rsid w:val="654C7BEB"/>
    <w:rsid w:val="66050034"/>
    <w:rsid w:val="66D77D90"/>
    <w:rsid w:val="66DB4D83"/>
    <w:rsid w:val="670C0772"/>
    <w:rsid w:val="6714572D"/>
    <w:rsid w:val="67191D4F"/>
    <w:rsid w:val="674E58A0"/>
    <w:rsid w:val="67793EB8"/>
    <w:rsid w:val="684D7F02"/>
    <w:rsid w:val="68EB3277"/>
    <w:rsid w:val="69802D51"/>
    <w:rsid w:val="6A8F6023"/>
    <w:rsid w:val="6ABB288B"/>
    <w:rsid w:val="6BAA7419"/>
    <w:rsid w:val="6BD83F86"/>
    <w:rsid w:val="6C580C23"/>
    <w:rsid w:val="6C636B49"/>
    <w:rsid w:val="6C671F84"/>
    <w:rsid w:val="6D4B07BC"/>
    <w:rsid w:val="6D673916"/>
    <w:rsid w:val="6EB505AF"/>
    <w:rsid w:val="6EEE0F33"/>
    <w:rsid w:val="6EFA3A8F"/>
    <w:rsid w:val="6F490B1E"/>
    <w:rsid w:val="6FBD596D"/>
    <w:rsid w:val="70E81BA8"/>
    <w:rsid w:val="71253EA2"/>
    <w:rsid w:val="71A93FA1"/>
    <w:rsid w:val="71AE58A5"/>
    <w:rsid w:val="71D21648"/>
    <w:rsid w:val="71E96F85"/>
    <w:rsid w:val="7205184D"/>
    <w:rsid w:val="73B904EC"/>
    <w:rsid w:val="73CB617F"/>
    <w:rsid w:val="75872DF4"/>
    <w:rsid w:val="75D74944"/>
    <w:rsid w:val="764F3ACF"/>
    <w:rsid w:val="76F57F48"/>
    <w:rsid w:val="77377B98"/>
    <w:rsid w:val="777A02FF"/>
    <w:rsid w:val="78DF5B8F"/>
    <w:rsid w:val="7A451D1D"/>
    <w:rsid w:val="7A5F258A"/>
    <w:rsid w:val="7AD106CF"/>
    <w:rsid w:val="7B2E771F"/>
    <w:rsid w:val="7B5A6766"/>
    <w:rsid w:val="7C8C529F"/>
    <w:rsid w:val="7CD04806"/>
    <w:rsid w:val="7D5B51FC"/>
    <w:rsid w:val="7E5F4093"/>
    <w:rsid w:val="7E9F5873"/>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unhideWhenUsed/>
    <w:qFormat/>
    <w:uiPriority w:val="1"/>
    <w:pPr>
      <w:spacing w:after="120"/>
    </w:pPr>
  </w:style>
  <w:style w:type="paragraph" w:styleId="20">
    <w:name w:val="Body Text Indent"/>
    <w:basedOn w:val="1"/>
    <w:link w:val="7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link w:val="73"/>
    <w:qFormat/>
    <w:uiPriority w:val="0"/>
    <w:rPr>
      <w:rFonts w:ascii="宋体" w:hAnsi="Courier New"/>
      <w:kern w:val="0"/>
      <w:sz w:val="20"/>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74"/>
    <w:unhideWhenUsed/>
    <w:qFormat/>
    <w:uiPriority w:val="99"/>
    <w:pPr>
      <w:ind w:left="100" w:leftChars="2500"/>
    </w:pPr>
  </w:style>
  <w:style w:type="paragraph" w:styleId="29">
    <w:name w:val="Body Text Indent 2"/>
    <w:basedOn w:val="1"/>
    <w:link w:val="75"/>
    <w:qFormat/>
    <w:uiPriority w:val="0"/>
    <w:pPr>
      <w:ind w:firstLine="630"/>
    </w:pPr>
    <w:rPr>
      <w:sz w:val="32"/>
      <w:szCs w:val="20"/>
    </w:rPr>
  </w:style>
  <w:style w:type="paragraph" w:styleId="30">
    <w:name w:val="endnote text"/>
    <w:basedOn w:val="1"/>
    <w:unhideWhenUsed/>
    <w:qFormat/>
    <w:uiPriority w:val="0"/>
    <w:pPr>
      <w:snapToGrid w:val="0"/>
      <w:jc w:val="left"/>
    </w:pPr>
  </w:style>
  <w:style w:type="paragraph" w:styleId="31">
    <w:name w:val="Balloon Text"/>
    <w:basedOn w:val="1"/>
    <w:link w:val="76"/>
    <w:qFormat/>
    <w:uiPriority w:val="0"/>
    <w:rPr>
      <w:sz w:val="18"/>
      <w:szCs w:val="18"/>
    </w:rPr>
  </w:style>
  <w:style w:type="paragraph" w:styleId="32">
    <w:name w:val="footer"/>
    <w:basedOn w:val="1"/>
    <w:link w:val="77"/>
    <w:unhideWhenUsed/>
    <w:qFormat/>
    <w:uiPriority w:val="99"/>
    <w:pPr>
      <w:tabs>
        <w:tab w:val="center" w:pos="4153"/>
        <w:tab w:val="right" w:pos="8306"/>
      </w:tabs>
      <w:snapToGrid w:val="0"/>
      <w:jc w:val="left"/>
    </w:pPr>
    <w:rPr>
      <w:kern w:val="0"/>
      <w:sz w:val="18"/>
      <w:szCs w:val="18"/>
    </w:rPr>
  </w:style>
  <w:style w:type="paragraph" w:styleId="33">
    <w:name w:val="header"/>
    <w:basedOn w:val="1"/>
    <w:link w:val="7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style>
  <w:style w:type="paragraph" w:styleId="35">
    <w:name w:val="toc 4"/>
    <w:basedOn w:val="1"/>
    <w:next w:val="1"/>
    <w:unhideWhenUsed/>
    <w:qFormat/>
    <w:uiPriority w:val="0"/>
    <w:pPr>
      <w:ind w:left="1260" w:leftChars="600"/>
    </w:pPr>
    <w:rPr>
      <w:rFonts w:ascii="Calibri" w:hAnsi="Calibri"/>
      <w:szCs w:val="22"/>
    </w:rPr>
  </w:style>
  <w:style w:type="paragraph" w:styleId="36">
    <w:name w:val="index heading"/>
    <w:basedOn w:val="1"/>
    <w:next w:val="37"/>
    <w:semiHidden/>
    <w:qFormat/>
    <w:uiPriority w:val="0"/>
    <w:rPr>
      <w:szCs w:val="20"/>
    </w:rPr>
  </w:style>
  <w:style w:type="paragraph" w:styleId="37">
    <w:name w:val="index 1"/>
    <w:basedOn w:val="1"/>
    <w:next w:val="1"/>
    <w:semiHidden/>
    <w:qFormat/>
    <w:uiPriority w:val="0"/>
    <w:pPr>
      <w:spacing w:line="400" w:lineRule="exact"/>
      <w:ind w:firstLine="420"/>
    </w:pPr>
    <w:rPr>
      <w:rFonts w:ascii="宋体" w:hAnsi="Courier New"/>
      <w:b/>
      <w:szCs w:val="20"/>
    </w:rPr>
  </w:style>
  <w:style w:type="paragraph" w:styleId="38">
    <w:name w:val="List"/>
    <w:basedOn w:val="1"/>
    <w:qFormat/>
    <w:uiPriority w:val="0"/>
    <w:pPr>
      <w:ind w:left="200" w:hanging="200" w:hangingChars="200"/>
    </w:pPr>
    <w:rPr>
      <w:sz w:val="28"/>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unhideWhenUsed/>
    <w:qFormat/>
    <w:uiPriority w:val="0"/>
    <w:pPr>
      <w:ind w:left="2100" w:leftChars="1000"/>
    </w:pPr>
    <w:rPr>
      <w:rFonts w:ascii="Calibri" w:hAnsi="Calibri"/>
      <w:szCs w:val="22"/>
    </w:rPr>
  </w:style>
  <w:style w:type="paragraph" w:styleId="41">
    <w:name w:val="Body Text Indent 3"/>
    <w:basedOn w:val="1"/>
    <w:link w:val="79"/>
    <w:qFormat/>
    <w:uiPriority w:val="0"/>
    <w:pPr>
      <w:spacing w:after="120"/>
      <w:ind w:left="420" w:leftChars="200"/>
    </w:pPr>
    <w:rPr>
      <w:sz w:val="16"/>
      <w:szCs w:val="16"/>
    </w:rPr>
  </w:style>
  <w:style w:type="paragraph" w:styleId="42">
    <w:name w:val="toc 2"/>
    <w:basedOn w:val="1"/>
    <w:next w:val="1"/>
    <w:unhideWhenUsed/>
    <w:qFormat/>
    <w:uiPriority w:val="39"/>
    <w:pPr>
      <w:tabs>
        <w:tab w:val="right" w:leader="dot" w:pos="8450"/>
      </w:tabs>
      <w:ind w:left="420" w:leftChars="200"/>
    </w:pPr>
  </w:style>
  <w:style w:type="paragraph" w:styleId="43">
    <w:name w:val="toc 9"/>
    <w:basedOn w:val="1"/>
    <w:next w:val="1"/>
    <w:unhideWhenUsed/>
    <w:qFormat/>
    <w:uiPriority w:val="0"/>
    <w:pPr>
      <w:ind w:left="3360" w:leftChars="1600"/>
    </w:pPr>
    <w:rPr>
      <w:rFonts w:ascii="Calibri" w:hAnsi="Calibri"/>
      <w:szCs w:val="22"/>
    </w:rPr>
  </w:style>
  <w:style w:type="paragraph" w:styleId="44">
    <w:name w:val="Body Text 2"/>
    <w:basedOn w:val="1"/>
    <w:link w:val="80"/>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81"/>
    <w:qFormat/>
    <w:uiPriority w:val="0"/>
    <w:rPr>
      <w:b/>
      <w:bCs/>
    </w:rPr>
  </w:style>
  <w:style w:type="paragraph" w:styleId="49">
    <w:name w:val="Body Text First Indent"/>
    <w:basedOn w:val="19"/>
    <w:link w:val="82"/>
    <w:qFormat/>
    <w:uiPriority w:val="0"/>
    <w:pPr>
      <w:ind w:firstLine="420" w:firstLineChars="100"/>
    </w:pPr>
    <w:rPr>
      <w:rFonts w:ascii="宋体" w:hAnsi="Courier New"/>
      <w:kern w:val="0"/>
      <w:sz w:val="20"/>
      <w:szCs w:val="21"/>
    </w:rPr>
  </w:style>
  <w:style w:type="paragraph" w:styleId="50">
    <w:name w:val="Body Text First Indent 2"/>
    <w:basedOn w:val="20"/>
    <w:link w:val="83"/>
    <w:unhideWhenUsed/>
    <w:qFormat/>
    <w:uiPriority w:val="99"/>
    <w:pPr>
      <w:spacing w:after="120"/>
      <w:ind w:left="420" w:leftChars="200" w:firstLine="420" w:firstLineChars="200"/>
    </w:pPr>
    <w:rPr>
      <w:kern w:val="2"/>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ahoma" w:hAnsi="Tahoma" w:eastAsia="宋体"/>
      <w:b/>
      <w:bCs/>
      <w:spacing w:val="10"/>
      <w:kern w:val="2"/>
      <w:sz w:val="24"/>
      <w:szCs w:val="24"/>
      <w:lang w:val="en-US" w:eastAsia="zh-CN" w:bidi="ar-SA"/>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0"/>
    <w:rPr>
      <w:rFonts w:eastAsia="宋体"/>
      <w:b/>
      <w:bCs/>
      <w:kern w:val="44"/>
      <w:sz w:val="44"/>
      <w:szCs w:val="44"/>
      <w:lang w:val="en-US" w:eastAsia="zh-CN" w:bidi="ar-SA"/>
    </w:rPr>
  </w:style>
  <w:style w:type="character" w:customStyle="1" w:styleId="60">
    <w:name w:val="标题 2 字符"/>
    <w:link w:val="3"/>
    <w:qFormat/>
    <w:uiPriority w:val="9"/>
    <w:rPr>
      <w:rFonts w:ascii="Cambria" w:hAnsi="Cambria" w:eastAsia="宋体" w:cs="Times New Roman"/>
      <w:b/>
      <w:bCs/>
      <w:kern w:val="2"/>
      <w:sz w:val="32"/>
      <w:szCs w:val="32"/>
    </w:rPr>
  </w:style>
  <w:style w:type="character" w:customStyle="1" w:styleId="61">
    <w:name w:val="标题 3 字符"/>
    <w:link w:val="4"/>
    <w:qFormat/>
    <w:uiPriority w:val="0"/>
    <w:rPr>
      <w:rFonts w:eastAsia="宋体"/>
      <w:b/>
      <w:bCs/>
      <w:kern w:val="2"/>
      <w:sz w:val="32"/>
      <w:szCs w:val="32"/>
      <w:lang w:val="en-US" w:eastAsia="zh-CN" w:bidi="ar-SA"/>
    </w:rPr>
  </w:style>
  <w:style w:type="character" w:customStyle="1" w:styleId="62">
    <w:name w:val="标题 4 字符"/>
    <w:link w:val="5"/>
    <w:qFormat/>
    <w:uiPriority w:val="0"/>
    <w:rPr>
      <w:rFonts w:ascii="Arial" w:hAnsi="Arial" w:eastAsia="黑体"/>
      <w:b/>
      <w:bCs/>
      <w:kern w:val="2"/>
      <w:sz w:val="28"/>
      <w:szCs w:val="28"/>
      <w:lang w:val="en-US" w:eastAsia="zh-CN" w:bidi="ar-SA"/>
    </w:rPr>
  </w:style>
  <w:style w:type="character" w:customStyle="1" w:styleId="63">
    <w:name w:val="标题 5 字符"/>
    <w:link w:val="6"/>
    <w:qFormat/>
    <w:uiPriority w:val="0"/>
    <w:rPr>
      <w:rFonts w:eastAsia="宋体"/>
      <w:b/>
      <w:kern w:val="2"/>
      <w:sz w:val="28"/>
      <w:szCs w:val="2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6 字符"/>
    <w:link w:val="8"/>
    <w:qFormat/>
    <w:uiPriority w:val="0"/>
    <w:rPr>
      <w:rFonts w:ascii="Arial" w:hAnsi="Arial" w:eastAsia="黑体"/>
      <w:b/>
      <w:kern w:val="2"/>
      <w:sz w:val="24"/>
      <w:szCs w:val="24"/>
      <w:lang w:val="en-US" w:eastAsia="zh-CN" w:bidi="ar-SA"/>
    </w:rPr>
  </w:style>
  <w:style w:type="character" w:customStyle="1" w:styleId="66">
    <w:name w:val="标题 7 字符"/>
    <w:link w:val="9"/>
    <w:qFormat/>
    <w:uiPriority w:val="0"/>
    <w:rPr>
      <w:rFonts w:eastAsia="宋体"/>
      <w:b/>
      <w:kern w:val="2"/>
      <w:sz w:val="24"/>
      <w:szCs w:val="24"/>
      <w:lang w:val="en-US" w:eastAsia="zh-CN" w:bidi="ar-SA"/>
    </w:rPr>
  </w:style>
  <w:style w:type="character" w:customStyle="1" w:styleId="67">
    <w:name w:val="标题 8 字符"/>
    <w:link w:val="10"/>
    <w:qFormat/>
    <w:uiPriority w:val="0"/>
    <w:rPr>
      <w:rFonts w:ascii="Arial" w:hAnsi="Arial" w:eastAsia="黑体"/>
      <w:kern w:val="2"/>
      <w:sz w:val="24"/>
      <w:szCs w:val="24"/>
      <w:lang w:val="en-US" w:eastAsia="zh-CN" w:bidi="ar-SA"/>
    </w:rPr>
  </w:style>
  <w:style w:type="character" w:customStyle="1" w:styleId="68">
    <w:name w:val="标题 9 字符"/>
    <w:link w:val="11"/>
    <w:qFormat/>
    <w:uiPriority w:val="0"/>
    <w:rPr>
      <w:rFonts w:ascii="Arial" w:hAnsi="Arial" w:eastAsia="黑体"/>
      <w:kern w:val="2"/>
      <w:sz w:val="21"/>
      <w:szCs w:val="24"/>
      <w:lang w:val="en-US" w:eastAsia="zh-CN" w:bidi="ar-SA"/>
    </w:rPr>
  </w:style>
  <w:style w:type="character" w:customStyle="1" w:styleId="69">
    <w:name w:val="批注文字 字符1"/>
    <w:link w:val="17"/>
    <w:qFormat/>
    <w:uiPriority w:val="0"/>
    <w:rPr>
      <w:rFonts w:ascii="Times New Roman" w:hAnsi="Times New Roman"/>
      <w:kern w:val="2"/>
      <w:sz w:val="21"/>
      <w:szCs w:val="24"/>
    </w:rPr>
  </w:style>
  <w:style w:type="character" w:customStyle="1" w:styleId="70">
    <w:name w:val="正文文本 3 字符"/>
    <w:link w:val="18"/>
    <w:qFormat/>
    <w:uiPriority w:val="0"/>
    <w:rPr>
      <w:rFonts w:eastAsia="宋体"/>
      <w:b/>
      <w:bCs/>
      <w:kern w:val="2"/>
      <w:sz w:val="24"/>
      <w:szCs w:val="24"/>
      <w:lang w:val="en-US" w:eastAsia="zh-CN" w:bidi="ar-SA"/>
    </w:rPr>
  </w:style>
  <w:style w:type="character" w:customStyle="1" w:styleId="71">
    <w:name w:val="正文文本 字符"/>
    <w:link w:val="19"/>
    <w:qFormat/>
    <w:uiPriority w:val="99"/>
    <w:rPr>
      <w:rFonts w:ascii="Times New Roman" w:hAnsi="Times New Roman"/>
      <w:kern w:val="2"/>
      <w:sz w:val="21"/>
      <w:szCs w:val="24"/>
    </w:rPr>
  </w:style>
  <w:style w:type="character" w:customStyle="1" w:styleId="72">
    <w:name w:val="正文文本缩进 字符"/>
    <w:link w:val="20"/>
    <w:qFormat/>
    <w:uiPriority w:val="0"/>
    <w:rPr>
      <w:rFonts w:ascii="仿宋_GB2312" w:hAnsi="Times New Roman" w:eastAsia="仿宋_GB2312" w:cs="Times New Roman"/>
      <w:sz w:val="32"/>
      <w:szCs w:val="20"/>
    </w:rPr>
  </w:style>
  <w:style w:type="character" w:customStyle="1" w:styleId="73">
    <w:name w:val="纯文本 字符3"/>
    <w:link w:val="26"/>
    <w:qFormat/>
    <w:uiPriority w:val="0"/>
    <w:rPr>
      <w:rFonts w:ascii="宋体" w:hAnsi="Courier New" w:eastAsia="宋体" w:cs="Courier New"/>
      <w:szCs w:val="21"/>
    </w:rPr>
  </w:style>
  <w:style w:type="character" w:customStyle="1" w:styleId="74">
    <w:name w:val="日期 字符"/>
    <w:link w:val="28"/>
    <w:semiHidden/>
    <w:qFormat/>
    <w:uiPriority w:val="99"/>
    <w:rPr>
      <w:rFonts w:ascii="Times New Roman" w:hAnsi="Times New Roman"/>
      <w:kern w:val="2"/>
      <w:sz w:val="21"/>
      <w:szCs w:val="24"/>
    </w:rPr>
  </w:style>
  <w:style w:type="character" w:customStyle="1" w:styleId="75">
    <w:name w:val="正文文本缩进 2 字符"/>
    <w:link w:val="29"/>
    <w:qFormat/>
    <w:uiPriority w:val="0"/>
    <w:rPr>
      <w:rFonts w:eastAsia="宋体"/>
      <w:kern w:val="2"/>
      <w:sz w:val="32"/>
      <w:lang w:val="en-US" w:eastAsia="zh-CN" w:bidi="ar-SA"/>
    </w:rPr>
  </w:style>
  <w:style w:type="character" w:customStyle="1" w:styleId="76">
    <w:name w:val="批注框文本 字符"/>
    <w:link w:val="31"/>
    <w:qFormat/>
    <w:uiPriority w:val="0"/>
    <w:rPr>
      <w:kern w:val="2"/>
      <w:sz w:val="18"/>
      <w:szCs w:val="18"/>
    </w:rPr>
  </w:style>
  <w:style w:type="character" w:customStyle="1" w:styleId="77">
    <w:name w:val="页脚 字符1"/>
    <w:link w:val="32"/>
    <w:qFormat/>
    <w:uiPriority w:val="0"/>
    <w:rPr>
      <w:sz w:val="18"/>
      <w:szCs w:val="18"/>
    </w:rPr>
  </w:style>
  <w:style w:type="character" w:customStyle="1" w:styleId="78">
    <w:name w:val="页眉 字符1"/>
    <w:link w:val="33"/>
    <w:qFormat/>
    <w:uiPriority w:val="0"/>
    <w:rPr>
      <w:sz w:val="18"/>
      <w:szCs w:val="18"/>
    </w:rPr>
  </w:style>
  <w:style w:type="character" w:customStyle="1" w:styleId="79">
    <w:name w:val="正文文本缩进 3 字符"/>
    <w:link w:val="41"/>
    <w:qFormat/>
    <w:uiPriority w:val="0"/>
    <w:rPr>
      <w:rFonts w:eastAsia="宋体"/>
      <w:kern w:val="2"/>
      <w:sz w:val="16"/>
      <w:szCs w:val="16"/>
      <w:lang w:val="en-US" w:eastAsia="zh-CN" w:bidi="ar-SA"/>
    </w:rPr>
  </w:style>
  <w:style w:type="character" w:customStyle="1" w:styleId="80">
    <w:name w:val="正文文本 2 字符"/>
    <w:link w:val="44"/>
    <w:qFormat/>
    <w:uiPriority w:val="0"/>
    <w:rPr>
      <w:rFonts w:eastAsia="宋体"/>
      <w:kern w:val="2"/>
      <w:sz w:val="21"/>
      <w:szCs w:val="24"/>
      <w:lang w:val="en-US" w:eastAsia="zh-CN" w:bidi="ar-SA"/>
    </w:rPr>
  </w:style>
  <w:style w:type="character" w:customStyle="1" w:styleId="81">
    <w:name w:val="批注主题 字符"/>
    <w:link w:val="48"/>
    <w:qFormat/>
    <w:uiPriority w:val="0"/>
    <w:rPr>
      <w:b/>
      <w:bCs/>
      <w:kern w:val="2"/>
      <w:sz w:val="21"/>
      <w:szCs w:val="24"/>
    </w:rPr>
  </w:style>
  <w:style w:type="character" w:customStyle="1" w:styleId="82">
    <w:name w:val="正文首行缩进 字符"/>
    <w:link w:val="49"/>
    <w:qFormat/>
    <w:uiPriority w:val="0"/>
    <w:rPr>
      <w:rFonts w:ascii="宋体" w:hAnsi="Courier New" w:eastAsia="宋体" w:cs="Courier New"/>
      <w:szCs w:val="21"/>
    </w:rPr>
  </w:style>
  <w:style w:type="character" w:customStyle="1" w:styleId="83">
    <w:name w:val="正文首行缩进 2 字符"/>
    <w:link w:val="50"/>
    <w:semiHidden/>
    <w:qFormat/>
    <w:uiPriority w:val="99"/>
    <w:rPr>
      <w:rFonts w:ascii="仿宋_GB2312" w:hAnsi="Times New Roman" w:eastAsia="仿宋_GB2312" w:cs="Times New Roman"/>
      <w:kern w:val="2"/>
      <w:sz w:val="21"/>
      <w:szCs w:val="24"/>
    </w:rPr>
  </w:style>
  <w:style w:type="character" w:customStyle="1" w:styleId="84">
    <w:name w:val="Char Char18"/>
    <w:qFormat/>
    <w:uiPriority w:val="0"/>
    <w:rPr>
      <w:rFonts w:ascii="Calibri" w:hAnsi="Calibri" w:eastAsia="宋体" w:cs="Times New Roman"/>
      <w:b/>
      <w:bCs/>
      <w:sz w:val="28"/>
      <w:szCs w:val="28"/>
    </w:rPr>
  </w:style>
  <w:style w:type="character" w:customStyle="1" w:styleId="85">
    <w:name w:val="font01"/>
    <w:qFormat/>
    <w:uiPriority w:val="0"/>
    <w:rPr>
      <w:rFonts w:hint="eastAsia" w:ascii="宋体" w:hAnsi="宋体" w:eastAsia="宋体" w:cs="宋体"/>
      <w:color w:val="000000"/>
      <w:sz w:val="20"/>
      <w:szCs w:val="20"/>
      <w:u w:val="none"/>
    </w:rPr>
  </w:style>
  <w:style w:type="character" w:customStyle="1" w:styleId="86">
    <w:name w:val="apple-style-span"/>
    <w:qFormat/>
    <w:uiPriority w:val="0"/>
  </w:style>
  <w:style w:type="character" w:customStyle="1" w:styleId="87">
    <w:name w:val="Char Char13"/>
    <w:qFormat/>
    <w:uiPriority w:val="0"/>
    <w:rPr>
      <w:rFonts w:ascii="Times New Roman" w:hAnsi="Times New Roman" w:eastAsia="宋体" w:cs="Times New Roman"/>
      <w:kern w:val="2"/>
      <w:sz w:val="18"/>
      <w:szCs w:val="18"/>
    </w:rPr>
  </w:style>
  <w:style w:type="character" w:customStyle="1" w:styleId="88">
    <w:name w:val="无缩进 Char"/>
    <w:qFormat/>
    <w:uiPriority w:val="0"/>
    <w:rPr>
      <w:rFonts w:ascii="Times New Roman" w:hAnsi="Times New Roman" w:eastAsia="宋体" w:cs="Times New Roman"/>
      <w:kern w:val="2"/>
      <w:sz w:val="21"/>
      <w:szCs w:val="20"/>
    </w:rPr>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Char Char9"/>
    <w:qFormat/>
    <w:uiPriority w:val="0"/>
    <w:rPr>
      <w:rFonts w:ascii="Calibri" w:hAnsi="Calibri" w:eastAsia="宋体" w:cs="Times New Roman"/>
      <w:kern w:val="2"/>
      <w:sz w:val="18"/>
      <w:szCs w:val="18"/>
      <w:lang w:val="en-US" w:eastAsia="zh-CN" w:bidi="ar-SA"/>
    </w:rPr>
  </w:style>
  <w:style w:type="character" w:customStyle="1" w:styleId="91">
    <w:name w:val="标题-3 Char"/>
    <w:link w:val="92"/>
    <w:qFormat/>
    <w:uiPriority w:val="0"/>
    <w:rPr>
      <w:rFonts w:ascii="宋体" w:hAnsi="宋体" w:eastAsia="宋体"/>
      <w:b/>
      <w:sz w:val="24"/>
      <w:szCs w:val="24"/>
      <w:lang w:bidi="ar-SA"/>
    </w:rPr>
  </w:style>
  <w:style w:type="paragraph" w:customStyle="1" w:styleId="92">
    <w:name w:val="标题-3"/>
    <w:basedOn w:val="1"/>
    <w:link w:val="91"/>
    <w:qFormat/>
    <w:uiPriority w:val="0"/>
    <w:pPr>
      <w:spacing w:beforeLines="50" w:afterLines="50"/>
      <w:outlineLvl w:val="2"/>
    </w:pPr>
    <w:rPr>
      <w:rFonts w:ascii="宋体" w:hAnsi="宋体"/>
      <w:b/>
      <w:kern w:val="0"/>
      <w:sz w:val="24"/>
    </w:rPr>
  </w:style>
  <w:style w:type="character" w:customStyle="1" w:styleId="93">
    <w:name w:val="2nd level Char"/>
    <w:qFormat/>
    <w:uiPriority w:val="0"/>
    <w:rPr>
      <w:rFonts w:ascii="Arial" w:hAnsi="Arial" w:eastAsia="黑体" w:cs="Times New Roman"/>
      <w:b/>
      <w:bCs/>
      <w:kern w:val="2"/>
      <w:sz w:val="32"/>
      <w:szCs w:val="32"/>
    </w:rPr>
  </w:style>
  <w:style w:type="character" w:customStyle="1" w:styleId="94">
    <w:name w:val="textcontents"/>
    <w:qFormat/>
    <w:uiPriority w:val="0"/>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五级标题 Char"/>
    <w:link w:val="97"/>
    <w:qFormat/>
    <w:uiPriority w:val="0"/>
    <w:rPr>
      <w:rFonts w:eastAsia="黑体"/>
      <w:b/>
      <w:kern w:val="2"/>
      <w:sz w:val="28"/>
      <w:lang w:bidi="ar-SA"/>
    </w:rPr>
  </w:style>
  <w:style w:type="paragraph" w:customStyle="1" w:styleId="97">
    <w:name w:val="五级标题"/>
    <w:basedOn w:val="1"/>
    <w:link w:val="96"/>
    <w:qFormat/>
    <w:uiPriority w:val="0"/>
    <w:pPr>
      <w:numPr>
        <w:ilvl w:val="0"/>
        <w:numId w:val="3"/>
      </w:numPr>
      <w:spacing w:line="360" w:lineRule="auto"/>
      <w:outlineLvl w:val="4"/>
    </w:pPr>
    <w:rPr>
      <w:rFonts w:eastAsia="黑体"/>
      <w:b/>
      <w:sz w:val="28"/>
      <w:szCs w:val="20"/>
    </w:rPr>
  </w:style>
  <w:style w:type="character" w:customStyle="1" w:styleId="98">
    <w:name w:val="Char Char15"/>
    <w:qFormat/>
    <w:uiPriority w:val="0"/>
    <w:rPr>
      <w:rFonts w:ascii="Cambria" w:hAnsi="Cambria" w:eastAsia="宋体" w:cs="Times New Roman"/>
      <w:sz w:val="24"/>
      <w:szCs w:val="24"/>
    </w:rPr>
  </w:style>
  <w:style w:type="character" w:customStyle="1" w:styleId="99">
    <w:name w:val="font11"/>
    <w:qFormat/>
    <w:uiPriority w:val="0"/>
    <w:rPr>
      <w:rFonts w:hint="eastAsia" w:ascii="宋体" w:hAnsi="宋体" w:eastAsia="宋体" w:cs="宋体"/>
      <w:b/>
      <w:color w:val="000000"/>
      <w:sz w:val="20"/>
      <w:szCs w:val="20"/>
      <w:u w:val="none"/>
    </w:rPr>
  </w:style>
  <w:style w:type="character" w:customStyle="1" w:styleId="100">
    <w:name w:val="ca-12"/>
    <w:qFormat/>
    <w:uiPriority w:val="0"/>
    <w:rPr>
      <w:rFonts w:eastAsia="宋体" w:cs="Times New Roman"/>
      <w:kern w:val="2"/>
      <w:sz w:val="24"/>
      <w:szCs w:val="24"/>
      <w:lang w:val="en-US" w:eastAsia="zh-CN" w:bidi="ar-SA"/>
    </w:rPr>
  </w:style>
  <w:style w:type="character" w:customStyle="1" w:styleId="101">
    <w:name w:val="fontorange1"/>
    <w:qFormat/>
    <w:uiPriority w:val="0"/>
    <w:rPr>
      <w:rFonts w:hint="default" w:ascii="ˎ̥" w:hAnsi="ˎ̥" w:eastAsia="宋体"/>
      <w:color w:val="FF6600"/>
      <w:kern w:val="2"/>
      <w:sz w:val="18"/>
      <w:szCs w:val="18"/>
      <w:lang w:val="en-US" w:eastAsia="zh-CN" w:bidi="ar-SA"/>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四级标题 Char"/>
    <w:link w:val="104"/>
    <w:qFormat/>
    <w:uiPriority w:val="0"/>
    <w:rPr>
      <w:rFonts w:eastAsia="黑体"/>
      <w:b/>
      <w:kern w:val="2"/>
      <w:sz w:val="28"/>
      <w:lang w:bidi="ar-SA"/>
    </w:rPr>
  </w:style>
  <w:style w:type="paragraph" w:customStyle="1" w:styleId="104">
    <w:name w:val="四级标题"/>
    <w:basedOn w:val="1"/>
    <w:link w:val="103"/>
    <w:qFormat/>
    <w:uiPriority w:val="0"/>
    <w:pPr>
      <w:numPr>
        <w:ilvl w:val="0"/>
        <w:numId w:val="4"/>
      </w:numPr>
      <w:spacing w:line="360" w:lineRule="auto"/>
      <w:outlineLvl w:val="3"/>
    </w:pPr>
    <w:rPr>
      <w:rFonts w:eastAsia="黑体"/>
      <w:b/>
      <w:sz w:val="28"/>
      <w:szCs w:val="20"/>
    </w:rPr>
  </w:style>
  <w:style w:type="character" w:customStyle="1" w:styleId="105">
    <w:name w:val="Char Char11"/>
    <w:qFormat/>
    <w:uiPriority w:val="0"/>
    <w:rPr>
      <w:rFonts w:ascii="Times New Roman" w:hAnsi="Times New Roman" w:eastAsia="宋体" w:cs="Times New Roman"/>
      <w:kern w:val="2"/>
      <w:sz w:val="21"/>
      <w:szCs w:val="20"/>
    </w:rPr>
  </w:style>
  <w:style w:type="character" w:customStyle="1" w:styleId="106">
    <w:name w:val="short_text"/>
    <w:qFormat/>
    <w:uiPriority w:val="0"/>
    <w:rPr>
      <w:rFonts w:eastAsia="宋体"/>
      <w:kern w:val="2"/>
      <w:sz w:val="24"/>
      <w:szCs w:val="24"/>
      <w:lang w:val="en-US" w:eastAsia="zh-CN" w:bidi="ar-SA"/>
    </w:rPr>
  </w:style>
  <w:style w:type="character" w:customStyle="1" w:styleId="107">
    <w:name w:val="纯文本 Char2"/>
    <w:qFormat/>
    <w:uiPriority w:val="99"/>
    <w:rPr>
      <w:rFonts w:ascii="宋体" w:eastAsia="宋体"/>
      <w:szCs w:val="21"/>
    </w:rPr>
  </w:style>
  <w:style w:type="character" w:customStyle="1" w:styleId="108">
    <w:name w:val="Char Char171"/>
    <w:qFormat/>
    <w:uiPriority w:val="0"/>
    <w:rPr>
      <w:rFonts w:ascii="Calibri" w:hAnsi="Calibri" w:eastAsia="宋体" w:cs="Times New Roman"/>
      <w:b/>
      <w:bCs/>
      <w:kern w:val="2"/>
      <w:sz w:val="32"/>
      <w:szCs w:val="32"/>
      <w:lang w:val="en-US" w:eastAsia="zh-CN" w:bidi="ar-SA"/>
    </w:rPr>
  </w:style>
  <w:style w:type="character" w:customStyle="1" w:styleId="109">
    <w:name w:val="apple-converted-space"/>
    <w:qFormat/>
    <w:uiPriority w:val="0"/>
  </w:style>
  <w:style w:type="character" w:customStyle="1" w:styleId="110">
    <w:name w:val="纯文本 Char1"/>
    <w:qFormat/>
    <w:uiPriority w:val="99"/>
    <w:rPr>
      <w:rFonts w:ascii="宋体" w:eastAsia="宋体"/>
      <w:szCs w:val="21"/>
    </w:rPr>
  </w:style>
  <w:style w:type="character" w:customStyle="1" w:styleId="111">
    <w:name w:val="Char Char17"/>
    <w:qFormat/>
    <w:uiPriority w:val="0"/>
    <w:rPr>
      <w:rFonts w:ascii="Cambria" w:hAnsi="Cambria" w:eastAsia="宋体" w:cs="Times New Roman"/>
      <w:b/>
      <w:bCs/>
      <w:sz w:val="24"/>
      <w:szCs w:val="24"/>
    </w:rPr>
  </w:style>
  <w:style w:type="character" w:customStyle="1" w:styleId="112">
    <w:name w:val="Char Char14"/>
    <w:qFormat/>
    <w:uiPriority w:val="0"/>
    <w:rPr>
      <w:rFonts w:ascii="Cambria" w:hAnsi="Cambria" w:eastAsia="宋体" w:cs="Times New Roman"/>
      <w:sz w:val="21"/>
      <w:szCs w:val="21"/>
    </w:rPr>
  </w:style>
  <w:style w:type="character" w:customStyle="1" w:styleId="113">
    <w:name w:val="Char Char12"/>
    <w:qFormat/>
    <w:uiPriority w:val="0"/>
    <w:rPr>
      <w:rFonts w:ascii="Times New Roman" w:hAnsi="Times New Roman" w:eastAsia="宋体" w:cs="Times New Roman"/>
      <w:kern w:val="2"/>
      <w:sz w:val="18"/>
      <w:szCs w:val="18"/>
    </w:rPr>
  </w:style>
  <w:style w:type="character" w:customStyle="1" w:styleId="114">
    <w:name w:val="批注文字 Char1"/>
    <w:qFormat/>
    <w:uiPriority w:val="0"/>
    <w:rPr>
      <w:rFonts w:ascii="宋体" w:eastAsia="宋体"/>
      <w:kern w:val="2"/>
      <w:sz w:val="24"/>
      <w:szCs w:val="21"/>
      <w:lang w:bidi="ar-SA"/>
    </w:rPr>
  </w:style>
  <w:style w:type="character" w:customStyle="1" w:styleId="115">
    <w:name w:val="Char Char16"/>
    <w:qFormat/>
    <w:uiPriority w:val="0"/>
    <w:rPr>
      <w:rFonts w:ascii="Calibri" w:hAnsi="Calibri" w:eastAsia="宋体" w:cs="Times New Roman"/>
      <w:b/>
      <w:bCs/>
      <w:sz w:val="24"/>
      <w:szCs w:val="24"/>
    </w:rPr>
  </w:style>
  <w:style w:type="paragraph" w:customStyle="1" w:styleId="116">
    <w:name w:val="表格文字"/>
    <w:basedOn w:val="1"/>
    <w:qFormat/>
    <w:uiPriority w:val="0"/>
    <w:pPr>
      <w:spacing w:before="25" w:after="25"/>
      <w:jc w:val="left"/>
    </w:pPr>
    <w:rPr>
      <w:bCs/>
      <w:spacing w:val="10"/>
      <w:kern w:val="0"/>
      <w:sz w:val="24"/>
      <w:szCs w:val="20"/>
    </w:rPr>
  </w:style>
  <w:style w:type="paragraph" w:customStyle="1" w:styleId="117">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18">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2">
    <w:name w:val="样式 首行缩进:  2 字符"/>
    <w:basedOn w:val="1"/>
    <w:qFormat/>
    <w:uiPriority w:val="0"/>
    <w:pPr>
      <w:spacing w:line="400" w:lineRule="exact"/>
    </w:pPr>
    <w:rPr>
      <w:rFonts w:cs="宋体"/>
      <w:sz w:val="24"/>
    </w:rPr>
  </w:style>
  <w:style w:type="paragraph" w:customStyle="1" w:styleId="123">
    <w:name w:val="列出段落1"/>
    <w:basedOn w:val="1"/>
    <w:qFormat/>
    <w:uiPriority w:val="0"/>
    <w:pPr>
      <w:spacing w:line="240" w:lineRule="auto"/>
      <w:ind w:firstLine="420"/>
    </w:pPr>
  </w:style>
  <w:style w:type="paragraph" w:customStyle="1" w:styleId="124">
    <w:name w:val="Char Char2 Char"/>
    <w:basedOn w:val="1"/>
    <w:qFormat/>
    <w:uiPriority w:val="0"/>
    <w:rPr>
      <w:rFonts w:ascii="宋体" w:hAnsi="宋体"/>
      <w:b/>
      <w:sz w:val="28"/>
      <w:szCs w:val="28"/>
    </w:rPr>
  </w:style>
  <w:style w:type="paragraph" w:customStyle="1" w:styleId="1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8">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3">
    <w:name w:val="List Paragraph"/>
    <w:basedOn w:val="1"/>
    <w:link w:val="134"/>
    <w:qFormat/>
    <w:uiPriority w:val="34"/>
    <w:pPr>
      <w:ind w:firstLine="420"/>
    </w:pPr>
  </w:style>
  <w:style w:type="character" w:customStyle="1" w:styleId="134">
    <w:name w:val="列出段落 字符"/>
    <w:link w:val="133"/>
    <w:qFormat/>
    <w:locked/>
    <w:uiPriority w:val="34"/>
    <w:rPr>
      <w:kern w:val="2"/>
      <w:sz w:val="21"/>
      <w:szCs w:val="24"/>
    </w:rPr>
  </w:style>
  <w:style w:type="paragraph" w:customStyle="1" w:styleId="135">
    <w:name w:val="正文首行缩进两字符"/>
    <w:basedOn w:val="1"/>
    <w:qFormat/>
    <w:uiPriority w:val="0"/>
    <w:pPr>
      <w:spacing w:line="360" w:lineRule="auto"/>
    </w:pPr>
  </w:style>
  <w:style w:type="paragraph" w:customStyle="1" w:styleId="13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9">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0">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2">
    <w:name w:val="题注4"/>
    <w:basedOn w:val="1"/>
    <w:next w:val="15"/>
    <w:qFormat/>
    <w:uiPriority w:val="0"/>
    <w:pPr>
      <w:ind w:left="-132" w:leftChars="-64" w:right="-105" w:rightChars="-50" w:hanging="2"/>
      <w:jc w:val="center"/>
    </w:pPr>
    <w:rPr>
      <w:b/>
      <w:color w:val="FF0000"/>
      <w:szCs w:val="21"/>
      <w:lang w:val="en-GB"/>
    </w:rPr>
  </w:style>
  <w:style w:type="paragraph" w:customStyle="1" w:styleId="143">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1">
    <w:name w:val="Zchn Zchn"/>
    <w:basedOn w:val="1"/>
    <w:qFormat/>
    <w:uiPriority w:val="0"/>
    <w:rPr>
      <w:rFonts w:ascii="Tahoma" w:hAnsi="Tahoma"/>
      <w:sz w:val="24"/>
      <w:szCs w:val="20"/>
    </w:rPr>
  </w:style>
  <w:style w:type="paragraph" w:customStyle="1" w:styleId="15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4">
    <w:name w:val="招标文件样式2"/>
    <w:basedOn w:val="1"/>
    <w:qFormat/>
    <w:uiPriority w:val="0"/>
    <w:pPr>
      <w:jc w:val="center"/>
      <w:outlineLvl w:val="0"/>
    </w:pPr>
    <w:rPr>
      <w:rFonts w:ascii="宋体" w:hAnsi="宋体"/>
      <w:b/>
      <w:sz w:val="28"/>
      <w:szCs w:val="28"/>
    </w:rPr>
  </w:style>
  <w:style w:type="paragraph" w:customStyle="1" w:styleId="1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6">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8">
    <w:name w:val="Char Char Char"/>
    <w:basedOn w:val="1"/>
    <w:qFormat/>
    <w:uiPriority w:val="0"/>
    <w:rPr>
      <w:rFonts w:ascii="Tahoma" w:hAnsi="Tahoma"/>
      <w:sz w:val="24"/>
      <w:szCs w:val="20"/>
    </w:rPr>
  </w:style>
  <w:style w:type="paragraph" w:customStyle="1" w:styleId="159">
    <w:name w:val="Char1"/>
    <w:basedOn w:val="1"/>
    <w:qFormat/>
    <w:uiPriority w:val="0"/>
    <w:rPr>
      <w:szCs w:val="21"/>
    </w:rPr>
  </w:style>
  <w:style w:type="paragraph" w:customStyle="1" w:styleId="160">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Char Char Char Char"/>
    <w:basedOn w:val="1"/>
    <w:qFormat/>
    <w:uiPriority w:val="0"/>
    <w:pPr>
      <w:tabs>
        <w:tab w:val="left" w:pos="780"/>
      </w:tabs>
      <w:ind w:left="780" w:hanging="360"/>
    </w:pPr>
    <w:rPr>
      <w:sz w:val="24"/>
    </w:rPr>
  </w:style>
  <w:style w:type="paragraph" w:customStyle="1" w:styleId="165">
    <w:name w:val="正文段"/>
    <w:basedOn w:val="1"/>
    <w:qFormat/>
    <w:uiPriority w:val="0"/>
    <w:pPr>
      <w:widowControl/>
      <w:snapToGrid w:val="0"/>
      <w:spacing w:afterLines="50"/>
    </w:pPr>
    <w:rPr>
      <w:kern w:val="0"/>
      <w:sz w:val="24"/>
      <w:szCs w:val="20"/>
    </w:rPr>
  </w:style>
  <w:style w:type="paragraph" w:customStyle="1" w:styleId="166">
    <w:name w:val="Char Char Char Char Char Char Char"/>
    <w:basedOn w:val="1"/>
    <w:qFormat/>
    <w:uiPriority w:val="0"/>
    <w:pPr>
      <w:tabs>
        <w:tab w:val="left" w:pos="425"/>
      </w:tabs>
      <w:ind w:left="425" w:hanging="425"/>
    </w:pPr>
    <w:rPr>
      <w:rFonts w:eastAsia="仿宋_GB2312"/>
      <w:kern w:val="24"/>
      <w:sz w:val="24"/>
    </w:rPr>
  </w:style>
  <w:style w:type="paragraph" w:customStyle="1" w:styleId="1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8">
    <w:name w:val="默认段落字体 Para Char"/>
    <w:basedOn w:val="1"/>
    <w:qFormat/>
    <w:uiPriority w:val="0"/>
    <w:rPr>
      <w:rFonts w:ascii="宋体" w:hAnsi="宋体"/>
      <w:b/>
      <w:sz w:val="28"/>
      <w:szCs w:val="28"/>
    </w:rPr>
  </w:style>
  <w:style w:type="paragraph" w:customStyle="1" w:styleId="169">
    <w:name w:val="Char Char2 Char Char Char Char Char"/>
    <w:basedOn w:val="1"/>
    <w:qFormat/>
    <w:uiPriority w:val="0"/>
    <w:pPr>
      <w:numPr>
        <w:ilvl w:val="0"/>
        <w:numId w:val="6"/>
      </w:numPr>
    </w:pPr>
    <w:rPr>
      <w:sz w:val="24"/>
    </w:rPr>
  </w:style>
  <w:style w:type="paragraph" w:customStyle="1" w:styleId="17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4">
    <w:name w:val="Char2"/>
    <w:basedOn w:val="16"/>
    <w:semiHidden/>
    <w:qFormat/>
    <w:uiPriority w:val="0"/>
    <w:rPr>
      <w:rFonts w:ascii="Tahoma" w:hAnsi="Tahoma" w:cs="Tahoma"/>
      <w:kern w:val="0"/>
      <w:sz w:val="18"/>
    </w:rPr>
  </w:style>
  <w:style w:type="paragraph" w:customStyle="1" w:styleId="175">
    <w:name w:val="办公自动化专用标题"/>
    <w:basedOn w:val="47"/>
    <w:qFormat/>
    <w:uiPriority w:val="0"/>
    <w:pPr>
      <w:spacing w:line="560" w:lineRule="atLeast"/>
    </w:pPr>
    <w:rPr>
      <w:rFonts w:ascii="宋体" w:hAnsi="Arial"/>
      <w:bCs w:val="0"/>
      <w:sz w:val="44"/>
      <w:szCs w:val="20"/>
    </w:rPr>
  </w:style>
  <w:style w:type="paragraph" w:customStyle="1" w:styleId="176">
    <w:name w:val="题注5"/>
    <w:basedOn w:val="1"/>
    <w:next w:val="15"/>
    <w:qFormat/>
    <w:uiPriority w:val="0"/>
    <w:pPr>
      <w:jc w:val="center"/>
    </w:pPr>
    <w:rPr>
      <w:b/>
      <w:color w:val="000000"/>
      <w:sz w:val="24"/>
      <w:szCs w:val="21"/>
    </w:rPr>
  </w:style>
  <w:style w:type="paragraph" w:customStyle="1" w:styleId="177">
    <w:name w:val="表格"/>
    <w:basedOn w:val="1"/>
    <w:qFormat/>
    <w:uiPriority w:val="0"/>
    <w:pPr>
      <w:spacing w:line="400" w:lineRule="exact"/>
    </w:pPr>
    <w:rPr>
      <w:sz w:val="24"/>
    </w:rPr>
  </w:style>
  <w:style w:type="paragraph" w:customStyle="1" w:styleId="178">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79">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0">
    <w:name w:val="纯文本 Char4"/>
    <w:qFormat/>
    <w:uiPriority w:val="0"/>
    <w:rPr>
      <w:rFonts w:ascii="宋体" w:eastAsia="宋体"/>
      <w:szCs w:val="21"/>
    </w:rPr>
  </w:style>
  <w:style w:type="paragraph" w:customStyle="1" w:styleId="181">
    <w:name w:val="TOC 标题2"/>
    <w:basedOn w:val="2"/>
    <w:next w:val="1"/>
    <w:qFormat/>
    <w:uiPriority w:val="39"/>
    <w:pPr>
      <w:spacing w:line="578" w:lineRule="atLeast"/>
      <w:outlineLvl w:val="9"/>
    </w:pPr>
  </w:style>
  <w:style w:type="character" w:customStyle="1" w:styleId="182">
    <w:name w:val="纯文本 字符"/>
    <w:qFormat/>
    <w:uiPriority w:val="0"/>
    <w:rPr>
      <w:rFonts w:ascii="宋体" w:hAnsi="Courier New" w:eastAsia="宋体" w:cs="Courier New"/>
      <w:szCs w:val="21"/>
    </w:rPr>
  </w:style>
  <w:style w:type="paragraph" w:customStyle="1" w:styleId="183">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4">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5">
    <w:name w:val="NormalCharacter"/>
    <w:semiHidden/>
    <w:qFormat/>
    <w:uiPriority w:val="0"/>
  </w:style>
  <w:style w:type="character" w:customStyle="1" w:styleId="186">
    <w:name w:val="未处理的提及"/>
    <w:unhideWhenUsed/>
    <w:qFormat/>
    <w:uiPriority w:val="99"/>
    <w:rPr>
      <w:color w:val="605E5C"/>
      <w:shd w:val="clear" w:color="auto" w:fill="E1DFDD"/>
    </w:rPr>
  </w:style>
  <w:style w:type="paragraph" w:customStyle="1" w:styleId="187">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8">
    <w:name w:val="竞标标题 Char"/>
    <w:link w:val="189"/>
    <w:qFormat/>
    <w:uiPriority w:val="0"/>
    <w:rPr>
      <w:rFonts w:ascii="宋体" w:hAnsi="宋体" w:eastAsia="仿宋"/>
      <w:b/>
      <w:color w:val="000000"/>
      <w:kern w:val="2"/>
      <w:sz w:val="44"/>
      <w:szCs w:val="44"/>
    </w:rPr>
  </w:style>
  <w:style w:type="paragraph" w:customStyle="1" w:styleId="189">
    <w:name w:val="竞标标题"/>
    <w:basedOn w:val="1"/>
    <w:next w:val="1"/>
    <w:link w:val="188"/>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0">
    <w:name w:val="font41"/>
    <w:qFormat/>
    <w:uiPriority w:val="0"/>
    <w:rPr>
      <w:rFonts w:hint="eastAsia" w:ascii="宋体" w:hAnsi="宋体" w:eastAsia="宋体" w:cs="宋体"/>
      <w:color w:val="000000"/>
      <w:sz w:val="20"/>
      <w:szCs w:val="20"/>
      <w:u w:val="none"/>
    </w:rPr>
  </w:style>
  <w:style w:type="character" w:customStyle="1" w:styleId="191">
    <w:name w:val="页脚 字符"/>
    <w:qFormat/>
    <w:uiPriority w:val="99"/>
  </w:style>
  <w:style w:type="character" w:customStyle="1" w:styleId="192">
    <w:name w:val="纯文本 字符1"/>
    <w:qFormat/>
    <w:uiPriority w:val="0"/>
    <w:rPr>
      <w:rFonts w:ascii="宋体" w:hAnsi="Courier New" w:eastAsia="宋体" w:cs="Courier New"/>
      <w:szCs w:val="21"/>
    </w:rPr>
  </w:style>
  <w:style w:type="character" w:customStyle="1" w:styleId="193">
    <w:name w:val="纯文本 字符2"/>
    <w:qFormat/>
    <w:uiPriority w:val="0"/>
    <w:rPr>
      <w:rFonts w:ascii="宋体" w:hAnsi="Courier New" w:eastAsia="宋体" w:cs="Courier New"/>
      <w:szCs w:val="21"/>
    </w:rPr>
  </w:style>
  <w:style w:type="paragraph" w:customStyle="1" w:styleId="194">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纯文本 Char"/>
    <w:qFormat/>
    <w:uiPriority w:val="0"/>
    <w:rPr>
      <w:rFonts w:ascii="宋体" w:hAnsi="Courier New" w:eastAsia="宋体" w:cs="Courier New"/>
      <w:szCs w:val="21"/>
    </w:rPr>
  </w:style>
  <w:style w:type="character" w:customStyle="1" w:styleId="197">
    <w:name w:val="批注文字 Char"/>
    <w:qFormat/>
    <w:uiPriority w:val="99"/>
    <w:rPr>
      <w:rFonts w:ascii="Times New Roman" w:hAnsi="Times New Roman"/>
      <w:kern w:val="2"/>
      <w:sz w:val="21"/>
      <w:szCs w:val="24"/>
    </w:rPr>
  </w:style>
  <w:style w:type="character" w:customStyle="1" w:styleId="198">
    <w:name w:val="next2"/>
    <w:qFormat/>
    <w:uiPriority w:val="0"/>
    <w:rPr>
      <w:color w:val="888888"/>
    </w:rPr>
  </w:style>
  <w:style w:type="character" w:customStyle="1" w:styleId="199">
    <w:name w:val="font21"/>
    <w:qFormat/>
    <w:uiPriority w:val="0"/>
    <w:rPr>
      <w:rFonts w:hint="eastAsia" w:ascii="宋体" w:hAnsi="宋体" w:eastAsia="宋体" w:cs="宋体"/>
      <w:color w:val="000000"/>
      <w:sz w:val="21"/>
      <w:szCs w:val="21"/>
      <w:u w:val="none"/>
    </w:rPr>
  </w:style>
  <w:style w:type="paragraph" w:customStyle="1" w:styleId="200">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1">
    <w:name w:val="页眉 字符"/>
    <w:qFormat/>
    <w:uiPriority w:val="99"/>
  </w:style>
  <w:style w:type="character" w:customStyle="1" w:styleId="202">
    <w:name w:val="批注文字 字符"/>
    <w:qFormat/>
    <w:uiPriority w:val="0"/>
    <w:rPr>
      <w:rFonts w:ascii="Times New Roman" w:hAnsi="Times New Roman"/>
      <w:kern w:val="2"/>
      <w:sz w:val="21"/>
      <w:szCs w:val="24"/>
    </w:rPr>
  </w:style>
  <w:style w:type="paragraph" w:customStyle="1" w:styleId="2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4">
    <w:name w:val="正文文本 Char"/>
    <w:qFormat/>
    <w:uiPriority w:val="99"/>
    <w:rPr>
      <w:rFonts w:ascii="Times New Roman" w:hAnsi="Times New Roman"/>
      <w:kern w:val="2"/>
      <w:sz w:val="21"/>
      <w:szCs w:val="24"/>
    </w:rPr>
  </w:style>
  <w:style w:type="character" w:customStyle="1" w:styleId="205">
    <w:name w:val="纯文本 Char3"/>
    <w:qFormat/>
    <w:uiPriority w:val="0"/>
    <w:rPr>
      <w:rFonts w:ascii="宋体" w:hAnsi="Courier New" w:eastAsia="宋体" w:cs="Courier New"/>
      <w:szCs w:val="21"/>
    </w:rPr>
  </w:style>
  <w:style w:type="paragraph" w:customStyle="1" w:styleId="206">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0">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2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B58B-1D0F-434B-9D46-F08737E9900B}">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85</Pages>
  <Words>20772</Words>
  <Characters>22250</Characters>
  <Lines>464</Lines>
  <Paragraphs>130</Paragraphs>
  <TotalTime>14</TotalTime>
  <ScaleCrop>false</ScaleCrop>
  <LinksUpToDate>false</LinksUpToDate>
  <CharactersWithSpaces>22416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2025-05-13T03:30:00Z</dcterms:created>
  <dc:creator>覃炳</dc:creator>
  <cp:keywords>广西大德项目管理有限公司-覃炳</cp:keywords>
  <cp:lastModifiedBy>五星好市民</cp:lastModifiedBy>
  <cp:lastPrinted>2025-03-03T09:38:00Z</cp:lastPrinted>
  <dcterms:modified xsi:type="dcterms:W3CDTF">2025-05-13T08:54:35Z</dcterms:modified>
  <dc:subject>磋商文件</dc:subject>
  <dc:title>竞争性磋商文件规范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70D6709686D647A8B060F8D4B2D91C17_13</vt:lpwstr>
  </property>
  <property fmtid="{D5CDD505-2E9C-101B-9397-08002B2CF9AE}" pid="4" name="KSOTemplateDocerSaveRecord">
    <vt:lpwstr>eyJoZGlkIjoiODA3ZDhmODk2NDRkYjI4ZDhlNmZkZDJiZmIzMjViOTYiLCJ1c2VySWQiOiIxNTk2NDc0MTE2In0=</vt:lpwstr>
  </property>
</Properties>
</file>