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drawing>
          <wp:inline distT="0" distB="0" distL="114300" distR="114300">
            <wp:extent cx="5633720" cy="7967345"/>
            <wp:effectExtent l="0" t="0" r="5080" b="14605"/>
            <wp:docPr id="6" name="图片 6" descr="5-12-定稿-上石镇马垌村古油茶产业基地道路建设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12-定稿-上石镇马垌村古油茶产业基地道路建设项目_00"/>
                    <pic:cNvPicPr>
                      <a:picLocks noChangeAspect="1"/>
                    </pic:cNvPicPr>
                  </pic:nvPicPr>
                  <pic:blipFill>
                    <a:blip r:embed="rId11"/>
                    <a:stretch>
                      <a:fillRect/>
                    </a:stretch>
                  </pic:blipFill>
                  <pic:spPr>
                    <a:xfrm>
                      <a:off x="0" y="0"/>
                      <a:ext cx="5633720" cy="7967345"/>
                    </a:xfrm>
                    <a:prstGeom prst="rect">
                      <a:avLst/>
                    </a:prstGeom>
                  </pic:spPr>
                </pic:pic>
              </a:graphicData>
            </a:graphic>
          </wp:inline>
        </w:drawing>
      </w: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1"/>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1"/>
        <w:rPr>
          <w:rFonts w:hint="eastAsia"/>
          <w:highlight w:val="none"/>
        </w:rPr>
      </w:pPr>
    </w:p>
    <w:p w14:paraId="6F58358D">
      <w:pPr>
        <w:pStyle w:val="20"/>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：上石镇马垌村古油茶产业基地道路建设项目</w:t>
      </w:r>
    </w:p>
    <w:p w14:paraId="2CDA46BD">
      <w:pPr>
        <w:pStyle w:val="20"/>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项目编号：CZZC2025-C2-810020-SYZX</w:t>
      </w:r>
    </w:p>
    <w:p w14:paraId="20110415">
      <w:pPr>
        <w:pStyle w:val="20"/>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凭祥市</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20"/>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凭祥市林业局</w:t>
      </w:r>
    </w:p>
    <w:p w14:paraId="59C7A44D">
      <w:pPr>
        <w:pStyle w:val="20"/>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广西森予工程咨询有限公司</w:t>
      </w:r>
    </w:p>
    <w:p w14:paraId="59DFC06C">
      <w:pPr>
        <w:pStyle w:val="20"/>
        <w:snapToGrid w:val="0"/>
        <w:spacing w:before="50" w:after="120" w:line="360" w:lineRule="auto"/>
        <w:ind w:firstLine="841" w:firstLineChars="294"/>
        <w:rPr>
          <w:rFonts w:hint="default"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val="en-US" w:eastAsia="zh-CN"/>
        </w:rPr>
        <w:t>2025</w:t>
      </w:r>
      <w:r>
        <w:rPr>
          <w:rFonts w:hint="eastAsia" w:asciiTheme="minorEastAsia" w:hAnsiTheme="minorEastAsia" w:eastAsiaTheme="minorEastAsia" w:cstheme="minorEastAsia"/>
          <w:b/>
          <w:bCs/>
          <w:color w:val="auto"/>
          <w:w w:val="95"/>
          <w:sz w:val="30"/>
          <w:szCs w:val="30"/>
          <w:highlight w:val="none"/>
        </w:rPr>
        <w:t>年</w:t>
      </w:r>
      <w:r>
        <w:rPr>
          <w:rFonts w:hint="eastAsia" w:asciiTheme="minorEastAsia" w:hAnsiTheme="minorEastAsia" w:eastAsiaTheme="minorEastAsia" w:cstheme="minorEastAsia"/>
          <w:b/>
          <w:bCs/>
          <w:color w:val="auto"/>
          <w:w w:val="95"/>
          <w:sz w:val="30"/>
          <w:szCs w:val="30"/>
          <w:highlight w:val="none"/>
          <w:lang w:val="en-US" w:eastAsia="zh-CN"/>
        </w:rPr>
        <w:t>5</w:t>
      </w:r>
      <w:r>
        <w:rPr>
          <w:rFonts w:hint="eastAsia" w:asciiTheme="minorEastAsia" w:hAnsiTheme="minorEastAsia" w:eastAsiaTheme="minorEastAsia" w:cstheme="minorEastAsia"/>
          <w:b/>
          <w:bCs/>
          <w:color w:val="auto"/>
          <w:w w:val="95"/>
          <w:sz w:val="30"/>
          <w:szCs w:val="30"/>
          <w:highlight w:val="none"/>
        </w:rPr>
        <w:t>月</w:t>
      </w:r>
      <w:r>
        <w:rPr>
          <w:rFonts w:hint="eastAsia" w:asciiTheme="minorEastAsia" w:hAnsiTheme="minorEastAsia" w:eastAsiaTheme="minorEastAsia" w:cstheme="minorEastAsia"/>
          <w:b/>
          <w:bCs/>
          <w:color w:val="auto"/>
          <w:w w:val="95"/>
          <w:sz w:val="30"/>
          <w:szCs w:val="30"/>
          <w:highlight w:val="none"/>
          <w:lang w:val="en-US" w:eastAsia="zh-CN"/>
        </w:rPr>
        <w:t>12日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05B9ED27">
      <w:pPr>
        <w:pStyle w:val="23"/>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_Toc9160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_Toc9160 \h </w:instrText>
      </w:r>
      <w:r>
        <w:fldChar w:fldCharType="separate"/>
      </w:r>
      <w:r>
        <w:t>1</w:t>
      </w:r>
      <w:r>
        <w:fldChar w:fldCharType="end"/>
      </w:r>
      <w:r>
        <w:rPr>
          <w:rFonts w:ascii="宋体" w:hAnsi="宋体"/>
          <w:color w:val="auto"/>
          <w:szCs w:val="30"/>
          <w:highlight w:val="none"/>
        </w:rPr>
        <w:fldChar w:fldCharType="end"/>
      </w:r>
    </w:p>
    <w:p w14:paraId="60A6442B">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_Toc3129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_Toc3129 \h </w:instrText>
      </w:r>
      <w:r>
        <w:fldChar w:fldCharType="separate"/>
      </w:r>
      <w:r>
        <w:t>5</w:t>
      </w:r>
      <w:r>
        <w:fldChar w:fldCharType="end"/>
      </w:r>
      <w:r>
        <w:rPr>
          <w:rFonts w:hint="eastAsia" w:ascii="宋体" w:hAnsi="宋体"/>
          <w:color w:val="auto"/>
          <w:szCs w:val="30"/>
          <w:highlight w:val="none"/>
        </w:rPr>
        <w:fldChar w:fldCharType="end"/>
      </w:r>
    </w:p>
    <w:p w14:paraId="55BB4A00">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_Toc4604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_Toc4604 \h </w:instrText>
      </w:r>
      <w:r>
        <w:fldChar w:fldCharType="separate"/>
      </w:r>
      <w:r>
        <w:t>8</w:t>
      </w:r>
      <w:r>
        <w:fldChar w:fldCharType="end"/>
      </w:r>
      <w:r>
        <w:rPr>
          <w:rFonts w:hint="eastAsia" w:ascii="宋体" w:hAnsi="宋体"/>
          <w:color w:val="auto"/>
          <w:szCs w:val="30"/>
          <w:highlight w:val="none"/>
        </w:rPr>
        <w:fldChar w:fldCharType="end"/>
      </w:r>
    </w:p>
    <w:p w14:paraId="2B566363">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_Toc29789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_Toc29789 \h </w:instrText>
      </w:r>
      <w:r>
        <w:fldChar w:fldCharType="separate"/>
      </w:r>
      <w:r>
        <w:t>8</w:t>
      </w:r>
      <w:r>
        <w:fldChar w:fldCharType="end"/>
      </w:r>
      <w:r>
        <w:rPr>
          <w:rFonts w:hint="eastAsia" w:ascii="宋体" w:hAnsi="宋体"/>
          <w:color w:val="auto"/>
          <w:szCs w:val="30"/>
          <w:highlight w:val="none"/>
        </w:rPr>
        <w:fldChar w:fldCharType="end"/>
      </w:r>
    </w:p>
    <w:p w14:paraId="323D6C90">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_Toc8046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_Toc8046 \h </w:instrText>
      </w:r>
      <w:r>
        <w:fldChar w:fldCharType="separate"/>
      </w:r>
      <w:r>
        <w:t>13</w:t>
      </w:r>
      <w:r>
        <w:fldChar w:fldCharType="end"/>
      </w:r>
      <w:r>
        <w:rPr>
          <w:rFonts w:hint="eastAsia" w:ascii="宋体" w:hAnsi="宋体"/>
          <w:color w:val="auto"/>
          <w:szCs w:val="30"/>
          <w:highlight w:val="none"/>
        </w:rPr>
        <w:fldChar w:fldCharType="end"/>
      </w:r>
    </w:p>
    <w:p w14:paraId="75846A8D">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_Toc24593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_Toc24593 \h </w:instrText>
      </w:r>
      <w:r>
        <w:fldChar w:fldCharType="separate"/>
      </w:r>
      <w:r>
        <w:t>13</w:t>
      </w:r>
      <w:r>
        <w:fldChar w:fldCharType="end"/>
      </w:r>
      <w:r>
        <w:rPr>
          <w:rFonts w:hint="eastAsia" w:ascii="宋体" w:hAnsi="宋体"/>
          <w:color w:val="auto"/>
          <w:szCs w:val="30"/>
          <w:highlight w:val="none"/>
        </w:rPr>
        <w:fldChar w:fldCharType="end"/>
      </w:r>
    </w:p>
    <w:p w14:paraId="2CF71C72">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_Toc28501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_Toc28501 \h </w:instrText>
      </w:r>
      <w:r>
        <w:fldChar w:fldCharType="separate"/>
      </w:r>
      <w:r>
        <w:t>15</w:t>
      </w:r>
      <w:r>
        <w:fldChar w:fldCharType="end"/>
      </w:r>
      <w:r>
        <w:rPr>
          <w:rFonts w:hint="eastAsia" w:ascii="宋体" w:hAnsi="宋体"/>
          <w:color w:val="auto"/>
          <w:szCs w:val="30"/>
          <w:highlight w:val="none"/>
        </w:rPr>
        <w:fldChar w:fldCharType="end"/>
      </w:r>
    </w:p>
    <w:p w14:paraId="1F006568">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_Toc18928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_Toc18928 \h </w:instrText>
      </w:r>
      <w:r>
        <w:fldChar w:fldCharType="separate"/>
      </w:r>
      <w:r>
        <w:t>16</w:t>
      </w:r>
      <w:r>
        <w:fldChar w:fldCharType="end"/>
      </w:r>
      <w:r>
        <w:rPr>
          <w:rFonts w:hint="eastAsia" w:ascii="宋体" w:hAnsi="宋体"/>
          <w:color w:val="auto"/>
          <w:szCs w:val="30"/>
          <w:highlight w:val="none"/>
        </w:rPr>
        <w:fldChar w:fldCharType="end"/>
      </w:r>
    </w:p>
    <w:p w14:paraId="4E605FD7">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_Toc27934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_Toc27934 \h </w:instrText>
      </w:r>
      <w:r>
        <w:fldChar w:fldCharType="separate"/>
      </w:r>
      <w:r>
        <w:t>18</w:t>
      </w:r>
      <w:r>
        <w:fldChar w:fldCharType="end"/>
      </w:r>
      <w:r>
        <w:rPr>
          <w:rFonts w:hint="eastAsia" w:ascii="宋体" w:hAnsi="宋体"/>
          <w:color w:val="auto"/>
          <w:szCs w:val="30"/>
          <w:highlight w:val="none"/>
        </w:rPr>
        <w:fldChar w:fldCharType="end"/>
      </w:r>
    </w:p>
    <w:p w14:paraId="08CE87D8">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_Toc17922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_Toc17922 \h </w:instrText>
      </w:r>
      <w:r>
        <w:fldChar w:fldCharType="separate"/>
      </w:r>
      <w:r>
        <w:t>19</w:t>
      </w:r>
      <w:r>
        <w:fldChar w:fldCharType="end"/>
      </w:r>
      <w:r>
        <w:rPr>
          <w:rFonts w:hint="eastAsia" w:ascii="宋体" w:hAnsi="宋体"/>
          <w:color w:val="auto"/>
          <w:szCs w:val="30"/>
          <w:highlight w:val="none"/>
        </w:rPr>
        <w:fldChar w:fldCharType="end"/>
      </w:r>
    </w:p>
    <w:p w14:paraId="315011A3">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_Toc8632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_Toc8632 \h </w:instrText>
      </w:r>
      <w:r>
        <w:fldChar w:fldCharType="separate"/>
      </w:r>
      <w:r>
        <w:t>22</w:t>
      </w:r>
      <w:r>
        <w:fldChar w:fldCharType="end"/>
      </w:r>
      <w:r>
        <w:rPr>
          <w:rFonts w:hint="eastAsia" w:ascii="宋体" w:hAnsi="宋体"/>
          <w:color w:val="auto"/>
          <w:szCs w:val="30"/>
          <w:highlight w:val="none"/>
        </w:rPr>
        <w:fldChar w:fldCharType="end"/>
      </w:r>
    </w:p>
    <w:p w14:paraId="39726DE8">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_Toc4708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_Toc4708 \h </w:instrText>
      </w:r>
      <w:r>
        <w:fldChar w:fldCharType="separate"/>
      </w:r>
      <w:r>
        <w:t>24</w:t>
      </w:r>
      <w:r>
        <w:fldChar w:fldCharType="end"/>
      </w:r>
      <w:r>
        <w:rPr>
          <w:rFonts w:hint="eastAsia" w:ascii="宋体" w:hAnsi="宋体"/>
          <w:color w:val="auto"/>
          <w:szCs w:val="30"/>
          <w:highlight w:val="none"/>
        </w:rPr>
        <w:fldChar w:fldCharType="end"/>
      </w:r>
    </w:p>
    <w:p w14:paraId="761164E2">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_Toc20520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_Toc20520 \h </w:instrText>
      </w:r>
      <w:r>
        <w:fldChar w:fldCharType="separate"/>
      </w:r>
      <w:r>
        <w:t>30</w:t>
      </w:r>
      <w:r>
        <w:fldChar w:fldCharType="end"/>
      </w:r>
      <w:r>
        <w:rPr>
          <w:rFonts w:hint="eastAsia" w:ascii="宋体" w:hAnsi="宋体"/>
          <w:color w:val="auto"/>
          <w:szCs w:val="30"/>
          <w:highlight w:val="none"/>
        </w:rPr>
        <w:fldChar w:fldCharType="end"/>
      </w:r>
    </w:p>
    <w:p w14:paraId="1E16FDE8">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_Toc22001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_Toc22001 \h </w:instrText>
      </w:r>
      <w:r>
        <w:fldChar w:fldCharType="separate"/>
      </w:r>
      <w:r>
        <w:t>30</w:t>
      </w:r>
      <w:r>
        <w:fldChar w:fldCharType="end"/>
      </w:r>
      <w:r>
        <w:rPr>
          <w:rFonts w:hint="eastAsia" w:ascii="宋体" w:hAnsi="宋体"/>
          <w:color w:val="auto"/>
          <w:szCs w:val="30"/>
          <w:highlight w:val="none"/>
        </w:rPr>
        <w:fldChar w:fldCharType="end"/>
      </w:r>
    </w:p>
    <w:p w14:paraId="19F4FFE8">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_Toc31749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_Toc31749 \h </w:instrText>
      </w:r>
      <w:r>
        <w:fldChar w:fldCharType="separate"/>
      </w:r>
      <w:r>
        <w:t>39</w:t>
      </w:r>
      <w:r>
        <w:fldChar w:fldCharType="end"/>
      </w:r>
      <w:r>
        <w:rPr>
          <w:rFonts w:hint="eastAsia" w:ascii="宋体" w:hAnsi="宋体"/>
          <w:color w:val="auto"/>
          <w:szCs w:val="30"/>
          <w:highlight w:val="none"/>
        </w:rPr>
        <w:fldChar w:fldCharType="end"/>
      </w:r>
    </w:p>
    <w:p w14:paraId="639DCC7B">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_Toc17770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_Toc17770 \h </w:instrText>
      </w:r>
      <w:r>
        <w:fldChar w:fldCharType="separate"/>
      </w:r>
      <w:r>
        <w:t>39</w:t>
      </w:r>
      <w:r>
        <w:fldChar w:fldCharType="end"/>
      </w:r>
      <w:r>
        <w:rPr>
          <w:rFonts w:hint="eastAsia" w:ascii="宋体" w:hAnsi="宋体"/>
          <w:color w:val="auto"/>
          <w:szCs w:val="30"/>
          <w:highlight w:val="none"/>
        </w:rPr>
        <w:fldChar w:fldCharType="end"/>
      </w:r>
    </w:p>
    <w:p w14:paraId="5A9A3D6D">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_Toc20617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_Toc20617 \h </w:instrText>
      </w:r>
      <w:r>
        <w:fldChar w:fldCharType="separate"/>
      </w:r>
      <w:r>
        <w:t>40</w:t>
      </w:r>
      <w:r>
        <w:fldChar w:fldCharType="end"/>
      </w:r>
      <w:r>
        <w:rPr>
          <w:rFonts w:hint="eastAsia" w:ascii="宋体" w:hAnsi="宋体"/>
          <w:color w:val="auto"/>
          <w:szCs w:val="30"/>
          <w:highlight w:val="none"/>
        </w:rPr>
        <w:fldChar w:fldCharType="end"/>
      </w:r>
    </w:p>
    <w:p w14:paraId="1EA159D3">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_Toc27315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_Toc27315 \h </w:instrText>
      </w:r>
      <w:r>
        <w:fldChar w:fldCharType="separate"/>
      </w:r>
      <w:r>
        <w:t>41</w:t>
      </w:r>
      <w:r>
        <w:fldChar w:fldCharType="end"/>
      </w:r>
      <w:r>
        <w:rPr>
          <w:rFonts w:hint="eastAsia" w:ascii="宋体" w:hAnsi="宋体"/>
          <w:color w:val="auto"/>
          <w:szCs w:val="30"/>
          <w:highlight w:val="none"/>
        </w:rPr>
        <w:fldChar w:fldCharType="end"/>
      </w:r>
    </w:p>
    <w:p w14:paraId="31AC681D">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_Toc21839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_Toc21839 \h </w:instrText>
      </w:r>
      <w:r>
        <w:fldChar w:fldCharType="separate"/>
      </w:r>
      <w:r>
        <w:t>42</w:t>
      </w:r>
      <w:r>
        <w:fldChar w:fldCharType="end"/>
      </w:r>
      <w:r>
        <w:rPr>
          <w:rFonts w:hint="eastAsia" w:ascii="宋体" w:hAnsi="宋体"/>
          <w:color w:val="auto"/>
          <w:szCs w:val="30"/>
          <w:highlight w:val="none"/>
        </w:rPr>
        <w:fldChar w:fldCharType="end"/>
      </w:r>
    </w:p>
    <w:p w14:paraId="09300668">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_Toc26396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_Toc26396 \h </w:instrText>
      </w:r>
      <w:r>
        <w:fldChar w:fldCharType="separate"/>
      </w:r>
      <w:r>
        <w:t>43</w:t>
      </w:r>
      <w:r>
        <w:fldChar w:fldCharType="end"/>
      </w:r>
      <w:r>
        <w:rPr>
          <w:rFonts w:hint="eastAsia" w:ascii="宋体" w:hAnsi="宋体"/>
          <w:color w:val="auto"/>
          <w:szCs w:val="30"/>
          <w:highlight w:val="none"/>
        </w:rPr>
        <w:fldChar w:fldCharType="end"/>
      </w:r>
    </w:p>
    <w:p w14:paraId="679D9EA3">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_Toc1540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_Toc1540 \h </w:instrText>
      </w:r>
      <w:r>
        <w:fldChar w:fldCharType="separate"/>
      </w:r>
      <w:r>
        <w:t>54</w:t>
      </w:r>
      <w:r>
        <w:fldChar w:fldCharType="end"/>
      </w:r>
      <w:r>
        <w:rPr>
          <w:rFonts w:hint="eastAsia" w:ascii="宋体" w:hAnsi="宋体"/>
          <w:color w:val="auto"/>
          <w:szCs w:val="30"/>
          <w:highlight w:val="none"/>
        </w:rPr>
        <w:fldChar w:fldCharType="end"/>
      </w:r>
    </w:p>
    <w:p w14:paraId="3976B6C0">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_Toc4304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_Toc4304 \h </w:instrText>
      </w:r>
      <w:r>
        <w:fldChar w:fldCharType="separate"/>
      </w:r>
      <w:r>
        <w:t>72</w:t>
      </w:r>
      <w:r>
        <w:fldChar w:fldCharType="end"/>
      </w:r>
      <w:r>
        <w:rPr>
          <w:rFonts w:hint="eastAsia" w:ascii="宋体" w:hAnsi="宋体"/>
          <w:color w:val="auto"/>
          <w:szCs w:val="30"/>
          <w:highlight w:val="none"/>
        </w:rPr>
        <w:fldChar w:fldCharType="end"/>
      </w:r>
    </w:p>
    <w:p w14:paraId="4B2B5C82">
      <w:pPr>
        <w:pStyle w:val="25"/>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_Toc19598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_Toc19598 \h </w:instrText>
      </w:r>
      <w:r>
        <w:fldChar w:fldCharType="separate"/>
      </w:r>
      <w:r>
        <w:t>77</w:t>
      </w:r>
      <w:r>
        <w:fldChar w:fldCharType="end"/>
      </w:r>
      <w:r>
        <w:rPr>
          <w:rFonts w:hint="eastAsia" w:ascii="宋体" w:hAnsi="宋体"/>
          <w:color w:val="auto"/>
          <w:szCs w:val="30"/>
          <w:highlight w:val="none"/>
        </w:rPr>
        <w:fldChar w:fldCharType="end"/>
      </w:r>
    </w:p>
    <w:p w14:paraId="6AA6BDD1">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_Toc3296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_Toc3296 \h </w:instrText>
      </w:r>
      <w:r>
        <w:fldChar w:fldCharType="separate"/>
      </w:r>
      <w:r>
        <w:t>79</w:t>
      </w:r>
      <w:r>
        <w:fldChar w:fldCharType="end"/>
      </w:r>
      <w:r>
        <w:rPr>
          <w:rFonts w:hint="eastAsia" w:ascii="宋体" w:hAnsi="宋体"/>
          <w:color w:val="auto"/>
          <w:szCs w:val="30"/>
          <w:highlight w:val="none"/>
        </w:rPr>
        <w:fldChar w:fldCharType="end"/>
      </w:r>
    </w:p>
    <w:p w14:paraId="608339A3">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_Toc6517 </w:instrText>
      </w:r>
      <w:r>
        <w:rPr>
          <w:rFonts w:hint="eastAsia" w:ascii="宋体" w:hAnsi="宋体"/>
          <w:szCs w:val="30"/>
          <w:highlight w:val="none"/>
        </w:rPr>
        <w:fldChar w:fldCharType="separate"/>
      </w:r>
      <w:r>
        <w:rPr>
          <w:rFonts w:hint="eastAsia" w:ascii="宋体" w:hAnsi="宋体" w:cs="宋体"/>
          <w:highlight w:val="none"/>
        </w:rPr>
        <w:t>第一节 通用合同条款</w:t>
      </w:r>
      <w:r>
        <w:tab/>
      </w:r>
      <w:r>
        <w:fldChar w:fldCharType="begin"/>
      </w:r>
      <w:r>
        <w:instrText xml:space="preserve"> PAGEREF _Toc6517 \h </w:instrText>
      </w:r>
      <w:r>
        <w:fldChar w:fldCharType="separate"/>
      </w:r>
      <w:r>
        <w:t>91</w:t>
      </w:r>
      <w:r>
        <w:fldChar w:fldCharType="end"/>
      </w:r>
      <w:r>
        <w:rPr>
          <w:rFonts w:hint="eastAsia" w:ascii="宋体" w:hAnsi="宋体"/>
          <w:color w:val="auto"/>
          <w:szCs w:val="30"/>
          <w:highlight w:val="none"/>
        </w:rPr>
        <w:fldChar w:fldCharType="end"/>
      </w:r>
    </w:p>
    <w:p w14:paraId="4F19056B">
      <w:pPr>
        <w:pStyle w:val="19"/>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_Toc21127 </w:instrText>
      </w:r>
      <w:r>
        <w:rPr>
          <w:rFonts w:hint="eastAsia" w:ascii="宋体" w:hAnsi="宋体"/>
          <w:szCs w:val="30"/>
          <w:highlight w:val="none"/>
        </w:rPr>
        <w:fldChar w:fldCharType="separate"/>
      </w:r>
      <w:r>
        <w:rPr>
          <w:rFonts w:hint="eastAsia" w:ascii="宋体" w:hAnsi="宋体" w:cs="宋体"/>
          <w:highlight w:val="none"/>
        </w:rPr>
        <w:t>第二节 专用合同条款</w:t>
      </w:r>
      <w:r>
        <w:tab/>
      </w:r>
      <w:r>
        <w:fldChar w:fldCharType="begin"/>
      </w:r>
      <w:r>
        <w:instrText xml:space="preserve"> PAGEREF _Toc21127 \h </w:instrText>
      </w:r>
      <w:r>
        <w:fldChar w:fldCharType="separate"/>
      </w:r>
      <w:r>
        <w:t>91</w:t>
      </w:r>
      <w:r>
        <w:fldChar w:fldCharType="end"/>
      </w:r>
      <w:r>
        <w:rPr>
          <w:rFonts w:hint="eastAsia" w:ascii="宋体" w:hAnsi="宋体"/>
          <w:color w:val="auto"/>
          <w:szCs w:val="30"/>
          <w:highlight w:val="none"/>
        </w:rPr>
        <w:fldChar w:fldCharType="end"/>
      </w:r>
    </w:p>
    <w:p w14:paraId="6AC498F0">
      <w:pPr>
        <w:pStyle w:val="23"/>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_Toc29844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_Toc29844 \h </w:instrText>
      </w:r>
      <w:r>
        <w:fldChar w:fldCharType="separate"/>
      </w:r>
      <w:r>
        <w:t>109</w:t>
      </w:r>
      <w:r>
        <w:fldChar w:fldCharType="end"/>
      </w:r>
      <w:r>
        <w:rPr>
          <w:rFonts w:hint="eastAsia" w:ascii="宋体" w:hAnsi="宋体"/>
          <w:color w:val="auto"/>
          <w:szCs w:val="30"/>
          <w:highlight w:val="none"/>
        </w:rPr>
        <w:fldChar w:fldCharType="end"/>
      </w:r>
    </w:p>
    <w:p w14:paraId="4290EF06">
      <w:pPr>
        <w:pStyle w:val="25"/>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bookmarkStart w:id="137" w:name="_GoBack"/>
      <w:bookmarkEnd w:id="137"/>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5"/>
        <w:spacing w:before="0" w:line="360" w:lineRule="auto"/>
        <w:jc w:val="center"/>
        <w:rPr>
          <w:rFonts w:hint="eastAsia"/>
          <w:color w:val="auto"/>
          <w:highlight w:val="none"/>
        </w:rPr>
      </w:pPr>
      <w:bookmarkStart w:id="0" w:name="_Toc9160"/>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35393629"/>
      <w:bookmarkStart w:id="2" w:name="_Toc28359012"/>
      <w:bookmarkStart w:id="3" w:name="_Toc35393798"/>
      <w:bookmarkStart w:id="4" w:name="_Toc44229878"/>
      <w:bookmarkStart w:id="5" w:name="_Toc28359089"/>
      <w:bookmarkStart w:id="6" w:name="_Toc28359081"/>
      <w:bookmarkStart w:id="7" w:name="_Toc35393623"/>
      <w:bookmarkStart w:id="8" w:name="_Toc35393792"/>
      <w:bookmarkStart w:id="9" w:name="_Toc2835900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6"/>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上石镇马垌村古油茶产业基地道路建设项目</w:t>
            </w:r>
            <w:r>
              <w:rPr>
                <w:rFonts w:hint="eastAsia" w:ascii="宋体" w:hAnsi="宋体"/>
                <w:color w:val="auto"/>
                <w:szCs w:val="21"/>
                <w:highlight w:val="none"/>
                <w:vertAlign w:val="baseline"/>
              </w:rPr>
              <w:t>采购项目的潜在供应商应在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2025年5月</w:t>
            </w:r>
            <w:r>
              <w:rPr>
                <w:rFonts w:hint="eastAsia" w:ascii="宋体" w:hAnsi="宋体"/>
                <w:color w:val="auto"/>
                <w:szCs w:val="21"/>
                <w:highlight w:val="none"/>
                <w:u w:val="single"/>
                <w:vertAlign w:val="baseline"/>
                <w:lang w:val="en-US" w:eastAsia="zh-CN"/>
              </w:rPr>
              <w:t>23</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15时00分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1.项目编号：CZZC2025-C2-810020-SYZX</w:t>
      </w:r>
    </w:p>
    <w:p w14:paraId="11145A50">
      <w:pPr>
        <w:spacing w:line="360" w:lineRule="auto"/>
        <w:ind w:firstLine="420" w:firstLineChars="200"/>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上石镇马垌村古油茶产业基地道路建设项目</w:t>
      </w:r>
    </w:p>
    <w:p w14:paraId="3B0B897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117.98万元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117.98万元</w:t>
      </w:r>
    </w:p>
    <w:p w14:paraId="0F8495A1">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olor w:val="auto"/>
          <w:szCs w:val="21"/>
          <w:highlight w:val="none"/>
          <w:lang w:eastAsia="zh-CN"/>
        </w:rPr>
        <w:t>上石镇马垌村古油茶产业基地道路建设项目，</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90日历天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35393630"/>
      <w:bookmarkStart w:id="12" w:name="_Toc44229879"/>
      <w:bookmarkStart w:id="13" w:name="_Toc35393799"/>
      <w:bookmarkStart w:id="14" w:name="_Toc28359090"/>
      <w:bookmarkStart w:id="15" w:name="_Toc28359013"/>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具备公路工程或市政公用工程施工总承包叁级（含）以上资质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具备公路工程或市政公用工程专业贰级（含）以上注册建造师执业资格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3C31EA24">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4.本项目的特定条件：</w:t>
      </w:r>
      <w:r>
        <w:rPr>
          <w:rFonts w:hint="eastAsia" w:ascii="宋体" w:hAnsi="宋体"/>
          <w:color w:val="auto"/>
          <w:szCs w:val="21"/>
          <w:highlight w:val="none"/>
          <w:lang w:val="en-US" w:eastAsia="zh-CN"/>
        </w:rPr>
        <w:t>无。</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28359082"/>
      <w:bookmarkStart w:id="17" w:name="_Toc35393793"/>
      <w:bookmarkStart w:id="18" w:name="_Toc28359005"/>
      <w:bookmarkStart w:id="19" w:name="_Toc35393624"/>
      <w:r>
        <w:rPr>
          <w:rFonts w:hint="eastAsia" w:ascii="宋体" w:hAnsi="宋体"/>
          <w:color w:val="auto"/>
          <w:szCs w:val="21"/>
          <w:highlight w:val="none"/>
        </w:rPr>
        <w:t>时间：202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日至202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23</w:t>
      </w:r>
      <w:r>
        <w:rPr>
          <w:rFonts w:hint="eastAsia" w:ascii="宋体" w:hAnsi="宋体"/>
          <w:color w:val="auto"/>
          <w:szCs w:val="21"/>
          <w:highlight w:val="none"/>
        </w:rPr>
        <w:t>日，每天上午00:00至12:00，下午12:00至23:59（北京时间，法定节假日除外）。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2025年5月</w:t>
      </w:r>
      <w:r>
        <w:rPr>
          <w:rFonts w:hint="eastAsia" w:ascii="宋体" w:hAnsi="宋体"/>
          <w:color w:val="auto"/>
          <w:szCs w:val="21"/>
          <w:highlight w:val="none"/>
          <w:u w:val="single"/>
          <w:vertAlign w:val="baseline"/>
          <w:lang w:val="en-US" w:eastAsia="zh-CN"/>
        </w:rPr>
        <w:t>23</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15时00分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2025年5月</w:t>
      </w:r>
      <w:r>
        <w:rPr>
          <w:rFonts w:hint="eastAsia" w:ascii="宋体" w:hAnsi="宋体"/>
          <w:color w:val="auto"/>
          <w:szCs w:val="21"/>
          <w:highlight w:val="none"/>
          <w:u w:val="single"/>
          <w:vertAlign w:val="baseline"/>
          <w:lang w:val="en-US" w:eastAsia="zh-CN"/>
        </w:rPr>
        <w:t>23</w:t>
      </w:r>
      <w:r>
        <w:rPr>
          <w:rFonts w:hint="eastAsia" w:ascii="宋体" w:hAnsi="宋体"/>
          <w:color w:val="auto"/>
          <w:szCs w:val="21"/>
          <w:highlight w:val="none"/>
          <w:u w:val="single"/>
          <w:vertAlign w:val="baseline"/>
          <w:lang w:eastAsia="zh-CN"/>
        </w:rPr>
        <w:t>日</w:t>
      </w:r>
      <w:r>
        <w:rPr>
          <w:rFonts w:hint="eastAsia" w:ascii="宋体" w:hAnsi="宋体"/>
          <w:color w:val="auto"/>
          <w:szCs w:val="21"/>
          <w:highlight w:val="none"/>
          <w:u w:val="single"/>
          <w:vertAlign w:val="baseline"/>
          <w:lang w:val="en-US" w:eastAsia="zh-CN"/>
        </w:rPr>
        <w:t>15时00分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28359084"/>
      <w:bookmarkStart w:id="21" w:name="_Toc35393794"/>
      <w:bookmarkStart w:id="22" w:name="_Toc35393625"/>
      <w:bookmarkStart w:id="23" w:name="_Toc28359007"/>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626"/>
      <w:bookmarkStart w:id="25" w:name="_Toc35393795"/>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rPr>
        <w:t>https://zfcg.gxzf.gov.cn/site/detail?categoryCode=reformColumn&amp;parentId=66601&amp;articleId=3qQ5Y1Htd43k546B/WUobg==</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广西森予工程咨询有限公司</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凭祥市林业局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凭祥市金象大道</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项目联系人：黄舒华</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 xml:space="preserve">0771-8521021 </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广西森予工程咨询有限公司</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 xml:space="preserve">中国(广西)自由贸易试验区南宁片区玉洞大道56号融创九棠府23号楼二十五层2501号房 </w:t>
      </w:r>
    </w:p>
    <w:p w14:paraId="7720C5B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0771-3111400</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4"/>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广西森予工程咨询有限公司</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rPr>
      </w:pPr>
      <w:r>
        <w:rPr>
          <w:rFonts w:hint="eastAsia" w:ascii="宋体" w:hAnsi="宋体"/>
          <w:szCs w:val="21"/>
          <w:highlight w:val="none"/>
        </w:rPr>
        <w:t>202</w:t>
      </w:r>
      <w:r>
        <w:rPr>
          <w:rFonts w:hint="eastAsia" w:ascii="宋体" w:hAnsi="宋体"/>
          <w:szCs w:val="21"/>
          <w:highlight w:val="none"/>
          <w:lang w:val="en-US" w:eastAsia="zh-CN"/>
        </w:rPr>
        <w:t>5</w:t>
      </w:r>
      <w:r>
        <w:rPr>
          <w:rFonts w:hint="eastAsia" w:ascii="宋体" w:hAnsi="宋体"/>
          <w:szCs w:val="21"/>
          <w:highlight w:val="none"/>
        </w:rPr>
        <w:t>年</w:t>
      </w:r>
      <w:r>
        <w:rPr>
          <w:rFonts w:hint="eastAsia" w:ascii="宋体" w:hAnsi="宋体"/>
          <w:szCs w:val="21"/>
          <w:highlight w:val="none"/>
          <w:u w:val="none"/>
          <w:lang w:val="en-US" w:eastAsia="zh-CN"/>
        </w:rPr>
        <w:t>5</w:t>
      </w:r>
      <w:r>
        <w:rPr>
          <w:rFonts w:hint="eastAsia" w:ascii="宋体" w:hAnsi="宋体"/>
          <w:szCs w:val="21"/>
          <w:highlight w:val="none"/>
          <w:u w:val="none"/>
        </w:rPr>
        <w:t>月</w:t>
      </w:r>
      <w:r>
        <w:rPr>
          <w:rFonts w:hint="eastAsia" w:ascii="宋体" w:hAnsi="宋体"/>
          <w:szCs w:val="21"/>
          <w:highlight w:val="none"/>
          <w:u w:val="none"/>
          <w:lang w:val="en-US" w:eastAsia="zh-CN"/>
        </w:rPr>
        <w:t>12</w:t>
      </w:r>
      <w:r>
        <w:rPr>
          <w:rFonts w:hint="eastAsia" w:ascii="宋体" w:hAnsi="宋体"/>
          <w:szCs w:val="21"/>
          <w:highlight w:val="none"/>
          <w:u w:val="none"/>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r>
        <w:rPr>
          <w:rFonts w:hint="eastAsia" w:ascii="宋体" w:hAnsi="宋体"/>
          <w:color w:val="auto"/>
          <w:sz w:val="32"/>
          <w:szCs w:val="32"/>
          <w:highlight w:val="none"/>
        </w:rPr>
        <w:br w:type="page"/>
      </w:r>
      <w:bookmarkStart w:id="30" w:name="_Toc3129"/>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上石镇马垌村古油茶产业基地道路建设项目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建设内容包括</w:t>
            </w:r>
            <w:r>
              <w:rPr>
                <w:rFonts w:hint="eastAsia" w:ascii="宋体" w:hAnsi="宋体" w:cs="Times New Roman"/>
                <w:color w:val="auto"/>
                <w:szCs w:val="21"/>
                <w:highlight w:val="none"/>
                <w:lang w:val="en-US" w:eastAsia="zh-CN"/>
              </w:rPr>
              <w:t>道路工程：新建砼道路长2.5Km,路面宽3m;浆砌片石挡土墙长76m,平均高度2m;钢筋砼圆管涵1-φ0.8m长44m;项目简介碑1座。临时工程：铺、拆临时施工便道长164m,路面宽3m;片石挡土墙砌筑及拆除长21m,平均高度1.5m,安装、拆除钢筋砼圆管涵φ1.0m长12m等</w:t>
            </w:r>
            <w:r>
              <w:rPr>
                <w:rFonts w:hint="eastAsia" w:ascii="宋体" w:hAnsi="宋体" w:cs="Times New Roman"/>
                <w:color w:val="auto"/>
                <w:szCs w:val="21"/>
                <w:highlight w:val="none"/>
                <w:lang w:eastAsia="zh-CN"/>
              </w:rPr>
              <w:t>；</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117.98</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一、合同签订期：自成交通知书发出之日起</w:t>
            </w:r>
            <w:r>
              <w:rPr>
                <w:rFonts w:hint="eastAsia" w:ascii="宋体" w:hAnsi="宋体"/>
                <w:color w:val="auto"/>
                <w:szCs w:val="21"/>
                <w:highlight w:val="none"/>
                <w:u w:val="single"/>
                <w:lang w:val="en-US" w:eastAsia="zh-CN"/>
              </w:rPr>
              <w:t>15</w:t>
            </w:r>
            <w:r>
              <w:rPr>
                <w:rFonts w:hint="eastAsia" w:ascii="宋体" w:hAnsi="宋体"/>
                <w:color w:val="auto"/>
                <w:szCs w:val="21"/>
                <w:highlight w:val="none"/>
              </w:rPr>
              <w:t>日内。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90日历天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凭祥市上石镇马垌村古油茶产业基地。</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eastAsia="宋体" w:cs="宋体"/>
                <w:color w:val="auto"/>
                <w:szCs w:val="21"/>
                <w:highlight w:val="none"/>
                <w:lang w:eastAsia="zh-CN"/>
              </w:rPr>
              <w:t>《公路工程质量检验评定标准》（JTG F80/1-2017）</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w:t>
            </w:r>
            <w:r>
              <w:rPr>
                <w:rFonts w:hint="eastAsia" w:ascii="宋体" w:hAnsi="宋体"/>
                <w:bCs/>
                <w:color w:val="auto"/>
                <w:szCs w:val="21"/>
                <w:highlight w:val="none"/>
                <w:lang w:val="en-US" w:eastAsia="zh-CN"/>
              </w:rPr>
              <w:t>2</w:t>
            </w:r>
            <w:r>
              <w:rPr>
                <w:rFonts w:hint="eastAsia" w:ascii="宋体" w:hAnsi="宋体"/>
                <w:bCs/>
                <w:color w:val="auto"/>
                <w:szCs w:val="21"/>
                <w:highlight w:val="none"/>
              </w:rPr>
              <w:t>年。</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1、预付款支付比例或金额：合同款的30%。</w:t>
            </w:r>
          </w:p>
          <w:p w14:paraId="66564C48">
            <w:pPr>
              <w:autoSpaceDE w:val="0"/>
              <w:autoSpaceDN w:val="0"/>
              <w:adjustRightInd w:val="0"/>
              <w:spacing w:line="360" w:lineRule="auto"/>
              <w:ind w:firstLine="422" w:firstLineChars="200"/>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2、预付款支付期限：施工合同签订后，在承包人的人员机械设备进场后，监理人向承包人发出开工令后7个工作日内，视财政资金到位情况支付。</w:t>
            </w:r>
          </w:p>
          <w:p w14:paraId="6A8E314D">
            <w:pPr>
              <w:autoSpaceDE w:val="0"/>
              <w:autoSpaceDN w:val="0"/>
              <w:adjustRightInd w:val="0"/>
              <w:spacing w:line="360" w:lineRule="auto"/>
              <w:ind w:firstLine="422" w:firstLineChars="200"/>
              <w:rPr>
                <w:rFonts w:hint="eastAsia" w:ascii="宋体" w:hAnsi="宋体" w:cs="宋体"/>
                <w:color w:val="auto"/>
                <w:kern w:val="0"/>
                <w:szCs w:val="21"/>
                <w:highlight w:val="none"/>
              </w:rPr>
            </w:pPr>
            <w:r>
              <w:rPr>
                <w:rFonts w:hint="eastAsia" w:ascii="宋体" w:hAnsi="宋体"/>
                <w:b/>
                <w:bCs/>
                <w:color w:val="auto"/>
                <w:szCs w:val="21"/>
                <w:highlight w:val="none"/>
              </w:rPr>
              <w:t>▲</w:t>
            </w: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AC03311">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合同内进度款支付：支付限额为已完成计量工程量的</w:t>
            </w:r>
            <w:r>
              <w:rPr>
                <w:rFonts w:ascii="宋体" w:hAnsi="宋体"/>
                <w:color w:val="auto"/>
                <w:szCs w:val="21"/>
                <w:highlight w:val="none"/>
              </w:rPr>
              <w:t>9</w:t>
            </w:r>
            <w:r>
              <w:rPr>
                <w:rFonts w:hint="eastAsia" w:ascii="宋体" w:hAnsi="宋体"/>
                <w:color w:val="auto"/>
                <w:szCs w:val="21"/>
                <w:highlight w:val="none"/>
              </w:rPr>
              <w:t>0%，竣工结算经审计完成后，发包人再拔付已完成计量工程量的</w:t>
            </w:r>
            <w:r>
              <w:rPr>
                <w:rFonts w:ascii="宋体" w:hAnsi="宋体"/>
                <w:color w:val="auto"/>
                <w:szCs w:val="21"/>
                <w:highlight w:val="none"/>
              </w:rPr>
              <w:t>1</w:t>
            </w:r>
            <w:r>
              <w:rPr>
                <w:rFonts w:hint="eastAsia" w:ascii="宋体" w:hAnsi="宋体"/>
                <w:color w:val="auto"/>
                <w:szCs w:val="21"/>
                <w:highlight w:val="none"/>
              </w:rPr>
              <w:t>0%。合同外进度款支付（变更增加部分）：竣工结算经审计后支付100%的工程款。</w:t>
            </w:r>
          </w:p>
          <w:p w14:paraId="7D4913BC">
            <w:pPr>
              <w:widowControl/>
              <w:shd w:val="clear" w:color="auto" w:fill="FFFFFF"/>
              <w:spacing w:line="360" w:lineRule="auto"/>
              <w:ind w:firstLine="420" w:firstLineChars="200"/>
              <w:rPr>
                <w:color w:val="auto"/>
                <w:highlight w:val="none"/>
              </w:rPr>
            </w:pPr>
            <w:r>
              <w:rPr>
                <w:rFonts w:hint="eastAsia" w:ascii="宋体" w:hAnsi="宋体"/>
                <w:color w:val="auto"/>
                <w:szCs w:val="21"/>
                <w:highlight w:val="none"/>
              </w:rPr>
              <w:t>质量保证金缴纳方式：按工程结算价的3%缴纳工程质量保修金，待工程质量保修期满后返还。</w:t>
            </w:r>
          </w:p>
          <w:p w14:paraId="22665BA1">
            <w:pPr>
              <w:widowControl/>
              <w:shd w:val="clear" w:color="auto" w:fill="FFFFFF"/>
              <w:spacing w:line="360" w:lineRule="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4</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一致的已标价工程量清单作为附件，否则报价无效，</w:t>
            </w:r>
            <w:r>
              <w:rPr>
                <w:rFonts w:hint="eastAsia" w:ascii="宋体" w:hAnsi="宋体" w:cs="宋体"/>
                <w:b/>
                <w:color w:val="auto"/>
                <w:szCs w:val="21"/>
                <w:highlight w:val="none"/>
              </w:rPr>
              <w:t>视同放弃报价权利退</w:t>
            </w:r>
            <w:r>
              <w:rPr>
                <w:rFonts w:hint="eastAsia" w:ascii="宋体" w:hAnsi="宋体" w:cs="宋体"/>
                <w:b/>
                <w:color w:val="auto"/>
                <w:szCs w:val="21"/>
                <w:highlight w:val="none"/>
                <w:lang w:val="en-US" w:eastAsia="zh-CN"/>
              </w:rPr>
              <w:t>出磋商</w:t>
            </w:r>
            <w:r>
              <w:rPr>
                <w:rFonts w:hint="eastAsia" w:ascii="宋体" w:hAnsi="宋体" w:cs="宋体"/>
                <w:color w:val="auto"/>
                <w:szCs w:val="21"/>
                <w:highlight w:val="none"/>
              </w:rPr>
              <w:t>。</w:t>
            </w:r>
          </w:p>
        </w:tc>
      </w:tr>
    </w:tbl>
    <w:p w14:paraId="78D4162C">
      <w:pPr>
        <w:pStyle w:val="20"/>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5"/>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4604"/>
      <w:r>
        <w:rPr>
          <w:rFonts w:hint="eastAsia"/>
          <w:highlight w:val="none"/>
        </w:rPr>
        <w:t>第三章</w:t>
      </w:r>
      <w:r>
        <w:rPr>
          <w:highlight w:val="none"/>
        </w:rPr>
        <w:t xml:space="preserve"> </w:t>
      </w:r>
      <w:r>
        <w:rPr>
          <w:rFonts w:hint="eastAsia"/>
          <w:highlight w:val="none"/>
        </w:rPr>
        <w:t>供应商须知</w:t>
      </w:r>
      <w:bookmarkEnd w:id="31"/>
    </w:p>
    <w:p w14:paraId="67871A91">
      <w:pPr>
        <w:pStyle w:val="6"/>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29789"/>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4"/>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公告对应的特定资格要求及特定条件设置投标人提供的资格证明材料（请提供</w:t>
            </w:r>
            <w:r>
              <w:rPr>
                <w:rFonts w:hint="eastAsia" w:ascii="宋体" w:hAnsi="宋体" w:cs="Times New Roman"/>
                <w:color w:val="auto"/>
                <w:szCs w:val="21"/>
                <w:highlight w:val="none"/>
                <w:lang w:val="en-US" w:eastAsia="zh-CN"/>
              </w:rPr>
              <w:t>公路工程或市政公用工程</w:t>
            </w:r>
            <w:r>
              <w:rPr>
                <w:rFonts w:hint="eastAsia" w:ascii="宋体" w:hAnsi="宋体" w:cs="宋体"/>
                <w:color w:val="auto"/>
                <w:szCs w:val="21"/>
                <w:highlight w:val="none"/>
                <w:lang w:val="en-US" w:eastAsia="zh-CN"/>
              </w:rPr>
              <w:t>施工总承包</w:t>
            </w:r>
            <w:r>
              <w:rPr>
                <w:rFonts w:hint="eastAsia" w:ascii="宋体" w:hAnsi="宋体" w:eastAsia="宋体" w:cs="宋体"/>
                <w:color w:val="auto"/>
                <w:szCs w:val="21"/>
                <w:highlight w:val="none"/>
                <w:lang w:val="en-US" w:eastAsia="zh-CN"/>
              </w:rPr>
              <w:t>叁级（含）以上资质</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项目经理具备</w:t>
            </w:r>
            <w:r>
              <w:rPr>
                <w:rFonts w:hint="eastAsia" w:ascii="宋体" w:hAnsi="宋体" w:cs="Times New Roman"/>
                <w:color w:val="auto"/>
                <w:szCs w:val="21"/>
                <w:highlight w:val="none"/>
                <w:lang w:val="en-US" w:eastAsia="zh-CN"/>
              </w:rPr>
              <w:t>公路工程或市政公用工程</w:t>
            </w:r>
            <w:r>
              <w:rPr>
                <w:rFonts w:hint="eastAsia" w:ascii="宋体" w:hAnsi="宋体" w:eastAsia="宋体" w:cs="宋体"/>
                <w:color w:val="auto"/>
                <w:szCs w:val="21"/>
                <w:highlight w:val="none"/>
              </w:rPr>
              <w:t>专业贰级（含）以上注册建造师执业资格，</w:t>
            </w:r>
            <w:r>
              <w:rPr>
                <w:rFonts w:hint="eastAsia" w:ascii="宋体" w:hAnsi="宋体" w:cs="宋体"/>
                <w:color w:val="auto"/>
                <w:szCs w:val="21"/>
                <w:highlight w:val="none"/>
                <w:lang w:val="en-US" w:eastAsia="zh-CN"/>
              </w:rPr>
              <w:t>且</w:t>
            </w:r>
            <w:r>
              <w:rPr>
                <w:rFonts w:hint="eastAsia" w:ascii="宋体" w:hAnsi="宋体" w:eastAsia="宋体" w:cs="Times New Roman"/>
                <w:color w:val="auto"/>
                <w:szCs w:val="21"/>
                <w:highlight w:val="none"/>
                <w:lang w:val="en-US" w:eastAsia="zh-CN"/>
              </w:rPr>
              <w:t>具备有效</w:t>
            </w:r>
            <w:r>
              <w:rPr>
                <w:rFonts w:hint="eastAsia" w:ascii="宋体" w:hAnsi="宋体" w:cs="Times New Roman"/>
                <w:color w:val="auto"/>
                <w:szCs w:val="21"/>
                <w:highlight w:val="none"/>
                <w:lang w:val="en-US" w:eastAsia="zh-CN"/>
              </w:rPr>
              <w:t>的</w:t>
            </w:r>
            <w:r>
              <w:rPr>
                <w:rFonts w:hint="eastAsia" w:ascii="宋体" w:hAnsi="宋体" w:eastAsia="宋体" w:cs="宋体"/>
                <w:color w:val="auto"/>
                <w:szCs w:val="21"/>
                <w:highlight w:val="none"/>
              </w:rPr>
              <w:t>安全生产考核合格证书（B类））；</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4"/>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3"/>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4"/>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广西森予工程咨询有限公司</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 xml:space="preserve">中国(广西)自由贸易试验区南宁片区玉洞大道56号融创九棠府23号楼二十五层2501号房 </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凭祥市林业局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 xml:space="preserve">0771-8521021 </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凭祥市金象大道</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15时00分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62F3A3B3">
            <w:pPr>
              <w:snapToGrid w:val="0"/>
              <w:spacing w:line="380" w:lineRule="exact"/>
              <w:rPr>
                <w:rFonts w:hint="default" w:hAnsi="宋体" w:cs="宋体"/>
                <w:color w:val="auto"/>
                <w:highlight w:val="none"/>
                <w:lang w:val="en-US" w:eastAsia="zh-CN"/>
              </w:rPr>
            </w:pPr>
            <w:r>
              <w:rPr>
                <w:rFonts w:hint="eastAsia" w:hAnsi="宋体" w:cs="宋体"/>
                <w:color w:val="auto"/>
                <w:highlight w:val="none"/>
                <w:lang w:eastAsia="zh-CN"/>
              </w:rPr>
              <w:t>名称：</w:t>
            </w:r>
            <w:bookmarkStart w:id="35" w:name="PO_3000001868_PM036"/>
            <w:r>
              <w:rPr>
                <w:rFonts w:hint="eastAsia" w:hAnsi="宋体" w:cs="宋体"/>
                <w:color w:val="auto"/>
                <w:highlight w:val="none"/>
                <w:lang w:eastAsia="zh-CN"/>
              </w:rPr>
              <w:t>凭祥市财政局</w:t>
            </w:r>
            <w:bookmarkEnd w:id="35"/>
            <w:r>
              <w:rPr>
                <w:rFonts w:hint="eastAsia" w:hAnsi="宋体" w:cs="宋体"/>
                <w:color w:val="auto"/>
                <w:highlight w:val="none"/>
                <w:lang w:val="en-US" w:eastAsia="zh-CN"/>
              </w:rPr>
              <w:t>政府采购监督管理股</w:t>
            </w:r>
          </w:p>
          <w:p w14:paraId="440075BC">
            <w:pPr>
              <w:snapToGrid w:val="0"/>
              <w:spacing w:line="380" w:lineRule="exact"/>
              <w:rPr>
                <w:rFonts w:hint="eastAsia" w:hAnsi="宋体" w:cs="宋体"/>
                <w:color w:val="auto"/>
                <w:highlight w:val="none"/>
                <w:lang w:eastAsia="zh-CN"/>
              </w:rPr>
            </w:pPr>
            <w:r>
              <w:rPr>
                <w:rFonts w:hint="eastAsia" w:hAnsi="宋体" w:cs="宋体"/>
                <w:color w:val="auto"/>
                <w:highlight w:val="none"/>
                <w:lang w:eastAsia="zh-CN"/>
              </w:rPr>
              <w:t xml:space="preserve">地址：凭祥市友谊关大道行政中心801号 </w:t>
            </w:r>
            <w:bookmarkStart w:id="36" w:name="PO_3000001868_PM039"/>
            <w:r>
              <w:rPr>
                <w:rFonts w:hint="eastAsia" w:hAnsi="宋体" w:cs="宋体"/>
                <w:color w:val="auto"/>
                <w:highlight w:val="none"/>
                <w:lang w:eastAsia="zh-CN"/>
              </w:rPr>
              <w:t xml:space="preserve"> </w:t>
            </w:r>
            <w:bookmarkEnd w:id="36"/>
          </w:p>
          <w:p w14:paraId="4C01646E">
            <w:pPr>
              <w:snapToGrid w:val="0"/>
              <w:spacing w:line="380" w:lineRule="exact"/>
              <w:rPr>
                <w:rFonts w:hint="default" w:hAnsi="宋体" w:eastAsia="宋体" w:cs="宋体"/>
                <w:color w:val="auto"/>
                <w:highlight w:val="none"/>
                <w:lang w:val="en-US" w:eastAsia="zh-CN"/>
              </w:rPr>
            </w:pPr>
            <w:r>
              <w:rPr>
                <w:rFonts w:hint="eastAsia" w:hAnsi="宋体" w:cs="宋体"/>
                <w:color w:val="auto"/>
                <w:highlight w:val="none"/>
                <w:lang w:eastAsia="zh-CN"/>
              </w:rPr>
              <w:t>联系电话：</w:t>
            </w:r>
            <w:bookmarkStart w:id="37" w:name="PO_3000001868_PM038"/>
            <w:r>
              <w:rPr>
                <w:rFonts w:hint="eastAsia" w:hAnsi="宋体" w:cs="宋体"/>
                <w:color w:val="auto"/>
                <w:highlight w:val="none"/>
                <w:lang w:eastAsia="zh-CN"/>
              </w:rPr>
              <w:t>0771-5972672</w:t>
            </w:r>
            <w:bookmarkEnd w:id="37"/>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20"/>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20"/>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20"/>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20"/>
              <w:snapToGrid w:val="0"/>
              <w:spacing w:line="360" w:lineRule="auto"/>
              <w:rPr>
                <w:rFonts w:hint="eastAsia" w:hAnsi="宋体" w:cs="宋体"/>
                <w:sz w:val="21"/>
                <w:highlight w:val="none"/>
              </w:rPr>
            </w:pPr>
            <w:bookmarkStart w:id="38"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8"/>
            <w:r>
              <w:rPr>
                <w:rFonts w:hint="eastAsia" w:hAnsi="宋体" w:cs="宋体"/>
                <w:sz w:val="21"/>
                <w:highlight w:val="none"/>
                <w:lang w:val="en-US" w:eastAsia="zh-CN"/>
              </w:rPr>
              <w:t>。</w:t>
            </w:r>
          </w:p>
          <w:p w14:paraId="4622E273">
            <w:pPr>
              <w:pStyle w:val="20"/>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029197CE">
            <w:pPr>
              <w:pStyle w:val="20"/>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9B5F020">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20"/>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20"/>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20"/>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20"/>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20"/>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6"/>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9" w:name="_Toc8046"/>
      <w:r>
        <w:rPr>
          <w:rFonts w:hint="eastAsia" w:ascii="宋体" w:hAnsi="宋体"/>
          <w:b w:val="0"/>
          <w:color w:val="auto"/>
          <w:highlight w:val="none"/>
        </w:rPr>
        <w:t>第二节 供应商须知正文</w:t>
      </w:r>
      <w:bookmarkEnd w:id="39"/>
    </w:p>
    <w:p w14:paraId="0220723D">
      <w:pPr>
        <w:pStyle w:val="7"/>
        <w:spacing w:before="0" w:after="0" w:line="360" w:lineRule="auto"/>
        <w:ind w:firstLine="640" w:firstLineChars="200"/>
        <w:rPr>
          <w:rFonts w:hint="eastAsia" w:ascii="宋体" w:hAnsi="宋体"/>
          <w:b w:val="0"/>
          <w:color w:val="auto"/>
          <w:highlight w:val="none"/>
        </w:rPr>
      </w:pPr>
      <w:bookmarkStart w:id="40" w:name="_Toc24593"/>
      <w:r>
        <w:rPr>
          <w:rFonts w:hint="eastAsia" w:ascii="宋体" w:hAnsi="宋体"/>
          <w:b w:val="0"/>
          <w:color w:val="auto"/>
          <w:highlight w:val="none"/>
        </w:rPr>
        <w:t>一、总则</w:t>
      </w:r>
      <w:bookmarkEnd w:id="40"/>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41" w:name="_Toc254970532"/>
      <w:bookmarkStart w:id="42" w:name="_Toc254970673"/>
      <w:r>
        <w:rPr>
          <w:rFonts w:hint="eastAsia" w:ascii="黑体" w:hAnsi="黑体" w:eastAsia="黑体" w:cs="宋体"/>
          <w:b/>
          <w:bCs/>
          <w:color w:val="auto"/>
          <w:sz w:val="24"/>
          <w:highlight w:val="none"/>
        </w:rPr>
        <w:t>7.特别说明</w:t>
      </w:r>
      <w:bookmarkEnd w:id="41"/>
      <w:bookmarkEnd w:id="42"/>
    </w:p>
    <w:p w14:paraId="21F3ABEF">
      <w:pPr>
        <w:spacing w:line="360" w:lineRule="auto"/>
        <w:ind w:firstLine="420" w:firstLineChars="200"/>
        <w:rPr>
          <w:rFonts w:hint="eastAsia" w:ascii="宋体" w:hAnsi="宋体" w:cs="宋体"/>
          <w:color w:val="auto"/>
          <w:szCs w:val="21"/>
          <w:highlight w:val="none"/>
        </w:rPr>
      </w:pPr>
      <w:bookmarkStart w:id="43" w:name="_8.1提供相同品牌产品且通过资格审查、符合性审查的不同投标人参加同一合"/>
      <w:bookmarkEnd w:id="43"/>
      <w:r>
        <w:rPr>
          <w:rFonts w:hint="eastAsia" w:ascii="宋体" w:hAnsi="宋体" w:cs="宋体"/>
          <w:color w:val="auto"/>
          <w:szCs w:val="21"/>
          <w:highlight w:val="none"/>
        </w:rPr>
        <w:t>7.1</w:t>
      </w:r>
      <w:bookmarkStart w:id="44"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4"/>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7"/>
        <w:spacing w:before="0" w:after="0" w:line="360" w:lineRule="auto"/>
        <w:ind w:firstLine="640" w:firstLineChars="200"/>
        <w:rPr>
          <w:rFonts w:hint="eastAsia" w:ascii="宋体" w:hAnsi="宋体"/>
          <w:b w:val="0"/>
          <w:bCs w:val="0"/>
          <w:color w:val="auto"/>
          <w:highlight w:val="none"/>
        </w:rPr>
      </w:pPr>
      <w:bookmarkStart w:id="45" w:name="_Toc254970675"/>
      <w:bookmarkStart w:id="46" w:name="_Toc254970534"/>
      <w:bookmarkStart w:id="47" w:name="_Toc28501"/>
      <w:r>
        <w:rPr>
          <w:rFonts w:hint="eastAsia" w:ascii="宋体" w:hAnsi="宋体"/>
          <w:b w:val="0"/>
          <w:bCs w:val="0"/>
          <w:color w:val="auto"/>
          <w:highlight w:val="none"/>
        </w:rPr>
        <w:t>二、磋商文件</w:t>
      </w:r>
      <w:bookmarkEnd w:id="45"/>
      <w:bookmarkEnd w:id="46"/>
      <w:bookmarkEnd w:id="47"/>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7"/>
        <w:spacing w:before="0" w:after="0" w:line="360" w:lineRule="auto"/>
        <w:ind w:firstLine="640" w:firstLineChars="200"/>
        <w:rPr>
          <w:rFonts w:hint="eastAsia" w:ascii="宋体" w:hAnsi="宋体"/>
          <w:b w:val="0"/>
          <w:bCs w:val="0"/>
          <w:color w:val="auto"/>
          <w:highlight w:val="none"/>
        </w:rPr>
      </w:pPr>
      <w:bookmarkStart w:id="48" w:name="_Toc18928"/>
      <w:r>
        <w:rPr>
          <w:rFonts w:hint="eastAsia" w:ascii="宋体" w:hAnsi="宋体"/>
          <w:b w:val="0"/>
          <w:bCs w:val="0"/>
          <w:color w:val="auto"/>
          <w:highlight w:val="none"/>
        </w:rPr>
        <w:t>三、响应文件的编制</w:t>
      </w:r>
      <w:bookmarkEnd w:id="48"/>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9"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9"/>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50"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50"/>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20"/>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51"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51"/>
    </w:p>
    <w:p w14:paraId="1CE65D99">
      <w:pPr>
        <w:pStyle w:val="7"/>
        <w:spacing w:before="0" w:after="0" w:line="360" w:lineRule="auto"/>
        <w:ind w:firstLine="640" w:firstLineChars="200"/>
        <w:rPr>
          <w:rFonts w:hint="eastAsia" w:ascii="宋体" w:hAnsi="宋体"/>
          <w:b w:val="0"/>
          <w:bCs w:val="0"/>
          <w:color w:val="auto"/>
          <w:highlight w:val="none"/>
        </w:rPr>
      </w:pPr>
      <w:bookmarkStart w:id="52" w:name="_Toc27934"/>
      <w:r>
        <w:rPr>
          <w:rFonts w:hint="eastAsia" w:ascii="宋体" w:hAnsi="宋体"/>
          <w:b w:val="0"/>
          <w:bCs w:val="0"/>
          <w:color w:val="auto"/>
          <w:highlight w:val="none"/>
        </w:rPr>
        <w:t>四、评审及磋商</w:t>
      </w:r>
      <w:bookmarkEnd w:id="52"/>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20"/>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20"/>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20"/>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7"/>
        <w:spacing w:before="0" w:after="0" w:line="360" w:lineRule="auto"/>
        <w:ind w:firstLine="480" w:firstLineChars="150"/>
        <w:rPr>
          <w:rFonts w:hint="eastAsia" w:ascii="宋体" w:hAnsi="宋体"/>
          <w:b w:val="0"/>
          <w:bCs w:val="0"/>
          <w:color w:val="auto"/>
          <w:highlight w:val="none"/>
        </w:rPr>
      </w:pPr>
      <w:bookmarkStart w:id="53" w:name="_Toc17922"/>
      <w:r>
        <w:rPr>
          <w:rFonts w:hint="eastAsia" w:ascii="宋体" w:hAnsi="宋体"/>
          <w:b w:val="0"/>
          <w:bCs w:val="0"/>
          <w:color w:val="auto"/>
          <w:highlight w:val="none"/>
        </w:rPr>
        <w:t>五、成交及合同</w:t>
      </w:r>
      <w:bookmarkEnd w:id="53"/>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4" w:name="_Toc80205930"/>
    </w:p>
    <w:p w14:paraId="6A3CC766">
      <w:pPr>
        <w:pStyle w:val="7"/>
        <w:spacing w:before="0" w:after="0" w:line="360" w:lineRule="auto"/>
        <w:ind w:firstLine="315" w:firstLineChars="98"/>
        <w:rPr>
          <w:rFonts w:hint="eastAsia" w:ascii="宋体" w:hAnsi="宋体"/>
          <w:b w:val="0"/>
          <w:color w:val="auto"/>
          <w:highlight w:val="none"/>
        </w:rPr>
      </w:pPr>
      <w:bookmarkStart w:id="55" w:name="_Toc8632"/>
      <w:r>
        <w:rPr>
          <w:rFonts w:hint="eastAsia" w:ascii="宋体" w:hAnsi="宋体"/>
          <w:color w:val="auto"/>
          <w:highlight w:val="none"/>
        </w:rPr>
        <w:t>六</w:t>
      </w:r>
      <w:r>
        <w:rPr>
          <w:rFonts w:hint="eastAsia" w:ascii="宋体" w:hAnsi="宋体"/>
          <w:b w:val="0"/>
          <w:color w:val="auto"/>
          <w:highlight w:val="none"/>
        </w:rPr>
        <w:t>、验收</w:t>
      </w:r>
      <w:bookmarkEnd w:id="54"/>
      <w:bookmarkEnd w:id="55"/>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20"/>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7"/>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6" w:name="_Toc4708"/>
      <w:r>
        <w:rPr>
          <w:rFonts w:hint="eastAsia" w:ascii="宋体" w:hAnsi="宋体"/>
          <w:b w:val="0"/>
          <w:bCs w:val="0"/>
          <w:color w:val="auto"/>
          <w:highlight w:val="none"/>
        </w:rPr>
        <w:t>七、其他事项</w:t>
      </w:r>
      <w:bookmarkEnd w:id="56"/>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070A3742">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20"/>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20"/>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凭祥市金象大道香格里拉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1"/>
        <w:rPr>
          <w:rFonts w:hint="eastAsia" w:hAnsi="宋体" w:cs="宋体"/>
          <w:color w:val="auto"/>
          <w:kern w:val="2"/>
          <w:sz w:val="21"/>
          <w:highlight w:val="none"/>
        </w:rPr>
      </w:pPr>
    </w:p>
    <w:p w14:paraId="3DEF8186">
      <w:pPr>
        <w:pStyle w:val="21"/>
        <w:rPr>
          <w:rFonts w:hint="eastAsia" w:hAnsi="宋体" w:cs="宋体"/>
          <w:color w:val="auto"/>
          <w:kern w:val="2"/>
          <w:sz w:val="21"/>
          <w:highlight w:val="none"/>
        </w:rPr>
      </w:pPr>
    </w:p>
    <w:p w14:paraId="528C5713">
      <w:pPr>
        <w:pStyle w:val="5"/>
        <w:jc w:val="center"/>
        <w:rPr>
          <w:rFonts w:hint="eastAsia"/>
          <w:color w:val="auto"/>
          <w:highlight w:val="none"/>
        </w:rPr>
      </w:pPr>
      <w:bookmarkStart w:id="57" w:name="_Toc2052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7"/>
    </w:p>
    <w:p w14:paraId="7E01E9A7">
      <w:pPr>
        <w:pStyle w:val="6"/>
        <w:jc w:val="center"/>
        <w:rPr>
          <w:rFonts w:ascii="宋体" w:hAnsi="宋体"/>
          <w:b w:val="0"/>
          <w:color w:val="auto"/>
          <w:highlight w:val="none"/>
        </w:rPr>
      </w:pPr>
      <w:bookmarkStart w:id="58" w:name="_Toc22001"/>
      <w:r>
        <w:rPr>
          <w:rFonts w:hint="eastAsia" w:ascii="宋体" w:hAnsi="宋体"/>
          <w:b w:val="0"/>
          <w:color w:val="auto"/>
          <w:highlight w:val="none"/>
        </w:rPr>
        <w:t>第一节 评审程序和评审方法</w:t>
      </w:r>
      <w:bookmarkEnd w:id="58"/>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9"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9"/>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216"/>
        <w:gridCol w:w="6440"/>
        <w:gridCol w:w="956"/>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top"/>
          </w:tcPr>
          <w:p w14:paraId="6E6F5452">
            <w:pPr>
              <w:spacing w:line="360" w:lineRule="auto"/>
              <w:jc w:val="center"/>
              <w:rPr>
                <w:rFonts w:hint="eastAsia" w:ascii="宋体" w:hAnsi="宋体"/>
                <w:b/>
                <w:color w:val="auto"/>
                <w:szCs w:val="21"/>
                <w:highlight w:val="none"/>
              </w:rPr>
            </w:pPr>
            <w:bookmarkStart w:id="60" w:name="PO_TDCUS_ITEM_SM_TABLE_1"/>
            <w:r>
              <w:rPr>
                <w:rFonts w:hint="eastAsia" w:ascii="宋体" w:hAnsi="宋体"/>
                <w:b/>
                <w:color w:val="auto"/>
                <w:szCs w:val="21"/>
                <w:highlight w:val="none"/>
              </w:rPr>
              <w:t>序号</w:t>
            </w:r>
          </w:p>
        </w:tc>
        <w:tc>
          <w:tcPr>
            <w:tcW w:w="655"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0"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5"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0"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7"/>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9"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5"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0"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22192EDD">
            <w:pPr>
              <w:spacing w:line="360" w:lineRule="auto"/>
              <w:rPr>
                <w:rFonts w:ascii="宋体" w:hAnsi="宋体" w:cs="宋体"/>
                <w:color w:val="auto"/>
                <w:highlight w:val="none"/>
              </w:rPr>
            </w:pP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19D22E56">
            <w:pPr>
              <w:spacing w:line="360" w:lineRule="auto"/>
              <w:rPr>
                <w:rFonts w:hint="eastAsia" w:ascii="宋体" w:hAnsi="宋体"/>
                <w:b/>
                <w:color w:val="auto"/>
                <w:szCs w:val="21"/>
                <w:highlight w:val="none"/>
              </w:rPr>
            </w:pPr>
          </w:p>
        </w:tc>
        <w:tc>
          <w:tcPr>
            <w:tcW w:w="655" w:type="pct"/>
            <w:vMerge w:val="continue"/>
            <w:noWrap w:val="0"/>
            <w:vAlign w:val="top"/>
          </w:tcPr>
          <w:p w14:paraId="0DA30662">
            <w:pPr>
              <w:spacing w:line="360" w:lineRule="auto"/>
              <w:rPr>
                <w:rFonts w:hint="eastAsia" w:ascii="宋体" w:hAnsi="宋体"/>
                <w:b/>
                <w:color w:val="auto"/>
                <w:szCs w:val="21"/>
                <w:highlight w:val="none"/>
              </w:rPr>
            </w:pPr>
          </w:p>
        </w:tc>
        <w:tc>
          <w:tcPr>
            <w:tcW w:w="3470"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78FDF04F">
            <w:pPr>
              <w:spacing w:line="360" w:lineRule="auto"/>
              <w:rPr>
                <w:rFonts w:ascii="宋体" w:hAnsi="宋体" w:cs="宋体"/>
                <w:color w:val="auto"/>
                <w:highlight w:val="none"/>
              </w:rPr>
            </w:pPr>
            <w:r>
              <w:rPr>
                <w:rFonts w:ascii="宋体" w:hAnsi="宋体" w:cs="宋体"/>
                <w:color w:val="auto"/>
                <w:highlight w:val="none"/>
              </w:rPr>
              <w:t xml:space="preserve">投入的施工材料有详细的组织计划且计划周密，数量、选型配置、进场时间安排合理，满足施工需要。 </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5ECA87B5">
            <w:pPr>
              <w:spacing w:line="360" w:lineRule="auto"/>
              <w:rPr>
                <w:rFonts w:hint="eastAsia" w:ascii="宋体" w:hAnsi="宋体"/>
                <w:b/>
                <w:color w:val="auto"/>
                <w:szCs w:val="21"/>
                <w:highlight w:val="none"/>
              </w:rPr>
            </w:pPr>
          </w:p>
        </w:tc>
        <w:tc>
          <w:tcPr>
            <w:tcW w:w="655" w:type="pct"/>
            <w:vMerge w:val="continue"/>
            <w:noWrap w:val="0"/>
            <w:vAlign w:val="top"/>
          </w:tcPr>
          <w:p w14:paraId="3A10DBBF">
            <w:pPr>
              <w:spacing w:line="360" w:lineRule="auto"/>
              <w:rPr>
                <w:rFonts w:hint="eastAsia" w:ascii="宋体" w:hAnsi="宋体"/>
                <w:b/>
                <w:color w:val="auto"/>
                <w:szCs w:val="21"/>
                <w:highlight w:val="none"/>
              </w:rPr>
            </w:pPr>
          </w:p>
        </w:tc>
        <w:tc>
          <w:tcPr>
            <w:tcW w:w="3470"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6F215993">
            <w:pPr>
              <w:spacing w:line="360" w:lineRule="auto"/>
              <w:rPr>
                <w:rFonts w:ascii="宋体" w:hAnsi="宋体" w:cs="宋体"/>
                <w:b/>
                <w:bCs/>
                <w:color w:val="auto"/>
                <w:highlight w:val="none"/>
              </w:rPr>
            </w:pPr>
            <w:r>
              <w:rPr>
                <w:rFonts w:ascii="宋体" w:hAnsi="宋体" w:cs="宋体"/>
                <w:color w:val="auto"/>
                <w:highlight w:val="none"/>
              </w:rPr>
              <w:t>投入的施工机械、设备、机具有详细的组织计划且计划周密，设备数量、选型配置、</w:t>
            </w:r>
            <w:r>
              <w:rPr>
                <w:rFonts w:ascii="宋体" w:hAnsi="宋体" w:cs="宋体"/>
                <w:b w:val="0"/>
                <w:bCs w:val="0"/>
                <w:color w:val="auto"/>
                <w:highlight w:val="none"/>
              </w:rPr>
              <w:t>进场时间安排合理，满足施工需要。</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15D74510">
            <w:pPr>
              <w:spacing w:line="360" w:lineRule="auto"/>
              <w:rPr>
                <w:rFonts w:hint="eastAsia" w:ascii="宋体" w:hAnsi="宋体"/>
                <w:b/>
                <w:color w:val="auto"/>
                <w:szCs w:val="21"/>
                <w:highlight w:val="none"/>
              </w:rPr>
            </w:pPr>
          </w:p>
        </w:tc>
        <w:tc>
          <w:tcPr>
            <w:tcW w:w="655" w:type="pct"/>
            <w:vMerge w:val="continue"/>
            <w:noWrap w:val="0"/>
            <w:vAlign w:val="top"/>
          </w:tcPr>
          <w:p w14:paraId="3325A630">
            <w:pPr>
              <w:spacing w:line="360" w:lineRule="auto"/>
              <w:rPr>
                <w:rFonts w:hint="eastAsia" w:ascii="宋体" w:hAnsi="宋体"/>
                <w:b/>
                <w:color w:val="auto"/>
                <w:szCs w:val="21"/>
                <w:highlight w:val="none"/>
              </w:rPr>
            </w:pPr>
          </w:p>
        </w:tc>
        <w:tc>
          <w:tcPr>
            <w:tcW w:w="3470"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rPr>
                <w:rFonts w:ascii="宋体" w:hAnsi="宋体" w:cs="宋体"/>
                <w:color w:val="auto"/>
                <w:highlight w:val="none"/>
              </w:rPr>
            </w:pPr>
            <w:r>
              <w:rPr>
                <w:rFonts w:ascii="宋体" w:hAnsi="宋体" w:cs="宋体"/>
                <w:color w:val="auto"/>
                <w:highlight w:val="none"/>
              </w:rPr>
              <w:t xml:space="preserve">各主要施工工序应有详细周密的劳动力安排计划，有各工种劳动力安排计划，劳动力投入合理，满足施工需要。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B684E89">
            <w:pPr>
              <w:spacing w:line="360" w:lineRule="auto"/>
              <w:rPr>
                <w:rFonts w:hint="eastAsia" w:ascii="宋体" w:hAnsi="宋体"/>
                <w:b/>
                <w:color w:val="auto"/>
                <w:szCs w:val="21"/>
                <w:highlight w:val="none"/>
              </w:rPr>
            </w:pPr>
          </w:p>
        </w:tc>
        <w:tc>
          <w:tcPr>
            <w:tcW w:w="655" w:type="pct"/>
            <w:vMerge w:val="continue"/>
            <w:noWrap w:val="0"/>
            <w:vAlign w:val="top"/>
          </w:tcPr>
          <w:p w14:paraId="468FD5E6">
            <w:pPr>
              <w:spacing w:line="360" w:lineRule="auto"/>
              <w:rPr>
                <w:rFonts w:hint="eastAsia" w:ascii="宋体" w:hAnsi="宋体"/>
                <w:b/>
                <w:color w:val="auto"/>
                <w:szCs w:val="21"/>
                <w:highlight w:val="none"/>
              </w:rPr>
            </w:pPr>
          </w:p>
        </w:tc>
        <w:tc>
          <w:tcPr>
            <w:tcW w:w="3470"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rPr>
                <w:rFonts w:ascii="宋体" w:hAnsi="宋体" w:cs="宋体"/>
                <w:color w:val="auto"/>
                <w:highlight w:val="none"/>
              </w:rPr>
            </w:pPr>
            <w:r>
              <w:rPr>
                <w:rFonts w:ascii="宋体" w:hAnsi="宋体" w:cs="宋体"/>
                <w:color w:val="auto"/>
                <w:highlight w:val="none"/>
              </w:rPr>
              <w:t xml:space="preserve">应有专门的质量技术管理班子和制度，且人员配备合理，制度健全。主要工序应有质量技术保证措施和手段，自控体系完整，能有效保证技术质量，达到承诺的质量标准。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2684004C">
            <w:pPr>
              <w:spacing w:line="360" w:lineRule="auto"/>
              <w:rPr>
                <w:rFonts w:hint="eastAsia" w:ascii="宋体" w:hAnsi="宋体"/>
                <w:b/>
                <w:color w:val="auto"/>
                <w:szCs w:val="21"/>
                <w:highlight w:val="none"/>
              </w:rPr>
            </w:pPr>
          </w:p>
        </w:tc>
        <w:tc>
          <w:tcPr>
            <w:tcW w:w="655" w:type="pct"/>
            <w:vMerge w:val="continue"/>
            <w:noWrap w:val="0"/>
            <w:vAlign w:val="top"/>
          </w:tcPr>
          <w:p w14:paraId="44A7ADC8">
            <w:pPr>
              <w:spacing w:line="360" w:lineRule="auto"/>
              <w:rPr>
                <w:rFonts w:hint="eastAsia" w:ascii="宋体" w:hAnsi="宋体"/>
                <w:b/>
                <w:color w:val="auto"/>
                <w:szCs w:val="21"/>
                <w:highlight w:val="none"/>
              </w:rPr>
            </w:pPr>
          </w:p>
        </w:tc>
        <w:tc>
          <w:tcPr>
            <w:tcW w:w="3470"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6D0C3561">
            <w:pPr>
              <w:spacing w:line="360" w:lineRule="auto"/>
              <w:rPr>
                <w:rFonts w:ascii="宋体" w:hAnsi="宋体" w:cs="宋体"/>
                <w:color w:val="auto"/>
                <w:highlight w:val="none"/>
              </w:rPr>
            </w:pPr>
            <w:r>
              <w:rPr>
                <w:rFonts w:ascii="宋体" w:hAnsi="宋体" w:cs="宋体"/>
                <w:color w:val="auto"/>
                <w:highlight w:val="none"/>
              </w:rPr>
              <w:t xml:space="preserve">应有专门的安全管理人员和制度，且人员配备合理，制度健全，各道工序安全技术措施针对性强，符合实际且满足有关安全技术标准要求。现场防火、应急救援、社会治安安全措施得力。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1B99DCF">
            <w:pPr>
              <w:spacing w:line="360" w:lineRule="auto"/>
              <w:rPr>
                <w:rFonts w:hint="eastAsia" w:ascii="宋体" w:hAnsi="宋体"/>
                <w:b/>
                <w:color w:val="auto"/>
                <w:szCs w:val="21"/>
                <w:highlight w:val="none"/>
              </w:rPr>
            </w:pPr>
          </w:p>
        </w:tc>
        <w:tc>
          <w:tcPr>
            <w:tcW w:w="655" w:type="pct"/>
            <w:vMerge w:val="continue"/>
            <w:noWrap w:val="0"/>
            <w:vAlign w:val="top"/>
          </w:tcPr>
          <w:p w14:paraId="6C317B1C">
            <w:pPr>
              <w:spacing w:line="360" w:lineRule="auto"/>
              <w:rPr>
                <w:rFonts w:hint="eastAsia" w:ascii="宋体" w:hAnsi="宋体"/>
                <w:b/>
                <w:color w:val="auto"/>
                <w:szCs w:val="21"/>
                <w:highlight w:val="none"/>
              </w:rPr>
            </w:pPr>
          </w:p>
        </w:tc>
        <w:tc>
          <w:tcPr>
            <w:tcW w:w="3470"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2B22C3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根据</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提供的工期技术组织措施，确定各</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所属档次</w:t>
            </w:r>
            <w:r>
              <w:rPr>
                <w:rFonts w:hint="eastAsia" w:ascii="宋体" w:hAnsi="宋体" w:eastAsia="宋体" w:cs="宋体"/>
                <w:b w:val="0"/>
                <w:bCs w:val="0"/>
                <w:color w:val="auto"/>
                <w:highlight w:val="none"/>
                <w:lang w:eastAsia="zh-CN"/>
              </w:rPr>
              <w:t>。</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787C8F6C">
            <w:pPr>
              <w:spacing w:line="360" w:lineRule="auto"/>
              <w:rPr>
                <w:rFonts w:hint="eastAsia" w:ascii="宋体" w:hAnsi="宋体"/>
                <w:b/>
                <w:color w:val="auto"/>
                <w:szCs w:val="21"/>
                <w:highlight w:val="none"/>
              </w:rPr>
            </w:pPr>
          </w:p>
        </w:tc>
        <w:tc>
          <w:tcPr>
            <w:tcW w:w="655" w:type="pct"/>
            <w:vMerge w:val="continue"/>
            <w:noWrap w:val="0"/>
            <w:vAlign w:val="top"/>
          </w:tcPr>
          <w:p w14:paraId="4F260F5E">
            <w:pPr>
              <w:spacing w:line="360" w:lineRule="auto"/>
              <w:rPr>
                <w:rFonts w:hint="eastAsia" w:ascii="宋体" w:hAnsi="宋体"/>
                <w:b/>
                <w:color w:val="auto"/>
                <w:szCs w:val="21"/>
                <w:highlight w:val="none"/>
              </w:rPr>
            </w:pPr>
          </w:p>
        </w:tc>
        <w:tc>
          <w:tcPr>
            <w:tcW w:w="3470"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rPr>
                <w:rFonts w:ascii="宋体" w:hAnsi="宋体" w:cs="宋体"/>
                <w:color w:val="auto"/>
                <w:highlight w:val="none"/>
              </w:rPr>
            </w:pPr>
            <w:r>
              <w:rPr>
                <w:rFonts w:ascii="宋体" w:hAnsi="宋体" w:cs="宋体"/>
                <w:color w:val="auto"/>
                <w:highlight w:val="none"/>
              </w:rPr>
              <w:t xml:space="preserve">针对本工程的特点，阐述本工程的重点和难点，解决重点和难点问题的方法是否合理。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6" w:hRule="atLeast"/>
          <w:jc w:val="center"/>
        </w:trPr>
        <w:tc>
          <w:tcPr>
            <w:tcW w:w="359" w:type="pct"/>
            <w:vMerge w:val="restar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5" w:type="pct"/>
            <w:vMerge w:val="restar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0"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1</w:t>
            </w:r>
            <w:r>
              <w:rPr>
                <w:rFonts w:hint="eastAsia" w:ascii="宋体" w:hAnsi="宋体" w:cs="Courier New"/>
                <w:b/>
                <w:bCs/>
                <w:color w:val="auto"/>
                <w:szCs w:val="21"/>
                <w:highlight w:val="none"/>
              </w:rPr>
              <w:t>）</w:t>
            </w:r>
            <w:r>
              <w:rPr>
                <w:rFonts w:ascii="宋体" w:hAnsi="宋体" w:cs="Courier New"/>
                <w:b/>
                <w:bCs/>
                <w:color w:val="auto"/>
                <w:szCs w:val="21"/>
                <w:highlight w:val="none"/>
              </w:rPr>
              <w:t>其他主要人员（满分1</w:t>
            </w:r>
            <w:r>
              <w:rPr>
                <w:rFonts w:hint="eastAsia" w:ascii="宋体" w:hAnsi="宋体" w:cs="Courier New"/>
                <w:b/>
                <w:bCs/>
                <w:color w:val="auto"/>
                <w:szCs w:val="21"/>
                <w:highlight w:val="none"/>
                <w:lang w:val="en-US" w:eastAsia="zh-CN"/>
              </w:rPr>
              <w:t>5</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质检员、材料员应具有相应岗位资格证书。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优（1</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11</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7</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3</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15</w:t>
            </w:r>
          </w:p>
        </w:tc>
      </w:tr>
      <w:tr w14:paraId="39D4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0"/>
            <w:vAlign w:val="top"/>
          </w:tcPr>
          <w:p w14:paraId="3499FE3C">
            <w:pPr>
              <w:spacing w:line="360" w:lineRule="auto"/>
              <w:rPr>
                <w:rFonts w:hint="eastAsia" w:ascii="宋体" w:hAnsi="宋体"/>
                <w:bCs/>
                <w:color w:val="auto"/>
                <w:szCs w:val="21"/>
                <w:highlight w:val="none"/>
              </w:rPr>
            </w:pPr>
          </w:p>
        </w:tc>
        <w:tc>
          <w:tcPr>
            <w:tcW w:w="655" w:type="pct"/>
            <w:vMerge w:val="continue"/>
            <w:noWrap w:val="0"/>
            <w:vAlign w:val="top"/>
          </w:tcPr>
          <w:p w14:paraId="585B4688">
            <w:pPr>
              <w:spacing w:line="360" w:lineRule="auto"/>
              <w:rPr>
                <w:rFonts w:hint="eastAsia" w:ascii="宋体" w:hAnsi="宋体"/>
                <w:bCs/>
                <w:color w:val="auto"/>
                <w:szCs w:val="21"/>
                <w:highlight w:val="none"/>
              </w:rPr>
            </w:pPr>
          </w:p>
        </w:tc>
        <w:tc>
          <w:tcPr>
            <w:tcW w:w="3470" w:type="pct"/>
            <w:noWrap w:val="0"/>
            <w:vAlign w:val="top"/>
          </w:tcPr>
          <w:p w14:paraId="3C99E98D">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hint="eastAsia"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Courier New"/>
                <w:b/>
                <w:bCs/>
                <w:color w:val="auto"/>
                <w:szCs w:val="21"/>
                <w:highlight w:val="none"/>
                <w:lang w:val="en-US" w:eastAsia="zh-CN"/>
              </w:rPr>
              <w:t>2</w:t>
            </w:r>
            <w:r>
              <w:rPr>
                <w:rFonts w:hint="eastAsia" w:ascii="宋体" w:hAnsi="宋体" w:cs="Courier New"/>
                <w:b/>
                <w:bCs/>
                <w:color w:val="auto"/>
                <w:szCs w:val="21"/>
                <w:highlight w:val="none"/>
              </w:rPr>
              <w:t>）业绩分（满分5分）</w:t>
            </w:r>
          </w:p>
          <w:p w14:paraId="258FE77A">
            <w:pPr>
              <w:pStyle w:val="36"/>
              <w:keepNext w:val="0"/>
              <w:keepLines w:val="0"/>
              <w:pageBreakBefore w:val="0"/>
              <w:widowControl w:val="0"/>
              <w:kinsoku/>
              <w:wordWrap/>
              <w:overflowPunct/>
              <w:topLinePunct w:val="0"/>
              <w:autoSpaceDE/>
              <w:autoSpaceDN/>
              <w:bidi w:val="0"/>
              <w:adjustRightInd/>
              <w:snapToGrid/>
              <w:spacing w:line="360" w:lineRule="auto"/>
              <w:ind w:firstLine="411" w:firstLineChars="196"/>
              <w:jc w:val="left"/>
              <w:textAlignment w:val="auto"/>
              <w:rPr>
                <w:rFonts w:cs="宋体"/>
                <w:color w:val="auto"/>
                <w:sz w:val="21"/>
                <w:szCs w:val="24"/>
                <w:highlight w:val="none"/>
              </w:rPr>
            </w:pPr>
            <w:r>
              <w:rPr>
                <w:rFonts w:hint="eastAsia" w:cs="宋体"/>
                <w:color w:val="auto"/>
                <w:sz w:val="21"/>
                <w:szCs w:val="24"/>
                <w:highlight w:val="none"/>
              </w:rPr>
              <w:t>202</w:t>
            </w:r>
            <w:r>
              <w:rPr>
                <w:rFonts w:hint="eastAsia" w:cs="宋体"/>
                <w:color w:val="auto"/>
                <w:sz w:val="21"/>
                <w:szCs w:val="24"/>
                <w:highlight w:val="none"/>
                <w:lang w:val="en-US" w:eastAsia="zh-CN"/>
              </w:rPr>
              <w:t>2</w:t>
            </w:r>
            <w:r>
              <w:rPr>
                <w:rFonts w:hint="eastAsia" w:cs="宋体"/>
                <w:color w:val="auto"/>
                <w:sz w:val="21"/>
                <w:szCs w:val="24"/>
                <w:highlight w:val="none"/>
              </w:rPr>
              <w:t>年</w:t>
            </w:r>
            <w:r>
              <w:rPr>
                <w:rFonts w:hint="eastAsia" w:cs="宋体"/>
                <w:color w:val="auto"/>
                <w:sz w:val="21"/>
                <w:szCs w:val="24"/>
                <w:highlight w:val="none"/>
                <w:lang w:val="en-US" w:eastAsia="zh-CN"/>
              </w:rPr>
              <w:t>1月</w:t>
            </w:r>
            <w:r>
              <w:rPr>
                <w:rFonts w:hint="eastAsia" w:cs="宋体"/>
                <w:color w:val="auto"/>
                <w:sz w:val="21"/>
                <w:szCs w:val="24"/>
                <w:highlight w:val="none"/>
              </w:rPr>
              <w:t>以来承接过类似项目的</w:t>
            </w:r>
            <w:r>
              <w:rPr>
                <w:rFonts w:hint="eastAsia" w:cs="宋体"/>
                <w:color w:val="auto"/>
                <w:sz w:val="21"/>
                <w:szCs w:val="24"/>
                <w:highlight w:val="none"/>
                <w:lang w:val="en-US" w:eastAsia="zh-CN"/>
              </w:rPr>
              <w:t>业绩</w:t>
            </w:r>
            <w:r>
              <w:rPr>
                <w:rFonts w:hint="eastAsia" w:cs="宋体"/>
                <w:color w:val="auto"/>
                <w:sz w:val="21"/>
                <w:szCs w:val="24"/>
                <w:highlight w:val="none"/>
              </w:rPr>
              <w:t>，每个得</w:t>
            </w:r>
            <w:r>
              <w:rPr>
                <w:rFonts w:hint="eastAsia" w:cs="宋体"/>
                <w:color w:val="auto"/>
                <w:sz w:val="21"/>
                <w:szCs w:val="24"/>
                <w:highlight w:val="none"/>
                <w:lang w:val="en-US" w:eastAsia="zh-CN"/>
              </w:rPr>
              <w:t>2.5</w:t>
            </w:r>
            <w:r>
              <w:rPr>
                <w:rFonts w:hint="eastAsia" w:cs="宋体"/>
                <w:color w:val="auto"/>
                <w:sz w:val="21"/>
                <w:szCs w:val="24"/>
                <w:highlight w:val="none"/>
              </w:rPr>
              <w:t>分，满分5分。（以供应商提供中标（成交）通知书或合同等复印件为准，否则不得分。）</w:t>
            </w:r>
          </w:p>
        </w:tc>
        <w:tc>
          <w:tcPr>
            <w:tcW w:w="515" w:type="pct"/>
            <w:noWrap w:val="0"/>
            <w:vAlign w:val="center"/>
          </w:tcPr>
          <w:p w14:paraId="5734DECB">
            <w:pPr>
              <w:spacing w:line="360" w:lineRule="auto"/>
              <w:jc w:val="center"/>
              <w:rPr>
                <w:rFonts w:ascii="宋体" w:hAnsi="宋体"/>
                <w:b/>
                <w:color w:val="auto"/>
                <w:szCs w:val="21"/>
                <w:highlight w:val="none"/>
              </w:rPr>
            </w:pPr>
            <w:r>
              <w:rPr>
                <w:rFonts w:hint="eastAsia" w:ascii="宋体" w:hAnsi="宋体"/>
                <w:bCs/>
                <w:color w:val="auto"/>
                <w:szCs w:val="21"/>
                <w:highlight w:val="none"/>
              </w:rPr>
              <w:t>0~5</w:t>
            </w:r>
          </w:p>
        </w:tc>
      </w:tr>
      <w:bookmarkEnd w:id="60"/>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20"/>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61"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6"/>
        <w:spacing w:before="0" w:after="0" w:line="360" w:lineRule="auto"/>
        <w:ind w:firstLine="640" w:firstLineChars="200"/>
        <w:jc w:val="center"/>
        <w:rPr>
          <w:rFonts w:hint="eastAsia" w:ascii="宋体" w:hAnsi="宋体"/>
          <w:b w:val="0"/>
          <w:color w:val="auto"/>
          <w:highlight w:val="none"/>
        </w:rPr>
      </w:pPr>
      <w:bookmarkStart w:id="62" w:name="_Toc31749"/>
      <w:r>
        <w:rPr>
          <w:rFonts w:hint="eastAsia" w:ascii="宋体" w:hAnsi="宋体"/>
          <w:b w:val="0"/>
          <w:color w:val="auto"/>
          <w:highlight w:val="none"/>
        </w:rPr>
        <w:t>第二节 评标报告</w:t>
      </w:r>
      <w:bookmarkEnd w:id="61"/>
      <w:bookmarkEnd w:id="62"/>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6"/>
        <w:spacing w:before="0" w:after="0" w:line="360" w:lineRule="auto"/>
        <w:ind w:firstLine="640" w:firstLineChars="200"/>
        <w:jc w:val="center"/>
        <w:rPr>
          <w:rFonts w:hint="eastAsia" w:ascii="宋体" w:hAnsi="宋体" w:cs="宋体"/>
          <w:b w:val="0"/>
          <w:color w:val="auto"/>
          <w:highlight w:val="none"/>
        </w:rPr>
      </w:pPr>
      <w:bookmarkStart w:id="63" w:name="_Toc80205936"/>
      <w:bookmarkStart w:id="64" w:name="_Toc17770"/>
      <w:r>
        <w:rPr>
          <w:rFonts w:hint="eastAsia" w:ascii="宋体" w:hAnsi="宋体"/>
          <w:b w:val="0"/>
          <w:color w:val="auto"/>
          <w:highlight w:val="none"/>
        </w:rPr>
        <w:t>第三节 评审过程的保密与录像</w:t>
      </w:r>
      <w:bookmarkEnd w:id="63"/>
      <w:bookmarkEnd w:id="64"/>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5"/>
        <w:jc w:val="center"/>
        <w:rPr>
          <w:rFonts w:hint="eastAsia" w:ascii="宋体" w:hAnsi="宋体" w:eastAsia="宋体" w:cs="宋体"/>
          <w:b w:val="0"/>
          <w:bCs w:val="0"/>
          <w:color w:val="auto"/>
          <w:highlight w:val="none"/>
        </w:rPr>
      </w:pPr>
      <w:bookmarkStart w:id="65" w:name="_Toc20617"/>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5"/>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5"/>
        <w:jc w:val="center"/>
        <w:rPr>
          <w:rFonts w:hint="eastAsia" w:ascii="宋体" w:hAnsi="宋体" w:eastAsia="宋体" w:cs="宋体"/>
          <w:b w:val="0"/>
          <w:bCs w:val="0"/>
          <w:color w:val="auto"/>
          <w:highlight w:val="none"/>
        </w:rPr>
      </w:pPr>
      <w:bookmarkStart w:id="66" w:name="_Toc27315"/>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6"/>
    </w:p>
    <w:p w14:paraId="1C59C887">
      <w:pPr>
        <w:pStyle w:val="5"/>
        <w:jc w:val="center"/>
        <w:rPr>
          <w:rFonts w:hint="eastAsia" w:ascii="宋体" w:hAnsi="宋体" w:eastAsia="宋体" w:cs="宋体"/>
          <w:b w:val="0"/>
          <w:bCs w:val="0"/>
          <w:color w:val="auto"/>
          <w:highlight w:val="none"/>
        </w:rPr>
        <w:sectPr>
          <w:footerReference r:id="rId4" w:type="default"/>
          <w:pgSz w:w="11910" w:h="16840"/>
          <w:pgMar w:top="1440" w:right="1310" w:bottom="1440" w:left="1310" w:header="720" w:footer="720" w:gutter="0"/>
          <w:pgNumType w:fmt="decimal" w:start="1"/>
          <w:cols w:space="720" w:num="1"/>
        </w:sectPr>
      </w:pPr>
    </w:p>
    <w:p w14:paraId="132F63A2">
      <w:pPr>
        <w:pStyle w:val="6"/>
        <w:jc w:val="center"/>
        <w:rPr>
          <w:rFonts w:ascii="宋体" w:hAnsi="宋体"/>
          <w:b w:val="0"/>
          <w:color w:val="auto"/>
          <w:highlight w:val="none"/>
        </w:rPr>
      </w:pPr>
      <w:bookmarkStart w:id="67" w:name="_Toc80205938"/>
      <w:bookmarkStart w:id="68" w:name="_Toc21839"/>
      <w:r>
        <w:rPr>
          <w:rFonts w:hint="eastAsia" w:ascii="宋体" w:hAnsi="宋体"/>
          <w:b w:val="0"/>
          <w:color w:val="auto"/>
          <w:highlight w:val="none"/>
        </w:rPr>
        <w:t>第一节 封面格式</w:t>
      </w:r>
      <w:bookmarkEnd w:id="67"/>
      <w:bookmarkEnd w:id="68"/>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4C975B57">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上石镇马垌村古油茶产业基地道路建设项目</w:t>
      </w:r>
    </w:p>
    <w:p w14:paraId="08FC55F4">
      <w:pPr>
        <w:snapToGrid w:val="0"/>
        <w:spacing w:before="120" w:beforeLines="50" w:after="50"/>
        <w:ind w:firstLine="480" w:firstLineChars="150"/>
        <w:rPr>
          <w:rFonts w:hint="eastAsia" w:ascii="宋体" w:hAnsi="宋体" w:cs="仿宋_GB2312"/>
          <w:bCs/>
          <w:color w:val="auto"/>
          <w:sz w:val="32"/>
          <w:szCs w:val="32"/>
          <w:highlight w:val="none"/>
        </w:rPr>
      </w:pP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6"/>
        <w:jc w:val="center"/>
        <w:rPr>
          <w:rFonts w:hint="eastAsia" w:ascii="宋体" w:hAnsi="宋体" w:cs="宋体"/>
          <w:bCs w:val="0"/>
          <w:color w:val="auto"/>
          <w:highlight w:val="none"/>
        </w:rPr>
      </w:pPr>
      <w:bookmarkStart w:id="69" w:name="_Toc80205939"/>
      <w:bookmarkStart w:id="70" w:name="_Toc26396"/>
      <w:r>
        <w:rPr>
          <w:rFonts w:hint="eastAsia" w:ascii="宋体" w:hAnsi="宋体"/>
          <w:bCs w:val="0"/>
          <w:color w:val="auto"/>
          <w:highlight w:val="none"/>
        </w:rPr>
        <w:t>第二节 资格证明文件格式</w:t>
      </w:r>
      <w:bookmarkEnd w:id="69"/>
      <w:bookmarkEnd w:id="70"/>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4B1A627A">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上石镇马垌村古油茶产业基地道路建设项目</w:t>
      </w:r>
    </w:p>
    <w:p w14:paraId="25C3E768">
      <w:pPr>
        <w:snapToGrid w:val="0"/>
        <w:spacing w:before="120" w:beforeLines="50" w:after="50"/>
        <w:ind w:firstLine="720" w:firstLineChars="225"/>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10"/>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10"/>
        <w:snapToGrid w:val="0"/>
        <w:spacing w:before="50" w:after="50"/>
        <w:ind w:firstLine="720" w:firstLineChars="225"/>
        <w:rPr>
          <w:rFonts w:hint="eastAsia" w:ascii="宋体" w:hAnsi="宋体" w:cs="仿宋_GB2312"/>
          <w:bCs/>
          <w:color w:val="auto"/>
          <w:sz w:val="32"/>
          <w:szCs w:val="32"/>
          <w:highlight w:val="none"/>
        </w:rPr>
      </w:pPr>
    </w:p>
    <w:p w14:paraId="1CFE12BD">
      <w:pPr>
        <w:pStyle w:val="10"/>
        <w:snapToGrid w:val="0"/>
        <w:spacing w:before="50" w:after="50"/>
        <w:ind w:firstLine="720" w:firstLineChars="225"/>
        <w:rPr>
          <w:rFonts w:hint="eastAsia" w:ascii="宋体" w:hAnsi="宋体" w:cs="仿宋_GB2312"/>
          <w:bCs/>
          <w:color w:val="auto"/>
          <w:sz w:val="32"/>
          <w:szCs w:val="32"/>
          <w:highlight w:val="none"/>
        </w:rPr>
      </w:pPr>
    </w:p>
    <w:p w14:paraId="27160A26">
      <w:pPr>
        <w:pStyle w:val="10"/>
        <w:snapToGrid w:val="0"/>
        <w:spacing w:before="50" w:after="50"/>
        <w:ind w:firstLine="720" w:firstLineChars="225"/>
        <w:rPr>
          <w:rFonts w:hint="eastAsia" w:ascii="宋体" w:hAnsi="宋体" w:cs="仿宋_GB2312"/>
          <w:bCs/>
          <w:color w:val="auto"/>
          <w:sz w:val="32"/>
          <w:szCs w:val="32"/>
          <w:highlight w:val="none"/>
        </w:rPr>
      </w:pPr>
    </w:p>
    <w:p w14:paraId="168FB3B8">
      <w:pPr>
        <w:pStyle w:val="10"/>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公告对应的特定资格要求及特定条件设置投标人提供的资格证明材料（请提供</w:t>
      </w:r>
      <w:r>
        <w:rPr>
          <w:rFonts w:hint="eastAsia" w:asciiTheme="minorEastAsia" w:hAnsiTheme="minorEastAsia" w:eastAsiaTheme="minorEastAsia" w:cstheme="minorEastAsia"/>
          <w:color w:val="auto"/>
          <w:kern w:val="0"/>
          <w:sz w:val="24"/>
          <w:highlight w:val="none"/>
          <w:lang w:val="en-US" w:eastAsia="zh-CN"/>
        </w:rPr>
        <w:t>公路工程或市政公用工程施工总承包叁级（含）以上资质</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项目经理具备公路工程或市政公用工程</w:t>
      </w:r>
      <w:r>
        <w:rPr>
          <w:rFonts w:hint="eastAsia" w:asciiTheme="minorEastAsia" w:hAnsiTheme="minorEastAsia" w:eastAsiaTheme="minorEastAsia" w:cstheme="minorEastAsia"/>
          <w:color w:val="auto"/>
          <w:kern w:val="0"/>
          <w:sz w:val="24"/>
          <w:highlight w:val="none"/>
        </w:rPr>
        <w:t>专业贰级（含）以上注册建造师执业资格，</w:t>
      </w:r>
      <w:r>
        <w:rPr>
          <w:rFonts w:hint="eastAsia" w:asciiTheme="minorEastAsia" w:hAnsiTheme="minorEastAsia" w:eastAsiaTheme="minorEastAsia" w:cstheme="minorEastAsia"/>
          <w:color w:val="auto"/>
          <w:kern w:val="0"/>
          <w:sz w:val="24"/>
          <w:highlight w:val="none"/>
          <w:lang w:val="en-US" w:eastAsia="zh-CN"/>
        </w:rPr>
        <w:t>且具备有效的</w:t>
      </w:r>
      <w:r>
        <w:rPr>
          <w:rFonts w:hint="eastAsia" w:asciiTheme="minorEastAsia" w:hAnsiTheme="minorEastAsia" w:eastAsiaTheme="minorEastAsia" w:cstheme="minorEastAsia"/>
          <w:color w:val="auto"/>
          <w:kern w:val="0"/>
          <w:sz w:val="24"/>
          <w:highlight w:val="none"/>
        </w:rPr>
        <w:t>安全生产考核合格证书（B类））…（页码）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2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20"/>
        <w:spacing w:line="360" w:lineRule="auto"/>
        <w:rPr>
          <w:rFonts w:hint="eastAsia" w:asciiTheme="minorEastAsia" w:hAnsiTheme="minorEastAsia" w:eastAsiaTheme="minorEastAsia" w:cstheme="minorEastAsia"/>
          <w:color w:val="auto"/>
          <w:highlight w:val="none"/>
        </w:rPr>
      </w:pPr>
    </w:p>
    <w:p w14:paraId="4DEC37A6">
      <w:pPr>
        <w:pStyle w:val="20"/>
        <w:spacing w:line="360" w:lineRule="auto"/>
        <w:rPr>
          <w:rFonts w:hint="eastAsia" w:asciiTheme="minorEastAsia" w:hAnsiTheme="minorEastAsia" w:eastAsiaTheme="minorEastAsia" w:cstheme="minorEastAsia"/>
          <w:color w:val="auto"/>
          <w:highlight w:val="none"/>
        </w:rPr>
      </w:pPr>
    </w:p>
    <w:p w14:paraId="6F2D9D87">
      <w:pPr>
        <w:pStyle w:val="20"/>
        <w:spacing w:line="360" w:lineRule="auto"/>
        <w:rPr>
          <w:rFonts w:hint="eastAsia" w:asciiTheme="minorEastAsia" w:hAnsiTheme="minorEastAsia" w:eastAsiaTheme="minorEastAsia" w:cstheme="minorEastAsia"/>
          <w:color w:val="auto"/>
          <w:highlight w:val="none"/>
        </w:rPr>
      </w:pPr>
    </w:p>
    <w:p w14:paraId="2342B562">
      <w:pPr>
        <w:pStyle w:val="20"/>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7"/>
        <w:rPr>
          <w:rFonts w:hint="eastAsia" w:asciiTheme="minorEastAsia" w:hAnsiTheme="minorEastAsia" w:eastAsiaTheme="minorEastAsia" w:cstheme="minorEastAsia"/>
          <w:highlight w:val="none"/>
        </w:rPr>
      </w:pPr>
    </w:p>
    <w:p w14:paraId="1313B3E3">
      <w:pPr>
        <w:pStyle w:val="17"/>
        <w:rPr>
          <w:rFonts w:hint="eastAsia" w:asciiTheme="minorEastAsia" w:hAnsiTheme="minorEastAsia" w:eastAsiaTheme="minorEastAsia" w:cstheme="minorEastAsia"/>
          <w:highlight w:val="none"/>
        </w:rPr>
      </w:pPr>
    </w:p>
    <w:p w14:paraId="6CA9E175">
      <w:pPr>
        <w:pStyle w:val="17"/>
        <w:rPr>
          <w:rFonts w:hint="eastAsia" w:asciiTheme="minorEastAsia" w:hAnsiTheme="minorEastAsia" w:eastAsiaTheme="minorEastAsia" w:cstheme="minorEastAsia"/>
          <w:highlight w:val="none"/>
        </w:rPr>
      </w:pPr>
    </w:p>
    <w:p w14:paraId="3DCBB4A2">
      <w:pPr>
        <w:pStyle w:val="17"/>
        <w:rPr>
          <w:rFonts w:hint="eastAsia" w:asciiTheme="minorEastAsia" w:hAnsiTheme="minorEastAsia" w:eastAsiaTheme="minorEastAsia" w:cstheme="minorEastAsia"/>
          <w:highlight w:val="none"/>
        </w:rPr>
      </w:pPr>
    </w:p>
    <w:p w14:paraId="69906BF8">
      <w:pPr>
        <w:pStyle w:val="17"/>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公告对应的特定资格要求及特定条件设置投标人提供的资格证明材料（请提供</w:t>
      </w:r>
      <w:r>
        <w:rPr>
          <w:rFonts w:hint="eastAsia" w:asciiTheme="minorEastAsia" w:hAnsiTheme="minorEastAsia" w:eastAsiaTheme="minorEastAsia" w:cstheme="minorEastAsia"/>
          <w:b/>
          <w:color w:val="auto"/>
          <w:sz w:val="30"/>
          <w:szCs w:val="30"/>
          <w:highlight w:val="none"/>
          <w:lang w:val="en-US" w:eastAsia="zh-CN"/>
        </w:rPr>
        <w:t>公路工程或市政公用工程施工总承包叁级（含）以上资质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项目经理具备公路工程或市政公用工程</w:t>
      </w:r>
      <w:r>
        <w:rPr>
          <w:rFonts w:hint="eastAsia" w:asciiTheme="minorEastAsia" w:hAnsiTheme="minorEastAsia" w:eastAsiaTheme="minorEastAsia" w:cstheme="minorEastAsia"/>
          <w:b/>
          <w:color w:val="auto"/>
          <w:sz w:val="30"/>
          <w:szCs w:val="30"/>
          <w:highlight w:val="none"/>
          <w:lang w:eastAsia="zh-CN"/>
        </w:rPr>
        <w:t>专业贰级（含）以上注册建造师执业资格，</w:t>
      </w:r>
      <w:r>
        <w:rPr>
          <w:rFonts w:hint="eastAsia" w:asciiTheme="minorEastAsia" w:hAnsiTheme="minorEastAsia" w:eastAsiaTheme="minorEastAsia" w:cstheme="minorEastAsia"/>
          <w:b/>
          <w:color w:val="auto"/>
          <w:sz w:val="30"/>
          <w:szCs w:val="30"/>
          <w:highlight w:val="none"/>
          <w:lang w:val="en-US" w:eastAsia="zh-CN"/>
        </w:rPr>
        <w:t>且具备有效的</w:t>
      </w:r>
      <w:r>
        <w:rPr>
          <w:rFonts w:hint="eastAsia" w:asciiTheme="minorEastAsia" w:hAnsiTheme="minorEastAsia" w:eastAsiaTheme="minorEastAsia" w:cstheme="minorEastAsia"/>
          <w:b/>
          <w:color w:val="auto"/>
          <w:sz w:val="30"/>
          <w:szCs w:val="30"/>
          <w:highlight w:val="none"/>
          <w:lang w:eastAsia="zh-CN"/>
        </w:rPr>
        <w:t>安全生产考核合格证书（B类））</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广西森予工程咨询有限公司</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上石镇马垌村古油茶产业基地道路建设项目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6"/>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6"/>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7"/>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1"/>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广西森予工程咨询有限公司</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上石镇马垌村古油茶产业基地道路建设项目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20"/>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20"/>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8"/>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8"/>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8"/>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8"/>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8"/>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71"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凭祥市林业局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上石镇马垌村古油茶产业基地道路建设项目（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8"/>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20"/>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3"/>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3"/>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3"/>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3"/>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7"/>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凭祥市林业局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上石镇马垌村古油茶产业基地道路建设项目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7"/>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7"/>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7"/>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20"/>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20"/>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1"/>
        <w:rPr>
          <w:rFonts w:hint="eastAsia" w:asciiTheme="minorEastAsia" w:hAnsiTheme="minorEastAsia" w:eastAsiaTheme="minorEastAsia" w:cstheme="minorEastAsia"/>
          <w:color w:val="auto"/>
          <w:kern w:val="0"/>
          <w:sz w:val="24"/>
          <w:highlight w:val="none"/>
          <w:lang w:val="zh-CN"/>
        </w:rPr>
      </w:pPr>
    </w:p>
    <w:p w14:paraId="175BD323">
      <w:pPr>
        <w:pStyle w:val="21"/>
        <w:rPr>
          <w:rFonts w:hint="eastAsia" w:asciiTheme="minorEastAsia" w:hAnsiTheme="minorEastAsia" w:eastAsiaTheme="minorEastAsia" w:cstheme="minorEastAsia"/>
          <w:color w:val="auto"/>
          <w:kern w:val="0"/>
          <w:sz w:val="24"/>
          <w:highlight w:val="none"/>
          <w:lang w:val="zh-CN"/>
        </w:rPr>
      </w:pPr>
    </w:p>
    <w:p w14:paraId="7C00E79B">
      <w:pPr>
        <w:pStyle w:val="21"/>
        <w:rPr>
          <w:rFonts w:hint="eastAsia" w:asciiTheme="minorEastAsia" w:hAnsiTheme="minorEastAsia" w:eastAsiaTheme="minorEastAsia" w:cstheme="minorEastAsia"/>
          <w:color w:val="auto"/>
          <w:kern w:val="0"/>
          <w:sz w:val="24"/>
          <w:highlight w:val="none"/>
          <w:lang w:val="zh-CN"/>
        </w:rPr>
      </w:pPr>
    </w:p>
    <w:p w14:paraId="1039AA55">
      <w:pPr>
        <w:pStyle w:val="21"/>
        <w:rPr>
          <w:rFonts w:hint="eastAsia" w:asciiTheme="minorEastAsia" w:hAnsiTheme="minorEastAsia" w:eastAsiaTheme="minorEastAsia" w:cstheme="minorEastAsia"/>
          <w:color w:val="auto"/>
          <w:kern w:val="0"/>
          <w:sz w:val="24"/>
          <w:highlight w:val="none"/>
          <w:lang w:val="zh-CN"/>
        </w:rPr>
      </w:pPr>
    </w:p>
    <w:p w14:paraId="2079FF76">
      <w:pPr>
        <w:pStyle w:val="21"/>
        <w:rPr>
          <w:rFonts w:hint="eastAsia" w:asciiTheme="minorEastAsia" w:hAnsiTheme="minorEastAsia" w:eastAsiaTheme="minorEastAsia" w:cstheme="minorEastAsia"/>
          <w:color w:val="auto"/>
          <w:kern w:val="0"/>
          <w:sz w:val="24"/>
          <w:highlight w:val="none"/>
          <w:lang w:val="zh-CN"/>
        </w:rPr>
      </w:pPr>
    </w:p>
    <w:p w14:paraId="5C6B6A0C">
      <w:pPr>
        <w:pStyle w:val="21"/>
        <w:rPr>
          <w:rFonts w:hint="eastAsia" w:asciiTheme="minorEastAsia" w:hAnsiTheme="minorEastAsia" w:eastAsiaTheme="minorEastAsia" w:cstheme="minorEastAsia"/>
          <w:color w:val="auto"/>
          <w:kern w:val="0"/>
          <w:sz w:val="24"/>
          <w:highlight w:val="none"/>
          <w:lang w:val="zh-CN"/>
        </w:rPr>
      </w:pPr>
    </w:p>
    <w:p w14:paraId="0C18BCA5">
      <w:pPr>
        <w:pStyle w:val="21"/>
        <w:rPr>
          <w:rFonts w:hint="eastAsia" w:asciiTheme="minorEastAsia" w:hAnsiTheme="minorEastAsia" w:eastAsiaTheme="minorEastAsia" w:cstheme="minorEastAsia"/>
          <w:color w:val="auto"/>
          <w:kern w:val="0"/>
          <w:sz w:val="24"/>
          <w:highlight w:val="none"/>
          <w:lang w:val="zh-CN"/>
        </w:rPr>
      </w:pPr>
    </w:p>
    <w:p w14:paraId="3B99CC57">
      <w:pPr>
        <w:pStyle w:val="21"/>
        <w:rPr>
          <w:rFonts w:hint="eastAsia" w:asciiTheme="minorEastAsia" w:hAnsiTheme="minorEastAsia" w:eastAsiaTheme="minorEastAsia" w:cstheme="minorEastAsia"/>
          <w:color w:val="auto"/>
          <w:kern w:val="0"/>
          <w:sz w:val="24"/>
          <w:highlight w:val="none"/>
          <w:lang w:val="zh-CN"/>
        </w:rPr>
      </w:pPr>
    </w:p>
    <w:p w14:paraId="17584336">
      <w:pPr>
        <w:pStyle w:val="21"/>
        <w:rPr>
          <w:rFonts w:hint="eastAsia" w:asciiTheme="minorEastAsia" w:hAnsiTheme="minorEastAsia" w:eastAsiaTheme="minorEastAsia" w:cstheme="minorEastAsia"/>
          <w:color w:val="auto"/>
          <w:kern w:val="0"/>
          <w:sz w:val="24"/>
          <w:highlight w:val="none"/>
          <w:lang w:val="zh-CN"/>
        </w:rPr>
      </w:pPr>
    </w:p>
    <w:p w14:paraId="3524218E">
      <w:pPr>
        <w:pStyle w:val="21"/>
        <w:rPr>
          <w:rFonts w:hint="eastAsia" w:asciiTheme="minorEastAsia" w:hAnsiTheme="minorEastAsia" w:eastAsiaTheme="minorEastAsia" w:cstheme="minorEastAsia"/>
          <w:color w:val="auto"/>
          <w:kern w:val="0"/>
          <w:sz w:val="24"/>
          <w:highlight w:val="none"/>
          <w:lang w:val="zh-CN"/>
        </w:rPr>
      </w:pPr>
    </w:p>
    <w:p w14:paraId="516B73CC">
      <w:pPr>
        <w:pStyle w:val="21"/>
        <w:rPr>
          <w:rFonts w:hint="eastAsia" w:asciiTheme="minorEastAsia" w:hAnsiTheme="minorEastAsia" w:eastAsiaTheme="minorEastAsia" w:cstheme="minorEastAsia"/>
          <w:color w:val="auto"/>
          <w:kern w:val="0"/>
          <w:sz w:val="24"/>
          <w:highlight w:val="none"/>
          <w:lang w:val="zh-CN"/>
        </w:rPr>
      </w:pPr>
    </w:p>
    <w:p w14:paraId="2CC8377F">
      <w:pPr>
        <w:pStyle w:val="21"/>
        <w:rPr>
          <w:rFonts w:hint="eastAsia" w:asciiTheme="minorEastAsia" w:hAnsiTheme="minorEastAsia" w:eastAsiaTheme="minorEastAsia" w:cstheme="minorEastAsia"/>
          <w:color w:val="auto"/>
          <w:kern w:val="0"/>
          <w:sz w:val="24"/>
          <w:highlight w:val="none"/>
          <w:lang w:val="zh-CN"/>
        </w:rPr>
      </w:pPr>
    </w:p>
    <w:p w14:paraId="4EED4820">
      <w:pPr>
        <w:pStyle w:val="21"/>
        <w:rPr>
          <w:rFonts w:hint="eastAsia" w:asciiTheme="minorEastAsia" w:hAnsiTheme="minorEastAsia" w:eastAsiaTheme="minorEastAsia" w:cstheme="minorEastAsia"/>
          <w:color w:val="auto"/>
          <w:kern w:val="0"/>
          <w:sz w:val="24"/>
          <w:highlight w:val="none"/>
          <w:lang w:val="zh-CN"/>
        </w:rPr>
      </w:pPr>
    </w:p>
    <w:p w14:paraId="2EFD70B0">
      <w:pPr>
        <w:pStyle w:val="21"/>
        <w:rPr>
          <w:rFonts w:hint="eastAsia" w:asciiTheme="minorEastAsia" w:hAnsiTheme="minorEastAsia" w:eastAsiaTheme="minorEastAsia" w:cstheme="minorEastAsia"/>
          <w:color w:val="auto"/>
          <w:kern w:val="0"/>
          <w:sz w:val="24"/>
          <w:highlight w:val="none"/>
          <w:lang w:val="zh-CN"/>
        </w:rPr>
      </w:pPr>
    </w:p>
    <w:p w14:paraId="66000A7C">
      <w:pPr>
        <w:pStyle w:val="21"/>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
        <w:rPr>
          <w:rFonts w:hint="eastAsia" w:asciiTheme="minorEastAsia" w:hAnsiTheme="minorEastAsia" w:eastAsiaTheme="minorEastAsia" w:cstheme="minorEastAsia"/>
          <w:color w:val="auto"/>
          <w:kern w:val="0"/>
          <w:sz w:val="24"/>
          <w:highlight w:val="none"/>
          <w:lang w:val="zh-CN"/>
        </w:rPr>
      </w:pPr>
    </w:p>
    <w:p w14:paraId="331A691C">
      <w:pPr>
        <w:pStyle w:val="2"/>
        <w:rPr>
          <w:rFonts w:hint="eastAsia" w:asciiTheme="minorEastAsia" w:hAnsiTheme="minorEastAsia" w:eastAsiaTheme="minorEastAsia" w:cstheme="minorEastAsia"/>
          <w:color w:val="auto"/>
          <w:kern w:val="0"/>
          <w:sz w:val="24"/>
          <w:highlight w:val="none"/>
          <w:lang w:val="zh-CN"/>
        </w:rPr>
      </w:pPr>
    </w:p>
    <w:p w14:paraId="4C4FF9D9">
      <w:pPr>
        <w:pStyle w:val="2"/>
        <w:rPr>
          <w:rFonts w:hint="eastAsia" w:asciiTheme="minorEastAsia" w:hAnsiTheme="minorEastAsia" w:eastAsiaTheme="minorEastAsia" w:cstheme="minorEastAsia"/>
          <w:color w:val="auto"/>
          <w:kern w:val="0"/>
          <w:sz w:val="24"/>
          <w:highlight w:val="none"/>
          <w:lang w:val="zh-CN"/>
        </w:rPr>
      </w:pPr>
    </w:p>
    <w:p w14:paraId="4788E651">
      <w:pPr>
        <w:pStyle w:val="2"/>
        <w:rPr>
          <w:rFonts w:hint="eastAsia" w:asciiTheme="minorEastAsia" w:hAnsiTheme="minorEastAsia" w:eastAsiaTheme="minorEastAsia" w:cstheme="minorEastAsia"/>
          <w:color w:val="auto"/>
          <w:kern w:val="0"/>
          <w:sz w:val="24"/>
          <w:highlight w:val="none"/>
          <w:lang w:val="zh-CN"/>
        </w:rPr>
      </w:pPr>
    </w:p>
    <w:p w14:paraId="2FBF6126">
      <w:pPr>
        <w:pStyle w:val="2"/>
        <w:rPr>
          <w:rFonts w:hint="eastAsia" w:asciiTheme="minorEastAsia" w:hAnsiTheme="minorEastAsia" w:eastAsiaTheme="minorEastAsia" w:cstheme="minorEastAsia"/>
          <w:color w:val="auto"/>
          <w:kern w:val="0"/>
          <w:sz w:val="24"/>
          <w:highlight w:val="none"/>
          <w:lang w:val="zh-CN"/>
        </w:rPr>
      </w:pPr>
    </w:p>
    <w:p w14:paraId="707CF561">
      <w:pPr>
        <w:pStyle w:val="2"/>
        <w:rPr>
          <w:rFonts w:hint="eastAsia" w:asciiTheme="minorEastAsia" w:hAnsiTheme="minorEastAsia" w:eastAsiaTheme="minorEastAsia" w:cstheme="minorEastAsia"/>
          <w:color w:val="auto"/>
          <w:kern w:val="0"/>
          <w:sz w:val="24"/>
          <w:highlight w:val="none"/>
          <w:lang w:val="zh-CN"/>
        </w:rPr>
      </w:pPr>
    </w:p>
    <w:p w14:paraId="0719B4E5">
      <w:pPr>
        <w:pStyle w:val="2"/>
        <w:rPr>
          <w:rFonts w:hint="eastAsia" w:asciiTheme="minorEastAsia" w:hAnsiTheme="minorEastAsia" w:eastAsiaTheme="minorEastAsia" w:cstheme="minorEastAsia"/>
          <w:color w:val="auto"/>
          <w:kern w:val="0"/>
          <w:sz w:val="24"/>
          <w:highlight w:val="none"/>
          <w:lang w:val="zh-CN"/>
        </w:rPr>
      </w:pPr>
    </w:p>
    <w:p w14:paraId="19EF0A03">
      <w:pPr>
        <w:pStyle w:val="2"/>
        <w:rPr>
          <w:rFonts w:hint="eastAsia" w:asciiTheme="minorEastAsia" w:hAnsiTheme="minorEastAsia" w:eastAsiaTheme="minorEastAsia" w:cstheme="minorEastAsia"/>
          <w:color w:val="auto"/>
          <w:kern w:val="0"/>
          <w:sz w:val="24"/>
          <w:highlight w:val="none"/>
          <w:lang w:val="zh-CN"/>
        </w:rPr>
      </w:pPr>
    </w:p>
    <w:p w14:paraId="3DB33BDF">
      <w:pPr>
        <w:pStyle w:val="2"/>
        <w:rPr>
          <w:rFonts w:hint="eastAsia" w:asciiTheme="minorEastAsia" w:hAnsiTheme="minorEastAsia" w:eastAsiaTheme="minorEastAsia" w:cstheme="minorEastAsia"/>
          <w:color w:val="auto"/>
          <w:kern w:val="0"/>
          <w:sz w:val="24"/>
          <w:highlight w:val="none"/>
          <w:lang w:val="zh-CN"/>
        </w:rPr>
      </w:pPr>
    </w:p>
    <w:p w14:paraId="5E31803C">
      <w:pPr>
        <w:pStyle w:val="6"/>
        <w:jc w:val="center"/>
        <w:rPr>
          <w:rFonts w:hint="eastAsia" w:asciiTheme="minorEastAsia" w:hAnsiTheme="minorEastAsia" w:eastAsiaTheme="minorEastAsia" w:cstheme="minorEastAsia"/>
          <w:b w:val="0"/>
          <w:color w:val="auto"/>
          <w:highlight w:val="none"/>
        </w:rPr>
      </w:pPr>
      <w:bookmarkStart w:id="72" w:name="_Toc1540"/>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71"/>
      <w:bookmarkEnd w:id="72"/>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1"/>
        <w:rPr>
          <w:rFonts w:hint="eastAsia" w:asciiTheme="minorEastAsia" w:hAnsiTheme="minorEastAsia" w:eastAsiaTheme="minorEastAsia" w:cstheme="minorEastAsia"/>
          <w:bCs/>
          <w:color w:val="auto"/>
          <w:sz w:val="24"/>
          <w:szCs w:val="20"/>
          <w:highlight w:val="none"/>
        </w:rPr>
      </w:pPr>
    </w:p>
    <w:p w14:paraId="3A7080B7">
      <w:pPr>
        <w:pStyle w:val="21"/>
        <w:rPr>
          <w:rFonts w:hint="eastAsia" w:asciiTheme="minorEastAsia" w:hAnsiTheme="minorEastAsia" w:eastAsiaTheme="minorEastAsia" w:cstheme="minorEastAsia"/>
          <w:bCs/>
          <w:color w:val="auto"/>
          <w:sz w:val="24"/>
          <w:szCs w:val="20"/>
          <w:highlight w:val="none"/>
        </w:rPr>
      </w:pPr>
    </w:p>
    <w:p w14:paraId="4AAE5204">
      <w:pPr>
        <w:pStyle w:val="21"/>
        <w:rPr>
          <w:rFonts w:hint="eastAsia" w:asciiTheme="minorEastAsia" w:hAnsiTheme="minorEastAsia" w:eastAsiaTheme="minorEastAsia" w:cstheme="minorEastAsia"/>
          <w:bCs/>
          <w:color w:val="auto"/>
          <w:sz w:val="24"/>
          <w:szCs w:val="20"/>
          <w:highlight w:val="none"/>
        </w:rPr>
      </w:pPr>
    </w:p>
    <w:p w14:paraId="72E8696A">
      <w:pPr>
        <w:pStyle w:val="21"/>
        <w:rPr>
          <w:rFonts w:hint="eastAsia" w:asciiTheme="minorEastAsia" w:hAnsiTheme="minorEastAsia" w:eastAsiaTheme="minorEastAsia" w:cstheme="minorEastAsia"/>
          <w:bCs/>
          <w:color w:val="auto"/>
          <w:sz w:val="24"/>
          <w:szCs w:val="20"/>
          <w:highlight w:val="none"/>
        </w:rPr>
      </w:pPr>
    </w:p>
    <w:p w14:paraId="421CBFF3">
      <w:pPr>
        <w:pStyle w:val="21"/>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6793AA3">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项目名称：上石镇马垌村古油茶产业基地道路建设项目</w:t>
      </w: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3" w:name="OLE_LINK7"/>
      <w:bookmarkStart w:id="74" w:name="OLE_LINK6"/>
      <w:bookmarkStart w:id="75"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3"/>
      <w:bookmarkEnd w:id="74"/>
    </w:p>
    <w:bookmarkEnd w:id="75"/>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广西森予工程咨询有限公司</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上石镇马垌村古油茶产业基地道路建设项目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1"/>
        <w:rPr>
          <w:rFonts w:hint="eastAsia" w:asciiTheme="minorEastAsia" w:hAnsiTheme="minorEastAsia" w:eastAsiaTheme="minorEastAsia" w:cstheme="minorEastAsia"/>
          <w:color w:val="auto"/>
          <w:sz w:val="24"/>
          <w:highlight w:val="none"/>
        </w:rPr>
      </w:pPr>
    </w:p>
    <w:p w14:paraId="048C76B9">
      <w:pPr>
        <w:pStyle w:val="21"/>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3"/>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3"/>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3"/>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20"/>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1"/>
        <w:rPr>
          <w:rFonts w:hint="eastAsia" w:asciiTheme="minorEastAsia" w:hAnsiTheme="minorEastAsia" w:eastAsiaTheme="minorEastAsia" w:cstheme="minorEastAsia"/>
          <w:b/>
          <w:color w:val="auto"/>
          <w:sz w:val="30"/>
          <w:szCs w:val="30"/>
          <w:highlight w:val="none"/>
        </w:rPr>
      </w:pPr>
    </w:p>
    <w:p w14:paraId="67B774EC">
      <w:pPr>
        <w:pStyle w:val="21"/>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1"/>
        <w:rPr>
          <w:rFonts w:hint="eastAsia" w:asciiTheme="minorEastAsia" w:hAnsiTheme="minorEastAsia" w:eastAsiaTheme="minorEastAsia" w:cstheme="minorEastAsia"/>
          <w:color w:val="auto"/>
          <w:kern w:val="0"/>
          <w:sz w:val="24"/>
          <w:highlight w:val="none"/>
          <w:lang w:val="zh-CN"/>
        </w:rPr>
      </w:pPr>
    </w:p>
    <w:p w14:paraId="11902F86">
      <w:pPr>
        <w:pStyle w:val="21"/>
        <w:rPr>
          <w:rFonts w:hint="eastAsia" w:asciiTheme="minorEastAsia" w:hAnsiTheme="minorEastAsia" w:eastAsiaTheme="minorEastAsia" w:cstheme="minorEastAsia"/>
          <w:color w:val="auto"/>
          <w:kern w:val="0"/>
          <w:sz w:val="24"/>
          <w:highlight w:val="none"/>
          <w:lang w:val="zh-CN"/>
        </w:rPr>
      </w:pPr>
    </w:p>
    <w:p w14:paraId="77D1AA9A">
      <w:pPr>
        <w:pStyle w:val="21"/>
        <w:rPr>
          <w:rFonts w:hint="eastAsia" w:asciiTheme="minorEastAsia" w:hAnsiTheme="minorEastAsia" w:eastAsiaTheme="minorEastAsia" w:cstheme="minorEastAsia"/>
          <w:color w:val="auto"/>
          <w:kern w:val="0"/>
          <w:sz w:val="24"/>
          <w:highlight w:val="none"/>
          <w:lang w:val="zh-CN"/>
        </w:rPr>
      </w:pPr>
    </w:p>
    <w:p w14:paraId="26CDB3E9">
      <w:pPr>
        <w:pStyle w:val="21"/>
        <w:rPr>
          <w:rFonts w:hint="eastAsia" w:asciiTheme="minorEastAsia" w:hAnsiTheme="minorEastAsia" w:eastAsiaTheme="minorEastAsia" w:cstheme="minorEastAsia"/>
          <w:color w:val="auto"/>
          <w:kern w:val="0"/>
          <w:sz w:val="24"/>
          <w:highlight w:val="none"/>
          <w:lang w:val="zh-CN"/>
        </w:rPr>
      </w:pPr>
    </w:p>
    <w:p w14:paraId="69D81A4C">
      <w:pPr>
        <w:pStyle w:val="21"/>
        <w:rPr>
          <w:rFonts w:hint="eastAsia" w:asciiTheme="minorEastAsia" w:hAnsiTheme="minorEastAsia" w:eastAsiaTheme="minorEastAsia" w:cstheme="minorEastAsia"/>
          <w:color w:val="auto"/>
          <w:kern w:val="0"/>
          <w:sz w:val="24"/>
          <w:highlight w:val="none"/>
          <w:lang w:val="zh-CN"/>
        </w:rPr>
      </w:pPr>
    </w:p>
    <w:p w14:paraId="5762DE54">
      <w:pPr>
        <w:pStyle w:val="21"/>
        <w:rPr>
          <w:rFonts w:hint="eastAsia" w:asciiTheme="minorEastAsia" w:hAnsiTheme="minorEastAsia" w:eastAsiaTheme="minorEastAsia" w:cstheme="minorEastAsia"/>
          <w:color w:val="auto"/>
          <w:kern w:val="0"/>
          <w:sz w:val="24"/>
          <w:highlight w:val="none"/>
          <w:lang w:val="zh-CN"/>
        </w:rPr>
      </w:pPr>
    </w:p>
    <w:p w14:paraId="5030DE1D">
      <w:pPr>
        <w:pStyle w:val="21"/>
        <w:rPr>
          <w:rFonts w:hint="eastAsia" w:asciiTheme="minorEastAsia" w:hAnsiTheme="minorEastAsia" w:eastAsiaTheme="minorEastAsia" w:cstheme="minorEastAsia"/>
          <w:color w:val="auto"/>
          <w:kern w:val="0"/>
          <w:sz w:val="24"/>
          <w:highlight w:val="none"/>
          <w:lang w:val="zh-CN"/>
        </w:rPr>
      </w:pPr>
    </w:p>
    <w:p w14:paraId="0CAFDADF">
      <w:pPr>
        <w:pStyle w:val="21"/>
        <w:rPr>
          <w:rFonts w:hint="eastAsia" w:asciiTheme="minorEastAsia" w:hAnsiTheme="minorEastAsia" w:eastAsiaTheme="minorEastAsia" w:cstheme="minorEastAsia"/>
          <w:color w:val="auto"/>
          <w:kern w:val="0"/>
          <w:sz w:val="24"/>
          <w:highlight w:val="none"/>
          <w:lang w:val="zh-CN"/>
        </w:rPr>
      </w:pPr>
    </w:p>
    <w:p w14:paraId="69C1BCB5">
      <w:pPr>
        <w:pStyle w:val="21"/>
        <w:rPr>
          <w:rFonts w:hint="eastAsia" w:asciiTheme="minorEastAsia" w:hAnsiTheme="minorEastAsia" w:eastAsiaTheme="minorEastAsia" w:cstheme="minorEastAsia"/>
          <w:color w:val="auto"/>
          <w:kern w:val="0"/>
          <w:sz w:val="24"/>
          <w:highlight w:val="none"/>
          <w:lang w:val="zh-CN"/>
        </w:rPr>
      </w:pPr>
    </w:p>
    <w:p w14:paraId="7F7071BC">
      <w:pPr>
        <w:pStyle w:val="21"/>
        <w:rPr>
          <w:rFonts w:hint="eastAsia" w:asciiTheme="minorEastAsia" w:hAnsiTheme="minorEastAsia" w:eastAsiaTheme="minorEastAsia" w:cstheme="minorEastAsia"/>
          <w:color w:val="auto"/>
          <w:kern w:val="0"/>
          <w:sz w:val="24"/>
          <w:highlight w:val="none"/>
          <w:lang w:val="zh-CN"/>
        </w:rPr>
      </w:pPr>
    </w:p>
    <w:p w14:paraId="294AEE20">
      <w:pPr>
        <w:pStyle w:val="21"/>
        <w:rPr>
          <w:rFonts w:hint="eastAsia" w:asciiTheme="minorEastAsia" w:hAnsiTheme="minorEastAsia" w:eastAsiaTheme="minorEastAsia" w:cstheme="minorEastAsia"/>
          <w:color w:val="auto"/>
          <w:kern w:val="0"/>
          <w:sz w:val="24"/>
          <w:highlight w:val="none"/>
          <w:lang w:val="zh-CN"/>
        </w:rPr>
      </w:pPr>
    </w:p>
    <w:p w14:paraId="5D321FC1">
      <w:pPr>
        <w:pStyle w:val="21"/>
        <w:rPr>
          <w:rFonts w:hint="eastAsia" w:asciiTheme="minorEastAsia" w:hAnsiTheme="minorEastAsia" w:eastAsiaTheme="minorEastAsia" w:cstheme="minorEastAsia"/>
          <w:color w:val="auto"/>
          <w:kern w:val="0"/>
          <w:sz w:val="24"/>
          <w:highlight w:val="none"/>
          <w:lang w:val="zh-CN"/>
        </w:rPr>
      </w:pPr>
    </w:p>
    <w:p w14:paraId="7E614452">
      <w:pPr>
        <w:pStyle w:val="21"/>
        <w:rPr>
          <w:rFonts w:hint="eastAsia" w:asciiTheme="minorEastAsia" w:hAnsiTheme="minorEastAsia" w:eastAsiaTheme="minorEastAsia" w:cstheme="minorEastAsia"/>
          <w:color w:val="auto"/>
          <w:kern w:val="0"/>
          <w:sz w:val="24"/>
          <w:highlight w:val="none"/>
          <w:lang w:val="zh-CN"/>
        </w:rPr>
      </w:pPr>
    </w:p>
    <w:p w14:paraId="0A615E1A">
      <w:pPr>
        <w:pStyle w:val="21"/>
        <w:rPr>
          <w:rFonts w:hint="eastAsia" w:asciiTheme="minorEastAsia" w:hAnsiTheme="minorEastAsia" w:eastAsiaTheme="minorEastAsia" w:cstheme="minorEastAsia"/>
          <w:color w:val="auto"/>
          <w:kern w:val="0"/>
          <w:sz w:val="24"/>
          <w:highlight w:val="none"/>
          <w:lang w:val="zh-CN"/>
        </w:rPr>
      </w:pPr>
    </w:p>
    <w:p w14:paraId="1EB25951">
      <w:pPr>
        <w:pStyle w:val="21"/>
        <w:rPr>
          <w:rFonts w:hint="eastAsia" w:asciiTheme="minorEastAsia" w:hAnsiTheme="minorEastAsia" w:eastAsiaTheme="minorEastAsia" w:cstheme="minorEastAsia"/>
          <w:color w:val="auto"/>
          <w:kern w:val="0"/>
          <w:sz w:val="24"/>
          <w:highlight w:val="none"/>
          <w:lang w:val="zh-CN"/>
        </w:rPr>
      </w:pPr>
    </w:p>
    <w:p w14:paraId="4B01ED12">
      <w:pPr>
        <w:pStyle w:val="21"/>
        <w:rPr>
          <w:rFonts w:hint="eastAsia" w:asciiTheme="minorEastAsia" w:hAnsiTheme="minorEastAsia" w:eastAsiaTheme="minorEastAsia" w:cstheme="minorEastAsia"/>
          <w:color w:val="auto"/>
          <w:kern w:val="0"/>
          <w:sz w:val="24"/>
          <w:highlight w:val="none"/>
          <w:lang w:val="zh-CN"/>
        </w:rPr>
      </w:pPr>
    </w:p>
    <w:p w14:paraId="654DE9CF">
      <w:pPr>
        <w:pStyle w:val="21"/>
        <w:rPr>
          <w:rFonts w:hint="eastAsia" w:asciiTheme="minorEastAsia" w:hAnsiTheme="minorEastAsia" w:eastAsiaTheme="minorEastAsia" w:cstheme="minorEastAsia"/>
          <w:color w:val="auto"/>
          <w:kern w:val="0"/>
          <w:sz w:val="24"/>
          <w:highlight w:val="none"/>
          <w:lang w:val="zh-CN"/>
        </w:rPr>
      </w:pPr>
    </w:p>
    <w:p w14:paraId="1C004B0A">
      <w:pPr>
        <w:pStyle w:val="21"/>
        <w:rPr>
          <w:rFonts w:hint="eastAsia" w:asciiTheme="minorEastAsia" w:hAnsiTheme="minorEastAsia" w:eastAsiaTheme="minorEastAsia" w:cstheme="minorEastAsia"/>
          <w:color w:val="auto"/>
          <w:kern w:val="0"/>
          <w:sz w:val="24"/>
          <w:highlight w:val="none"/>
          <w:lang w:val="zh-CN"/>
        </w:rPr>
      </w:pPr>
    </w:p>
    <w:p w14:paraId="260280EB">
      <w:pPr>
        <w:pStyle w:val="21"/>
        <w:rPr>
          <w:rFonts w:hint="eastAsia" w:asciiTheme="minorEastAsia" w:hAnsiTheme="minorEastAsia" w:eastAsiaTheme="minorEastAsia" w:cstheme="minorEastAsia"/>
          <w:color w:val="auto"/>
          <w:kern w:val="0"/>
          <w:sz w:val="24"/>
          <w:highlight w:val="none"/>
          <w:lang w:val="zh-CN"/>
        </w:rPr>
      </w:pPr>
    </w:p>
    <w:p w14:paraId="661D609C">
      <w:pPr>
        <w:pStyle w:val="21"/>
        <w:rPr>
          <w:rFonts w:hint="eastAsia" w:asciiTheme="minorEastAsia" w:hAnsiTheme="minorEastAsia" w:eastAsiaTheme="minorEastAsia" w:cstheme="minorEastAsia"/>
          <w:color w:val="auto"/>
          <w:kern w:val="0"/>
          <w:sz w:val="24"/>
          <w:highlight w:val="none"/>
          <w:lang w:val="zh-CN"/>
        </w:rPr>
      </w:pPr>
    </w:p>
    <w:p w14:paraId="63CAFF4A">
      <w:pPr>
        <w:pStyle w:val="21"/>
        <w:rPr>
          <w:rFonts w:hint="eastAsia" w:asciiTheme="minorEastAsia" w:hAnsiTheme="minorEastAsia" w:eastAsiaTheme="minorEastAsia" w:cstheme="minorEastAsia"/>
          <w:color w:val="auto"/>
          <w:kern w:val="0"/>
          <w:sz w:val="24"/>
          <w:highlight w:val="none"/>
          <w:lang w:val="zh-CN"/>
        </w:rPr>
      </w:pPr>
    </w:p>
    <w:p w14:paraId="76B99EC6">
      <w:pPr>
        <w:pStyle w:val="21"/>
        <w:rPr>
          <w:rFonts w:hint="eastAsia" w:asciiTheme="minorEastAsia" w:hAnsiTheme="minorEastAsia" w:eastAsiaTheme="minorEastAsia" w:cstheme="minorEastAsia"/>
          <w:color w:val="auto"/>
          <w:kern w:val="0"/>
          <w:sz w:val="24"/>
          <w:highlight w:val="none"/>
          <w:lang w:val="zh-CN"/>
        </w:rPr>
      </w:pPr>
    </w:p>
    <w:p w14:paraId="221B3808">
      <w:pPr>
        <w:pStyle w:val="21"/>
        <w:rPr>
          <w:rFonts w:hint="eastAsia" w:asciiTheme="minorEastAsia" w:hAnsiTheme="minorEastAsia" w:eastAsiaTheme="minorEastAsia" w:cstheme="minorEastAsia"/>
          <w:color w:val="auto"/>
          <w:kern w:val="0"/>
          <w:sz w:val="24"/>
          <w:highlight w:val="none"/>
          <w:lang w:val="zh-CN"/>
        </w:rPr>
      </w:pPr>
    </w:p>
    <w:p w14:paraId="1212EE67">
      <w:pPr>
        <w:pStyle w:val="21"/>
        <w:rPr>
          <w:rFonts w:hint="eastAsia" w:asciiTheme="minorEastAsia" w:hAnsiTheme="minorEastAsia" w:eastAsiaTheme="minorEastAsia" w:cstheme="minorEastAsia"/>
          <w:color w:val="auto"/>
          <w:kern w:val="0"/>
          <w:sz w:val="24"/>
          <w:highlight w:val="none"/>
          <w:lang w:val="zh-CN"/>
        </w:rPr>
      </w:pPr>
    </w:p>
    <w:p w14:paraId="0850ED8F">
      <w:pPr>
        <w:pStyle w:val="21"/>
        <w:rPr>
          <w:rFonts w:hint="eastAsia" w:asciiTheme="minorEastAsia" w:hAnsiTheme="minorEastAsia" w:eastAsiaTheme="minorEastAsia" w:cstheme="minorEastAsia"/>
          <w:color w:val="auto"/>
          <w:kern w:val="0"/>
          <w:sz w:val="24"/>
          <w:highlight w:val="none"/>
          <w:lang w:val="zh-CN"/>
        </w:rPr>
      </w:pPr>
    </w:p>
    <w:p w14:paraId="2448AE9E">
      <w:pPr>
        <w:pStyle w:val="21"/>
        <w:rPr>
          <w:rFonts w:hint="eastAsia" w:asciiTheme="minorEastAsia" w:hAnsiTheme="minorEastAsia" w:eastAsiaTheme="minorEastAsia" w:cstheme="minorEastAsia"/>
          <w:color w:val="auto"/>
          <w:kern w:val="0"/>
          <w:sz w:val="24"/>
          <w:highlight w:val="none"/>
          <w:lang w:val="zh-CN"/>
        </w:rPr>
      </w:pPr>
    </w:p>
    <w:p w14:paraId="41F356D9">
      <w:pPr>
        <w:pStyle w:val="21"/>
        <w:rPr>
          <w:rFonts w:hint="eastAsia" w:asciiTheme="minorEastAsia" w:hAnsiTheme="minorEastAsia" w:eastAsiaTheme="minorEastAsia" w:cstheme="minorEastAsia"/>
          <w:color w:val="auto"/>
          <w:kern w:val="0"/>
          <w:sz w:val="24"/>
          <w:highlight w:val="none"/>
          <w:lang w:val="zh-CN"/>
        </w:rPr>
      </w:pPr>
    </w:p>
    <w:p w14:paraId="29B03DDE">
      <w:pPr>
        <w:pStyle w:val="21"/>
        <w:rPr>
          <w:rFonts w:hint="eastAsia" w:asciiTheme="minorEastAsia" w:hAnsiTheme="minorEastAsia" w:eastAsiaTheme="minorEastAsia" w:cstheme="minorEastAsia"/>
          <w:color w:val="auto"/>
          <w:kern w:val="0"/>
          <w:sz w:val="24"/>
          <w:highlight w:val="none"/>
          <w:lang w:val="zh-CN"/>
        </w:rPr>
      </w:pPr>
    </w:p>
    <w:p w14:paraId="6FE9561B">
      <w:pPr>
        <w:pStyle w:val="21"/>
        <w:rPr>
          <w:rFonts w:hint="eastAsia" w:asciiTheme="minorEastAsia" w:hAnsiTheme="minorEastAsia" w:eastAsiaTheme="minorEastAsia" w:cstheme="minorEastAsia"/>
          <w:color w:val="auto"/>
          <w:kern w:val="0"/>
          <w:sz w:val="24"/>
          <w:highlight w:val="none"/>
          <w:lang w:val="zh-CN"/>
        </w:rPr>
      </w:pPr>
    </w:p>
    <w:p w14:paraId="6D457FB6">
      <w:pPr>
        <w:pStyle w:val="21"/>
        <w:rPr>
          <w:rFonts w:hint="eastAsia" w:asciiTheme="minorEastAsia" w:hAnsiTheme="minorEastAsia" w:eastAsiaTheme="minorEastAsia" w:cstheme="minorEastAsia"/>
          <w:color w:val="auto"/>
          <w:kern w:val="0"/>
          <w:sz w:val="24"/>
          <w:highlight w:val="none"/>
          <w:lang w:val="zh-CN"/>
        </w:rPr>
      </w:pPr>
    </w:p>
    <w:p w14:paraId="67F14241">
      <w:pPr>
        <w:pStyle w:val="21"/>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4"/>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4"/>
        <w:snapToGrid w:val="0"/>
        <w:ind w:left="480" w:hanging="480"/>
        <w:rPr>
          <w:rFonts w:hint="eastAsia" w:asciiTheme="minorEastAsia" w:hAnsiTheme="minorEastAsia" w:eastAsiaTheme="minorEastAsia" w:cstheme="minorEastAsia"/>
          <w:color w:val="auto"/>
          <w:sz w:val="24"/>
          <w:highlight w:val="none"/>
        </w:rPr>
      </w:pPr>
    </w:p>
    <w:p w14:paraId="41D46767">
      <w:pPr>
        <w:pStyle w:val="24"/>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20"/>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6" w:name="_Toc202756645"/>
      <w:bookmarkStart w:id="77" w:name="_Toc202756562"/>
      <w:bookmarkStart w:id="78" w:name="_Toc205197563"/>
      <w:bookmarkStart w:id="79" w:name="_Toc192305147"/>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6"/>
      <w:bookmarkEnd w:id="77"/>
      <w:bookmarkEnd w:id="78"/>
      <w:bookmarkEnd w:id="79"/>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80"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6"/>
        <w:jc w:val="center"/>
        <w:rPr>
          <w:rFonts w:hint="eastAsia" w:asciiTheme="minorEastAsia" w:hAnsiTheme="minorEastAsia" w:eastAsiaTheme="minorEastAsia" w:cstheme="minorEastAsia"/>
          <w:color w:val="auto"/>
          <w:highlight w:val="none"/>
          <w:lang w:val="en-US" w:eastAsia="zh-CN"/>
        </w:rPr>
      </w:pPr>
      <w:bookmarkStart w:id="81" w:name="_Toc4304"/>
      <w:r>
        <w:rPr>
          <w:rFonts w:hint="eastAsia" w:asciiTheme="minorEastAsia" w:hAnsiTheme="minorEastAsia" w:eastAsiaTheme="minorEastAsia" w:cstheme="minorEastAsia"/>
          <w:color w:val="auto"/>
          <w:highlight w:val="none"/>
          <w:lang w:val="en-US" w:eastAsia="zh-CN"/>
        </w:rPr>
        <w:t>第四节 报价文件格式</w:t>
      </w:r>
      <w:bookmarkEnd w:id="80"/>
      <w:bookmarkEnd w:id="81"/>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51A0931E">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上石镇马垌村古油茶产业基地道路建设项目</w:t>
      </w: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10"/>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10"/>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10"/>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10"/>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2" w:name="_Toc498082657"/>
      <w:r>
        <w:rPr>
          <w:rFonts w:hint="eastAsia" w:asciiTheme="minorEastAsia" w:hAnsiTheme="minorEastAsia" w:eastAsiaTheme="minorEastAsia" w:cstheme="minorEastAsia"/>
          <w:color w:val="auto"/>
          <w:sz w:val="30"/>
          <w:szCs w:val="30"/>
          <w:highlight w:val="none"/>
        </w:rPr>
        <w:t>报价函</w:t>
      </w:r>
      <w:bookmarkEnd w:id="82"/>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上石镇马垌村古油茶产业基地道路建设项目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7"/>
        <w:rPr>
          <w:rFonts w:hint="eastAsia" w:asciiTheme="minorEastAsia" w:hAnsiTheme="minorEastAsia" w:eastAsiaTheme="minorEastAsia" w:cstheme="minorEastAsia"/>
          <w:b/>
          <w:color w:val="auto"/>
          <w:sz w:val="32"/>
          <w:szCs w:val="32"/>
          <w:highlight w:val="none"/>
        </w:rPr>
      </w:pPr>
    </w:p>
    <w:p w14:paraId="7645BEEF">
      <w:pPr>
        <w:pStyle w:val="21"/>
        <w:rPr>
          <w:rFonts w:hint="eastAsia" w:asciiTheme="minorEastAsia" w:hAnsiTheme="minorEastAsia" w:eastAsiaTheme="minorEastAsia" w:cstheme="minorEastAsia"/>
          <w:color w:val="auto"/>
          <w:highlight w:val="none"/>
          <w:lang w:val="zh-CN"/>
        </w:rPr>
      </w:pPr>
    </w:p>
    <w:p w14:paraId="4DBBABBE">
      <w:pPr>
        <w:pStyle w:val="20"/>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1"/>
        <w:rPr>
          <w:rFonts w:hint="eastAsia" w:asciiTheme="minorEastAsia" w:hAnsiTheme="minorEastAsia" w:eastAsiaTheme="minorEastAsia" w:cstheme="minorEastAsia"/>
          <w:color w:val="auto"/>
          <w:sz w:val="24"/>
          <w:highlight w:val="none"/>
        </w:rPr>
      </w:pPr>
    </w:p>
    <w:p w14:paraId="166CE352">
      <w:pPr>
        <w:pStyle w:val="21"/>
        <w:rPr>
          <w:rFonts w:hint="eastAsia" w:asciiTheme="minorEastAsia" w:hAnsiTheme="minorEastAsia" w:eastAsiaTheme="minorEastAsia" w:cstheme="minorEastAsia"/>
          <w:color w:val="auto"/>
          <w:sz w:val="24"/>
          <w:highlight w:val="none"/>
        </w:rPr>
      </w:pPr>
    </w:p>
    <w:p w14:paraId="7B24E315">
      <w:pPr>
        <w:pStyle w:val="21"/>
        <w:rPr>
          <w:rFonts w:hint="eastAsia" w:asciiTheme="minorEastAsia" w:hAnsiTheme="minorEastAsia" w:eastAsiaTheme="minorEastAsia" w:cstheme="minorEastAsia"/>
          <w:color w:val="auto"/>
          <w:sz w:val="24"/>
          <w:highlight w:val="none"/>
        </w:rPr>
      </w:pPr>
    </w:p>
    <w:p w14:paraId="0C17FDE2">
      <w:pPr>
        <w:pStyle w:val="21"/>
        <w:rPr>
          <w:rFonts w:hint="eastAsia" w:asciiTheme="minorEastAsia" w:hAnsiTheme="minorEastAsia" w:eastAsiaTheme="minorEastAsia" w:cstheme="minorEastAsia"/>
          <w:color w:val="auto"/>
          <w:sz w:val="24"/>
          <w:highlight w:val="none"/>
        </w:rPr>
      </w:pPr>
    </w:p>
    <w:p w14:paraId="1DE653A8">
      <w:pPr>
        <w:pStyle w:val="21"/>
        <w:rPr>
          <w:rFonts w:hint="eastAsia" w:asciiTheme="minorEastAsia" w:hAnsiTheme="minorEastAsia" w:eastAsiaTheme="minorEastAsia" w:cstheme="minorEastAsia"/>
          <w:color w:val="auto"/>
          <w:sz w:val="24"/>
          <w:highlight w:val="none"/>
        </w:rPr>
      </w:pPr>
    </w:p>
    <w:p w14:paraId="7BB398E9">
      <w:pPr>
        <w:pStyle w:val="21"/>
        <w:rPr>
          <w:rFonts w:hint="eastAsia" w:asciiTheme="minorEastAsia" w:hAnsiTheme="minorEastAsia" w:eastAsiaTheme="minorEastAsia" w:cstheme="minorEastAsia"/>
          <w:color w:val="auto"/>
          <w:sz w:val="24"/>
          <w:highlight w:val="none"/>
        </w:rPr>
      </w:pPr>
    </w:p>
    <w:p w14:paraId="2BBAA049">
      <w:pPr>
        <w:pStyle w:val="21"/>
        <w:rPr>
          <w:rFonts w:hint="eastAsia" w:asciiTheme="minorEastAsia" w:hAnsiTheme="minorEastAsia" w:eastAsiaTheme="minorEastAsia" w:cstheme="minorEastAsia"/>
          <w:color w:val="auto"/>
          <w:sz w:val="24"/>
          <w:highlight w:val="none"/>
        </w:rPr>
      </w:pPr>
    </w:p>
    <w:p w14:paraId="729879B7">
      <w:pPr>
        <w:pStyle w:val="21"/>
        <w:rPr>
          <w:rFonts w:hint="eastAsia" w:asciiTheme="minorEastAsia" w:hAnsiTheme="minorEastAsia" w:eastAsiaTheme="minorEastAsia" w:cstheme="minorEastAsia"/>
          <w:color w:val="auto"/>
          <w:sz w:val="24"/>
          <w:highlight w:val="none"/>
        </w:rPr>
      </w:pPr>
    </w:p>
    <w:p w14:paraId="5D01AF1B">
      <w:pPr>
        <w:pStyle w:val="21"/>
        <w:rPr>
          <w:rFonts w:hint="eastAsia" w:asciiTheme="minorEastAsia" w:hAnsiTheme="minorEastAsia" w:eastAsiaTheme="minorEastAsia" w:cstheme="minorEastAsia"/>
          <w:color w:val="auto"/>
          <w:sz w:val="24"/>
          <w:highlight w:val="none"/>
        </w:rPr>
      </w:pPr>
    </w:p>
    <w:p w14:paraId="60C3BC13">
      <w:pPr>
        <w:pStyle w:val="21"/>
        <w:rPr>
          <w:rFonts w:hint="eastAsia" w:asciiTheme="minorEastAsia" w:hAnsiTheme="minorEastAsia" w:eastAsiaTheme="minorEastAsia" w:cstheme="minorEastAsia"/>
          <w:color w:val="auto"/>
          <w:sz w:val="24"/>
          <w:highlight w:val="none"/>
        </w:rPr>
      </w:pPr>
    </w:p>
    <w:p w14:paraId="03091AE0">
      <w:pPr>
        <w:pStyle w:val="20"/>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20"/>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20"/>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12"/>
        <w:rPr>
          <w:rFonts w:hint="eastAsia" w:asciiTheme="minorEastAsia" w:hAnsiTheme="minorEastAsia" w:eastAsiaTheme="minorEastAsia" w:cstheme="minorEastAsia"/>
          <w:color w:val="auto"/>
          <w:sz w:val="24"/>
          <w:highlight w:val="none"/>
          <w:lang w:val="zh-CN"/>
        </w:rPr>
      </w:pPr>
    </w:p>
    <w:p w14:paraId="0840C654">
      <w:pPr>
        <w:pStyle w:val="20"/>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6"/>
        <w:jc w:val="center"/>
        <w:rPr>
          <w:rFonts w:hint="eastAsia" w:asciiTheme="minorEastAsia" w:hAnsiTheme="minorEastAsia" w:eastAsiaTheme="minorEastAsia" w:cstheme="minorEastAsia"/>
          <w:b w:val="0"/>
          <w:color w:val="auto"/>
          <w:highlight w:val="none"/>
        </w:rPr>
      </w:pPr>
      <w:bookmarkStart w:id="83" w:name="_Toc80205942"/>
      <w:bookmarkStart w:id="84" w:name="_Toc19598"/>
      <w:r>
        <w:rPr>
          <w:rFonts w:hint="eastAsia" w:asciiTheme="minorEastAsia" w:hAnsiTheme="minorEastAsia" w:eastAsiaTheme="minorEastAsia" w:cstheme="minorEastAsia"/>
          <w:color w:val="auto"/>
          <w:highlight w:val="none"/>
          <w:lang w:val="en-US" w:eastAsia="zh-CN"/>
        </w:rPr>
        <w:t>第五节 其他文书、文件格式</w:t>
      </w:r>
      <w:bookmarkEnd w:id="83"/>
      <w:bookmarkEnd w:id="84"/>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上石镇马垌村古油茶产业基地道路建设项目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5"/>
        <w:jc w:val="center"/>
        <w:rPr>
          <w:rFonts w:hint="eastAsia" w:asciiTheme="minorEastAsia" w:hAnsiTheme="minorEastAsia" w:eastAsiaTheme="minorEastAsia" w:cstheme="minorEastAsia"/>
          <w:color w:val="auto"/>
          <w:highlight w:val="none"/>
        </w:rPr>
      </w:pPr>
      <w:bookmarkStart w:id="85" w:name="_Toc3296"/>
      <w:r>
        <w:rPr>
          <w:rFonts w:hint="eastAsia" w:asciiTheme="minorEastAsia" w:hAnsiTheme="minorEastAsia" w:eastAsiaTheme="minorEastAsia" w:cstheme="minorEastAsia"/>
          <w:color w:val="auto"/>
          <w:highlight w:val="none"/>
          <w:lang w:val="en-US" w:eastAsia="zh-CN"/>
        </w:rPr>
        <w:t>第七章  合同文本</w:t>
      </w:r>
      <w:bookmarkEnd w:id="85"/>
      <w:bookmarkStart w:id="86" w:name="第八章 质疑、投诉材料格式"/>
      <w:bookmarkEnd w:id="86"/>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30D89D20">
      <w:pPr>
        <w:jc w:val="cente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t>上石镇马垌村古油茶产业基地道路建设项目</w:t>
      </w:r>
    </w:p>
    <w:p w14:paraId="00EED98F">
      <w:pPr>
        <w:rPr>
          <w:rFonts w:hint="eastAsia" w:asciiTheme="minorEastAsia" w:hAnsiTheme="minorEastAsia" w:eastAsiaTheme="minorEastAsia" w:cstheme="minorEastAsia"/>
          <w:bCs/>
          <w:color w:val="auto"/>
          <w:sz w:val="44"/>
          <w:szCs w:val="44"/>
          <w:highlight w:val="none"/>
        </w:rPr>
      </w:pPr>
    </w:p>
    <w:p w14:paraId="0B6B32B5">
      <w:pPr>
        <w:rPr>
          <w:rFonts w:hint="eastAsia" w:asciiTheme="minorEastAsia" w:hAnsiTheme="minorEastAsia" w:eastAsiaTheme="minorEastAsia" w:cstheme="minorEastAsia"/>
          <w:bCs/>
          <w:color w:val="auto"/>
          <w:sz w:val="44"/>
          <w:szCs w:val="44"/>
          <w:highlight w:val="none"/>
        </w:rPr>
      </w:pPr>
    </w:p>
    <w:p w14:paraId="51FA2EBB">
      <w:pPr>
        <w:pStyle w:val="17"/>
        <w:rPr>
          <w:rFonts w:hint="eastAsia" w:asciiTheme="minorEastAsia" w:hAnsiTheme="minorEastAsia" w:eastAsiaTheme="minorEastAsia" w:cstheme="minorEastAsia"/>
          <w:color w:val="auto"/>
          <w:highlight w:val="none"/>
        </w:rPr>
      </w:pPr>
    </w:p>
    <w:p w14:paraId="13B55B3A">
      <w:pPr>
        <w:pStyle w:val="17"/>
        <w:rPr>
          <w:rFonts w:hint="eastAsia" w:asciiTheme="minorEastAsia" w:hAnsiTheme="minorEastAsia" w:eastAsiaTheme="minorEastAsia" w:cstheme="minorEastAsia"/>
          <w:color w:val="auto"/>
          <w:highlight w:val="none"/>
        </w:rPr>
      </w:pPr>
    </w:p>
    <w:p w14:paraId="5D052F45">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7EDE2EA0">
      <w:pPr>
        <w:rPr>
          <w:rFonts w:hint="eastAsia" w:asciiTheme="minorEastAsia" w:hAnsiTheme="minorEastAsia" w:eastAsiaTheme="minorEastAsia" w:cstheme="minorEastAsia"/>
          <w:bCs/>
          <w:color w:val="auto"/>
          <w:sz w:val="36"/>
          <w:szCs w:val="36"/>
          <w:highlight w:val="none"/>
        </w:rPr>
      </w:pPr>
    </w:p>
    <w:p w14:paraId="70CD1DFE">
      <w:pPr>
        <w:rPr>
          <w:rFonts w:hint="eastAsia" w:asciiTheme="minorEastAsia" w:hAnsiTheme="minorEastAsia" w:eastAsiaTheme="minorEastAsia" w:cstheme="minorEastAsia"/>
          <w:bCs/>
          <w:color w:val="auto"/>
          <w:sz w:val="36"/>
          <w:szCs w:val="36"/>
          <w:highlight w:val="none"/>
        </w:rPr>
      </w:pPr>
    </w:p>
    <w:p w14:paraId="3813F64C">
      <w:pPr>
        <w:pStyle w:val="17"/>
        <w:rPr>
          <w:rFonts w:hint="eastAsia" w:asciiTheme="minorEastAsia" w:hAnsiTheme="minorEastAsia" w:eastAsiaTheme="minorEastAsia" w:cstheme="minorEastAsia"/>
          <w:bCs/>
          <w:color w:val="auto"/>
          <w:sz w:val="36"/>
          <w:szCs w:val="36"/>
          <w:highlight w:val="none"/>
        </w:rPr>
      </w:pPr>
    </w:p>
    <w:p w14:paraId="31C2740F">
      <w:pPr>
        <w:rPr>
          <w:rFonts w:hint="eastAsia" w:asciiTheme="minorEastAsia" w:hAnsiTheme="minorEastAsia" w:eastAsiaTheme="minorEastAsia" w:cstheme="minorEastAsia"/>
          <w:bCs/>
          <w:color w:val="auto"/>
          <w:sz w:val="36"/>
          <w:szCs w:val="36"/>
          <w:highlight w:val="none"/>
        </w:rPr>
      </w:pPr>
    </w:p>
    <w:p w14:paraId="2A637BC1">
      <w:pPr>
        <w:pStyle w:val="17"/>
        <w:rPr>
          <w:rFonts w:hint="eastAsia" w:asciiTheme="minorEastAsia" w:hAnsiTheme="minorEastAsia" w:eastAsiaTheme="minorEastAsia" w:cstheme="minorEastAsia"/>
          <w:bCs/>
          <w:color w:val="auto"/>
          <w:sz w:val="36"/>
          <w:szCs w:val="36"/>
          <w:highlight w:val="none"/>
        </w:rPr>
      </w:pPr>
    </w:p>
    <w:p w14:paraId="7E77D6BC">
      <w:pPr>
        <w:rPr>
          <w:rFonts w:hint="eastAsia" w:asciiTheme="minorEastAsia" w:hAnsiTheme="minorEastAsia" w:eastAsiaTheme="minorEastAsia" w:cstheme="minorEastAsia"/>
          <w:bCs/>
          <w:color w:val="auto"/>
          <w:sz w:val="36"/>
          <w:szCs w:val="36"/>
          <w:highlight w:val="none"/>
        </w:rPr>
      </w:pPr>
    </w:p>
    <w:p w14:paraId="38083839">
      <w:pPr>
        <w:pStyle w:val="17"/>
        <w:rPr>
          <w:rFonts w:hint="eastAsia" w:asciiTheme="minorEastAsia" w:hAnsiTheme="minorEastAsia" w:eastAsiaTheme="minorEastAsia" w:cstheme="minorEastAsia"/>
          <w:bCs/>
          <w:color w:val="auto"/>
          <w:sz w:val="36"/>
          <w:szCs w:val="36"/>
          <w:highlight w:val="none"/>
        </w:rPr>
      </w:pPr>
    </w:p>
    <w:p w14:paraId="7DAADB4E">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010749EA">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凭祥市林业局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0140EA61">
      <w:pPr>
        <w:rPr>
          <w:rFonts w:hint="eastAsia" w:asciiTheme="minorEastAsia" w:hAnsiTheme="minorEastAsia" w:eastAsiaTheme="minorEastAsia" w:cstheme="minorEastAsia"/>
          <w:bCs/>
          <w:color w:val="auto"/>
          <w:sz w:val="36"/>
          <w:szCs w:val="36"/>
          <w:highlight w:val="none"/>
        </w:rPr>
      </w:pPr>
    </w:p>
    <w:p w14:paraId="08C88DA0">
      <w:pPr>
        <w:ind w:firstLine="1980" w:firstLineChars="550"/>
        <w:rPr>
          <w:rFonts w:hint="eastAsia" w:asciiTheme="minorEastAsia" w:hAnsiTheme="minorEastAsia" w:eastAsiaTheme="minorEastAsia" w:cstheme="minorEastAsia"/>
          <w:bCs/>
          <w:color w:val="auto"/>
          <w:sz w:val="36"/>
          <w:szCs w:val="36"/>
          <w:highlight w:val="none"/>
          <w:u w:val="single"/>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rPr>
        <w:t xml:space="preserve">           </w:t>
      </w:r>
      <w:r>
        <w:rPr>
          <w:rFonts w:hint="eastAsia" w:asciiTheme="minorEastAsia" w:hAnsiTheme="minorEastAsia" w:eastAsiaTheme="minorEastAsia" w:cstheme="minorEastAsia"/>
          <w:bCs/>
          <w:color w:val="auto"/>
          <w:sz w:val="36"/>
          <w:szCs w:val="36"/>
          <w:highlight w:val="none"/>
          <w:u w:val="single"/>
          <w:lang w:val="en-US" w:eastAsia="zh-CN"/>
        </w:rPr>
        <w:t xml:space="preserve">  </w:t>
      </w:r>
      <w:r>
        <w:rPr>
          <w:rFonts w:hint="eastAsia" w:asciiTheme="minorEastAsia" w:hAnsiTheme="minorEastAsia" w:eastAsiaTheme="minorEastAsia" w:cstheme="minorEastAsia"/>
          <w:bCs/>
          <w:color w:val="auto"/>
          <w:sz w:val="36"/>
          <w:szCs w:val="36"/>
          <w:highlight w:val="none"/>
          <w:u w:val="single"/>
        </w:rPr>
        <w:t xml:space="preserve"> </w:t>
      </w:r>
    </w:p>
    <w:p w14:paraId="2ABADAA8">
      <w:pPr>
        <w:pStyle w:val="41"/>
        <w:ind w:firstLine="1267"/>
        <w:rPr>
          <w:rFonts w:hint="eastAsia" w:asciiTheme="minorEastAsia" w:hAnsiTheme="minorEastAsia" w:eastAsiaTheme="minorEastAsia" w:cstheme="minorEastAsia"/>
          <w:color w:val="auto"/>
          <w:sz w:val="36"/>
          <w:szCs w:val="36"/>
          <w:highlight w:val="none"/>
        </w:rPr>
      </w:pPr>
    </w:p>
    <w:p w14:paraId="5093F9C4">
      <w:pPr>
        <w:pStyle w:val="41"/>
        <w:ind w:firstLine="0" w:firstLineChars="0"/>
        <w:rPr>
          <w:rFonts w:hint="eastAsia" w:asciiTheme="minorEastAsia" w:hAnsiTheme="minorEastAsia" w:eastAsiaTheme="minorEastAsia" w:cstheme="minorEastAsia"/>
          <w:color w:val="auto"/>
          <w:sz w:val="36"/>
          <w:szCs w:val="36"/>
          <w:highlight w:val="none"/>
        </w:rPr>
      </w:pPr>
    </w:p>
    <w:p w14:paraId="3B13831C">
      <w:pPr>
        <w:spacing w:before="120" w:line="360" w:lineRule="auto"/>
        <w:ind w:firstLine="2280" w:firstLineChars="95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14:paraId="12A3EF51">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23698A83">
      <w:pPr>
        <w:keepNext/>
        <w:keepLines/>
        <w:pageBreakBefore w:val="0"/>
        <w:widowControl w:val="0"/>
        <w:kinsoku/>
        <w:wordWrap/>
        <w:overflowPunct/>
        <w:topLinePunct w:val="0"/>
        <w:autoSpaceDE/>
        <w:autoSpaceDN/>
        <w:bidi w:val="0"/>
        <w:adjustRightInd/>
        <w:snapToGrid/>
        <w:spacing w:line="579" w:lineRule="auto"/>
        <w:jc w:val="center"/>
        <w:textAlignment w:val="auto"/>
        <w:outlineLvl w:val="9"/>
        <w:rPr>
          <w:rFonts w:hAnsi="宋体"/>
          <w:color w:val="auto"/>
          <w:szCs w:val="21"/>
          <w:highlight w:val="none"/>
        </w:rPr>
      </w:pPr>
      <w:r>
        <w:rPr>
          <w:b/>
          <w:bCs/>
          <w:color w:val="auto"/>
          <w:sz w:val="36"/>
          <w:szCs w:val="36"/>
          <w:highlight w:val="none"/>
        </w:rPr>
        <w:t>合同协议书</w:t>
      </w:r>
    </w:p>
    <w:p w14:paraId="556ABF00">
      <w:pPr>
        <w:spacing w:line="480" w:lineRule="exact"/>
        <w:rPr>
          <w:rFonts w:hint="eastAsia" w:ascii="宋体" w:hAnsi="宋体" w:eastAsia="宋体"/>
          <w:color w:val="auto"/>
          <w:sz w:val="24"/>
          <w:highlight w:val="none"/>
          <w:lang w:eastAsia="zh-CN"/>
        </w:rPr>
      </w:pPr>
      <w:bookmarkStart w:id="87" w:name="_Toc351203481"/>
      <w:r>
        <w:rPr>
          <w:rFonts w:hint="eastAsia" w:ascii="宋体" w:hAnsi="宋体"/>
          <w:b/>
          <w:color w:val="auto"/>
          <w:sz w:val="24"/>
          <w:highlight w:val="none"/>
        </w:rPr>
        <w:t>发包人（全称）：</w:t>
      </w:r>
      <w:r>
        <w:rPr>
          <w:rFonts w:hint="eastAsia" w:ascii="宋体" w:hAnsi="宋体"/>
          <w:color w:val="auto"/>
          <w:sz w:val="24"/>
          <w:highlight w:val="none"/>
          <w:u w:val="single"/>
          <w:lang w:eastAsia="zh-CN"/>
        </w:rPr>
        <w:t>凭祥市林业局</w:t>
      </w:r>
    </w:p>
    <w:p w14:paraId="69C0A475">
      <w:pPr>
        <w:spacing w:line="480" w:lineRule="exact"/>
        <w:rPr>
          <w:rFonts w:ascii="宋体" w:hAnsi="宋体"/>
          <w:color w:val="auto"/>
          <w:sz w:val="24"/>
          <w:highlight w:val="none"/>
          <w:u w:val="single"/>
        </w:rPr>
      </w:pPr>
      <w:r>
        <w:rPr>
          <w:rFonts w:hint="eastAsia" w:ascii="宋体" w:hAnsi="宋体"/>
          <w:b/>
          <w:color w:val="auto"/>
          <w:sz w:val="24"/>
          <w:highlight w:val="none"/>
        </w:rPr>
        <w:t>承包人（全称）：</w:t>
      </w:r>
      <w:r>
        <w:rPr>
          <w:rFonts w:hint="eastAsia" w:ascii="宋体" w:hAnsi="宋体"/>
          <w:color w:val="auto"/>
          <w:sz w:val="24"/>
          <w:highlight w:val="none"/>
          <w:u w:val="single"/>
        </w:rPr>
        <w:t xml:space="preserve">            </w:t>
      </w:r>
    </w:p>
    <w:p w14:paraId="0DB137B1">
      <w:pPr>
        <w:spacing w:line="480" w:lineRule="exact"/>
        <w:ind w:firstLine="480" w:firstLineChars="200"/>
        <w:rPr>
          <w:rFonts w:ascii="宋体" w:hAnsi="宋体" w:cs="宋体"/>
          <w:color w:val="auto"/>
          <w:sz w:val="24"/>
          <w:highlight w:val="none"/>
        </w:rPr>
      </w:pPr>
      <w:r>
        <w:rPr>
          <w:rFonts w:hint="eastAsia" w:ascii="宋体" w:hAnsi="宋体"/>
          <w:color w:val="auto"/>
          <w:sz w:val="24"/>
          <w:highlight w:val="none"/>
        </w:rPr>
        <w:t>根据《中华人民共和国民法典》、《中华人民共和国建筑法》及有关法律规定，遵循平等、自愿、公平和诚实信用的原则，双方就工程施工及有关事项协商一致，共同达成如下协议：</w:t>
      </w:r>
      <w:r>
        <w:rPr>
          <w:rFonts w:hint="eastAsia" w:ascii="宋体" w:hAnsi="宋体" w:cs="宋体"/>
          <w:color w:val="auto"/>
          <w:sz w:val="24"/>
          <w:highlight w:val="none"/>
        </w:rPr>
        <w:tab/>
      </w:r>
    </w:p>
    <w:p w14:paraId="38F47752">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outlineLvl w:val="9"/>
        <w:rPr>
          <w:b/>
          <w:bCs/>
          <w:color w:val="auto"/>
          <w:sz w:val="24"/>
          <w:highlight w:val="none"/>
        </w:rPr>
      </w:pPr>
      <w:r>
        <w:rPr>
          <w:rFonts w:hAnsi="宋体"/>
          <w:b/>
          <w:bCs/>
          <w:color w:val="auto"/>
          <w:sz w:val="24"/>
          <w:highlight w:val="none"/>
        </w:rPr>
        <w:t>一、工程概况</w:t>
      </w:r>
      <w:bookmarkEnd w:id="87"/>
    </w:p>
    <w:p w14:paraId="14BF7790">
      <w:pPr>
        <w:tabs>
          <w:tab w:val="left" w:pos="7665"/>
        </w:tabs>
        <w:spacing w:line="480" w:lineRule="exact"/>
        <w:ind w:firstLine="480" w:firstLineChars="200"/>
        <w:jc w:val="left"/>
        <w:rPr>
          <w:color w:val="auto"/>
          <w:sz w:val="24"/>
          <w:highlight w:val="none"/>
          <w:u w:val="single"/>
        </w:rPr>
      </w:pPr>
      <w:r>
        <w:rPr>
          <w:bCs/>
          <w:color w:val="auto"/>
          <w:sz w:val="24"/>
          <w:highlight w:val="none"/>
        </w:rPr>
        <w:t>1.</w:t>
      </w:r>
      <w:r>
        <w:rPr>
          <w:rFonts w:hAnsi="宋体"/>
          <w:bCs/>
          <w:color w:val="auto"/>
          <w:sz w:val="24"/>
          <w:highlight w:val="none"/>
        </w:rPr>
        <w:t>工程名称</w:t>
      </w:r>
      <w:r>
        <w:rPr>
          <w:rFonts w:hAnsi="宋体"/>
          <w:color w:val="auto"/>
          <w:sz w:val="24"/>
          <w:highlight w:val="none"/>
        </w:rPr>
        <w:t>：</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eastAsia="zh-CN"/>
        </w:rPr>
        <w:t>上石镇马垌村古油茶产业基地道路建设项目</w:t>
      </w:r>
    </w:p>
    <w:p w14:paraId="23D9EF4B">
      <w:pPr>
        <w:spacing w:line="480" w:lineRule="exact"/>
        <w:ind w:firstLine="470" w:firstLineChars="196"/>
        <w:rPr>
          <w:bCs/>
          <w:color w:val="auto"/>
          <w:sz w:val="24"/>
          <w:highlight w:val="none"/>
        </w:rPr>
      </w:pPr>
      <w:r>
        <w:rPr>
          <w:bCs/>
          <w:color w:val="auto"/>
          <w:sz w:val="24"/>
          <w:highlight w:val="none"/>
        </w:rPr>
        <w:t>2.</w:t>
      </w:r>
      <w:r>
        <w:rPr>
          <w:rFonts w:hAnsi="宋体"/>
          <w:bCs/>
          <w:color w:val="auto"/>
          <w:sz w:val="24"/>
          <w:highlight w:val="none"/>
        </w:rPr>
        <w:t>工程地点：</w:t>
      </w:r>
      <w:r>
        <w:rPr>
          <w:rFonts w:hAnsi="宋体"/>
          <w:color w:val="auto"/>
          <w:sz w:val="24"/>
          <w:highlight w:val="none"/>
          <w:u w:val="single"/>
        </w:rPr>
        <w:t></w:t>
      </w:r>
      <w:r>
        <w:rPr>
          <w:rFonts w:hint="eastAsia" w:hAnsi="宋体"/>
          <w:color w:val="auto"/>
          <w:sz w:val="24"/>
          <w:highlight w:val="none"/>
          <w:u w:val="single"/>
          <w:lang w:val="en-US" w:eastAsia="zh-CN"/>
        </w:rPr>
        <w:t>凭祥市</w:t>
      </w:r>
      <w:r>
        <w:rPr>
          <w:rFonts w:hint="eastAsia" w:ascii="宋体" w:hAnsi="宋体"/>
          <w:bCs/>
          <w:color w:val="auto"/>
          <w:sz w:val="24"/>
          <w:highlight w:val="none"/>
          <w:u w:val="single"/>
          <w:lang w:eastAsia="zh-CN"/>
        </w:rPr>
        <w:t>上石镇马垌村古油茶产业基地</w:t>
      </w:r>
      <w:r>
        <w:rPr>
          <w:rFonts w:hAnsi="宋体"/>
          <w:color w:val="auto"/>
          <w:sz w:val="24"/>
          <w:highlight w:val="none"/>
          <w:u w:val="single"/>
        </w:rPr>
        <w:t></w:t>
      </w:r>
      <w:r>
        <w:rPr>
          <w:color w:val="auto"/>
          <w:sz w:val="24"/>
          <w:highlight w:val="none"/>
          <w:u w:val="single"/>
        </w:rPr>
        <w:t xml:space="preserve"> </w:t>
      </w:r>
    </w:p>
    <w:p w14:paraId="0E0875DA">
      <w:pPr>
        <w:spacing w:line="480" w:lineRule="exact"/>
        <w:ind w:firstLine="470" w:firstLineChars="196"/>
        <w:rPr>
          <w:rFonts w:ascii="宋体"/>
          <w:bCs/>
          <w:color w:val="auto"/>
          <w:sz w:val="24"/>
          <w:highlight w:val="none"/>
        </w:rPr>
      </w:pPr>
      <w:r>
        <w:rPr>
          <w:bCs/>
          <w:color w:val="auto"/>
          <w:sz w:val="24"/>
          <w:highlight w:val="none"/>
        </w:rPr>
        <w:t>3.</w:t>
      </w:r>
      <w:r>
        <w:rPr>
          <w:rFonts w:hAnsi="宋体"/>
          <w:bCs/>
          <w:color w:val="auto"/>
          <w:sz w:val="24"/>
          <w:highlight w:val="none"/>
        </w:rPr>
        <w:t>工程立项批准文号：</w:t>
      </w:r>
      <w:r>
        <w:rPr>
          <w:rFonts w:hAnsi="宋体"/>
          <w:color w:val="auto"/>
          <w:sz w:val="24"/>
          <w:highlight w:val="none"/>
          <w:u w:val="single"/>
        </w:rPr>
        <w:t></w:t>
      </w:r>
      <w:r>
        <w:rPr>
          <w:rFonts w:hint="eastAsia" w:hAnsi="宋体"/>
          <w:color w:val="auto"/>
          <w:sz w:val="24"/>
          <w:highlight w:val="none"/>
          <w:u w:val="single"/>
        </w:rPr>
        <w:t xml:space="preserve">  </w:t>
      </w:r>
      <w:r>
        <w:rPr>
          <w:rFonts w:hint="eastAsia" w:hAnsi="宋体"/>
          <w:color w:val="auto"/>
          <w:sz w:val="24"/>
          <w:highlight w:val="none"/>
          <w:u w:val="single"/>
          <w:lang w:val="en-US" w:eastAsia="zh-CN"/>
        </w:rPr>
        <w:t>/</w:t>
      </w:r>
      <w:r>
        <w:rPr>
          <w:rFonts w:hint="eastAsia" w:hAnsi="宋体"/>
          <w:color w:val="auto"/>
          <w:sz w:val="24"/>
          <w:highlight w:val="none"/>
          <w:u w:val="single"/>
        </w:rPr>
        <w:t xml:space="preserve">       </w:t>
      </w:r>
      <w:r>
        <w:rPr>
          <w:rFonts w:hint="eastAsia" w:ascii="宋体" w:hAnsi="宋体"/>
          <w:bCs/>
          <w:color w:val="auto"/>
          <w:sz w:val="24"/>
          <w:highlight w:val="none"/>
        </w:rPr>
        <w:t>。</w:t>
      </w:r>
    </w:p>
    <w:p w14:paraId="1CE2140D">
      <w:pPr>
        <w:spacing w:line="480" w:lineRule="exact"/>
        <w:ind w:firstLine="470" w:firstLineChars="196"/>
        <w:rPr>
          <w:bCs/>
          <w:color w:val="auto"/>
          <w:sz w:val="24"/>
          <w:highlight w:val="none"/>
        </w:rPr>
      </w:pPr>
      <w:r>
        <w:rPr>
          <w:rFonts w:ascii="宋体" w:hAnsi="宋体"/>
          <w:bCs/>
          <w:color w:val="auto"/>
          <w:sz w:val="24"/>
          <w:highlight w:val="none"/>
        </w:rPr>
        <w:t>4.</w:t>
      </w:r>
      <w:r>
        <w:rPr>
          <w:rFonts w:hint="eastAsia" w:ascii="宋体" w:hAnsi="宋体"/>
          <w:bCs/>
          <w:color w:val="auto"/>
          <w:sz w:val="24"/>
          <w:highlight w:val="none"/>
        </w:rPr>
        <w:t>资金来源：</w:t>
      </w:r>
      <w:r>
        <w:rPr>
          <w:rFonts w:hint="eastAsia" w:ascii="宋体" w:hAnsi="宋体"/>
          <w:bCs/>
          <w:color w:val="auto"/>
          <w:sz w:val="24"/>
          <w:highlight w:val="none"/>
          <w:u w:val="single"/>
        </w:rPr>
        <w:t>财政资金</w:t>
      </w:r>
      <w:r>
        <w:rPr>
          <w:color w:val="auto"/>
          <w:sz w:val="24"/>
          <w:highlight w:val="none"/>
          <w:u w:val="single"/>
        </w:rPr>
        <w:t xml:space="preserve"> </w:t>
      </w:r>
      <w:r>
        <w:rPr>
          <w:rFonts w:hAnsi="宋体"/>
          <w:bCs/>
          <w:color w:val="auto"/>
          <w:sz w:val="24"/>
          <w:highlight w:val="none"/>
        </w:rPr>
        <w:t>。</w:t>
      </w:r>
    </w:p>
    <w:p w14:paraId="081C8C1E">
      <w:pPr>
        <w:spacing w:line="480" w:lineRule="exact"/>
        <w:ind w:firstLine="470" w:firstLineChars="196"/>
        <w:rPr>
          <w:bCs/>
          <w:color w:val="auto"/>
          <w:sz w:val="24"/>
          <w:highlight w:val="none"/>
        </w:rPr>
      </w:pPr>
      <w:r>
        <w:rPr>
          <w:bCs/>
          <w:color w:val="auto"/>
          <w:sz w:val="24"/>
          <w:highlight w:val="none"/>
        </w:rPr>
        <w:t>5.</w:t>
      </w:r>
      <w:r>
        <w:rPr>
          <w:rFonts w:hAnsi="宋体"/>
          <w:bCs/>
          <w:color w:val="auto"/>
          <w:sz w:val="24"/>
          <w:highlight w:val="none"/>
        </w:rPr>
        <w:t>工程内容：</w:t>
      </w:r>
      <w:r>
        <w:rPr>
          <w:rFonts w:hint="eastAsia" w:hAnsi="宋体"/>
          <w:color w:val="auto"/>
          <w:sz w:val="24"/>
          <w:highlight w:val="none"/>
          <w:u w:val="single"/>
          <w:lang w:val="en-US" w:eastAsia="zh-CN"/>
        </w:rPr>
        <w:t>新建砼道路长2.5Km,路面宽3m;浆砌片石挡土墙长76m,平均高度2m;钢筋砼圆管涵1-φ0.8m长44m;项目简介碑1座。临时工程：铺、拆临时施工便道长164m,路面宽3m;片石挡土墙砌筑及拆除长21m,平均高度1.5m,安装、拆除钢筋砼圆管涵φ1.0m长12m等</w:t>
      </w:r>
      <w:r>
        <w:rPr>
          <w:rFonts w:hint="eastAsia" w:hAnsi="宋体"/>
          <w:color w:val="auto"/>
          <w:sz w:val="24"/>
          <w:highlight w:val="none"/>
          <w:u w:val="single"/>
          <w:lang w:eastAsia="zh-CN"/>
        </w:rPr>
        <w:t>；</w:t>
      </w:r>
      <w:r>
        <w:rPr>
          <w:rFonts w:hint="eastAsia" w:hAnsi="宋体"/>
          <w:color w:val="auto"/>
          <w:sz w:val="24"/>
          <w:highlight w:val="none"/>
          <w:u w:val="single"/>
        </w:rPr>
        <w:t>具体内容详见</w:t>
      </w:r>
      <w:r>
        <w:rPr>
          <w:rFonts w:hint="eastAsia" w:hAnsi="宋体"/>
          <w:color w:val="auto"/>
          <w:sz w:val="24"/>
          <w:highlight w:val="none"/>
          <w:u w:val="single"/>
          <w:lang w:val="en-US" w:eastAsia="zh-CN"/>
        </w:rPr>
        <w:t>施工图纸及</w:t>
      </w:r>
      <w:r>
        <w:rPr>
          <w:rFonts w:hint="eastAsia" w:hAnsi="宋体"/>
          <w:color w:val="auto"/>
          <w:sz w:val="24"/>
          <w:highlight w:val="none"/>
          <w:u w:val="single"/>
        </w:rPr>
        <w:t>工程量清单。</w:t>
      </w:r>
    </w:p>
    <w:p w14:paraId="771DEB4F">
      <w:pPr>
        <w:spacing w:line="480" w:lineRule="exact"/>
        <w:ind w:firstLine="470" w:firstLineChars="196"/>
        <w:rPr>
          <w:rFonts w:hAnsi="宋体"/>
          <w:color w:val="auto"/>
          <w:sz w:val="24"/>
          <w:highlight w:val="none"/>
        </w:rPr>
      </w:pPr>
      <w:r>
        <w:rPr>
          <w:bCs/>
          <w:color w:val="auto"/>
          <w:sz w:val="24"/>
          <w:highlight w:val="none"/>
        </w:rPr>
        <w:t>6.</w:t>
      </w:r>
      <w:r>
        <w:rPr>
          <w:rFonts w:hAnsi="宋体"/>
          <w:bCs/>
          <w:color w:val="auto"/>
          <w:sz w:val="24"/>
          <w:highlight w:val="none"/>
        </w:rPr>
        <w:t>工程承包范围：</w:t>
      </w:r>
      <w:r>
        <w:rPr>
          <w:rFonts w:hint="eastAsia" w:ascii="宋体" w:hAnsi="宋体" w:cs="宋体"/>
          <w:color w:val="auto"/>
          <w:sz w:val="24"/>
          <w:highlight w:val="none"/>
          <w:u w:val="single"/>
        </w:rPr>
        <w:t>工程量清单及图纸所有工程内容</w:t>
      </w:r>
      <w:r>
        <w:rPr>
          <w:rFonts w:hAnsi="宋体"/>
          <w:color w:val="auto"/>
          <w:sz w:val="24"/>
          <w:highlight w:val="none"/>
        </w:rPr>
        <w:t>。</w:t>
      </w:r>
    </w:p>
    <w:p w14:paraId="0723D437">
      <w:pPr>
        <w:keepNext w:val="0"/>
        <w:keepLines w:val="0"/>
        <w:pageBreakBefore w:val="0"/>
        <w:widowControl w:val="0"/>
        <w:kinsoku/>
        <w:wordWrap/>
        <w:overflowPunct/>
        <w:topLinePunct w:val="0"/>
        <w:autoSpaceDE/>
        <w:autoSpaceDN/>
        <w:bidi w:val="0"/>
        <w:snapToGrid/>
        <w:spacing w:line="480" w:lineRule="exact"/>
        <w:ind w:firstLine="465" w:firstLineChars="193"/>
        <w:textAlignment w:val="auto"/>
        <w:outlineLvl w:val="9"/>
        <w:rPr>
          <w:b/>
          <w:bCs/>
          <w:color w:val="auto"/>
          <w:sz w:val="24"/>
          <w:highlight w:val="none"/>
        </w:rPr>
      </w:pPr>
      <w:bookmarkStart w:id="88" w:name="_Toc351203482"/>
      <w:r>
        <w:rPr>
          <w:rFonts w:hAnsi="宋体"/>
          <w:b/>
          <w:bCs/>
          <w:color w:val="auto"/>
          <w:sz w:val="24"/>
          <w:highlight w:val="none"/>
        </w:rPr>
        <w:t>二、合同工期</w:t>
      </w:r>
      <w:bookmarkEnd w:id="88"/>
    </w:p>
    <w:p w14:paraId="709C0A15">
      <w:pPr>
        <w:spacing w:line="480" w:lineRule="exact"/>
        <w:ind w:firstLine="459"/>
        <w:rPr>
          <w:rFonts w:hAnsi="宋体"/>
          <w:color w:val="auto"/>
          <w:sz w:val="24"/>
          <w:highlight w:val="none"/>
        </w:rPr>
      </w:pPr>
      <w:r>
        <w:rPr>
          <w:rFonts w:hAnsi="宋体"/>
          <w:color w:val="auto"/>
          <w:sz w:val="24"/>
          <w:highlight w:val="none"/>
        </w:rPr>
        <w:t>计划开工日期：</w:t>
      </w:r>
      <w:r>
        <w:rPr>
          <w:rFonts w:hAnsi="宋体"/>
          <w:color w:val="auto"/>
          <w:sz w:val="24"/>
          <w:highlight w:val="none"/>
          <w:u w:val="single"/>
        </w:rPr>
        <w:t></w:t>
      </w:r>
      <w:r>
        <w:rPr>
          <w:rFonts w:hint="eastAsia" w:hAnsi="宋体"/>
          <w:color w:val="auto"/>
          <w:sz w:val="24"/>
          <w:highlight w:val="none"/>
          <w:u w:val="single"/>
        </w:rPr>
        <w:t>202</w:t>
      </w:r>
      <w:r>
        <w:rPr>
          <w:rFonts w:hint="eastAsia" w:hAnsi="宋体"/>
          <w:color w:val="auto"/>
          <w:sz w:val="24"/>
          <w:highlight w:val="none"/>
          <w:u w:val="single"/>
          <w:lang w:val="en-US" w:eastAsia="zh-CN"/>
        </w:rPr>
        <w:t>5</w:t>
      </w:r>
      <w:r>
        <w:rPr>
          <w:rFonts w:hAnsi="宋体"/>
          <w:color w:val="auto"/>
          <w:sz w:val="24"/>
          <w:highlight w:val="none"/>
          <w:u w:val="single"/>
        </w:rPr>
        <w:t></w:t>
      </w:r>
      <w:r>
        <w:rPr>
          <w:rFonts w:hAnsi="宋体"/>
          <w:color w:val="auto"/>
          <w:sz w:val="24"/>
          <w:highlight w:val="none"/>
        </w:rPr>
        <w:t>年</w:t>
      </w:r>
      <w:r>
        <w:rPr>
          <w:rFonts w:hAnsi="宋体"/>
          <w:color w:val="auto"/>
          <w:sz w:val="24"/>
          <w:highlight w:val="none"/>
          <w:u w:val="single"/>
        </w:rPr>
        <w:t></w:t>
      </w:r>
      <w:r>
        <w:rPr>
          <w:rFonts w:hint="eastAsia" w:hAnsi="宋体"/>
          <w:color w:val="auto"/>
          <w:sz w:val="24"/>
          <w:highlight w:val="none"/>
          <w:u w:val="single"/>
        </w:rPr>
        <w:t xml:space="preserve">  </w:t>
      </w:r>
      <w:r>
        <w:rPr>
          <w:rFonts w:hAnsi="宋体"/>
          <w:color w:val="auto"/>
          <w:sz w:val="24"/>
          <w:highlight w:val="none"/>
        </w:rPr>
        <w:t>月</w:t>
      </w:r>
      <w:r>
        <w:rPr>
          <w:rFonts w:hint="eastAsia" w:hAnsi="宋体"/>
          <w:color w:val="auto"/>
          <w:sz w:val="24"/>
          <w:highlight w:val="none"/>
          <w:u w:val="single"/>
        </w:rPr>
        <w:t xml:space="preserve">    </w:t>
      </w:r>
      <w:r>
        <w:rPr>
          <w:rFonts w:hAnsi="宋体"/>
          <w:color w:val="auto"/>
          <w:sz w:val="24"/>
          <w:highlight w:val="none"/>
        </w:rPr>
        <w:t>日。</w:t>
      </w:r>
    </w:p>
    <w:p w14:paraId="7B9A2438">
      <w:pPr>
        <w:spacing w:line="480" w:lineRule="exact"/>
        <w:ind w:firstLine="459"/>
        <w:rPr>
          <w:color w:val="auto"/>
          <w:sz w:val="24"/>
          <w:highlight w:val="none"/>
        </w:rPr>
      </w:pPr>
      <w:r>
        <w:rPr>
          <w:rFonts w:hAnsi="宋体"/>
          <w:color w:val="auto"/>
          <w:sz w:val="24"/>
          <w:highlight w:val="none"/>
        </w:rPr>
        <w:t>计划竣工日期：</w:t>
      </w:r>
      <w:r>
        <w:rPr>
          <w:rFonts w:hAnsi="宋体"/>
          <w:color w:val="auto"/>
          <w:sz w:val="24"/>
          <w:highlight w:val="none"/>
          <w:u w:val="single"/>
        </w:rPr>
        <w:t></w:t>
      </w:r>
      <w:r>
        <w:rPr>
          <w:rFonts w:hint="eastAsia" w:hAnsi="宋体"/>
          <w:color w:val="auto"/>
          <w:sz w:val="24"/>
          <w:highlight w:val="none"/>
          <w:u w:val="single"/>
        </w:rPr>
        <w:t>202</w:t>
      </w:r>
      <w:r>
        <w:rPr>
          <w:rFonts w:hint="eastAsia" w:hAnsi="宋体"/>
          <w:color w:val="auto"/>
          <w:sz w:val="24"/>
          <w:highlight w:val="none"/>
          <w:u w:val="single"/>
          <w:lang w:val="en-US" w:eastAsia="zh-CN"/>
        </w:rPr>
        <w:t>5</w:t>
      </w:r>
      <w:r>
        <w:rPr>
          <w:rFonts w:hAnsi="宋体"/>
          <w:color w:val="auto"/>
          <w:sz w:val="24"/>
          <w:highlight w:val="none"/>
          <w:u w:val="single"/>
        </w:rPr>
        <w:t></w:t>
      </w:r>
      <w:r>
        <w:rPr>
          <w:rFonts w:hAnsi="宋体"/>
          <w:color w:val="auto"/>
          <w:sz w:val="24"/>
          <w:highlight w:val="none"/>
        </w:rPr>
        <w:t>年</w:t>
      </w:r>
      <w:r>
        <w:rPr>
          <w:rFonts w:hint="eastAsia" w:hAnsi="宋体"/>
          <w:color w:val="auto"/>
          <w:sz w:val="24"/>
          <w:highlight w:val="none"/>
          <w:u w:val="single"/>
        </w:rPr>
        <w:t xml:space="preserve">    </w:t>
      </w:r>
      <w:r>
        <w:rPr>
          <w:rFonts w:hAnsi="宋体"/>
          <w:color w:val="auto"/>
          <w:sz w:val="24"/>
          <w:highlight w:val="none"/>
        </w:rPr>
        <w:t>月</w:t>
      </w:r>
      <w:r>
        <w:rPr>
          <w:rFonts w:hint="eastAsia" w:hAnsi="宋体"/>
          <w:color w:val="auto"/>
          <w:sz w:val="24"/>
          <w:highlight w:val="none"/>
          <w:u w:val="single"/>
        </w:rPr>
        <w:t xml:space="preserve">    </w:t>
      </w:r>
      <w:r>
        <w:rPr>
          <w:rFonts w:hAnsi="宋体"/>
          <w:color w:val="auto"/>
          <w:sz w:val="24"/>
          <w:highlight w:val="none"/>
        </w:rPr>
        <w:t>日。</w:t>
      </w:r>
    </w:p>
    <w:p w14:paraId="19EFBABF">
      <w:pPr>
        <w:spacing w:line="480" w:lineRule="exact"/>
        <w:ind w:firstLine="459"/>
        <w:rPr>
          <w:rFonts w:hAnsi="宋体"/>
          <w:color w:val="auto"/>
          <w:sz w:val="24"/>
          <w:highlight w:val="none"/>
        </w:rPr>
      </w:pPr>
      <w:r>
        <w:rPr>
          <w:rFonts w:hAnsi="宋体"/>
          <w:color w:val="auto"/>
          <w:sz w:val="24"/>
          <w:highlight w:val="none"/>
        </w:rPr>
        <w:t>工期总日历天数：</w:t>
      </w:r>
      <w:r>
        <w:rPr>
          <w:rFonts w:hint="eastAsia" w:hAnsi="宋体"/>
          <w:color w:val="auto"/>
          <w:sz w:val="24"/>
          <w:highlight w:val="none"/>
          <w:u w:val="single"/>
          <w:lang w:val="en-US" w:eastAsia="zh-CN"/>
        </w:rPr>
        <w:t>90日历</w:t>
      </w:r>
      <w:r>
        <w:rPr>
          <w:rFonts w:hAnsi="宋体"/>
          <w:color w:val="auto"/>
          <w:sz w:val="24"/>
          <w:highlight w:val="none"/>
        </w:rPr>
        <w:t>天。工期总日历天数与根据前述计划开竣工日期计算的工期天数不一致的，以工期总日历天数为准。</w:t>
      </w:r>
    </w:p>
    <w:p w14:paraId="4F045B8A">
      <w:pPr>
        <w:keepNext w:val="0"/>
        <w:keepLines w:val="0"/>
        <w:pageBreakBefore w:val="0"/>
        <w:widowControl w:val="0"/>
        <w:kinsoku/>
        <w:wordWrap/>
        <w:overflowPunct/>
        <w:topLinePunct w:val="0"/>
        <w:autoSpaceDE/>
        <w:autoSpaceDN/>
        <w:bidi w:val="0"/>
        <w:snapToGrid/>
        <w:spacing w:line="480" w:lineRule="exact"/>
        <w:ind w:firstLine="459"/>
        <w:textAlignment w:val="auto"/>
        <w:outlineLvl w:val="9"/>
        <w:rPr>
          <w:b/>
          <w:bCs/>
          <w:color w:val="auto"/>
          <w:sz w:val="24"/>
          <w:highlight w:val="none"/>
        </w:rPr>
      </w:pPr>
      <w:bookmarkStart w:id="89" w:name="_Toc351203483"/>
      <w:r>
        <w:rPr>
          <w:rFonts w:hAnsi="宋体"/>
          <w:b/>
          <w:bCs/>
          <w:color w:val="auto"/>
          <w:sz w:val="24"/>
          <w:highlight w:val="none"/>
        </w:rPr>
        <w:t>三、质量标准</w:t>
      </w:r>
      <w:bookmarkEnd w:id="89"/>
    </w:p>
    <w:p w14:paraId="147308F9">
      <w:pPr>
        <w:spacing w:line="480" w:lineRule="exact"/>
        <w:ind w:firstLine="459"/>
        <w:rPr>
          <w:rFonts w:hAnsi="宋体"/>
          <w:color w:val="auto"/>
          <w:sz w:val="24"/>
          <w:highlight w:val="none"/>
        </w:rPr>
      </w:pPr>
      <w:r>
        <w:rPr>
          <w:rFonts w:hAnsi="宋体"/>
          <w:color w:val="auto"/>
          <w:sz w:val="24"/>
          <w:highlight w:val="none"/>
        </w:rPr>
        <w:t>工程质量符合</w:t>
      </w:r>
      <w:r>
        <w:rPr>
          <w:rFonts w:ascii="Arial" w:hAnsi="Arial" w:cs="Arial"/>
          <w:color w:val="auto"/>
          <w:sz w:val="24"/>
          <w:highlight w:val="none"/>
          <w:u w:val="single"/>
        </w:rPr>
        <w:t></w:t>
      </w:r>
      <w:r>
        <w:rPr>
          <w:rFonts w:hint="eastAsia" w:ascii="Arial" w:hAnsi="Arial" w:cs="Arial"/>
          <w:color w:val="auto"/>
          <w:sz w:val="24"/>
          <w:highlight w:val="none"/>
          <w:u w:val="single"/>
        </w:rPr>
        <w:t>《</w:t>
      </w:r>
      <w:r>
        <w:rPr>
          <w:rFonts w:hint="eastAsia" w:ascii="Arial Unicode MS" w:hAnsi="Arial Unicode MS" w:cs="Arial Unicode MS"/>
          <w:color w:val="auto"/>
          <w:sz w:val="24"/>
          <w:highlight w:val="none"/>
          <w:u w:val="single"/>
        </w:rPr>
        <w:t>公路工程质量检验评定标准》（JTG F80/1-2017）</w:t>
      </w:r>
      <w:r>
        <w:rPr>
          <w:rFonts w:hAnsi="宋体"/>
          <w:color w:val="auto"/>
          <w:sz w:val="24"/>
          <w:highlight w:val="none"/>
        </w:rPr>
        <w:t>。</w:t>
      </w:r>
    </w:p>
    <w:p w14:paraId="5E32B4BA">
      <w:pPr>
        <w:keepNext w:val="0"/>
        <w:keepLines w:val="0"/>
        <w:pageBreakBefore w:val="0"/>
        <w:widowControl w:val="0"/>
        <w:kinsoku/>
        <w:wordWrap/>
        <w:overflowPunct/>
        <w:topLinePunct w:val="0"/>
        <w:autoSpaceDE/>
        <w:autoSpaceDN/>
        <w:bidi w:val="0"/>
        <w:snapToGrid/>
        <w:spacing w:line="480" w:lineRule="exact"/>
        <w:ind w:firstLine="459"/>
        <w:textAlignment w:val="auto"/>
        <w:outlineLvl w:val="9"/>
        <w:rPr>
          <w:rFonts w:hAnsi="宋体"/>
          <w:b/>
          <w:bCs/>
          <w:color w:val="auto"/>
          <w:sz w:val="24"/>
          <w:highlight w:val="none"/>
        </w:rPr>
      </w:pPr>
      <w:bookmarkStart w:id="90" w:name="_Toc351203484"/>
      <w:r>
        <w:rPr>
          <w:rFonts w:hAnsi="宋体"/>
          <w:b/>
          <w:bCs/>
          <w:color w:val="auto"/>
          <w:sz w:val="24"/>
          <w:highlight w:val="none"/>
        </w:rPr>
        <w:t>四、签约合同价与合同价格形式</w:t>
      </w:r>
      <w:bookmarkEnd w:id="90"/>
    </w:p>
    <w:p w14:paraId="76875546">
      <w:pPr>
        <w:spacing w:line="480" w:lineRule="exact"/>
        <w:ind w:firstLine="459"/>
        <w:rPr>
          <w:color w:val="auto"/>
          <w:sz w:val="24"/>
          <w:highlight w:val="none"/>
        </w:rPr>
      </w:pPr>
      <w:r>
        <w:rPr>
          <w:color w:val="auto"/>
          <w:sz w:val="24"/>
          <w:highlight w:val="none"/>
        </w:rPr>
        <w:t>1.</w:t>
      </w:r>
      <w:r>
        <w:rPr>
          <w:rFonts w:hint="eastAsia"/>
          <w:color w:val="auto"/>
          <w:sz w:val="24"/>
          <w:highlight w:val="none"/>
        </w:rPr>
        <w:t xml:space="preserve"> </w:t>
      </w:r>
      <w:r>
        <w:rPr>
          <w:rFonts w:hAnsi="宋体"/>
          <w:color w:val="auto"/>
          <w:sz w:val="24"/>
          <w:highlight w:val="none"/>
        </w:rPr>
        <w:t>签约合同价为：</w:t>
      </w:r>
    </w:p>
    <w:p w14:paraId="24449EC4">
      <w:pPr>
        <w:spacing w:line="480" w:lineRule="exact"/>
        <w:ind w:firstLine="600" w:firstLineChars="250"/>
        <w:rPr>
          <w:rFonts w:hAnsi="宋体"/>
          <w:color w:val="auto"/>
          <w:sz w:val="24"/>
          <w:highlight w:val="none"/>
        </w:rPr>
      </w:pPr>
      <w:r>
        <w:rPr>
          <w:rFonts w:hAnsi="宋体"/>
          <w:color w:val="auto"/>
          <w:sz w:val="24"/>
          <w:highlight w:val="none"/>
        </w:rPr>
        <w:t>人民币（大写）</w:t>
      </w:r>
      <w:r>
        <w:rPr>
          <w:rFonts w:hint="eastAsia" w:hAnsi="宋体"/>
          <w:color w:val="auto"/>
          <w:sz w:val="24"/>
          <w:highlight w:val="none"/>
          <w:u w:val="single"/>
        </w:rPr>
        <w:t xml:space="preserve">            元整</w:t>
      </w:r>
      <w:r>
        <w:rPr>
          <w:rFonts w:hint="eastAsia"/>
          <w:color w:val="auto"/>
          <w:sz w:val="24"/>
          <w:highlight w:val="none"/>
        </w:rPr>
        <w:t>（</w:t>
      </w:r>
      <w:r>
        <w:rPr>
          <w:color w:val="auto"/>
          <w:sz w:val="24"/>
          <w:highlight w:val="none"/>
        </w:rPr>
        <w:t>¥</w:t>
      </w:r>
      <w:r>
        <w:rPr>
          <w:rFonts w:hint="eastAsia"/>
          <w:color w:val="auto"/>
          <w:sz w:val="24"/>
          <w:highlight w:val="none"/>
          <w:u w:val="single"/>
        </w:rPr>
        <w:t xml:space="preserve">           </w:t>
      </w:r>
      <w:r>
        <w:rPr>
          <w:rFonts w:hAnsi="宋体"/>
          <w:color w:val="auto"/>
          <w:sz w:val="24"/>
          <w:highlight w:val="none"/>
        </w:rPr>
        <w:t>元</w:t>
      </w:r>
      <w:r>
        <w:rPr>
          <w:rFonts w:hint="eastAsia"/>
          <w:color w:val="auto"/>
          <w:sz w:val="24"/>
          <w:highlight w:val="none"/>
        </w:rPr>
        <w:t>）</w:t>
      </w:r>
      <w:r>
        <w:rPr>
          <w:rFonts w:hAnsi="宋体"/>
          <w:color w:val="auto"/>
          <w:sz w:val="24"/>
          <w:highlight w:val="none"/>
        </w:rPr>
        <w:t>；</w:t>
      </w:r>
    </w:p>
    <w:p w14:paraId="2050AB5A">
      <w:pPr>
        <w:spacing w:line="480" w:lineRule="exact"/>
        <w:ind w:firstLine="480" w:firstLineChars="200"/>
        <w:rPr>
          <w:rFonts w:hAnsi="宋体"/>
          <w:color w:val="auto"/>
          <w:sz w:val="24"/>
          <w:highlight w:val="none"/>
        </w:rPr>
      </w:pPr>
      <w:r>
        <w:rPr>
          <w:color w:val="auto"/>
          <w:sz w:val="24"/>
          <w:highlight w:val="none"/>
        </w:rPr>
        <w:t>2.</w:t>
      </w:r>
      <w:r>
        <w:rPr>
          <w:rFonts w:hint="eastAsia"/>
          <w:color w:val="auto"/>
          <w:sz w:val="24"/>
          <w:highlight w:val="none"/>
        </w:rPr>
        <w:t xml:space="preserve"> </w:t>
      </w:r>
      <w:r>
        <w:rPr>
          <w:rFonts w:hAnsi="宋体"/>
          <w:color w:val="auto"/>
          <w:sz w:val="24"/>
          <w:highlight w:val="none"/>
        </w:rPr>
        <w:t>合同价格形式：</w:t>
      </w:r>
      <w:r>
        <w:rPr>
          <w:rFonts w:hint="eastAsia" w:hAnsi="宋体"/>
          <w:color w:val="auto"/>
          <w:sz w:val="24"/>
          <w:highlight w:val="none"/>
          <w:u w:val="single"/>
        </w:rPr>
        <w:t>单价合同</w:t>
      </w:r>
      <w:r>
        <w:rPr>
          <w:rFonts w:hint="eastAsia" w:ascii="Arial" w:hAnsi="Arial" w:cs="Arial"/>
          <w:color w:val="auto"/>
          <w:sz w:val="24"/>
          <w:highlight w:val="none"/>
          <w:u w:val="single"/>
        </w:rPr>
        <w:t xml:space="preserve"> </w:t>
      </w:r>
      <w:r>
        <w:rPr>
          <w:rFonts w:hAnsi="宋体"/>
          <w:color w:val="auto"/>
          <w:sz w:val="24"/>
          <w:highlight w:val="none"/>
        </w:rPr>
        <w:t>。</w:t>
      </w:r>
    </w:p>
    <w:p w14:paraId="784D84F0">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outlineLvl w:val="9"/>
        <w:rPr>
          <w:b/>
          <w:bCs/>
          <w:color w:val="auto"/>
          <w:sz w:val="24"/>
          <w:highlight w:val="none"/>
        </w:rPr>
      </w:pPr>
      <w:bookmarkStart w:id="91" w:name="_Toc351203485"/>
      <w:r>
        <w:rPr>
          <w:rFonts w:hAnsi="宋体"/>
          <w:b/>
          <w:bCs/>
          <w:color w:val="auto"/>
          <w:sz w:val="24"/>
          <w:highlight w:val="none"/>
        </w:rPr>
        <w:t>五、</w:t>
      </w:r>
      <w:bookmarkEnd w:id="91"/>
      <w:r>
        <w:rPr>
          <w:rFonts w:hAnsi="宋体"/>
          <w:b/>
          <w:bCs/>
          <w:color w:val="auto"/>
          <w:sz w:val="24"/>
          <w:highlight w:val="none"/>
        </w:rPr>
        <w:t>项目经理</w:t>
      </w:r>
    </w:p>
    <w:p w14:paraId="337C0D1D">
      <w:pPr>
        <w:spacing w:line="480" w:lineRule="exact"/>
        <w:ind w:firstLine="480" w:firstLineChars="200"/>
        <w:rPr>
          <w:rFonts w:hAnsi="宋体"/>
          <w:color w:val="auto"/>
          <w:sz w:val="24"/>
          <w:highlight w:val="none"/>
        </w:rPr>
      </w:pPr>
      <w:r>
        <w:rPr>
          <w:rFonts w:hAnsi="宋体"/>
          <w:color w:val="auto"/>
          <w:sz w:val="24"/>
          <w:highlight w:val="none"/>
        </w:rPr>
        <w:t>承包人项目经理：</w:t>
      </w:r>
      <w:r>
        <w:rPr>
          <w:rFonts w:hint="eastAsia" w:hAnsi="宋体"/>
          <w:color w:val="auto"/>
          <w:sz w:val="24"/>
          <w:highlight w:val="none"/>
          <w:u w:val="single"/>
        </w:rPr>
        <w:t xml:space="preserve">        </w:t>
      </w:r>
      <w:r>
        <w:rPr>
          <w:rFonts w:hAnsi="宋体"/>
          <w:color w:val="auto"/>
          <w:sz w:val="24"/>
          <w:highlight w:val="none"/>
        </w:rPr>
        <w:t>。</w:t>
      </w:r>
    </w:p>
    <w:p w14:paraId="451F0BA2">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outlineLvl w:val="9"/>
        <w:rPr>
          <w:b/>
          <w:bCs/>
          <w:color w:val="auto"/>
          <w:sz w:val="24"/>
          <w:highlight w:val="none"/>
        </w:rPr>
      </w:pPr>
      <w:bookmarkStart w:id="92" w:name="_Toc351203486"/>
      <w:r>
        <w:rPr>
          <w:rFonts w:hAnsi="宋体"/>
          <w:b/>
          <w:bCs/>
          <w:color w:val="auto"/>
          <w:sz w:val="24"/>
          <w:highlight w:val="none"/>
        </w:rPr>
        <w:t>六、合同文件构成</w:t>
      </w:r>
      <w:bookmarkEnd w:id="92"/>
    </w:p>
    <w:p w14:paraId="7212D00E">
      <w:pPr>
        <w:spacing w:line="480" w:lineRule="exact"/>
        <w:ind w:firstLine="480" w:firstLineChars="200"/>
        <w:rPr>
          <w:bCs/>
          <w:color w:val="auto"/>
          <w:sz w:val="24"/>
          <w:highlight w:val="none"/>
        </w:rPr>
      </w:pPr>
      <w:r>
        <w:rPr>
          <w:rFonts w:hAnsi="宋体"/>
          <w:bCs/>
          <w:color w:val="auto"/>
          <w:sz w:val="24"/>
          <w:highlight w:val="none"/>
        </w:rPr>
        <w:t>本协议书与下列文件一起构成合同文件：</w:t>
      </w:r>
    </w:p>
    <w:p w14:paraId="06168D50">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w:t>
      </w:r>
      <w:r>
        <w:rPr>
          <w:rFonts w:hint="eastAsia" w:ascii="宋体" w:hAnsi="宋体"/>
          <w:color w:val="auto"/>
          <w:sz w:val="24"/>
          <w:highlight w:val="none"/>
          <w:lang w:val="en-US" w:eastAsia="zh-CN"/>
        </w:rPr>
        <w:t>成交</w:t>
      </w:r>
      <w:r>
        <w:rPr>
          <w:rFonts w:hint="eastAsia" w:ascii="宋体" w:hAnsi="宋体"/>
          <w:color w:val="auto"/>
          <w:sz w:val="24"/>
          <w:highlight w:val="none"/>
        </w:rPr>
        <w:t>通知书；</w:t>
      </w:r>
    </w:p>
    <w:p w14:paraId="7101F28B">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）投标函及其附录；</w:t>
      </w:r>
      <w:r>
        <w:rPr>
          <w:rFonts w:ascii="宋体" w:hAnsi="宋体"/>
          <w:color w:val="auto"/>
          <w:sz w:val="24"/>
          <w:highlight w:val="none"/>
        </w:rPr>
        <w:t xml:space="preserve"> </w:t>
      </w:r>
    </w:p>
    <w:p w14:paraId="760287E6">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）专用合同条款及其附件；</w:t>
      </w:r>
    </w:p>
    <w:p w14:paraId="130E37B0">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）通用合同条款；</w:t>
      </w:r>
    </w:p>
    <w:p w14:paraId="6D50D9C0">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）技术标准和要求；</w:t>
      </w:r>
    </w:p>
    <w:p w14:paraId="55C785C0">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）图纸；</w:t>
      </w:r>
    </w:p>
    <w:p w14:paraId="661B59CF">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）已标价工程量清单或预算书；</w:t>
      </w:r>
    </w:p>
    <w:p w14:paraId="321DCF0F">
      <w:pPr>
        <w:autoSpaceDE w:val="0"/>
        <w:autoSpaceDN w:val="0"/>
        <w:spacing w:line="480" w:lineRule="exact"/>
        <w:ind w:firstLine="480" w:firstLineChars="200"/>
        <w:jc w:val="left"/>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8</w:t>
      </w:r>
      <w:r>
        <w:rPr>
          <w:rFonts w:hint="eastAsia" w:ascii="宋体" w:hAnsi="宋体"/>
          <w:color w:val="auto"/>
          <w:sz w:val="24"/>
          <w:highlight w:val="none"/>
        </w:rPr>
        <w:t>）其他合同文件。</w:t>
      </w:r>
    </w:p>
    <w:p w14:paraId="30647457">
      <w:pPr>
        <w:autoSpaceDE w:val="0"/>
        <w:autoSpaceDN w:val="0"/>
        <w:adjustRightInd w:val="0"/>
        <w:spacing w:line="480" w:lineRule="exact"/>
        <w:ind w:firstLine="480" w:firstLineChars="200"/>
        <w:jc w:val="left"/>
        <w:rPr>
          <w:rFonts w:hAnsi="宋体"/>
          <w:color w:val="auto"/>
          <w:sz w:val="24"/>
          <w:highlight w:val="none"/>
        </w:rPr>
      </w:pPr>
      <w:r>
        <w:rPr>
          <w:rFonts w:hint="eastAsia" w:hAnsi="宋体"/>
          <w:color w:val="auto"/>
          <w:sz w:val="24"/>
          <w:highlight w:val="none"/>
          <w:lang w:eastAsia="zh-CN"/>
        </w:rPr>
        <w:t>采购文件</w:t>
      </w:r>
      <w:r>
        <w:rPr>
          <w:rFonts w:hint="eastAsia" w:hAnsi="宋体"/>
          <w:color w:val="auto"/>
          <w:sz w:val="24"/>
          <w:highlight w:val="none"/>
        </w:rPr>
        <w:t>及附件（含所有补充通知）；</w:t>
      </w:r>
    </w:p>
    <w:p w14:paraId="326E4B05">
      <w:pPr>
        <w:autoSpaceDE w:val="0"/>
        <w:autoSpaceDN w:val="0"/>
        <w:adjustRightInd w:val="0"/>
        <w:spacing w:line="480" w:lineRule="exact"/>
        <w:ind w:firstLine="480" w:firstLineChars="200"/>
        <w:jc w:val="left"/>
        <w:rPr>
          <w:color w:val="auto"/>
          <w:sz w:val="24"/>
          <w:highlight w:val="none"/>
        </w:rPr>
      </w:pPr>
      <w:r>
        <w:rPr>
          <w:rFonts w:hAnsi="宋体"/>
          <w:color w:val="auto"/>
          <w:sz w:val="24"/>
          <w:highlight w:val="none"/>
        </w:rPr>
        <w:t>在合同订立及履行过程中形成的与合同有关的文件均构成合同文件组成部分。</w:t>
      </w:r>
    </w:p>
    <w:p w14:paraId="272355F4">
      <w:pPr>
        <w:autoSpaceDE w:val="0"/>
        <w:autoSpaceDN w:val="0"/>
        <w:adjustRightInd w:val="0"/>
        <w:spacing w:line="480" w:lineRule="exact"/>
        <w:ind w:firstLine="480" w:firstLineChars="200"/>
        <w:jc w:val="left"/>
        <w:rPr>
          <w:rFonts w:hAnsi="宋体"/>
          <w:color w:val="auto"/>
          <w:sz w:val="24"/>
          <w:highlight w:val="none"/>
        </w:rPr>
      </w:pPr>
      <w:r>
        <w:rPr>
          <w:rFonts w:hAnsi="宋体"/>
          <w:color w:val="auto"/>
          <w:sz w:val="24"/>
          <w:highlight w:val="none"/>
        </w:rPr>
        <w:t>上述各项合同文件包括合同当事人就该项合同文件所作出的补充和修改，属于同一类内容的文件，</w:t>
      </w:r>
      <w:r>
        <w:rPr>
          <w:rFonts w:hint="eastAsia" w:hAnsi="宋体" w:cs="宋体"/>
          <w:color w:val="auto"/>
          <w:kern w:val="0"/>
          <w:sz w:val="24"/>
          <w:highlight w:val="none"/>
        </w:rPr>
        <w:t>应以最新签署的为</w:t>
      </w:r>
      <w:r>
        <w:rPr>
          <w:rFonts w:hint="eastAsia" w:hAnsi="宋体"/>
          <w:color w:val="auto"/>
          <w:sz w:val="24"/>
          <w:highlight w:val="none"/>
        </w:rPr>
        <w:t>准（违反</w:t>
      </w:r>
      <w:r>
        <w:rPr>
          <w:rFonts w:hint="eastAsia" w:hAnsi="宋体"/>
          <w:color w:val="auto"/>
          <w:sz w:val="24"/>
          <w:highlight w:val="none"/>
          <w:lang w:eastAsia="zh-CN"/>
        </w:rPr>
        <w:t>采购文件</w:t>
      </w:r>
      <w:r>
        <w:rPr>
          <w:rFonts w:hAnsi="宋体"/>
          <w:color w:val="auto"/>
          <w:sz w:val="24"/>
          <w:highlight w:val="none"/>
        </w:rPr>
        <w:t>实质性内容的约定除外</w:t>
      </w:r>
      <w:r>
        <w:rPr>
          <w:rFonts w:hint="eastAsia" w:hAnsi="宋体"/>
          <w:color w:val="auto"/>
          <w:sz w:val="24"/>
          <w:highlight w:val="none"/>
        </w:rPr>
        <w:t>）。</w:t>
      </w:r>
      <w:r>
        <w:rPr>
          <w:rFonts w:hAnsi="宋体"/>
          <w:color w:val="auto"/>
          <w:sz w:val="24"/>
          <w:highlight w:val="none"/>
        </w:rPr>
        <w:t>专用合同条款及其附件须经合同当事人签字或盖章。</w:t>
      </w:r>
    </w:p>
    <w:p w14:paraId="1051BE05">
      <w:pPr>
        <w:keepNext w:val="0"/>
        <w:keepLines w:val="0"/>
        <w:pageBreakBefore w:val="0"/>
        <w:widowControl w:val="0"/>
        <w:kinsoku/>
        <w:wordWrap/>
        <w:overflowPunct/>
        <w:topLinePunct w:val="0"/>
        <w:autoSpaceDE/>
        <w:autoSpaceDN/>
        <w:bidi w:val="0"/>
        <w:adjustRightInd w:val="0"/>
        <w:snapToGrid/>
        <w:spacing w:line="480" w:lineRule="exact"/>
        <w:ind w:firstLine="482" w:firstLineChars="200"/>
        <w:jc w:val="left"/>
        <w:textAlignment w:val="auto"/>
        <w:outlineLvl w:val="9"/>
        <w:rPr>
          <w:b/>
          <w:bCs/>
          <w:color w:val="auto"/>
          <w:sz w:val="24"/>
          <w:highlight w:val="none"/>
        </w:rPr>
      </w:pPr>
      <w:bookmarkStart w:id="93" w:name="_Toc351203487"/>
      <w:r>
        <w:rPr>
          <w:rFonts w:hAnsi="宋体"/>
          <w:b/>
          <w:bCs/>
          <w:color w:val="auto"/>
          <w:sz w:val="24"/>
          <w:highlight w:val="none"/>
        </w:rPr>
        <w:t>七、承诺</w:t>
      </w:r>
      <w:bookmarkEnd w:id="93"/>
    </w:p>
    <w:p w14:paraId="14A24A12">
      <w:pPr>
        <w:spacing w:line="480" w:lineRule="exact"/>
        <w:ind w:firstLine="480" w:firstLineChars="200"/>
        <w:rPr>
          <w:bCs/>
          <w:color w:val="auto"/>
          <w:sz w:val="24"/>
          <w:highlight w:val="none"/>
        </w:rPr>
      </w:pPr>
      <w:r>
        <w:rPr>
          <w:bCs/>
          <w:color w:val="auto"/>
          <w:sz w:val="24"/>
          <w:highlight w:val="none"/>
        </w:rPr>
        <w:t>1.</w:t>
      </w:r>
      <w:r>
        <w:rPr>
          <w:rFonts w:hint="eastAsia"/>
          <w:bCs/>
          <w:color w:val="auto"/>
          <w:sz w:val="24"/>
          <w:highlight w:val="none"/>
        </w:rPr>
        <w:t xml:space="preserve"> </w:t>
      </w:r>
      <w:r>
        <w:rPr>
          <w:rFonts w:hAnsi="宋体"/>
          <w:bCs/>
          <w:color w:val="auto"/>
          <w:sz w:val="24"/>
          <w:highlight w:val="none"/>
        </w:rPr>
        <w:t>发包人承诺按照法律规定履行项目审批手续、筹集工程建设资金并按照合同约定的期限和方式支付合同价款。</w:t>
      </w:r>
    </w:p>
    <w:p w14:paraId="48309209">
      <w:pPr>
        <w:spacing w:line="480" w:lineRule="exact"/>
        <w:ind w:firstLine="480" w:firstLineChars="200"/>
        <w:rPr>
          <w:bCs/>
          <w:color w:val="auto"/>
          <w:sz w:val="24"/>
          <w:highlight w:val="none"/>
        </w:rPr>
      </w:pPr>
      <w:r>
        <w:rPr>
          <w:bCs/>
          <w:color w:val="auto"/>
          <w:sz w:val="24"/>
          <w:highlight w:val="none"/>
        </w:rPr>
        <w:t>2.</w:t>
      </w:r>
      <w:r>
        <w:rPr>
          <w:rFonts w:hint="eastAsia"/>
          <w:bCs/>
          <w:color w:val="auto"/>
          <w:sz w:val="24"/>
          <w:highlight w:val="none"/>
        </w:rPr>
        <w:t xml:space="preserve"> </w:t>
      </w:r>
      <w:r>
        <w:rPr>
          <w:rFonts w:hAnsi="宋体"/>
          <w:bCs/>
          <w:color w:val="auto"/>
          <w:sz w:val="24"/>
          <w:highlight w:val="none"/>
        </w:rPr>
        <w:t>承包人承诺按照法律规定及合同约定组织完成工程施工，确保工程质量和安全，不进行转包及违法分包，并在缺陷责任期及保修期内承担相应的工程维修责任。</w:t>
      </w:r>
    </w:p>
    <w:p w14:paraId="56C972EA">
      <w:pPr>
        <w:spacing w:line="480" w:lineRule="exact"/>
        <w:ind w:firstLine="480" w:firstLineChars="200"/>
        <w:rPr>
          <w:rFonts w:hAnsi="宋体"/>
          <w:bCs/>
          <w:color w:val="auto"/>
          <w:sz w:val="24"/>
          <w:highlight w:val="none"/>
        </w:rPr>
      </w:pPr>
      <w:r>
        <w:rPr>
          <w:bCs/>
          <w:color w:val="auto"/>
          <w:sz w:val="24"/>
          <w:highlight w:val="none"/>
        </w:rPr>
        <w:t>3.</w:t>
      </w:r>
      <w:r>
        <w:rPr>
          <w:rFonts w:hint="eastAsia"/>
          <w:bCs/>
          <w:color w:val="auto"/>
          <w:sz w:val="24"/>
          <w:highlight w:val="none"/>
        </w:rPr>
        <w:t xml:space="preserve"> </w:t>
      </w:r>
      <w:r>
        <w:rPr>
          <w:rFonts w:hAnsi="宋体"/>
          <w:bCs/>
          <w:color w:val="auto"/>
          <w:sz w:val="24"/>
          <w:highlight w:val="none"/>
        </w:rPr>
        <w:t>发包人和承包人通过招投标形式签订合同的，双方理解并承诺不再就同一工程另行签订与合同实质性内容相背离的协议。</w:t>
      </w:r>
      <w:bookmarkStart w:id="94" w:name="_Toc351203488"/>
    </w:p>
    <w:p w14:paraId="1129FFFC">
      <w:pPr>
        <w:pStyle w:val="10"/>
        <w:spacing w:line="480" w:lineRule="exact"/>
        <w:rPr>
          <w:color w:val="auto"/>
          <w:sz w:val="24"/>
          <w:szCs w:val="24"/>
          <w:highlight w:val="none"/>
        </w:rPr>
      </w:pPr>
      <w:r>
        <w:rPr>
          <w:rFonts w:hint="eastAsia" w:ascii="宋体" w:hAnsi="宋体"/>
          <w:bCs/>
          <w:color w:val="auto"/>
          <w:sz w:val="24"/>
          <w:szCs w:val="24"/>
          <w:highlight w:val="none"/>
        </w:rPr>
        <w:t>4.执行农民工工资保证金制度,在办理工程项目开工手续前，承包人必须向相关劳动保障部门按各行业标准在劳动保障部门指定的账户足额存入农民工工资保证金。</w:t>
      </w:r>
    </w:p>
    <w:p w14:paraId="718B2A2C">
      <w:pPr>
        <w:keepNext w:val="0"/>
        <w:keepLines w:val="0"/>
        <w:pageBreakBefore w:val="0"/>
        <w:widowControl w:val="0"/>
        <w:kinsoku/>
        <w:wordWrap/>
        <w:overflowPunct/>
        <w:topLinePunct w:val="0"/>
        <w:autoSpaceDE/>
        <w:autoSpaceDN/>
        <w:bidi w:val="0"/>
        <w:snapToGrid/>
        <w:spacing w:line="480" w:lineRule="exact"/>
        <w:ind w:firstLine="482" w:firstLineChars="200"/>
        <w:textAlignment w:val="auto"/>
        <w:outlineLvl w:val="9"/>
        <w:rPr>
          <w:b/>
          <w:bCs/>
          <w:color w:val="auto"/>
          <w:sz w:val="24"/>
          <w:highlight w:val="none"/>
        </w:rPr>
      </w:pPr>
      <w:r>
        <w:rPr>
          <w:rFonts w:hAnsi="宋体"/>
          <w:b/>
          <w:bCs/>
          <w:color w:val="auto"/>
          <w:sz w:val="24"/>
          <w:highlight w:val="none"/>
        </w:rPr>
        <w:t>八、词语含义</w:t>
      </w:r>
      <w:bookmarkEnd w:id="94"/>
    </w:p>
    <w:p w14:paraId="1B67D5DE">
      <w:pPr>
        <w:spacing w:line="480" w:lineRule="exact"/>
        <w:ind w:firstLine="480" w:firstLineChars="200"/>
        <w:rPr>
          <w:rFonts w:hAnsi="宋体"/>
          <w:bCs/>
          <w:color w:val="auto"/>
          <w:sz w:val="24"/>
          <w:highlight w:val="none"/>
        </w:rPr>
      </w:pPr>
      <w:r>
        <w:rPr>
          <w:rFonts w:hAnsi="宋体"/>
          <w:bCs/>
          <w:color w:val="auto"/>
          <w:sz w:val="24"/>
          <w:highlight w:val="none"/>
        </w:rPr>
        <w:t>本协议书中词语含义与第二部分通用合同条款中赋予的含义相同。</w:t>
      </w:r>
    </w:p>
    <w:p w14:paraId="1A8FF70C">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b/>
          <w:bCs/>
          <w:color w:val="auto"/>
          <w:sz w:val="24"/>
          <w:highlight w:val="none"/>
        </w:rPr>
      </w:pPr>
      <w:bookmarkStart w:id="95" w:name="_Toc351203489"/>
      <w:r>
        <w:rPr>
          <w:rFonts w:hAnsi="宋体"/>
          <w:b/>
          <w:bCs/>
          <w:color w:val="auto"/>
          <w:sz w:val="24"/>
          <w:highlight w:val="none"/>
        </w:rPr>
        <w:t>九、签订时间</w:t>
      </w:r>
      <w:bookmarkEnd w:id="95"/>
    </w:p>
    <w:p w14:paraId="4E5E03FA">
      <w:pPr>
        <w:spacing w:line="480" w:lineRule="exact"/>
        <w:ind w:firstLine="480" w:firstLineChars="200"/>
        <w:rPr>
          <w:rFonts w:hAnsi="宋体"/>
          <w:bCs/>
          <w:color w:val="auto"/>
          <w:sz w:val="24"/>
          <w:highlight w:val="none"/>
        </w:rPr>
      </w:pPr>
      <w:r>
        <w:rPr>
          <w:rFonts w:hAnsi="宋体"/>
          <w:bCs/>
          <w:color w:val="auto"/>
          <w:sz w:val="24"/>
          <w:highlight w:val="none"/>
        </w:rPr>
        <w:t>本合同于</w:t>
      </w:r>
      <w:r>
        <w:rPr>
          <w:bCs/>
          <w:color w:val="auto"/>
          <w:sz w:val="24"/>
          <w:highlight w:val="none"/>
          <w:u w:val="single"/>
        </w:rPr>
        <w:t xml:space="preserve"> </w:t>
      </w:r>
      <w:r>
        <w:rPr>
          <w:rFonts w:hint="eastAsia"/>
          <w:bCs/>
          <w:color w:val="auto"/>
          <w:sz w:val="24"/>
          <w:highlight w:val="none"/>
          <w:u w:val="single"/>
        </w:rPr>
        <w:t>202</w:t>
      </w:r>
      <w:r>
        <w:rPr>
          <w:rFonts w:hint="eastAsia"/>
          <w:bCs/>
          <w:color w:val="auto"/>
          <w:sz w:val="24"/>
          <w:highlight w:val="none"/>
          <w:u w:val="single"/>
          <w:lang w:val="en-US" w:eastAsia="zh-CN"/>
        </w:rPr>
        <w:t>5</w:t>
      </w:r>
      <w:r>
        <w:rPr>
          <w:bCs/>
          <w:color w:val="auto"/>
          <w:sz w:val="24"/>
          <w:highlight w:val="none"/>
          <w:u w:val="single"/>
        </w:rPr>
        <w:t xml:space="preserve"> </w:t>
      </w:r>
      <w:r>
        <w:rPr>
          <w:rFonts w:hAnsi="宋体"/>
          <w:bCs/>
          <w:color w:val="auto"/>
          <w:sz w:val="24"/>
          <w:highlight w:val="none"/>
        </w:rPr>
        <w:t>年</w:t>
      </w:r>
      <w:r>
        <w:rPr>
          <w:bCs/>
          <w:color w:val="auto"/>
          <w:sz w:val="24"/>
          <w:highlight w:val="none"/>
          <w:u w:val="single"/>
        </w:rPr>
        <w:t xml:space="preserve"> </w:t>
      </w:r>
      <w:r>
        <w:rPr>
          <w:rFonts w:hint="eastAsia"/>
          <w:bCs/>
          <w:color w:val="auto"/>
          <w:sz w:val="24"/>
          <w:highlight w:val="none"/>
          <w:u w:val="single"/>
        </w:rPr>
        <w:t xml:space="preserve"> </w:t>
      </w:r>
      <w:r>
        <w:rPr>
          <w:bCs/>
          <w:color w:val="auto"/>
          <w:sz w:val="24"/>
          <w:highlight w:val="none"/>
          <w:u w:val="single"/>
        </w:rPr>
        <w:t xml:space="preserve"> </w:t>
      </w:r>
      <w:r>
        <w:rPr>
          <w:rFonts w:hAnsi="宋体"/>
          <w:bCs/>
          <w:color w:val="auto"/>
          <w:sz w:val="24"/>
          <w:highlight w:val="none"/>
        </w:rPr>
        <w:t>月</w:t>
      </w:r>
      <w:r>
        <w:rPr>
          <w:bCs/>
          <w:color w:val="auto"/>
          <w:sz w:val="24"/>
          <w:highlight w:val="none"/>
          <w:u w:val="single"/>
        </w:rPr>
        <w:t xml:space="preserve">   </w:t>
      </w:r>
      <w:r>
        <w:rPr>
          <w:rFonts w:hAnsi="宋体"/>
          <w:bCs/>
          <w:color w:val="auto"/>
          <w:sz w:val="24"/>
          <w:highlight w:val="none"/>
        </w:rPr>
        <w:t>日签订。</w:t>
      </w:r>
    </w:p>
    <w:p w14:paraId="3CA2429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b/>
          <w:bCs/>
          <w:color w:val="auto"/>
          <w:sz w:val="24"/>
          <w:highlight w:val="none"/>
        </w:rPr>
      </w:pPr>
      <w:bookmarkStart w:id="96" w:name="_Toc351203490"/>
      <w:r>
        <w:rPr>
          <w:rFonts w:hAnsi="宋体"/>
          <w:b/>
          <w:bCs/>
          <w:color w:val="auto"/>
          <w:sz w:val="24"/>
          <w:highlight w:val="none"/>
        </w:rPr>
        <w:t>十、签订地点</w:t>
      </w:r>
      <w:bookmarkEnd w:id="96"/>
    </w:p>
    <w:p w14:paraId="717C9A7C">
      <w:pPr>
        <w:spacing w:line="480" w:lineRule="exact"/>
        <w:ind w:firstLine="480" w:firstLineChars="200"/>
        <w:rPr>
          <w:rFonts w:hAnsi="宋体"/>
          <w:bCs/>
          <w:color w:val="auto"/>
          <w:sz w:val="24"/>
          <w:highlight w:val="none"/>
        </w:rPr>
      </w:pPr>
      <w:r>
        <w:rPr>
          <w:rFonts w:hAnsi="宋体"/>
          <w:bCs/>
          <w:color w:val="auto"/>
          <w:sz w:val="24"/>
          <w:highlight w:val="none"/>
        </w:rPr>
        <w:t>本合同在</w:t>
      </w:r>
      <w:r>
        <w:rPr>
          <w:bCs/>
          <w:color w:val="auto"/>
          <w:sz w:val="24"/>
          <w:highlight w:val="none"/>
          <w:u w:val="single"/>
        </w:rPr>
        <w:t xml:space="preserve"> </w:t>
      </w:r>
      <w:r>
        <w:rPr>
          <w:rFonts w:hint="eastAsia"/>
          <w:bCs/>
          <w:color w:val="auto"/>
          <w:sz w:val="24"/>
          <w:highlight w:val="none"/>
          <w:u w:val="single"/>
          <w:lang w:eastAsia="zh-CN"/>
        </w:rPr>
        <w:t>凭祥市林业局</w:t>
      </w:r>
      <w:r>
        <w:rPr>
          <w:bCs/>
          <w:color w:val="auto"/>
          <w:sz w:val="24"/>
          <w:highlight w:val="none"/>
          <w:u w:val="single"/>
        </w:rPr>
        <w:t xml:space="preserve">  </w:t>
      </w:r>
      <w:r>
        <w:rPr>
          <w:rFonts w:hAnsi="宋体"/>
          <w:bCs/>
          <w:color w:val="auto"/>
          <w:sz w:val="24"/>
          <w:highlight w:val="none"/>
        </w:rPr>
        <w:t>签订。</w:t>
      </w:r>
    </w:p>
    <w:p w14:paraId="2D313A55">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b/>
          <w:bCs/>
          <w:color w:val="auto"/>
          <w:sz w:val="24"/>
          <w:highlight w:val="none"/>
        </w:rPr>
      </w:pPr>
      <w:bookmarkStart w:id="97" w:name="_Toc351203491"/>
      <w:r>
        <w:rPr>
          <w:rFonts w:hAnsi="宋体"/>
          <w:b/>
          <w:bCs/>
          <w:color w:val="auto"/>
          <w:sz w:val="24"/>
          <w:highlight w:val="none"/>
        </w:rPr>
        <w:t>十一、补充协议</w:t>
      </w:r>
      <w:bookmarkEnd w:id="97"/>
    </w:p>
    <w:p w14:paraId="3753E8CC">
      <w:pPr>
        <w:spacing w:line="480" w:lineRule="exact"/>
        <w:ind w:firstLine="480" w:firstLineChars="200"/>
        <w:rPr>
          <w:rFonts w:hAnsi="宋体"/>
          <w:bCs/>
          <w:color w:val="auto"/>
          <w:sz w:val="24"/>
          <w:highlight w:val="none"/>
        </w:rPr>
      </w:pPr>
      <w:r>
        <w:rPr>
          <w:rFonts w:hAnsi="宋体"/>
          <w:bCs/>
          <w:color w:val="auto"/>
          <w:sz w:val="24"/>
          <w:highlight w:val="none"/>
        </w:rPr>
        <w:t>合同未尽事宜，合同当事人另行签订补充协议，补充协议是合同的组成部分。</w:t>
      </w:r>
    </w:p>
    <w:p w14:paraId="73BEFA53">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b/>
          <w:bCs/>
          <w:color w:val="auto"/>
          <w:sz w:val="24"/>
          <w:highlight w:val="none"/>
        </w:rPr>
      </w:pPr>
      <w:bookmarkStart w:id="98" w:name="_Toc351203492"/>
      <w:r>
        <w:rPr>
          <w:rFonts w:hAnsi="宋体"/>
          <w:b/>
          <w:bCs/>
          <w:color w:val="auto"/>
          <w:sz w:val="24"/>
          <w:highlight w:val="none"/>
        </w:rPr>
        <w:t>十二、合同生效</w:t>
      </w:r>
      <w:bookmarkEnd w:id="98"/>
    </w:p>
    <w:p w14:paraId="3CB9940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Ansi="宋体"/>
          <w:bCs/>
          <w:color w:val="auto"/>
          <w:sz w:val="24"/>
          <w:highlight w:val="none"/>
        </w:rPr>
      </w:pPr>
      <w:r>
        <w:rPr>
          <w:rFonts w:hAnsi="宋体"/>
          <w:bCs/>
          <w:color w:val="auto"/>
          <w:sz w:val="24"/>
          <w:highlight w:val="none"/>
        </w:rPr>
        <w:t>本合同自</w:t>
      </w:r>
      <w:r>
        <w:rPr>
          <w:bCs/>
          <w:color w:val="auto"/>
          <w:sz w:val="24"/>
          <w:highlight w:val="none"/>
          <w:u w:val="single"/>
        </w:rPr>
        <w:t xml:space="preserve"> </w:t>
      </w:r>
      <w:r>
        <w:rPr>
          <w:rFonts w:hint="eastAsia"/>
          <w:bCs/>
          <w:color w:val="auto"/>
          <w:sz w:val="24"/>
          <w:highlight w:val="none"/>
          <w:u w:val="single"/>
        </w:rPr>
        <w:t>双方签订盖章之日起</w:t>
      </w:r>
      <w:r>
        <w:rPr>
          <w:bCs/>
          <w:color w:val="auto"/>
          <w:sz w:val="24"/>
          <w:highlight w:val="none"/>
          <w:u w:val="single"/>
        </w:rPr>
        <w:t xml:space="preserve"> </w:t>
      </w:r>
      <w:r>
        <w:rPr>
          <w:rFonts w:hAnsi="宋体"/>
          <w:bCs/>
          <w:color w:val="auto"/>
          <w:sz w:val="24"/>
          <w:highlight w:val="none"/>
        </w:rPr>
        <w:t>生效。</w:t>
      </w:r>
    </w:p>
    <w:p w14:paraId="5CDD0B1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b/>
          <w:bCs/>
          <w:color w:val="auto"/>
          <w:sz w:val="24"/>
          <w:highlight w:val="none"/>
        </w:rPr>
      </w:pPr>
      <w:bookmarkStart w:id="99" w:name="_Toc351203493"/>
      <w:r>
        <w:rPr>
          <w:rFonts w:hAnsi="宋体"/>
          <w:b/>
          <w:bCs/>
          <w:color w:val="auto"/>
          <w:sz w:val="24"/>
          <w:highlight w:val="none"/>
        </w:rPr>
        <w:t>十三、合同份数</w:t>
      </w:r>
      <w:bookmarkEnd w:id="99"/>
    </w:p>
    <w:p w14:paraId="5F93D34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ascii="宋体"/>
          <w:bCs/>
          <w:color w:val="auto"/>
          <w:sz w:val="24"/>
          <w:highlight w:val="none"/>
        </w:rPr>
      </w:pPr>
      <w:r>
        <w:rPr>
          <w:rFonts w:hAnsi="宋体"/>
          <w:bCs/>
          <w:color w:val="auto"/>
          <w:sz w:val="24"/>
          <w:highlight w:val="none"/>
        </w:rPr>
        <w:t>本合同一式</w:t>
      </w:r>
      <w:r>
        <w:rPr>
          <w:bCs/>
          <w:color w:val="auto"/>
          <w:sz w:val="24"/>
          <w:highlight w:val="none"/>
          <w:u w:val="single"/>
        </w:rPr>
        <w:t xml:space="preserve">    </w:t>
      </w:r>
      <w:r>
        <w:rPr>
          <w:rFonts w:hAnsi="宋体"/>
          <w:bCs/>
          <w:color w:val="auto"/>
          <w:sz w:val="24"/>
          <w:highlight w:val="none"/>
        </w:rPr>
        <w:t>份，均具有同等法律效力，发包人执</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份，承包人执</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w:t>
      </w:r>
      <w:r>
        <w:rPr>
          <w:rFonts w:hint="eastAsia" w:ascii="宋体" w:hAnsi="宋体"/>
          <w:bCs/>
          <w:color w:val="auto"/>
          <w:sz w:val="24"/>
          <w:highlight w:val="none"/>
        </w:rPr>
        <w:t>,政府采购管理办公室备案</w:t>
      </w:r>
      <w:r>
        <w:rPr>
          <w:rFonts w:hint="eastAsia" w:ascii="宋体" w:hAnsi="宋体"/>
          <w:bCs/>
          <w:color w:val="auto"/>
          <w:sz w:val="24"/>
          <w:highlight w:val="none"/>
          <w:u w:val="single"/>
        </w:rPr>
        <w:t xml:space="preserve"> 壹 </w:t>
      </w:r>
      <w:r>
        <w:rPr>
          <w:rFonts w:hint="eastAsia" w:ascii="宋体" w:hAnsi="宋体"/>
          <w:bCs/>
          <w:color w:val="auto"/>
          <w:sz w:val="24"/>
          <w:highlight w:val="none"/>
        </w:rPr>
        <w:t>份。</w:t>
      </w:r>
    </w:p>
    <w:p w14:paraId="18825A87">
      <w:pPr>
        <w:spacing w:line="480" w:lineRule="exact"/>
        <w:ind w:firstLine="480" w:firstLineChars="200"/>
        <w:rPr>
          <w:bCs/>
          <w:color w:val="auto"/>
          <w:sz w:val="24"/>
          <w:highlight w:val="none"/>
        </w:rPr>
      </w:pPr>
    </w:p>
    <w:p w14:paraId="4A09DEAB">
      <w:pPr>
        <w:spacing w:line="480" w:lineRule="exact"/>
        <w:rPr>
          <w:bCs/>
          <w:color w:val="auto"/>
          <w:sz w:val="24"/>
          <w:highlight w:val="none"/>
        </w:rPr>
      </w:pPr>
    </w:p>
    <w:p w14:paraId="0F766384">
      <w:pPr>
        <w:spacing w:line="480" w:lineRule="exact"/>
        <w:rPr>
          <w:color w:val="auto"/>
          <w:sz w:val="24"/>
          <w:highlight w:val="none"/>
        </w:rPr>
      </w:pPr>
    </w:p>
    <w:p w14:paraId="21061CDB">
      <w:pPr>
        <w:spacing w:line="480" w:lineRule="exact"/>
        <w:rPr>
          <w:color w:val="auto"/>
          <w:sz w:val="24"/>
          <w:highlight w:val="none"/>
        </w:rPr>
      </w:pPr>
      <w:r>
        <w:rPr>
          <w:rFonts w:hAnsi="宋体"/>
          <w:color w:val="auto"/>
          <w:sz w:val="24"/>
          <w:highlight w:val="none"/>
        </w:rPr>
        <w:t>发包人：</w:t>
      </w:r>
      <w:r>
        <w:rPr>
          <w:rFonts w:hint="eastAsia" w:ascii="宋体" w:hAnsi="宋体" w:cs="宋体"/>
          <w:color w:val="auto"/>
          <w:sz w:val="24"/>
          <w:highlight w:val="none"/>
          <w:u w:val="single"/>
          <w:lang w:eastAsia="zh-CN"/>
        </w:rPr>
        <w:t>凭祥市林业局</w:t>
      </w:r>
      <w:r>
        <w:rPr>
          <w:rFonts w:hint="eastAsia" w:ascii="宋体" w:hAnsi="宋体" w:cs="宋体"/>
          <w:color w:val="auto"/>
          <w:sz w:val="24"/>
          <w:highlight w:val="none"/>
          <w:u w:val="single"/>
        </w:rPr>
        <w:t xml:space="preserve"> </w:t>
      </w:r>
      <w:r>
        <w:rPr>
          <w:color w:val="auto"/>
          <w:sz w:val="24"/>
          <w:highlight w:val="none"/>
        </w:rPr>
        <w:t xml:space="preserve">  </w:t>
      </w:r>
      <w:r>
        <w:rPr>
          <w:rFonts w:hint="eastAsia"/>
          <w:color w:val="auto"/>
          <w:sz w:val="24"/>
          <w:highlight w:val="none"/>
        </w:rPr>
        <w:t>（</w:t>
      </w:r>
      <w:r>
        <w:rPr>
          <w:rFonts w:hAnsi="宋体"/>
          <w:color w:val="auto"/>
          <w:sz w:val="24"/>
          <w:highlight w:val="none"/>
        </w:rPr>
        <w:t>公章</w:t>
      </w:r>
      <w:r>
        <w:rPr>
          <w:rFonts w:hint="eastAsia"/>
          <w:color w:val="auto"/>
          <w:sz w:val="24"/>
          <w:highlight w:val="none"/>
        </w:rPr>
        <w:t>）</w:t>
      </w:r>
      <w:r>
        <w:rPr>
          <w:color w:val="auto"/>
          <w:sz w:val="24"/>
          <w:highlight w:val="none"/>
        </w:rPr>
        <w:t xml:space="preserve">         </w:t>
      </w:r>
      <w:r>
        <w:rPr>
          <w:rFonts w:hAnsi="宋体"/>
          <w:color w:val="auto"/>
          <w:sz w:val="24"/>
          <w:highlight w:val="none"/>
        </w:rPr>
        <w:t>承包人：</w:t>
      </w:r>
      <w:r>
        <w:rPr>
          <w:rFonts w:hint="eastAsia" w:ascii="宋体" w:hAnsi="宋体"/>
          <w:color w:val="auto"/>
          <w:sz w:val="24"/>
          <w:highlight w:val="none"/>
          <w:u w:val="single"/>
        </w:rPr>
        <w:t xml:space="preserve">           </w:t>
      </w:r>
      <w:r>
        <w:rPr>
          <w:rFonts w:hint="eastAsia"/>
          <w:color w:val="auto"/>
          <w:sz w:val="24"/>
          <w:highlight w:val="none"/>
        </w:rPr>
        <w:t>（</w:t>
      </w:r>
      <w:r>
        <w:rPr>
          <w:rFonts w:hAnsi="宋体"/>
          <w:color w:val="auto"/>
          <w:sz w:val="24"/>
          <w:highlight w:val="none"/>
        </w:rPr>
        <w:t>公章</w:t>
      </w:r>
      <w:r>
        <w:rPr>
          <w:rFonts w:hint="eastAsia"/>
          <w:color w:val="auto"/>
          <w:sz w:val="24"/>
          <w:highlight w:val="none"/>
        </w:rPr>
        <w:t>）</w:t>
      </w:r>
    </w:p>
    <w:p w14:paraId="2B7F163C">
      <w:pPr>
        <w:spacing w:line="480" w:lineRule="exact"/>
        <w:rPr>
          <w:color w:val="auto"/>
          <w:sz w:val="24"/>
          <w:highlight w:val="none"/>
          <w:u w:val="single"/>
        </w:rPr>
      </w:pPr>
      <w:r>
        <w:rPr>
          <w:color w:val="auto"/>
          <w:sz w:val="24"/>
          <w:highlight w:val="none"/>
        </w:rPr>
        <w:t xml:space="preserve">                                 </w:t>
      </w:r>
    </w:p>
    <w:p w14:paraId="55077C80">
      <w:pPr>
        <w:spacing w:line="480" w:lineRule="exact"/>
        <w:rPr>
          <w:color w:val="auto"/>
          <w:sz w:val="24"/>
          <w:highlight w:val="none"/>
        </w:rPr>
      </w:pPr>
      <w:r>
        <w:rPr>
          <w:rFonts w:hAnsi="宋体"/>
          <w:color w:val="auto"/>
          <w:sz w:val="24"/>
          <w:highlight w:val="none"/>
        </w:rPr>
        <w:t>法定代表人或其委托代理人：</w:t>
      </w:r>
      <w:r>
        <w:rPr>
          <w:color w:val="auto"/>
          <w:sz w:val="24"/>
          <w:highlight w:val="none"/>
        </w:rPr>
        <w:t xml:space="preserve">                  </w:t>
      </w:r>
      <w:r>
        <w:rPr>
          <w:rFonts w:hAnsi="宋体"/>
          <w:color w:val="auto"/>
          <w:sz w:val="24"/>
          <w:highlight w:val="none"/>
        </w:rPr>
        <w:t>法定代表人或其委托代理人：</w:t>
      </w:r>
    </w:p>
    <w:p w14:paraId="6DBD07B4">
      <w:pPr>
        <w:spacing w:line="480" w:lineRule="exact"/>
        <w:rPr>
          <w:color w:val="auto"/>
          <w:sz w:val="24"/>
          <w:highlight w:val="none"/>
        </w:rPr>
      </w:pPr>
      <w:r>
        <w:rPr>
          <w:rFonts w:hAnsi="宋体"/>
          <w:color w:val="auto"/>
          <w:sz w:val="24"/>
          <w:highlight w:val="none"/>
        </w:rPr>
        <w:t>（签字）</w:t>
      </w:r>
      <w:r>
        <w:rPr>
          <w:color w:val="auto"/>
          <w:sz w:val="24"/>
          <w:highlight w:val="none"/>
        </w:rPr>
        <w:t xml:space="preserve">                                     </w:t>
      </w:r>
      <w:r>
        <w:rPr>
          <w:rFonts w:hAnsi="宋体"/>
          <w:color w:val="auto"/>
          <w:sz w:val="24"/>
          <w:highlight w:val="none"/>
        </w:rPr>
        <w:t>（签字）</w:t>
      </w:r>
    </w:p>
    <w:p w14:paraId="68D97AA8">
      <w:pPr>
        <w:spacing w:line="480" w:lineRule="exact"/>
        <w:rPr>
          <w:color w:val="auto"/>
          <w:sz w:val="24"/>
          <w:highlight w:val="none"/>
          <w:u w:val="single"/>
        </w:rPr>
      </w:pPr>
    </w:p>
    <w:p w14:paraId="3F44591A">
      <w:pPr>
        <w:tabs>
          <w:tab w:val="left" w:pos="4410"/>
        </w:tabs>
        <w:spacing w:line="480" w:lineRule="exact"/>
        <w:rPr>
          <w:color w:val="auto"/>
          <w:sz w:val="24"/>
          <w:highlight w:val="none"/>
        </w:rPr>
      </w:pPr>
      <w:r>
        <w:rPr>
          <w:rFonts w:hint="eastAsia" w:hAnsi="宋体" w:cs="宋体"/>
          <w:color w:val="auto"/>
          <w:sz w:val="24"/>
          <w:highlight w:val="none"/>
        </w:rPr>
        <w:t>统一</w:t>
      </w:r>
      <w:r>
        <w:rPr>
          <w:rFonts w:hint="eastAsia" w:hAnsi="宋体"/>
          <w:color w:val="auto"/>
          <w:sz w:val="24"/>
          <w:highlight w:val="none"/>
        </w:rPr>
        <w:t>社会信用</w:t>
      </w:r>
      <w:r>
        <w:rPr>
          <w:rFonts w:hAnsi="宋体"/>
          <w:color w:val="auto"/>
          <w:sz w:val="24"/>
          <w:highlight w:val="none"/>
        </w:rPr>
        <w:t>代码：</w:t>
      </w:r>
      <w:r>
        <w:rPr>
          <w:rFonts w:hAnsi="宋体"/>
          <w:color w:val="auto"/>
          <w:sz w:val="24"/>
          <w:highlight w:val="none"/>
          <w:u w:val="single"/>
        </w:rPr>
        <w:t></w:t>
      </w:r>
      <w:r>
        <w:rPr>
          <w:color w:val="auto"/>
          <w:sz w:val="24"/>
          <w:highlight w:val="none"/>
          <w:u w:val="single"/>
        </w:rPr>
        <w:t xml:space="preserve">    </w:t>
      </w:r>
      <w:r>
        <w:rPr>
          <w:rFonts w:hint="eastAsia"/>
          <w:color w:val="auto"/>
          <w:sz w:val="24"/>
          <w:highlight w:val="none"/>
          <w:u w:val="single"/>
          <w:lang w:val="en-US" w:eastAsia="zh-CN"/>
        </w:rPr>
        <w:t xml:space="preserve">       </w:t>
      </w:r>
      <w:r>
        <w:rPr>
          <w:color w:val="auto"/>
          <w:sz w:val="24"/>
          <w:highlight w:val="none"/>
          <w:u w:val="single"/>
        </w:rPr>
        <w:t xml:space="preserve">   </w:t>
      </w:r>
      <w:r>
        <w:rPr>
          <w:color w:val="auto"/>
          <w:sz w:val="24"/>
          <w:highlight w:val="none"/>
        </w:rPr>
        <w:t xml:space="preserve">          </w:t>
      </w:r>
      <w:r>
        <w:rPr>
          <w:rFonts w:hint="eastAsia" w:hAnsi="宋体" w:cs="宋体"/>
          <w:color w:val="auto"/>
          <w:sz w:val="24"/>
          <w:highlight w:val="none"/>
        </w:rPr>
        <w:t>统一</w:t>
      </w:r>
      <w:r>
        <w:rPr>
          <w:rFonts w:hint="eastAsia" w:hAnsi="宋体"/>
          <w:color w:val="auto"/>
          <w:sz w:val="24"/>
          <w:highlight w:val="none"/>
        </w:rPr>
        <w:t>社会信用</w:t>
      </w:r>
      <w:r>
        <w:rPr>
          <w:rFonts w:hAnsi="宋体"/>
          <w:color w:val="auto"/>
          <w:sz w:val="24"/>
          <w:highlight w:val="none"/>
        </w:rPr>
        <w:t>代码：</w:t>
      </w:r>
      <w:r>
        <w:rPr>
          <w:rFonts w:hint="eastAsia" w:hAnsi="宋体"/>
          <w:color w:val="auto"/>
          <w:sz w:val="24"/>
          <w:highlight w:val="none"/>
          <w:u w:val="single"/>
        </w:rPr>
        <w:t xml:space="preserve">             </w:t>
      </w:r>
    </w:p>
    <w:p w14:paraId="3942717A">
      <w:pPr>
        <w:spacing w:line="480" w:lineRule="exact"/>
        <w:rPr>
          <w:rFonts w:hAnsi="宋体"/>
          <w:color w:val="auto"/>
          <w:sz w:val="24"/>
          <w:highlight w:val="none"/>
          <w:u w:val="single"/>
        </w:rPr>
      </w:pPr>
      <w:r>
        <w:rPr>
          <w:rFonts w:hAnsi="宋体"/>
          <w:color w:val="auto"/>
          <w:sz w:val="24"/>
          <w:highlight w:val="none"/>
        </w:rPr>
        <w:t>地</w:t>
      </w:r>
      <w:r>
        <w:rPr>
          <w:color w:val="auto"/>
          <w:sz w:val="24"/>
          <w:highlight w:val="none"/>
        </w:rPr>
        <w:t xml:space="preserve">  </w:t>
      </w:r>
      <w:r>
        <w:rPr>
          <w:rFonts w:hAnsi="宋体"/>
          <w:color w:val="auto"/>
          <w:sz w:val="24"/>
          <w:highlight w:val="none"/>
        </w:rPr>
        <w:t>址：</w:t>
      </w:r>
      <w:r>
        <w:rPr>
          <w:rFonts w:hint="eastAsia" w:hAnsi="宋体"/>
          <w:color w:val="auto"/>
          <w:sz w:val="24"/>
          <w:highlight w:val="none"/>
          <w:u w:val="single"/>
          <w:lang w:val="en-US" w:eastAsia="zh-CN"/>
        </w:rPr>
        <w:t xml:space="preserve">                         </w:t>
      </w:r>
      <w:r>
        <w:rPr>
          <w:color w:val="auto"/>
          <w:sz w:val="24"/>
          <w:highlight w:val="none"/>
        </w:rPr>
        <w:t xml:space="preserve">           </w:t>
      </w:r>
      <w:r>
        <w:rPr>
          <w:rFonts w:hAnsi="宋体"/>
          <w:color w:val="auto"/>
          <w:sz w:val="24"/>
          <w:highlight w:val="none"/>
        </w:rPr>
        <w:t>地</w:t>
      </w:r>
      <w:r>
        <w:rPr>
          <w:color w:val="auto"/>
          <w:sz w:val="24"/>
          <w:highlight w:val="none"/>
        </w:rPr>
        <w:t xml:space="preserve">  </w:t>
      </w:r>
      <w:r>
        <w:rPr>
          <w:rFonts w:hAnsi="宋体"/>
          <w:color w:val="auto"/>
          <w:sz w:val="24"/>
          <w:highlight w:val="none"/>
        </w:rPr>
        <w:t>址：</w:t>
      </w:r>
      <w:r>
        <w:rPr>
          <w:rFonts w:hint="eastAsia" w:hAnsi="宋体"/>
          <w:color w:val="auto"/>
          <w:sz w:val="24"/>
          <w:highlight w:val="none"/>
          <w:u w:val="single"/>
        </w:rPr>
        <w:t xml:space="preserve">                      </w:t>
      </w:r>
    </w:p>
    <w:p w14:paraId="35794A0A">
      <w:pPr>
        <w:spacing w:line="480" w:lineRule="exact"/>
        <w:rPr>
          <w:color w:val="auto"/>
          <w:sz w:val="24"/>
          <w:highlight w:val="none"/>
        </w:rPr>
      </w:pPr>
      <w:r>
        <w:rPr>
          <w:rFonts w:hAnsi="宋体"/>
          <w:color w:val="auto"/>
          <w:sz w:val="24"/>
          <w:highlight w:val="none"/>
        </w:rPr>
        <w:t>邮政编码：</w:t>
      </w:r>
      <w:r>
        <w:rPr>
          <w:color w:val="auto"/>
          <w:sz w:val="24"/>
          <w:highlight w:val="none"/>
          <w:u w:val="single"/>
        </w:rPr>
        <w:t xml:space="preserve"> </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hAnsi="宋体"/>
          <w:color w:val="auto"/>
          <w:sz w:val="24"/>
          <w:highlight w:val="none"/>
          <w:u w:val="single"/>
        </w:rPr>
        <w:t xml:space="preserve">    </w:t>
      </w:r>
      <w:r>
        <w:rPr>
          <w:color w:val="auto"/>
          <w:sz w:val="24"/>
          <w:highlight w:val="none"/>
          <w:u w:val="single"/>
        </w:rPr>
        <w:t xml:space="preserve">    </w:t>
      </w:r>
      <w:r>
        <w:rPr>
          <w:color w:val="auto"/>
          <w:sz w:val="24"/>
          <w:highlight w:val="none"/>
        </w:rPr>
        <w:t xml:space="preserve">              </w:t>
      </w:r>
      <w:r>
        <w:rPr>
          <w:rFonts w:hAnsi="宋体"/>
          <w:color w:val="auto"/>
          <w:sz w:val="24"/>
          <w:highlight w:val="none"/>
        </w:rPr>
        <w:t>邮政编码：</w:t>
      </w:r>
      <w:r>
        <w:rPr>
          <w:rFonts w:hAnsi="宋体"/>
          <w:color w:val="auto"/>
          <w:sz w:val="24"/>
          <w:highlight w:val="none"/>
          <w:u w:val="single"/>
        </w:rPr>
        <w:t></w:t>
      </w:r>
      <w:r>
        <w:rPr>
          <w:color w:val="auto"/>
          <w:sz w:val="24"/>
          <w:highlight w:val="none"/>
          <w:u w:val="single"/>
        </w:rPr>
        <w:t xml:space="preserve">   </w:t>
      </w:r>
    </w:p>
    <w:p w14:paraId="4107753F">
      <w:pPr>
        <w:spacing w:line="480" w:lineRule="exact"/>
        <w:rPr>
          <w:color w:val="auto"/>
          <w:sz w:val="24"/>
          <w:highlight w:val="none"/>
        </w:rPr>
      </w:pPr>
      <w:r>
        <w:rPr>
          <w:rFonts w:hAnsi="宋体"/>
          <w:color w:val="auto"/>
          <w:sz w:val="24"/>
          <w:highlight w:val="none"/>
        </w:rPr>
        <w:t>法定代表人：</w:t>
      </w:r>
      <w:r>
        <w:rPr>
          <w:rFonts w:hAnsi="宋体"/>
          <w:color w:val="auto"/>
          <w:sz w:val="24"/>
          <w:highlight w:val="none"/>
          <w:u w:val="single"/>
        </w:rPr>
        <w:t></w:t>
      </w:r>
      <w:r>
        <w:rPr>
          <w:color w:val="auto"/>
          <w:sz w:val="24"/>
          <w:highlight w:val="none"/>
          <w:u w:val="single"/>
        </w:rPr>
        <w:t xml:space="preserve">     </w:t>
      </w:r>
      <w:r>
        <w:rPr>
          <w:rFonts w:hAnsi="宋体"/>
          <w:color w:val="auto"/>
          <w:sz w:val="24"/>
          <w:highlight w:val="none"/>
          <w:u w:val="single"/>
        </w:rPr>
        <w:t></w:t>
      </w:r>
      <w:r>
        <w:rPr>
          <w:color w:val="auto"/>
          <w:sz w:val="24"/>
          <w:highlight w:val="none"/>
          <w:u w:val="single"/>
        </w:rPr>
        <w:t xml:space="preserve">      </w:t>
      </w:r>
      <w:r>
        <w:rPr>
          <w:color w:val="auto"/>
          <w:sz w:val="24"/>
          <w:highlight w:val="none"/>
        </w:rPr>
        <w:t xml:space="preserve">                  </w:t>
      </w:r>
      <w:r>
        <w:rPr>
          <w:rFonts w:hAnsi="宋体"/>
          <w:color w:val="auto"/>
          <w:sz w:val="24"/>
          <w:highlight w:val="none"/>
        </w:rPr>
        <w:t>法定代表人：</w:t>
      </w:r>
      <w:r>
        <w:rPr>
          <w:rFonts w:hAnsi="宋体"/>
          <w:color w:val="auto"/>
          <w:sz w:val="24"/>
          <w:highlight w:val="none"/>
          <w:u w:val="single"/>
        </w:rPr>
        <w:t></w:t>
      </w:r>
      <w:r>
        <w:rPr>
          <w:color w:val="auto"/>
          <w:sz w:val="24"/>
          <w:highlight w:val="none"/>
          <w:u w:val="single"/>
        </w:rPr>
        <w:t xml:space="preserve">      </w:t>
      </w:r>
      <w:r>
        <w:rPr>
          <w:rFonts w:hAnsi="宋体"/>
          <w:color w:val="auto"/>
          <w:sz w:val="24"/>
          <w:highlight w:val="none"/>
          <w:u w:val="single"/>
        </w:rPr>
        <w:t></w:t>
      </w:r>
      <w:r>
        <w:rPr>
          <w:color w:val="auto"/>
          <w:sz w:val="24"/>
          <w:highlight w:val="none"/>
          <w:u w:val="single"/>
        </w:rPr>
        <w:t xml:space="preserve">       </w:t>
      </w:r>
    </w:p>
    <w:p w14:paraId="57CCBF26">
      <w:pPr>
        <w:spacing w:line="480" w:lineRule="exact"/>
        <w:rPr>
          <w:color w:val="auto"/>
          <w:sz w:val="24"/>
          <w:highlight w:val="none"/>
        </w:rPr>
      </w:pPr>
      <w:r>
        <w:rPr>
          <w:rFonts w:hAnsi="宋体"/>
          <w:color w:val="auto"/>
          <w:sz w:val="24"/>
          <w:highlight w:val="none"/>
        </w:rPr>
        <w:t>委托代理人：</w:t>
      </w:r>
      <w:r>
        <w:rPr>
          <w:rFonts w:hAnsi="宋体"/>
          <w:color w:val="auto"/>
          <w:sz w:val="24"/>
          <w:highlight w:val="none"/>
          <w:u w:val="single"/>
        </w:rPr>
        <w:t></w:t>
      </w:r>
      <w:r>
        <w:rPr>
          <w:color w:val="auto"/>
          <w:sz w:val="24"/>
          <w:highlight w:val="none"/>
          <w:u w:val="single"/>
        </w:rPr>
        <w:t xml:space="preserve">           </w:t>
      </w:r>
      <w:r>
        <w:rPr>
          <w:color w:val="auto"/>
          <w:sz w:val="24"/>
          <w:highlight w:val="none"/>
        </w:rPr>
        <w:t xml:space="preserve">                  </w:t>
      </w:r>
      <w:r>
        <w:rPr>
          <w:rFonts w:hAnsi="宋体"/>
          <w:color w:val="auto"/>
          <w:sz w:val="24"/>
          <w:highlight w:val="none"/>
        </w:rPr>
        <w:t>委托代理人：</w:t>
      </w:r>
      <w:r>
        <w:rPr>
          <w:rFonts w:hAnsi="宋体"/>
          <w:color w:val="auto"/>
          <w:sz w:val="24"/>
          <w:highlight w:val="none"/>
          <w:u w:val="single"/>
        </w:rPr>
        <w:t></w:t>
      </w:r>
      <w:r>
        <w:rPr>
          <w:color w:val="auto"/>
          <w:sz w:val="24"/>
          <w:highlight w:val="none"/>
          <w:u w:val="single"/>
        </w:rPr>
        <w:t xml:space="preserve">             </w:t>
      </w:r>
    </w:p>
    <w:p w14:paraId="75278385">
      <w:pPr>
        <w:spacing w:line="480" w:lineRule="exact"/>
        <w:rPr>
          <w:color w:val="auto"/>
          <w:sz w:val="24"/>
          <w:highlight w:val="none"/>
        </w:rPr>
      </w:pPr>
      <w:r>
        <w:rPr>
          <w:rFonts w:hAnsi="宋体"/>
          <w:color w:val="auto"/>
          <w:sz w:val="24"/>
          <w:highlight w:val="none"/>
        </w:rPr>
        <w:t>电</w:t>
      </w:r>
      <w:r>
        <w:rPr>
          <w:color w:val="auto"/>
          <w:sz w:val="24"/>
          <w:highlight w:val="none"/>
        </w:rPr>
        <w:t xml:space="preserve">  </w:t>
      </w:r>
      <w:r>
        <w:rPr>
          <w:rFonts w:hAnsi="宋体"/>
          <w:color w:val="auto"/>
          <w:sz w:val="24"/>
          <w:highlight w:val="none"/>
        </w:rPr>
        <w:t>话：</w:t>
      </w:r>
      <w:r>
        <w:rPr>
          <w:rFonts w:hAnsi="宋体"/>
          <w:color w:val="auto"/>
          <w:sz w:val="24"/>
          <w:highlight w:val="none"/>
          <w:u w:val="single"/>
        </w:rPr>
        <w:t></w:t>
      </w:r>
      <w:r>
        <w:rPr>
          <w:rFonts w:hint="eastAsia" w:hAnsi="宋体"/>
          <w:color w:val="auto"/>
          <w:sz w:val="24"/>
          <w:highlight w:val="none"/>
          <w:u w:val="single"/>
          <w:lang w:val="en-US" w:eastAsia="zh-CN"/>
        </w:rPr>
        <w:t xml:space="preserve">                 </w:t>
      </w:r>
      <w:r>
        <w:rPr>
          <w:color w:val="auto"/>
          <w:sz w:val="24"/>
          <w:highlight w:val="none"/>
          <w:u w:val="single"/>
        </w:rPr>
        <w:t xml:space="preserve">  </w:t>
      </w:r>
      <w:r>
        <w:rPr>
          <w:color w:val="auto"/>
          <w:sz w:val="24"/>
          <w:highlight w:val="none"/>
        </w:rPr>
        <w:t xml:space="preserve">                  </w:t>
      </w:r>
      <w:r>
        <w:rPr>
          <w:rFonts w:hAnsi="宋体"/>
          <w:color w:val="auto"/>
          <w:sz w:val="24"/>
          <w:highlight w:val="none"/>
        </w:rPr>
        <w:t>电</w:t>
      </w:r>
      <w:r>
        <w:rPr>
          <w:color w:val="auto"/>
          <w:sz w:val="24"/>
          <w:highlight w:val="none"/>
        </w:rPr>
        <w:t xml:space="preserve">  </w:t>
      </w:r>
      <w:r>
        <w:rPr>
          <w:rFonts w:hAnsi="宋体"/>
          <w:color w:val="auto"/>
          <w:sz w:val="24"/>
          <w:highlight w:val="none"/>
        </w:rPr>
        <w:t>话：</w:t>
      </w:r>
      <w:r>
        <w:rPr>
          <w:rFonts w:hint="eastAsia" w:hAnsi="宋体"/>
          <w:color w:val="auto"/>
          <w:sz w:val="24"/>
          <w:highlight w:val="none"/>
          <w:u w:val="single"/>
        </w:rPr>
        <w:t xml:space="preserve">                    </w:t>
      </w:r>
    </w:p>
    <w:p w14:paraId="162227B7">
      <w:pPr>
        <w:spacing w:line="480" w:lineRule="exact"/>
        <w:rPr>
          <w:color w:val="auto"/>
          <w:sz w:val="24"/>
          <w:highlight w:val="none"/>
        </w:rPr>
      </w:pPr>
      <w:r>
        <w:rPr>
          <w:rFonts w:hAnsi="宋体"/>
          <w:color w:val="auto"/>
          <w:sz w:val="24"/>
          <w:highlight w:val="none"/>
        </w:rPr>
        <w:t>传</w:t>
      </w:r>
      <w:r>
        <w:rPr>
          <w:color w:val="auto"/>
          <w:sz w:val="24"/>
          <w:highlight w:val="none"/>
        </w:rPr>
        <w:t xml:space="preserve">  </w:t>
      </w:r>
      <w:r>
        <w:rPr>
          <w:rFonts w:hAnsi="宋体"/>
          <w:color w:val="auto"/>
          <w:sz w:val="24"/>
          <w:highlight w:val="none"/>
        </w:rPr>
        <w:t>真：</w:t>
      </w:r>
      <w:r>
        <w:rPr>
          <w:rFonts w:hAnsi="宋体"/>
          <w:color w:val="auto"/>
          <w:sz w:val="24"/>
          <w:highlight w:val="none"/>
          <w:u w:val="single"/>
        </w:rPr>
        <w:t></w:t>
      </w:r>
      <w:r>
        <w:rPr>
          <w:color w:val="auto"/>
          <w:sz w:val="24"/>
          <w:highlight w:val="none"/>
          <w:u w:val="single"/>
        </w:rPr>
        <w:t xml:space="preserve">   </w:t>
      </w:r>
      <w:r>
        <w:rPr>
          <w:color w:val="auto"/>
          <w:sz w:val="24"/>
          <w:highlight w:val="none"/>
        </w:rPr>
        <w:t xml:space="preserve">                  </w:t>
      </w:r>
      <w:r>
        <w:rPr>
          <w:rFonts w:hAnsi="宋体"/>
          <w:color w:val="auto"/>
          <w:sz w:val="24"/>
          <w:highlight w:val="none"/>
        </w:rPr>
        <w:t>传</w:t>
      </w:r>
      <w:r>
        <w:rPr>
          <w:color w:val="auto"/>
          <w:sz w:val="24"/>
          <w:highlight w:val="none"/>
        </w:rPr>
        <w:t xml:space="preserve">  </w:t>
      </w:r>
      <w:r>
        <w:rPr>
          <w:rFonts w:hAnsi="宋体"/>
          <w:color w:val="auto"/>
          <w:sz w:val="24"/>
          <w:highlight w:val="none"/>
        </w:rPr>
        <w:t>真：</w:t>
      </w:r>
      <w:r>
        <w:rPr>
          <w:rFonts w:hAnsi="宋体"/>
          <w:color w:val="auto"/>
          <w:sz w:val="24"/>
          <w:highlight w:val="none"/>
          <w:u w:val="single"/>
        </w:rPr>
        <w:t></w:t>
      </w:r>
      <w:r>
        <w:rPr>
          <w:color w:val="auto"/>
          <w:sz w:val="24"/>
          <w:highlight w:val="none"/>
          <w:u w:val="single"/>
        </w:rPr>
        <w:t xml:space="preserve">  </w:t>
      </w:r>
      <w:r>
        <w:rPr>
          <w:rFonts w:hAnsi="宋体"/>
          <w:color w:val="auto"/>
          <w:sz w:val="24"/>
          <w:highlight w:val="none"/>
          <w:u w:val="single"/>
        </w:rPr>
        <w:t></w:t>
      </w:r>
      <w:r>
        <w:rPr>
          <w:color w:val="auto"/>
          <w:sz w:val="24"/>
          <w:highlight w:val="none"/>
          <w:u w:val="single"/>
        </w:rPr>
        <w:t xml:space="preserve">   </w:t>
      </w:r>
    </w:p>
    <w:p w14:paraId="6D7DC32D">
      <w:pPr>
        <w:spacing w:line="480" w:lineRule="exact"/>
        <w:rPr>
          <w:color w:val="auto"/>
          <w:sz w:val="24"/>
          <w:highlight w:val="none"/>
        </w:rPr>
      </w:pPr>
      <w:r>
        <w:rPr>
          <w:rFonts w:hAnsi="宋体"/>
          <w:color w:val="auto"/>
          <w:sz w:val="24"/>
          <w:highlight w:val="none"/>
        </w:rPr>
        <w:t>电子信箱：</w:t>
      </w:r>
      <w:r>
        <w:rPr>
          <w:color w:val="auto"/>
          <w:sz w:val="24"/>
          <w:highlight w:val="none"/>
          <w:u w:val="single"/>
        </w:rPr>
        <w:t xml:space="preserve">                 </w:t>
      </w:r>
      <w:r>
        <w:rPr>
          <w:color w:val="auto"/>
          <w:sz w:val="24"/>
          <w:highlight w:val="none"/>
        </w:rPr>
        <w:t xml:space="preserve">                  </w:t>
      </w:r>
      <w:r>
        <w:rPr>
          <w:rFonts w:hAnsi="宋体"/>
          <w:color w:val="auto"/>
          <w:sz w:val="24"/>
          <w:highlight w:val="none"/>
        </w:rPr>
        <w:t>电子信箱：</w:t>
      </w:r>
      <w:r>
        <w:rPr>
          <w:rFonts w:hAnsi="宋体"/>
          <w:color w:val="auto"/>
          <w:sz w:val="24"/>
          <w:highlight w:val="none"/>
          <w:u w:val="single"/>
        </w:rPr>
        <w:t></w:t>
      </w:r>
      <w:r>
        <w:rPr>
          <w:color w:val="auto"/>
          <w:sz w:val="24"/>
          <w:highlight w:val="none"/>
          <w:u w:val="single"/>
        </w:rPr>
        <w:t xml:space="preserve">   </w:t>
      </w:r>
    </w:p>
    <w:p w14:paraId="47D0316B">
      <w:pPr>
        <w:spacing w:line="480" w:lineRule="exact"/>
        <w:ind w:left="6720" w:hanging="6720" w:hangingChars="2800"/>
        <w:rPr>
          <w:color w:val="auto"/>
          <w:sz w:val="24"/>
          <w:highlight w:val="none"/>
        </w:rPr>
      </w:pPr>
      <w:r>
        <w:rPr>
          <w:rFonts w:hAnsi="宋体"/>
          <w:color w:val="auto"/>
          <w:sz w:val="24"/>
          <w:highlight w:val="none"/>
        </w:rPr>
        <w:t>开户银行：</w:t>
      </w:r>
      <w:r>
        <w:rPr>
          <w:rFonts w:hAnsi="宋体"/>
          <w:color w:val="auto"/>
          <w:sz w:val="24"/>
          <w:highlight w:val="none"/>
          <w:u w:val="single"/>
        </w:rPr>
        <w:t></w:t>
      </w:r>
      <w:r>
        <w:rPr>
          <w:color w:val="auto"/>
          <w:sz w:val="24"/>
          <w:highlight w:val="none"/>
          <w:u w:val="single"/>
        </w:rPr>
        <w:t xml:space="preserve">   </w:t>
      </w:r>
      <w:r>
        <w:rPr>
          <w:color w:val="auto"/>
          <w:sz w:val="24"/>
          <w:highlight w:val="none"/>
        </w:rPr>
        <w:t xml:space="preserve">                  </w:t>
      </w:r>
      <w:r>
        <w:rPr>
          <w:rFonts w:hAnsi="宋体"/>
          <w:color w:val="auto"/>
          <w:sz w:val="24"/>
          <w:highlight w:val="none"/>
        </w:rPr>
        <w:t>开户银行：</w:t>
      </w:r>
      <w:r>
        <w:rPr>
          <w:rFonts w:hint="eastAsia" w:hAnsi="宋体"/>
          <w:color w:val="auto"/>
          <w:sz w:val="24"/>
          <w:highlight w:val="none"/>
          <w:u w:val="single"/>
        </w:rPr>
        <w:t xml:space="preserve">                  </w:t>
      </w:r>
    </w:p>
    <w:p w14:paraId="579B6DED">
      <w:pPr>
        <w:spacing w:line="480" w:lineRule="exact"/>
        <w:rPr>
          <w:color w:val="auto"/>
          <w:sz w:val="24"/>
          <w:highlight w:val="none"/>
          <w:u w:val="single"/>
        </w:rPr>
      </w:pPr>
      <w:r>
        <w:rPr>
          <w:rFonts w:hAnsi="宋体"/>
          <w:color w:val="auto"/>
          <w:sz w:val="24"/>
          <w:highlight w:val="none"/>
        </w:rPr>
        <w:t>账</w:t>
      </w:r>
      <w:r>
        <w:rPr>
          <w:color w:val="auto"/>
          <w:sz w:val="24"/>
          <w:highlight w:val="none"/>
        </w:rPr>
        <w:t xml:space="preserve">  </w:t>
      </w:r>
      <w:r>
        <w:rPr>
          <w:rFonts w:hAnsi="宋体"/>
          <w:color w:val="auto"/>
          <w:sz w:val="24"/>
          <w:highlight w:val="none"/>
        </w:rPr>
        <w:t>号：</w:t>
      </w:r>
      <w:r>
        <w:rPr>
          <w:rFonts w:hAnsi="宋体"/>
          <w:color w:val="auto"/>
          <w:sz w:val="24"/>
          <w:highlight w:val="none"/>
          <w:u w:val="single"/>
        </w:rPr>
        <w:t></w:t>
      </w:r>
      <w:r>
        <w:rPr>
          <w:color w:val="auto"/>
          <w:sz w:val="24"/>
          <w:highlight w:val="none"/>
          <w:u w:val="single"/>
        </w:rPr>
        <w:t xml:space="preserve"> </w:t>
      </w:r>
      <w:r>
        <w:rPr>
          <w:rFonts w:hAnsi="宋体"/>
          <w:color w:val="auto"/>
          <w:sz w:val="24"/>
          <w:highlight w:val="none"/>
          <w:u w:val="single"/>
        </w:rPr>
        <w:t></w:t>
      </w:r>
      <w:r>
        <w:rPr>
          <w:color w:val="auto"/>
          <w:sz w:val="24"/>
          <w:highlight w:val="none"/>
          <w:u w:val="single"/>
        </w:rPr>
        <w:t xml:space="preserve">      </w:t>
      </w:r>
      <w:r>
        <w:rPr>
          <w:color w:val="auto"/>
          <w:sz w:val="24"/>
          <w:highlight w:val="none"/>
        </w:rPr>
        <w:t xml:space="preserve">                  </w:t>
      </w:r>
      <w:r>
        <w:rPr>
          <w:rFonts w:hAnsi="宋体"/>
          <w:color w:val="auto"/>
          <w:sz w:val="24"/>
          <w:highlight w:val="none"/>
        </w:rPr>
        <w:t>账</w:t>
      </w:r>
      <w:r>
        <w:rPr>
          <w:color w:val="auto"/>
          <w:sz w:val="24"/>
          <w:highlight w:val="none"/>
        </w:rPr>
        <w:t xml:space="preserve">  </w:t>
      </w:r>
      <w:r>
        <w:rPr>
          <w:rFonts w:hAnsi="宋体"/>
          <w:color w:val="auto"/>
          <w:sz w:val="24"/>
          <w:highlight w:val="none"/>
        </w:rPr>
        <w:t>号：</w:t>
      </w:r>
      <w:r>
        <w:rPr>
          <w:rFonts w:hint="eastAsia" w:hAnsi="宋体"/>
          <w:color w:val="auto"/>
          <w:sz w:val="24"/>
          <w:highlight w:val="none"/>
          <w:u w:val="single"/>
        </w:rPr>
        <w:t xml:space="preserve">                    </w:t>
      </w:r>
    </w:p>
    <w:p w14:paraId="215514DA">
      <w:pPr>
        <w:widowControl/>
        <w:spacing w:line="500" w:lineRule="exact"/>
        <w:jc w:val="center"/>
        <w:rPr>
          <w:rFonts w:ascii="宋体" w:hAnsi="宋体" w:cs="宋体"/>
          <w:b/>
          <w:bCs/>
          <w:color w:val="auto"/>
          <w:sz w:val="32"/>
          <w:szCs w:val="32"/>
          <w:highlight w:val="none"/>
        </w:rPr>
      </w:pPr>
      <w:r>
        <w:rPr>
          <w:color w:val="auto"/>
          <w:sz w:val="24"/>
          <w:highlight w:val="none"/>
        </w:rPr>
        <w:br w:type="page"/>
      </w:r>
      <w:r>
        <w:rPr>
          <w:rFonts w:hint="eastAsia" w:ascii="宋体" w:hAnsi="宋体" w:cs="宋体"/>
          <w:b/>
          <w:bCs/>
          <w:color w:val="auto"/>
          <w:sz w:val="32"/>
          <w:szCs w:val="32"/>
          <w:highlight w:val="none"/>
        </w:rPr>
        <w:t>廉政合同</w:t>
      </w:r>
    </w:p>
    <w:p w14:paraId="4CFC0804">
      <w:pPr>
        <w:wordWrap w:val="0"/>
        <w:topLinePunct/>
        <w:spacing w:line="336" w:lineRule="exact"/>
        <w:ind w:firstLine="400"/>
        <w:rPr>
          <w:rFonts w:ascii="宋体" w:hAnsi="宋体" w:cs="宋体"/>
          <w:color w:val="auto"/>
          <w:sz w:val="20"/>
          <w:szCs w:val="20"/>
          <w:highlight w:val="none"/>
        </w:rPr>
      </w:pPr>
    </w:p>
    <w:p w14:paraId="2411876F">
      <w:pPr>
        <w:tabs>
          <w:tab w:val="left" w:pos="7665"/>
        </w:tabs>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eastAsia="zh-CN"/>
        </w:rPr>
        <w:t>上石镇马垌村古油茶产业基地道路建设项目</w:t>
      </w:r>
      <w:r>
        <w:rPr>
          <w:rFonts w:hint="eastAsia" w:ascii="宋体" w:hAnsi="宋体"/>
          <w:bCs/>
          <w:color w:val="auto"/>
          <w:sz w:val="24"/>
          <w:highlight w:val="none"/>
          <w:u w:val="single"/>
        </w:rPr>
        <w:t xml:space="preserve"> </w:t>
      </w:r>
      <w:r>
        <w:rPr>
          <w:rFonts w:hint="eastAsia" w:ascii="宋体" w:hAnsi="宋体"/>
          <w:bCs/>
          <w:color w:val="auto"/>
          <w:sz w:val="24"/>
          <w:highlight w:val="none"/>
        </w:rPr>
        <w:t>工程</w:t>
      </w:r>
      <w:r>
        <w:rPr>
          <w:rFonts w:hint="eastAsia" w:ascii="宋体" w:hAnsi="宋体" w:cs="宋体"/>
          <w:color w:val="auto"/>
          <w:sz w:val="24"/>
          <w:highlight w:val="none"/>
        </w:rPr>
        <w:t>的项目法人</w:t>
      </w:r>
      <w:r>
        <w:rPr>
          <w:rFonts w:hint="eastAsia" w:ascii="宋体" w:hAnsi="宋体" w:cs="宋体"/>
          <w:color w:val="auto"/>
          <w:sz w:val="24"/>
          <w:highlight w:val="none"/>
          <w:u w:val="single"/>
          <w:lang w:eastAsia="zh-CN"/>
        </w:rPr>
        <w:t>凭祥市林业局</w:t>
      </w:r>
      <w:r>
        <w:rPr>
          <w:rFonts w:hint="eastAsia" w:ascii="宋体" w:hAnsi="宋体" w:cs="宋体"/>
          <w:color w:val="auto"/>
          <w:sz w:val="24"/>
          <w:highlight w:val="none"/>
        </w:rPr>
        <w:t>（以下简称“发包人”）与该项目的施工单位</w:t>
      </w:r>
      <w:r>
        <w:rPr>
          <w:rFonts w:hint="eastAsia" w:ascii="宋体" w:hAnsi="宋体"/>
          <w:color w:val="auto"/>
          <w:sz w:val="24"/>
          <w:highlight w:val="none"/>
          <w:u w:val="single"/>
        </w:rPr>
        <w:t xml:space="preserve">             </w:t>
      </w:r>
      <w:r>
        <w:rPr>
          <w:rFonts w:hint="eastAsia" w:ascii="宋体" w:hAnsi="宋体" w:cs="宋体"/>
          <w:color w:val="auto"/>
          <w:sz w:val="24"/>
          <w:highlight w:val="none"/>
        </w:rPr>
        <w:t>（以下简称“承包人”），特订立如下合同。</w:t>
      </w:r>
    </w:p>
    <w:p w14:paraId="5202B435">
      <w:pPr>
        <w:widowControl/>
        <w:numPr>
          <w:ilvl w:val="0"/>
          <w:numId w:val="3"/>
        </w:numPr>
        <w:tabs>
          <w:tab w:val="left" w:pos="0"/>
        </w:tabs>
        <w:wordWrap w:val="0"/>
        <w:topLinePunct/>
        <w:adjustRightInd w:val="0"/>
        <w:snapToGrid w:val="0"/>
        <w:spacing w:line="440" w:lineRule="exact"/>
        <w:ind w:right="-48" w:rightChars="-23" w:firstLine="424" w:firstLineChars="177"/>
        <w:jc w:val="left"/>
        <w:rPr>
          <w:rFonts w:ascii="宋体" w:hAnsi="宋体" w:cs="宋体"/>
          <w:color w:val="auto"/>
          <w:sz w:val="24"/>
          <w:highlight w:val="none"/>
        </w:rPr>
      </w:pPr>
      <w:r>
        <w:rPr>
          <w:rFonts w:hint="eastAsia" w:ascii="宋体" w:hAnsi="宋体" w:cs="宋体"/>
          <w:color w:val="auto"/>
          <w:sz w:val="24"/>
          <w:highlight w:val="none"/>
        </w:rPr>
        <w:t>发包人和承包人双方的权利和义务</w:t>
      </w:r>
    </w:p>
    <w:p w14:paraId="20007F62">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（1）严格遵守党的政策规定和国家有关法律法规及交通运输部的有关规定。</w:t>
      </w:r>
    </w:p>
    <w:p w14:paraId="0334694F">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（2）严格执行</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eastAsia="zh-CN"/>
        </w:rPr>
        <w:t>上石镇马垌村古油茶产业基地道路建设项目</w:t>
      </w:r>
      <w:r>
        <w:rPr>
          <w:rFonts w:hint="eastAsia" w:ascii="宋体" w:hAnsi="宋体"/>
          <w:bCs/>
          <w:color w:val="auto"/>
          <w:sz w:val="24"/>
          <w:highlight w:val="none"/>
          <w:u w:val="single"/>
        </w:rPr>
        <w:t xml:space="preserve"> </w:t>
      </w:r>
      <w:r>
        <w:rPr>
          <w:rFonts w:hint="eastAsia" w:ascii="宋体" w:hAnsi="宋体"/>
          <w:bCs/>
          <w:color w:val="auto"/>
          <w:sz w:val="24"/>
          <w:highlight w:val="none"/>
        </w:rPr>
        <w:t>工程</w:t>
      </w:r>
      <w:r>
        <w:rPr>
          <w:rFonts w:hint="eastAsia" w:ascii="宋体" w:hAnsi="宋体" w:cs="宋体"/>
          <w:color w:val="auto"/>
          <w:sz w:val="24"/>
          <w:highlight w:val="none"/>
        </w:rPr>
        <w:t>施工合同文件，自觉按合同办事。</w:t>
      </w:r>
    </w:p>
    <w:p w14:paraId="51139474">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（3）双方的业务活动坚持公开、公正、诚信、透明的原则（法律认定的商业秘密和合同文件另有规定除外），不得损害国家和集体利益，不得违反工程建设管理规章制度。</w:t>
      </w:r>
    </w:p>
    <w:p w14:paraId="1C5D0084">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（4）建立健全廉政制度，开展廉政教育，设立廉政告示牌，公布举报电话，监督并认真查处违法违纪行为。</w:t>
      </w:r>
    </w:p>
    <w:p w14:paraId="22B5121C">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（5）发现对方在业务活动中有违反廉政规定的行为，有及时提醒对方纠正的权利和义务。</w:t>
      </w:r>
    </w:p>
    <w:p w14:paraId="43FFF148">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（6）发现对方严重违反本合同义务条款的行为，有向其上级有关部门举报、建议给予处理并要求告知处理结果的权利。</w:t>
      </w:r>
    </w:p>
    <w:p w14:paraId="5457BEF3">
      <w:pPr>
        <w:widowControl/>
        <w:numPr>
          <w:ilvl w:val="0"/>
          <w:numId w:val="4"/>
        </w:numPr>
        <w:tabs>
          <w:tab w:val="left" w:pos="0"/>
        </w:tabs>
        <w:wordWrap w:val="0"/>
        <w:topLinePunct/>
        <w:adjustRightInd w:val="0"/>
        <w:snapToGrid w:val="0"/>
        <w:spacing w:line="440" w:lineRule="exact"/>
        <w:ind w:right="-48" w:rightChars="-23" w:firstLine="424" w:firstLineChars="177"/>
        <w:jc w:val="left"/>
        <w:rPr>
          <w:rFonts w:ascii="宋体" w:hAnsi="宋体" w:cs="宋体"/>
          <w:color w:val="auto"/>
          <w:sz w:val="24"/>
          <w:highlight w:val="none"/>
        </w:rPr>
      </w:pPr>
      <w:r>
        <w:rPr>
          <w:rFonts w:hint="eastAsia" w:ascii="宋体" w:hAnsi="宋体" w:cs="宋体"/>
          <w:color w:val="auto"/>
          <w:sz w:val="24"/>
          <w:highlight w:val="none"/>
        </w:rPr>
        <w:t>发包人的义务</w:t>
      </w:r>
    </w:p>
    <w:p w14:paraId="6DCDD11D">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（1）发包人及其工作人员不得索要或接受承包人的礼金、有价证券和贵重物品，不得让承包人报销任何应由发包人或发包人工作人员个人支付的费用等。</w:t>
      </w:r>
    </w:p>
    <w:p w14:paraId="33202704">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（2）发包人工作人员不得参加承包人安排的超标准宴请和娱乐活动；不得接受承包人提供的通信工具、交通工具和高档办公用品等。</w:t>
      </w:r>
    </w:p>
    <w:p w14:paraId="41DE822C">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（3）发包人及其工作人员不得要求或者接受承包人为其住房装修、婚丧嫁娶活动、配偶子女的工作安排以及出国出境、旅游等提供方便等。</w:t>
      </w:r>
    </w:p>
    <w:p w14:paraId="319D0440">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（4）发包人工作人员及其配偶、子女不得从事与发包人工程有关的材料设备供应、工程分包、劳务等经济活动等。</w:t>
      </w:r>
    </w:p>
    <w:p w14:paraId="524F0CCB">
      <w:pPr>
        <w:wordWrap w:val="0"/>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（5）发包人及其工作人员不得以任何理由向承包人推荐分包单位或推销材料，不得要求承包人购买合同规定外的材料和设备。</w:t>
      </w:r>
    </w:p>
    <w:p w14:paraId="71DE3ECA">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（6）发包人工作人员要秉公办事，不准营私舞弊，不准利用职权从事各种个人有偿中介活动和安排个人施工队伍。</w:t>
      </w:r>
    </w:p>
    <w:p w14:paraId="29ECBEC7">
      <w:pPr>
        <w:widowControl/>
        <w:numPr>
          <w:ilvl w:val="0"/>
          <w:numId w:val="5"/>
        </w:numPr>
        <w:tabs>
          <w:tab w:val="left" w:pos="0"/>
        </w:tabs>
        <w:topLinePunct/>
        <w:adjustRightInd w:val="0"/>
        <w:snapToGrid w:val="0"/>
        <w:spacing w:line="440" w:lineRule="exact"/>
        <w:ind w:right="-48" w:rightChars="-23" w:firstLine="424" w:firstLineChars="177"/>
        <w:jc w:val="left"/>
        <w:rPr>
          <w:rFonts w:ascii="宋体" w:hAnsi="宋体" w:cs="宋体"/>
          <w:color w:val="auto"/>
          <w:sz w:val="24"/>
          <w:highlight w:val="none"/>
        </w:rPr>
      </w:pPr>
      <w:r>
        <w:rPr>
          <w:rFonts w:hint="eastAsia" w:ascii="宋体" w:hAnsi="宋体" w:cs="宋体"/>
          <w:color w:val="auto"/>
          <w:sz w:val="24"/>
          <w:highlight w:val="none"/>
        </w:rPr>
        <w:t>承包人的义务</w:t>
      </w:r>
    </w:p>
    <w:p w14:paraId="380F3F6C">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（1）承包人不得以任何理由向发包人及其工作人员行贿或馈赠礼金、有价证券、贵重礼品。</w:t>
      </w:r>
    </w:p>
    <w:p w14:paraId="597FF9EB">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（2）承包人不得以任何名义为发包人及其工作人员报销应由发包人单位或个人支付的任何费用。</w:t>
      </w:r>
    </w:p>
    <w:p w14:paraId="0E2B632A">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（3）承包人不得以任何理由安排发包人工作人员参加超标准宴请及娱乐活动。</w:t>
      </w:r>
    </w:p>
    <w:p w14:paraId="755ED21F">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（4）承包人不得为发包人单位和个人购置或提供通信工具、交通工具和高档</w:t>
      </w:r>
    </w:p>
    <w:p w14:paraId="326F1740">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办公用品等。</w:t>
      </w:r>
    </w:p>
    <w:p w14:paraId="04B1C030">
      <w:pPr>
        <w:widowControl/>
        <w:numPr>
          <w:ilvl w:val="0"/>
          <w:numId w:val="6"/>
        </w:numPr>
        <w:topLinePunct/>
        <w:adjustRightInd w:val="0"/>
        <w:snapToGrid w:val="0"/>
        <w:spacing w:line="440" w:lineRule="exact"/>
        <w:ind w:right="-48" w:rightChars="-23" w:firstLine="424" w:firstLineChars="177"/>
        <w:jc w:val="left"/>
        <w:rPr>
          <w:rFonts w:ascii="宋体" w:hAnsi="宋体" w:cs="宋体"/>
          <w:color w:val="auto"/>
          <w:sz w:val="24"/>
          <w:highlight w:val="none"/>
        </w:rPr>
      </w:pPr>
      <w:r>
        <w:rPr>
          <w:rFonts w:hint="eastAsia" w:ascii="宋体" w:hAnsi="宋体" w:cs="宋体"/>
          <w:color w:val="auto"/>
          <w:sz w:val="24"/>
          <w:highlight w:val="none"/>
        </w:rPr>
        <w:t>违约责任</w:t>
      </w:r>
    </w:p>
    <w:p w14:paraId="5CFFAB01">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（1）发包人及其工作人员违反本合同第 1、2 条，按管理权限，依据有关规定给予党纪、政纪或组织处理；涉嫌犯罪的，移交司法机关追究刑事责任；给承包人单位造成经济损失的，应予以赔偿。</w:t>
      </w:r>
    </w:p>
    <w:p w14:paraId="4DFCD7C2">
      <w:pPr>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（2）承包人及其工作人员违反本合同第 1、3 条，按管理权限，依据有关规定给予党纪、政纪或组织处理；给发包人单位造成经济损失的，应予以赔偿；情节严重的，发包人建议交通运输主管部门给予承包人一至三年内不得进入其主管的公路建设市场的处罚。</w:t>
      </w:r>
    </w:p>
    <w:p w14:paraId="389995BD">
      <w:pPr>
        <w:widowControl/>
        <w:numPr>
          <w:ilvl w:val="0"/>
          <w:numId w:val="7"/>
        </w:numPr>
        <w:tabs>
          <w:tab w:val="left" w:pos="0"/>
        </w:tabs>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1838D467">
      <w:pPr>
        <w:widowControl/>
        <w:numPr>
          <w:ilvl w:val="0"/>
          <w:numId w:val="7"/>
        </w:numPr>
        <w:tabs>
          <w:tab w:val="left" w:pos="0"/>
        </w:tabs>
        <w:topLinePunct/>
        <w:adjustRightInd w:val="0"/>
        <w:snapToGrid w:val="0"/>
        <w:spacing w:line="440" w:lineRule="exact"/>
        <w:ind w:right="-48" w:rightChars="-23" w:firstLine="424" w:firstLineChars="177"/>
        <w:jc w:val="left"/>
        <w:rPr>
          <w:rFonts w:ascii="宋体" w:hAnsi="宋体" w:cs="宋体"/>
          <w:color w:val="auto"/>
          <w:sz w:val="24"/>
          <w:highlight w:val="none"/>
        </w:rPr>
      </w:pPr>
      <w:r>
        <w:rPr>
          <w:rFonts w:hint="eastAsia" w:ascii="宋体" w:hAnsi="宋体" w:cs="宋体"/>
          <w:color w:val="auto"/>
          <w:sz w:val="24"/>
          <w:highlight w:val="none"/>
        </w:rPr>
        <w:t>本合同有效期为发包人和承包人签署之日起至该工程项目竣工验收后止。</w:t>
      </w:r>
    </w:p>
    <w:p w14:paraId="447369FC">
      <w:pPr>
        <w:tabs>
          <w:tab w:val="left" w:pos="0"/>
          <w:tab w:val="left" w:pos="3420"/>
          <w:tab w:val="left" w:pos="5480"/>
        </w:tabs>
        <w:topLinePunct/>
        <w:adjustRightInd w:val="0"/>
        <w:snapToGrid w:val="0"/>
        <w:spacing w:line="440" w:lineRule="exact"/>
        <w:ind w:right="-48" w:rightChars="-23" w:firstLine="424" w:firstLineChars="177"/>
        <w:rPr>
          <w:rFonts w:ascii="宋体" w:hAnsi="宋体" w:cs="宋体"/>
          <w:color w:val="auto"/>
          <w:sz w:val="24"/>
          <w:highlight w:val="none"/>
        </w:rPr>
      </w:pPr>
      <w:r>
        <w:rPr>
          <w:rFonts w:hint="eastAsia" w:ascii="宋体" w:hAnsi="宋体" w:cs="宋体"/>
          <w:color w:val="auto"/>
          <w:sz w:val="24"/>
          <w:highlight w:val="none"/>
        </w:rPr>
        <w:t>7. 本合同作为</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eastAsia="zh-CN"/>
        </w:rPr>
        <w:t>上石镇马垌村古油茶产业基地道路建设项目</w:t>
      </w:r>
      <w:r>
        <w:rPr>
          <w:rFonts w:hint="eastAsia" w:ascii="宋体" w:hAnsi="宋体"/>
          <w:bCs/>
          <w:color w:val="auto"/>
          <w:sz w:val="24"/>
          <w:highlight w:val="none"/>
          <w:u w:val="single"/>
        </w:rPr>
        <w:t xml:space="preserve"> </w:t>
      </w:r>
      <w:r>
        <w:rPr>
          <w:rFonts w:hint="eastAsia" w:ascii="宋体" w:hAnsi="宋体"/>
          <w:bCs/>
          <w:color w:val="auto"/>
          <w:sz w:val="24"/>
          <w:highlight w:val="none"/>
        </w:rPr>
        <w:t>工程</w:t>
      </w:r>
      <w:r>
        <w:rPr>
          <w:rFonts w:hint="eastAsia" w:ascii="宋体" w:hAnsi="宋体" w:cs="宋体"/>
          <w:color w:val="auto"/>
          <w:sz w:val="24"/>
          <w:highlight w:val="none"/>
        </w:rPr>
        <w:t>施工合同的附件，与工程施工合同具有同等的法律效力，经合同双方签署后立即生效。</w:t>
      </w:r>
    </w:p>
    <w:p w14:paraId="6C5B6621">
      <w:pPr>
        <w:spacing w:line="480" w:lineRule="exact"/>
        <w:ind w:firstLine="480" w:firstLineChars="200"/>
        <w:rPr>
          <w:rFonts w:ascii="宋体"/>
          <w:bCs/>
          <w:color w:val="auto"/>
          <w:sz w:val="24"/>
          <w:highlight w:val="none"/>
        </w:rPr>
      </w:pPr>
      <w:r>
        <w:rPr>
          <w:rFonts w:hAnsi="宋体"/>
          <w:bCs/>
          <w:color w:val="auto"/>
          <w:sz w:val="24"/>
          <w:highlight w:val="none"/>
        </w:rPr>
        <w:t>本合同一式</w:t>
      </w:r>
      <w:r>
        <w:rPr>
          <w:bCs/>
          <w:color w:val="auto"/>
          <w:sz w:val="24"/>
          <w:highlight w:val="none"/>
          <w:u w:val="single"/>
        </w:rPr>
        <w:t xml:space="preserve">   </w:t>
      </w:r>
      <w:r>
        <w:rPr>
          <w:rFonts w:hAnsi="宋体"/>
          <w:bCs/>
          <w:color w:val="auto"/>
          <w:sz w:val="24"/>
          <w:highlight w:val="none"/>
        </w:rPr>
        <w:t>份，均具有同等法律效力，发包人执</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份，承包人执</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w:t>
      </w:r>
      <w:r>
        <w:rPr>
          <w:rFonts w:hint="eastAsia" w:ascii="宋体" w:hAnsi="宋体"/>
          <w:bCs/>
          <w:color w:val="auto"/>
          <w:sz w:val="24"/>
          <w:highlight w:val="none"/>
        </w:rPr>
        <w:t>,政府采购管理办公室备案</w:t>
      </w:r>
      <w:r>
        <w:rPr>
          <w:rFonts w:hint="eastAsia" w:ascii="宋体" w:hAnsi="宋体"/>
          <w:bCs/>
          <w:color w:val="auto"/>
          <w:sz w:val="24"/>
          <w:highlight w:val="none"/>
          <w:u w:val="single"/>
        </w:rPr>
        <w:t xml:space="preserve"> 壹 </w:t>
      </w:r>
      <w:r>
        <w:rPr>
          <w:rFonts w:hint="eastAsia" w:ascii="宋体" w:hAnsi="宋体"/>
          <w:bCs/>
          <w:color w:val="auto"/>
          <w:sz w:val="24"/>
          <w:highlight w:val="none"/>
        </w:rPr>
        <w:t>份。</w:t>
      </w:r>
    </w:p>
    <w:p w14:paraId="41FBCB48">
      <w:pPr>
        <w:tabs>
          <w:tab w:val="left" w:pos="1080"/>
        </w:tabs>
        <w:spacing w:line="440" w:lineRule="exact"/>
        <w:rPr>
          <w:rFonts w:ascii="宋体" w:hAnsi="宋体" w:cs="宋体"/>
          <w:color w:val="auto"/>
          <w:sz w:val="24"/>
          <w:highlight w:val="none"/>
        </w:rPr>
      </w:pPr>
    </w:p>
    <w:p w14:paraId="5E08CB6B">
      <w:pPr>
        <w:tabs>
          <w:tab w:val="left" w:pos="1080"/>
        </w:tabs>
        <w:spacing w:line="440" w:lineRule="exact"/>
        <w:ind w:left="420" w:firstLine="420"/>
        <w:rPr>
          <w:rFonts w:ascii="宋体" w:hAnsi="宋体" w:cs="宋体"/>
          <w:color w:val="auto"/>
          <w:sz w:val="24"/>
          <w:highlight w:val="none"/>
        </w:rPr>
      </w:pPr>
    </w:p>
    <w:p w14:paraId="2EAF473E">
      <w:pPr>
        <w:tabs>
          <w:tab w:val="left" w:pos="2920"/>
          <w:tab w:val="left" w:pos="4695"/>
          <w:tab w:val="left" w:pos="7425"/>
        </w:tabs>
        <w:wordWrap w:val="0"/>
        <w:topLinePunct/>
        <w:spacing w:line="440" w:lineRule="exact"/>
        <w:rPr>
          <w:rFonts w:ascii="宋体" w:hAnsi="宋体" w:cs="宋体"/>
          <w:color w:val="auto"/>
          <w:sz w:val="24"/>
          <w:highlight w:val="none"/>
        </w:rPr>
      </w:pPr>
      <w:r>
        <w:rPr>
          <w:rFonts w:hint="eastAsia" w:ascii="宋体" w:hAnsi="宋体" w:cs="宋体"/>
          <w:color w:val="auto"/>
          <w:sz w:val="24"/>
          <w:highlight w:val="none"/>
        </w:rPr>
        <w:t>发包人：</w:t>
      </w:r>
      <w:r>
        <w:rPr>
          <w:rFonts w:hint="eastAsia" w:ascii="宋体" w:hAnsi="宋体" w:cs="宋体"/>
          <w:color w:val="auto"/>
          <w:sz w:val="24"/>
          <w:highlight w:val="none"/>
          <w:u w:val="single"/>
          <w:lang w:eastAsia="zh-CN"/>
        </w:rPr>
        <w:t>凭祥市林业局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r>
        <w:rPr>
          <w:rFonts w:hint="eastAsia" w:ascii="宋体" w:hAnsi="宋体" w:cs="宋体"/>
          <w:color w:val="auto"/>
          <w:sz w:val="24"/>
          <w:highlight w:val="none"/>
        </w:rPr>
        <w:tab/>
      </w:r>
      <w:r>
        <w:rPr>
          <w:rFonts w:hint="eastAsia" w:ascii="宋体" w:hAnsi="宋体" w:cs="宋体"/>
          <w:color w:val="auto"/>
          <w:sz w:val="24"/>
          <w:highlight w:val="none"/>
        </w:rPr>
        <w:t>承包人：</w:t>
      </w:r>
      <w:r>
        <w:rPr>
          <w:rFonts w:hint="eastAsia" w:ascii="宋体" w:hAnsi="宋体"/>
          <w:color w:val="auto"/>
          <w:sz w:val="24"/>
          <w:highlight w:val="none"/>
          <w:u w:val="single"/>
        </w:rPr>
        <w:t xml:space="preserve">             </w:t>
      </w:r>
      <w:r>
        <w:rPr>
          <w:rFonts w:hint="eastAsia" w:ascii="宋体" w:hAnsi="宋体" w:cs="宋体"/>
          <w:color w:val="auto"/>
          <w:sz w:val="24"/>
          <w:highlight w:val="none"/>
        </w:rPr>
        <w:t>盖单位章）</w:t>
      </w:r>
    </w:p>
    <w:p w14:paraId="648D84CD">
      <w:pPr>
        <w:pStyle w:val="17"/>
        <w:spacing w:line="440" w:lineRule="exact"/>
        <w:ind w:left="63" w:right="63"/>
        <w:rPr>
          <w:color w:val="auto"/>
          <w:highlight w:val="none"/>
        </w:rPr>
      </w:pPr>
    </w:p>
    <w:p w14:paraId="6BB01664">
      <w:pPr>
        <w:tabs>
          <w:tab w:val="left" w:pos="3405"/>
          <w:tab w:val="left" w:pos="4700"/>
          <w:tab w:val="left" w:pos="8020"/>
        </w:tabs>
        <w:wordWrap w:val="0"/>
        <w:topLinePunct/>
        <w:spacing w:line="440" w:lineRule="exact"/>
        <w:ind w:left="1680" w:hanging="1680" w:hangingChars="700"/>
        <w:rPr>
          <w:rFonts w:ascii="宋体" w:hAnsi="宋体" w:cs="宋体"/>
          <w:color w:val="auto"/>
          <w:sz w:val="24"/>
          <w:highlight w:val="none"/>
        </w:rPr>
      </w:pPr>
      <w:r>
        <w:rPr>
          <w:rFonts w:hint="eastAsia" w:ascii="宋体" w:hAnsi="宋体" w:cs="宋体"/>
          <w:color w:val="auto"/>
          <w:sz w:val="24"/>
          <w:highlight w:val="none"/>
        </w:rPr>
        <w:t>法定代表人或其委托代理人：</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  法定代表人或其委托代理人：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(签字)</w:t>
      </w:r>
    </w:p>
    <w:p w14:paraId="34E34684">
      <w:pPr>
        <w:pStyle w:val="17"/>
        <w:spacing w:line="440" w:lineRule="exact"/>
        <w:ind w:left="63" w:right="63"/>
        <w:rPr>
          <w:rFonts w:ascii="宋体" w:hAnsi="宋体" w:cs="宋体"/>
          <w:color w:val="auto"/>
          <w:sz w:val="24"/>
          <w:highlight w:val="none"/>
        </w:rPr>
      </w:pPr>
    </w:p>
    <w:p w14:paraId="2F1EE3BA">
      <w:pPr>
        <w:pStyle w:val="17"/>
        <w:spacing w:line="440" w:lineRule="exact"/>
        <w:ind w:left="63" w:right="63"/>
        <w:rPr>
          <w:rFonts w:ascii="宋体" w:hAnsi="宋体" w:cs="宋体"/>
          <w:color w:val="auto"/>
          <w:sz w:val="24"/>
          <w:highlight w:val="none"/>
        </w:rPr>
      </w:pPr>
    </w:p>
    <w:p w14:paraId="2016AD43">
      <w:pPr>
        <w:tabs>
          <w:tab w:val="left" w:pos="3405"/>
          <w:tab w:val="left" w:pos="4700"/>
          <w:tab w:val="left" w:pos="8020"/>
        </w:tabs>
        <w:wordWrap w:val="0"/>
        <w:topLinePunct/>
        <w:spacing w:line="440" w:lineRule="exact"/>
        <w:ind w:firstLine="1039" w:firstLineChars="433"/>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   月   日                         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   月    日</w:t>
      </w:r>
    </w:p>
    <w:p w14:paraId="00C0C7A3">
      <w:pPr>
        <w:tabs>
          <w:tab w:val="left" w:pos="3405"/>
          <w:tab w:val="left" w:pos="4700"/>
          <w:tab w:val="left" w:pos="8020"/>
        </w:tabs>
        <w:wordWrap w:val="0"/>
        <w:topLinePunct/>
        <w:spacing w:line="360" w:lineRule="auto"/>
        <w:ind w:firstLine="1039" w:firstLineChars="433"/>
        <w:rPr>
          <w:rFonts w:ascii="宋体" w:hAnsi="宋体" w:cs="宋体"/>
          <w:color w:val="auto"/>
          <w:sz w:val="24"/>
          <w:highlight w:val="none"/>
          <w:u w:val="single"/>
        </w:rPr>
      </w:pPr>
    </w:p>
    <w:p w14:paraId="1124487B">
      <w:pPr>
        <w:tabs>
          <w:tab w:val="left" w:pos="3645"/>
          <w:tab w:val="left" w:pos="4700"/>
          <w:tab w:val="left" w:pos="8020"/>
        </w:tabs>
        <w:wordWrap w:val="0"/>
        <w:topLinePunct/>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安全生产合同</w:t>
      </w:r>
    </w:p>
    <w:p w14:paraId="4B7B6EB0">
      <w:pPr>
        <w:wordWrap w:val="0"/>
        <w:topLinePunct/>
        <w:adjustRightInd w:val="0"/>
        <w:snapToGrid w:val="0"/>
        <w:spacing w:line="400" w:lineRule="exact"/>
        <w:ind w:right="-53" w:firstLine="495" w:firstLineChars="177"/>
        <w:jc w:val="center"/>
        <w:rPr>
          <w:rFonts w:ascii="宋体" w:hAnsi="宋体" w:cs="宋体"/>
          <w:color w:val="auto"/>
          <w:sz w:val="28"/>
          <w:szCs w:val="28"/>
          <w:highlight w:val="none"/>
        </w:rPr>
      </w:pPr>
    </w:p>
    <w:p w14:paraId="40FAF137">
      <w:pPr>
        <w:topLinePunct/>
        <w:adjustRightInd w:val="0"/>
        <w:snapToGrid w:val="0"/>
        <w:spacing w:line="420" w:lineRule="exact"/>
        <w:ind w:firstLine="662" w:firstLineChars="276"/>
        <w:rPr>
          <w:rFonts w:ascii="宋体" w:hAnsi="宋体" w:cs="宋体"/>
          <w:color w:val="auto"/>
          <w:sz w:val="24"/>
          <w:highlight w:val="none"/>
        </w:rPr>
      </w:pPr>
      <w:r>
        <w:rPr>
          <w:rFonts w:hint="eastAsia" w:ascii="宋体" w:hAnsi="宋体" w:cs="宋体"/>
          <w:color w:val="auto"/>
          <w:sz w:val="24"/>
          <w:highlight w:val="none"/>
        </w:rPr>
        <w:t>为在</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eastAsia="zh-CN"/>
        </w:rPr>
        <w:t>上石镇马垌村古油茶产业基地道路建设项目</w:t>
      </w:r>
      <w:r>
        <w:rPr>
          <w:rFonts w:hint="eastAsia" w:ascii="宋体" w:hAnsi="宋体"/>
          <w:bCs/>
          <w:color w:val="auto"/>
          <w:sz w:val="24"/>
          <w:highlight w:val="none"/>
          <w:u w:val="single"/>
          <w:lang w:val="en-US" w:eastAsia="zh-CN"/>
        </w:rPr>
        <w:t xml:space="preserve"> </w:t>
      </w:r>
      <w:r>
        <w:rPr>
          <w:rFonts w:hint="eastAsia" w:ascii="宋体" w:hAnsi="宋体"/>
          <w:bCs/>
          <w:color w:val="auto"/>
          <w:sz w:val="24"/>
          <w:highlight w:val="none"/>
        </w:rPr>
        <w:t>工程</w:t>
      </w:r>
      <w:r>
        <w:rPr>
          <w:rFonts w:hint="eastAsia" w:ascii="宋体" w:hAnsi="宋体" w:cs="宋体"/>
          <w:color w:val="auto"/>
          <w:sz w:val="24"/>
          <w:highlight w:val="none"/>
        </w:rPr>
        <w:t>施工合同的实施过程中创造安全、高效的施工环境，切实搞好本项目的安全管理工作，本项目发包人</w:t>
      </w:r>
      <w:r>
        <w:rPr>
          <w:rFonts w:hint="eastAsia" w:ascii="宋体" w:hAnsi="宋体" w:cs="宋体"/>
          <w:color w:val="auto"/>
          <w:sz w:val="24"/>
          <w:highlight w:val="none"/>
          <w:u w:val="single"/>
          <w:lang w:eastAsia="zh-CN"/>
        </w:rPr>
        <w:t>凭祥市林业局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（以下简称“发包人”）与承包人</w:t>
      </w:r>
      <w:r>
        <w:rPr>
          <w:rFonts w:hint="eastAsia" w:ascii="宋体" w:hAnsi="宋体"/>
          <w:color w:val="auto"/>
          <w:sz w:val="24"/>
          <w:highlight w:val="none"/>
          <w:u w:val="single"/>
        </w:rPr>
        <w:t xml:space="preserve">   </w:t>
      </w:r>
      <w:r>
        <w:rPr>
          <w:rFonts w:hint="eastAsia" w:ascii="宋体" w:hAnsi="宋体" w:cs="宋体"/>
          <w:color w:val="auto"/>
          <w:sz w:val="24"/>
          <w:highlight w:val="none"/>
        </w:rPr>
        <w:t>（以下简称“承包人”）特此签订安全生产合同。</w:t>
      </w:r>
    </w:p>
    <w:p w14:paraId="399A5C51">
      <w:pPr>
        <w:topLinePunct/>
        <w:adjustRightInd w:val="0"/>
        <w:snapToGrid w:val="0"/>
        <w:spacing w:line="420" w:lineRule="exact"/>
        <w:ind w:firstLine="424" w:firstLineChars="177"/>
        <w:rPr>
          <w:rFonts w:ascii="宋体" w:hAnsi="宋体" w:cs="宋体"/>
          <w:color w:val="auto"/>
          <w:sz w:val="24"/>
          <w:highlight w:val="none"/>
        </w:rPr>
      </w:pPr>
      <w:r>
        <w:rPr>
          <w:rFonts w:hint="eastAsia" w:ascii="宋体" w:hAnsi="宋体" w:cs="宋体"/>
          <w:color w:val="auto"/>
          <w:sz w:val="24"/>
          <w:highlight w:val="none"/>
        </w:rPr>
        <w:t>1.发包人职责</w:t>
      </w:r>
    </w:p>
    <w:p w14:paraId="7BAD6E4E">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（1）严格遵守国家有关安全生产的法律法规，认真执行工程承包合同中的有关安全要求。</w:t>
      </w:r>
    </w:p>
    <w:p w14:paraId="10AA47C5">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（2）按照“安全第一、预防为主、综合治理”和坚持“管生产必须管安全”的原则进行安全生产管理，做到生产与安全工作同时计划、布置、检查、总结和评比。</w:t>
      </w:r>
    </w:p>
    <w:p w14:paraId="4A2F99FD">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（3）重要的安全设施必须坚持与主体工程“三同时”的原则，即：同时设计、审批，同时施工，同时验收，投入使用。</w:t>
      </w:r>
    </w:p>
    <w:p w14:paraId="502491DD">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（4）定期召开安全生产调度会，及时传达中央及地方有关安全生产的精神。</w:t>
      </w:r>
    </w:p>
    <w:p w14:paraId="33FDC1A1">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（5）组织对承包人施工现场进行安全生产检查，监督承包人及时处理发现的各种安全隐患。</w:t>
      </w:r>
    </w:p>
    <w:p w14:paraId="150FB5AA">
      <w:pPr>
        <w:topLinePunct/>
        <w:adjustRightInd w:val="0"/>
        <w:snapToGrid w:val="0"/>
        <w:spacing w:line="420" w:lineRule="exact"/>
        <w:ind w:firstLine="424" w:firstLineChars="177"/>
        <w:rPr>
          <w:rFonts w:ascii="宋体" w:hAnsi="宋体" w:cs="宋体"/>
          <w:color w:val="auto"/>
          <w:sz w:val="24"/>
          <w:highlight w:val="none"/>
        </w:rPr>
      </w:pPr>
      <w:r>
        <w:rPr>
          <w:rFonts w:hint="eastAsia" w:ascii="宋体" w:hAnsi="宋体" w:cs="宋体"/>
          <w:color w:val="auto"/>
          <w:sz w:val="24"/>
          <w:highlight w:val="none"/>
        </w:rPr>
        <w:t>2.承包人职责</w:t>
      </w:r>
    </w:p>
    <w:p w14:paraId="3E0EE678">
      <w:pPr>
        <w:topLinePunct/>
        <w:adjustRightInd w:val="0"/>
        <w:snapToGrid w:val="0"/>
        <w:spacing w:line="420" w:lineRule="exact"/>
        <w:ind w:right="46" w:firstLine="424" w:firstLineChars="177"/>
        <w:rPr>
          <w:rFonts w:ascii="宋体" w:hAnsi="宋体" w:cs="宋体"/>
          <w:color w:val="auto"/>
          <w:sz w:val="24"/>
          <w:highlight w:val="none"/>
        </w:rPr>
      </w:pPr>
      <w:r>
        <w:rPr>
          <w:rFonts w:hint="eastAsia" w:ascii="宋体" w:hAnsi="宋体" w:cs="宋体"/>
          <w:color w:val="auto"/>
          <w:sz w:val="24"/>
          <w:highlight w:val="none"/>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41F2B6BA">
      <w:pPr>
        <w:topLinePunct/>
        <w:adjustRightInd w:val="0"/>
        <w:snapToGrid w:val="0"/>
        <w:spacing w:line="420" w:lineRule="exact"/>
        <w:ind w:right="26" w:firstLine="424" w:firstLineChars="177"/>
        <w:rPr>
          <w:rFonts w:ascii="宋体" w:hAnsi="宋体" w:cs="宋体"/>
          <w:color w:val="auto"/>
          <w:sz w:val="24"/>
          <w:highlight w:val="none"/>
        </w:rPr>
      </w:pPr>
      <w:r>
        <w:rPr>
          <w:rFonts w:hint="eastAsia" w:ascii="宋体" w:hAnsi="宋体" w:cs="宋体"/>
          <w:color w:val="auto"/>
          <w:sz w:val="24"/>
          <w:highlight w:val="none"/>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4F39C2E1">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4AC43EB2">
      <w:pPr>
        <w:topLinePunct/>
        <w:adjustRightInd w:val="0"/>
        <w:snapToGrid w:val="0"/>
        <w:spacing w:line="420" w:lineRule="exact"/>
        <w:ind w:firstLine="424" w:firstLineChars="177"/>
        <w:rPr>
          <w:rFonts w:ascii="宋体" w:hAnsi="宋体" w:cs="宋体"/>
          <w:color w:val="auto"/>
          <w:sz w:val="24"/>
          <w:highlight w:val="none"/>
        </w:rPr>
      </w:pPr>
      <w:r>
        <w:rPr>
          <w:rFonts w:hint="eastAsia" w:ascii="宋体" w:hAnsi="宋体" w:cs="宋体"/>
          <w:color w:val="auto"/>
          <w:sz w:val="24"/>
          <w:highlight w:val="none"/>
        </w:rPr>
        <w:t>（4）承包人在任何时候都应采取各种合理的预防措施，防止其员工发生任何违法、违禁、暴力或妨碍治安的行为。</w:t>
      </w:r>
    </w:p>
    <w:p w14:paraId="413C9FFD">
      <w:pPr>
        <w:topLinePunct/>
        <w:adjustRightInd w:val="0"/>
        <w:snapToGrid w:val="0"/>
        <w:spacing w:line="420" w:lineRule="exact"/>
        <w:ind w:right="26" w:firstLine="424" w:firstLineChars="177"/>
        <w:rPr>
          <w:rFonts w:ascii="宋体" w:hAnsi="宋体" w:cs="宋体"/>
          <w:color w:val="auto"/>
          <w:sz w:val="24"/>
          <w:highlight w:val="none"/>
        </w:rPr>
      </w:pPr>
      <w:r>
        <w:rPr>
          <w:rFonts w:hint="eastAsia" w:ascii="宋体" w:hAnsi="宋体" w:cs="宋体"/>
          <w:color w:val="auto"/>
          <w:sz w:val="24"/>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052352F9">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47863940">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（7）操作人员上岗，必须按规定穿戴防护用品。施工负责人和安全检查员应随时检查劳动防护用品的穿戴情况，不按规定穿戴防护用品的人员不得上岗。</w:t>
      </w:r>
    </w:p>
    <w:p w14:paraId="72A31297">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（8）所有施工机具设备和高空作业的设备均应定期检查，并有安全员的签字记录，保证其经常处于完好状态；不合格的机具、设备和劳动保护用品严禁使用。</w:t>
      </w:r>
    </w:p>
    <w:p w14:paraId="049D7640">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（9）施工中采用新技术、新工艺、新设备、新材料时，必须制定相应的安全技术措施，施工现场必须具有相关的安全标志牌。</w:t>
      </w:r>
    </w:p>
    <w:p w14:paraId="042AC714">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（10）承包人必须按照本工程项目特点，组织制定本工程实施中的生产安全事故应急救援预案；如果发生安全事故，应按照《国务院关于特大安全事故行政责任</w:t>
      </w:r>
    </w:p>
    <w:p w14:paraId="162768D2">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追究的规定》以及其他有关规定，及时上报有关部门，并坚持“四不放过”的原则，严肃处理相关责任人。</w:t>
      </w:r>
    </w:p>
    <w:p w14:paraId="27023462">
      <w:pPr>
        <w:topLinePunct/>
        <w:adjustRightInd w:val="0"/>
        <w:snapToGrid w:val="0"/>
        <w:spacing w:line="420" w:lineRule="exact"/>
        <w:ind w:right="146" w:firstLine="424" w:firstLineChars="177"/>
        <w:rPr>
          <w:rFonts w:ascii="宋体" w:hAnsi="宋体" w:cs="宋体"/>
          <w:color w:val="auto"/>
          <w:sz w:val="24"/>
          <w:highlight w:val="none"/>
        </w:rPr>
      </w:pPr>
      <w:r>
        <w:rPr>
          <w:rFonts w:hint="eastAsia" w:ascii="宋体" w:hAnsi="宋体" w:cs="宋体"/>
          <w:color w:val="auto"/>
          <w:sz w:val="24"/>
          <w:highlight w:val="none"/>
        </w:rPr>
        <w:t>（11）安全生产费用按照《公路水运工程安全生产监督管理办法》的相关规定使用和管理。</w:t>
      </w:r>
    </w:p>
    <w:p w14:paraId="4781B41A">
      <w:pPr>
        <w:topLinePunct/>
        <w:adjustRightInd w:val="0"/>
        <w:snapToGrid w:val="0"/>
        <w:spacing w:line="420" w:lineRule="exact"/>
        <w:ind w:firstLine="424" w:firstLineChars="177"/>
        <w:rPr>
          <w:rFonts w:ascii="宋体" w:hAnsi="宋体" w:cs="宋体"/>
          <w:color w:val="auto"/>
          <w:sz w:val="24"/>
          <w:highlight w:val="none"/>
        </w:rPr>
      </w:pPr>
      <w:r>
        <w:rPr>
          <w:rFonts w:hint="eastAsia" w:ascii="宋体" w:hAnsi="宋体" w:cs="宋体"/>
          <w:color w:val="auto"/>
          <w:sz w:val="24"/>
          <w:highlight w:val="none"/>
        </w:rPr>
        <w:t>3.违约责任</w:t>
      </w:r>
    </w:p>
    <w:p w14:paraId="6C8F8721">
      <w:pPr>
        <w:topLinePunct/>
        <w:adjustRightInd w:val="0"/>
        <w:snapToGrid w:val="0"/>
        <w:spacing w:line="420" w:lineRule="exact"/>
        <w:ind w:firstLine="424" w:firstLineChars="177"/>
        <w:rPr>
          <w:rFonts w:ascii="宋体" w:hAnsi="宋体" w:cs="宋体"/>
          <w:color w:val="auto"/>
          <w:sz w:val="24"/>
          <w:highlight w:val="none"/>
        </w:rPr>
      </w:pPr>
      <w:r>
        <w:rPr>
          <w:rFonts w:hint="eastAsia" w:ascii="宋体" w:hAnsi="宋体" w:cs="宋体"/>
          <w:color w:val="auto"/>
          <w:sz w:val="24"/>
          <w:highlight w:val="none"/>
        </w:rPr>
        <w:t>如因发包人或承包人违约造成安全事故，将依法追究责任。</w:t>
      </w:r>
    </w:p>
    <w:p w14:paraId="537044D1">
      <w:pPr>
        <w:widowControl/>
        <w:numPr>
          <w:ilvl w:val="0"/>
          <w:numId w:val="0"/>
        </w:numPr>
        <w:tabs>
          <w:tab w:val="left" w:pos="1119"/>
        </w:tabs>
        <w:topLinePunct/>
        <w:adjustRightInd w:val="0"/>
        <w:snapToGrid w:val="0"/>
        <w:spacing w:line="420" w:lineRule="exact"/>
        <w:ind w:right="146" w:rightChars="0" w:firstLine="480" w:firstLineChars="200"/>
        <w:jc w:val="left"/>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本合同由双方法定代表人或其授权的代理人签署并加盖单位章后生效，全部工程竣工验收后失效。</w:t>
      </w:r>
    </w:p>
    <w:p w14:paraId="6509756D">
      <w:pPr>
        <w:spacing w:line="480" w:lineRule="exact"/>
        <w:ind w:firstLine="480" w:firstLineChars="200"/>
        <w:rPr>
          <w:rFonts w:ascii="宋体"/>
          <w:bCs/>
          <w:color w:val="auto"/>
          <w:sz w:val="24"/>
          <w:highlight w:val="none"/>
        </w:rPr>
      </w:pPr>
      <w:r>
        <w:rPr>
          <w:rFonts w:hAnsi="宋体"/>
          <w:bCs/>
          <w:color w:val="auto"/>
          <w:sz w:val="24"/>
          <w:highlight w:val="none"/>
        </w:rPr>
        <w:t>本合同一式</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份，均具有同等法律效力，发包人执</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份，承包人执</w:t>
      </w:r>
      <w:r>
        <w:rPr>
          <w:bCs/>
          <w:color w:val="auto"/>
          <w:sz w:val="24"/>
          <w:highlight w:val="none"/>
          <w:u w:val="single"/>
        </w:rPr>
        <w:t xml:space="preserve"> </w:t>
      </w:r>
      <w:r>
        <w:rPr>
          <w:rFonts w:hint="eastAsia"/>
          <w:bCs/>
          <w:color w:val="auto"/>
          <w:sz w:val="24"/>
          <w:highlight w:val="none"/>
          <w:u w:val="single"/>
          <w:lang w:val="en-US" w:eastAsia="zh-CN"/>
        </w:rPr>
        <w:t xml:space="preserve">  </w:t>
      </w:r>
      <w:r>
        <w:rPr>
          <w:bCs/>
          <w:color w:val="auto"/>
          <w:sz w:val="24"/>
          <w:highlight w:val="none"/>
          <w:u w:val="single"/>
        </w:rPr>
        <w:t xml:space="preserve"> </w:t>
      </w:r>
      <w:r>
        <w:rPr>
          <w:rFonts w:hAnsi="宋体"/>
          <w:bCs/>
          <w:color w:val="auto"/>
          <w:sz w:val="24"/>
          <w:highlight w:val="none"/>
        </w:rPr>
        <w:t>份</w:t>
      </w:r>
      <w:r>
        <w:rPr>
          <w:rFonts w:hint="eastAsia" w:ascii="宋体" w:hAnsi="宋体"/>
          <w:bCs/>
          <w:color w:val="auto"/>
          <w:sz w:val="24"/>
          <w:highlight w:val="none"/>
        </w:rPr>
        <w:t>,政府采购管理办公室备案</w:t>
      </w:r>
      <w:r>
        <w:rPr>
          <w:rFonts w:hint="eastAsia" w:ascii="宋体" w:hAnsi="宋体"/>
          <w:bCs/>
          <w:color w:val="auto"/>
          <w:sz w:val="24"/>
          <w:highlight w:val="none"/>
          <w:u w:val="single"/>
        </w:rPr>
        <w:t xml:space="preserve"> 壹 </w:t>
      </w:r>
      <w:r>
        <w:rPr>
          <w:rFonts w:hint="eastAsia" w:ascii="宋体" w:hAnsi="宋体"/>
          <w:bCs/>
          <w:color w:val="auto"/>
          <w:sz w:val="24"/>
          <w:highlight w:val="none"/>
        </w:rPr>
        <w:t>份。</w:t>
      </w:r>
    </w:p>
    <w:p w14:paraId="72FD8DB8">
      <w:pPr>
        <w:tabs>
          <w:tab w:val="left" w:pos="2920"/>
          <w:tab w:val="left" w:pos="4695"/>
          <w:tab w:val="left" w:pos="7425"/>
        </w:tabs>
        <w:topLinePunct/>
        <w:spacing w:line="420" w:lineRule="exact"/>
        <w:ind w:firstLine="480"/>
        <w:rPr>
          <w:rFonts w:ascii="宋体" w:hAnsi="宋体" w:cs="宋体"/>
          <w:color w:val="auto"/>
          <w:sz w:val="24"/>
          <w:highlight w:val="none"/>
        </w:rPr>
      </w:pPr>
    </w:p>
    <w:p w14:paraId="7836384F">
      <w:pPr>
        <w:tabs>
          <w:tab w:val="left" w:pos="2920"/>
          <w:tab w:val="left" w:pos="4695"/>
          <w:tab w:val="left" w:pos="7425"/>
        </w:tabs>
        <w:topLinePunct/>
        <w:spacing w:line="420" w:lineRule="exact"/>
        <w:rPr>
          <w:rFonts w:ascii="宋体" w:hAnsi="宋体" w:cs="宋体"/>
          <w:color w:val="auto"/>
          <w:sz w:val="24"/>
          <w:highlight w:val="none"/>
        </w:rPr>
      </w:pPr>
      <w:r>
        <w:rPr>
          <w:rFonts w:hint="eastAsia" w:ascii="宋体" w:hAnsi="宋体" w:cs="宋体"/>
          <w:color w:val="auto"/>
          <w:sz w:val="24"/>
          <w:highlight w:val="none"/>
        </w:rPr>
        <w:t>发包人：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凭祥市林业局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r>
        <w:rPr>
          <w:rFonts w:hint="eastAsia" w:ascii="宋体" w:hAnsi="宋体" w:cs="宋体"/>
          <w:color w:val="auto"/>
          <w:sz w:val="24"/>
          <w:highlight w:val="none"/>
        </w:rPr>
        <w:tab/>
      </w:r>
      <w:r>
        <w:rPr>
          <w:rFonts w:hint="eastAsia" w:ascii="宋体" w:hAnsi="宋体" w:cs="宋体"/>
          <w:color w:val="auto"/>
          <w:sz w:val="24"/>
          <w:highlight w:val="none"/>
        </w:rPr>
        <w:t>承包人：</w:t>
      </w:r>
      <w:r>
        <w:rPr>
          <w:rFonts w:hint="eastAsia" w:ascii="宋体" w:hAnsi="宋体"/>
          <w:color w:val="auto"/>
          <w:sz w:val="24"/>
          <w:highlight w:val="none"/>
          <w:u w:val="single"/>
        </w:rPr>
        <w:t xml:space="preserve">        </w:t>
      </w:r>
      <w:r>
        <w:rPr>
          <w:rFonts w:hint="eastAsia" w:ascii="宋体" w:hAnsi="宋体" w:cs="宋体"/>
          <w:color w:val="auto"/>
          <w:sz w:val="24"/>
          <w:highlight w:val="none"/>
        </w:rPr>
        <w:t>（盖单位章）</w:t>
      </w:r>
    </w:p>
    <w:p w14:paraId="7555C33B">
      <w:pPr>
        <w:pStyle w:val="17"/>
        <w:spacing w:line="420" w:lineRule="exact"/>
        <w:ind w:left="63" w:right="63"/>
        <w:rPr>
          <w:color w:val="auto"/>
          <w:highlight w:val="none"/>
        </w:rPr>
      </w:pPr>
    </w:p>
    <w:p w14:paraId="2D9553F4">
      <w:pPr>
        <w:tabs>
          <w:tab w:val="left" w:pos="3165"/>
          <w:tab w:val="left" w:pos="4700"/>
          <w:tab w:val="left" w:pos="8020"/>
        </w:tabs>
        <w:topLinePunct/>
        <w:spacing w:line="420" w:lineRule="exact"/>
        <w:ind w:left="1680" w:hanging="1680" w:hangingChars="700"/>
        <w:rPr>
          <w:color w:val="auto"/>
          <w:highlight w:val="none"/>
        </w:rPr>
      </w:pPr>
      <w:r>
        <w:rPr>
          <w:rFonts w:hint="eastAsia" w:ascii="宋体" w:hAnsi="宋体" w:cs="宋体"/>
          <w:color w:val="auto"/>
          <w:sz w:val="24"/>
          <w:highlight w:val="none"/>
        </w:rPr>
        <w:t>法定代表人或其委托代理人：</w:t>
      </w:r>
      <w:r>
        <w:rPr>
          <w:rFonts w:hint="eastAsia" w:ascii="宋体" w:hAnsi="宋体" w:cs="宋体"/>
          <w:color w:val="auto"/>
          <w:sz w:val="24"/>
          <w:highlight w:val="none"/>
          <w:u w:val="single"/>
        </w:rPr>
        <w:tab/>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法定代表人或其委托代理人：</w:t>
      </w:r>
      <w:r>
        <w:rPr>
          <w:rFonts w:hint="eastAsia" w:ascii="宋体" w:hAnsi="宋体" w:cs="宋体"/>
          <w:color w:val="auto"/>
          <w:sz w:val="24"/>
          <w:highlight w:val="none"/>
          <w:u w:val="single"/>
        </w:rPr>
        <w:t xml:space="preserve">           </w:t>
      </w:r>
    </w:p>
    <w:p w14:paraId="144BCD30">
      <w:pPr>
        <w:tabs>
          <w:tab w:val="left" w:pos="3405"/>
          <w:tab w:val="left" w:pos="4700"/>
          <w:tab w:val="left" w:pos="8020"/>
        </w:tabs>
        <w:topLinePunct/>
        <w:spacing w:line="420" w:lineRule="exact"/>
        <w:ind w:firstLine="1039" w:firstLineChars="433"/>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   月   日                           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   月   日</w:t>
      </w:r>
    </w:p>
    <w:p w14:paraId="39B7F873">
      <w:pPr>
        <w:pStyle w:val="17"/>
        <w:ind w:left="63" w:right="63"/>
        <w:rPr>
          <w:color w:val="auto"/>
          <w:highlight w:val="none"/>
        </w:rPr>
      </w:pPr>
    </w:p>
    <w:p w14:paraId="4B62406F">
      <w:pPr>
        <w:pStyle w:val="17"/>
        <w:ind w:left="63" w:right="63"/>
        <w:rPr>
          <w:color w:val="auto"/>
          <w:highlight w:val="none"/>
        </w:rPr>
      </w:pPr>
    </w:p>
    <w:p w14:paraId="2B62F665">
      <w:pPr>
        <w:spacing w:before="120" w:beforeLines="50" w:after="120" w:afterLines="50" w:line="440" w:lineRule="exact"/>
        <w:jc w:val="center"/>
        <w:rPr>
          <w:rFonts w:ascii="宋体"/>
          <w:color w:val="auto"/>
          <w:sz w:val="24"/>
          <w:highlight w:val="none"/>
        </w:rPr>
      </w:pPr>
      <w:r>
        <w:rPr>
          <w:rFonts w:hint="eastAsia" w:ascii="宋体" w:hAnsi="宋体" w:cs="宋体"/>
          <w:b/>
          <w:bCs/>
          <w:color w:val="auto"/>
          <w:kern w:val="44"/>
          <w:sz w:val="24"/>
          <w:highlight w:val="none"/>
        </w:rPr>
        <w:t xml:space="preserve">附件一 </w:t>
      </w:r>
      <w:r>
        <w:rPr>
          <w:rFonts w:hint="eastAsia" w:ascii="宋体" w:hAnsi="宋体"/>
          <w:color w:val="auto"/>
          <w:sz w:val="24"/>
          <w:highlight w:val="none"/>
        </w:rPr>
        <w:t>承包人主要施工管理人员表</w:t>
      </w:r>
    </w:p>
    <w:tbl>
      <w:tblPr>
        <w:tblStyle w:val="28"/>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301"/>
        <w:gridCol w:w="967"/>
        <w:gridCol w:w="4252"/>
      </w:tblGrid>
      <w:tr w14:paraId="4EF27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double" w:color="auto" w:sz="6" w:space="0"/>
            </w:tcBorders>
            <w:noWrap w:val="0"/>
            <w:vAlign w:val="center"/>
          </w:tcPr>
          <w:p w14:paraId="51934DB3">
            <w:pPr>
              <w:pStyle w:val="17"/>
              <w:keepNext/>
              <w:spacing w:line="440" w:lineRule="exact"/>
              <w:ind w:left="63" w:right="63"/>
              <w:rPr>
                <w:color w:val="auto"/>
                <w:sz w:val="24"/>
                <w:highlight w:val="none"/>
              </w:rPr>
            </w:pPr>
            <w:r>
              <w:rPr>
                <w:rFonts w:hint="eastAsia" w:hAnsi="宋体"/>
                <w:color w:val="auto"/>
                <w:kern w:val="0"/>
                <w:sz w:val="24"/>
                <w:highlight w:val="none"/>
              </w:rPr>
              <w:t>名</w:t>
            </w:r>
            <w:r>
              <w:rPr>
                <w:rFonts w:hAnsi="宋体"/>
                <w:color w:val="auto"/>
                <w:kern w:val="0"/>
                <w:sz w:val="24"/>
                <w:highlight w:val="none"/>
              </w:rPr>
              <w:t xml:space="preserve">    </w:t>
            </w:r>
            <w:r>
              <w:rPr>
                <w:rFonts w:hint="eastAsia" w:hAnsi="宋体"/>
                <w:color w:val="auto"/>
                <w:kern w:val="0"/>
                <w:sz w:val="24"/>
                <w:highlight w:val="none"/>
              </w:rPr>
              <w:t>称</w:t>
            </w:r>
          </w:p>
        </w:tc>
        <w:tc>
          <w:tcPr>
            <w:tcW w:w="1418" w:type="dxa"/>
            <w:tcBorders>
              <w:top w:val="single" w:color="auto" w:sz="4" w:space="0"/>
              <w:bottom w:val="double" w:color="auto" w:sz="6" w:space="0"/>
            </w:tcBorders>
            <w:noWrap w:val="0"/>
            <w:vAlign w:val="center"/>
          </w:tcPr>
          <w:p w14:paraId="746A4A22">
            <w:pPr>
              <w:pStyle w:val="17"/>
              <w:keepNext/>
              <w:spacing w:line="440" w:lineRule="exact"/>
              <w:ind w:left="63" w:right="63"/>
              <w:rPr>
                <w:color w:val="auto"/>
                <w:sz w:val="24"/>
                <w:highlight w:val="none"/>
              </w:rPr>
            </w:pPr>
            <w:r>
              <w:rPr>
                <w:rFonts w:hint="eastAsia" w:hAnsi="宋体"/>
                <w:color w:val="auto"/>
                <w:kern w:val="0"/>
                <w:sz w:val="24"/>
                <w:highlight w:val="none"/>
              </w:rPr>
              <w:t>姓名</w:t>
            </w:r>
          </w:p>
        </w:tc>
        <w:tc>
          <w:tcPr>
            <w:tcW w:w="1301" w:type="dxa"/>
            <w:tcBorders>
              <w:top w:val="single" w:color="auto" w:sz="4" w:space="0"/>
              <w:bottom w:val="double" w:color="auto" w:sz="6" w:space="0"/>
            </w:tcBorders>
            <w:noWrap w:val="0"/>
            <w:vAlign w:val="center"/>
          </w:tcPr>
          <w:p w14:paraId="4DA586B1">
            <w:pPr>
              <w:pStyle w:val="17"/>
              <w:keepNext/>
              <w:spacing w:line="440" w:lineRule="exact"/>
              <w:ind w:left="63" w:right="63"/>
              <w:rPr>
                <w:color w:val="auto"/>
                <w:sz w:val="24"/>
                <w:highlight w:val="none"/>
              </w:rPr>
            </w:pPr>
            <w:r>
              <w:rPr>
                <w:rFonts w:hint="eastAsia" w:hAnsi="宋体"/>
                <w:color w:val="auto"/>
                <w:kern w:val="0"/>
                <w:sz w:val="24"/>
                <w:highlight w:val="none"/>
              </w:rPr>
              <w:t>职务</w:t>
            </w:r>
          </w:p>
        </w:tc>
        <w:tc>
          <w:tcPr>
            <w:tcW w:w="967" w:type="dxa"/>
            <w:tcBorders>
              <w:top w:val="single" w:color="auto" w:sz="4" w:space="0"/>
              <w:bottom w:val="double" w:color="auto" w:sz="6" w:space="0"/>
            </w:tcBorders>
            <w:noWrap w:val="0"/>
            <w:vAlign w:val="center"/>
          </w:tcPr>
          <w:p w14:paraId="5DDA8ADD">
            <w:pPr>
              <w:pStyle w:val="17"/>
              <w:keepNext/>
              <w:spacing w:line="440" w:lineRule="exact"/>
              <w:ind w:left="63" w:right="63"/>
              <w:rPr>
                <w:color w:val="auto"/>
                <w:sz w:val="24"/>
                <w:highlight w:val="none"/>
              </w:rPr>
            </w:pPr>
            <w:r>
              <w:rPr>
                <w:rFonts w:hint="eastAsia" w:hAnsi="宋体"/>
                <w:color w:val="auto"/>
                <w:kern w:val="0"/>
                <w:sz w:val="24"/>
                <w:highlight w:val="none"/>
              </w:rPr>
              <w:t>职称</w:t>
            </w:r>
          </w:p>
        </w:tc>
        <w:tc>
          <w:tcPr>
            <w:tcW w:w="4252" w:type="dxa"/>
            <w:tcBorders>
              <w:top w:val="single" w:color="auto" w:sz="4" w:space="0"/>
              <w:bottom w:val="double" w:color="auto" w:sz="6" w:space="0"/>
              <w:right w:val="single" w:color="auto" w:sz="4" w:space="0"/>
            </w:tcBorders>
            <w:noWrap w:val="0"/>
            <w:vAlign w:val="center"/>
          </w:tcPr>
          <w:p w14:paraId="403E8E63">
            <w:pPr>
              <w:pStyle w:val="17"/>
              <w:keepNext/>
              <w:spacing w:line="440" w:lineRule="exact"/>
              <w:ind w:left="63" w:right="63"/>
              <w:rPr>
                <w:color w:val="auto"/>
                <w:sz w:val="24"/>
                <w:highlight w:val="none"/>
              </w:rPr>
            </w:pPr>
            <w:r>
              <w:rPr>
                <w:rFonts w:hint="eastAsia" w:hAnsi="宋体"/>
                <w:color w:val="auto"/>
                <w:kern w:val="0"/>
                <w:sz w:val="24"/>
                <w:highlight w:val="none"/>
              </w:rPr>
              <w:t>主要资历、经验及承担过的项目</w:t>
            </w:r>
          </w:p>
        </w:tc>
      </w:tr>
      <w:tr w14:paraId="31AE9E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56465893">
            <w:pPr>
              <w:pStyle w:val="17"/>
              <w:keepNext/>
              <w:spacing w:line="440" w:lineRule="exact"/>
              <w:ind w:left="63" w:right="63"/>
              <w:rPr>
                <w:color w:val="auto"/>
                <w:sz w:val="24"/>
                <w:highlight w:val="none"/>
              </w:rPr>
            </w:pPr>
            <w:r>
              <w:rPr>
                <w:rFonts w:hint="eastAsia" w:hAnsi="宋体"/>
                <w:color w:val="auto"/>
                <w:kern w:val="0"/>
                <w:sz w:val="24"/>
                <w:highlight w:val="none"/>
              </w:rPr>
              <w:t>项目经理</w:t>
            </w:r>
          </w:p>
        </w:tc>
        <w:tc>
          <w:tcPr>
            <w:tcW w:w="1418" w:type="dxa"/>
            <w:noWrap w:val="0"/>
            <w:vAlign w:val="center"/>
          </w:tcPr>
          <w:p w14:paraId="501668AD">
            <w:pPr>
              <w:pStyle w:val="17"/>
              <w:keepNext/>
              <w:spacing w:line="440" w:lineRule="exact"/>
              <w:ind w:left="63" w:right="63"/>
              <w:rPr>
                <w:rFonts w:ascii="宋体" w:hAnsi="宋体" w:cs="宋体"/>
                <w:color w:val="auto"/>
                <w:sz w:val="24"/>
                <w:highlight w:val="none"/>
              </w:rPr>
            </w:pPr>
          </w:p>
        </w:tc>
        <w:tc>
          <w:tcPr>
            <w:tcW w:w="1301" w:type="dxa"/>
            <w:noWrap w:val="0"/>
            <w:vAlign w:val="center"/>
          </w:tcPr>
          <w:p w14:paraId="167AA66E">
            <w:pPr>
              <w:pStyle w:val="17"/>
              <w:keepNext/>
              <w:spacing w:line="440" w:lineRule="exact"/>
              <w:ind w:left="63" w:right="63"/>
              <w:rPr>
                <w:color w:val="auto"/>
                <w:sz w:val="24"/>
                <w:highlight w:val="none"/>
              </w:rPr>
            </w:pPr>
          </w:p>
        </w:tc>
        <w:tc>
          <w:tcPr>
            <w:tcW w:w="967" w:type="dxa"/>
            <w:noWrap w:val="0"/>
            <w:vAlign w:val="center"/>
          </w:tcPr>
          <w:p w14:paraId="11EF5BF2">
            <w:pPr>
              <w:pStyle w:val="17"/>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026D864E">
            <w:pPr>
              <w:pStyle w:val="17"/>
              <w:keepNext/>
              <w:spacing w:line="440" w:lineRule="exact"/>
              <w:ind w:left="63" w:right="63"/>
              <w:rPr>
                <w:color w:val="auto"/>
                <w:sz w:val="24"/>
                <w:highlight w:val="none"/>
              </w:rPr>
            </w:pPr>
            <w:r>
              <w:rPr>
                <w:rFonts w:hint="eastAsia" w:ascii="宋体" w:hAnsi="宋体" w:cs="宋体"/>
                <w:color w:val="auto"/>
                <w:sz w:val="24"/>
                <w:highlight w:val="none"/>
              </w:rPr>
              <w:t xml:space="preserve"> </w:t>
            </w:r>
          </w:p>
        </w:tc>
      </w:tr>
      <w:tr w14:paraId="6BDECE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0FD60D17">
            <w:pPr>
              <w:pStyle w:val="17"/>
              <w:keepNext/>
              <w:spacing w:line="440" w:lineRule="exact"/>
              <w:ind w:left="63" w:right="63"/>
              <w:rPr>
                <w:color w:val="auto"/>
                <w:sz w:val="24"/>
                <w:highlight w:val="none"/>
              </w:rPr>
            </w:pPr>
            <w:r>
              <w:rPr>
                <w:rFonts w:hint="eastAsia" w:hAnsi="宋体"/>
                <w:color w:val="auto"/>
                <w:kern w:val="0"/>
                <w:sz w:val="24"/>
                <w:highlight w:val="none"/>
              </w:rPr>
              <w:t>技术负责人</w:t>
            </w:r>
          </w:p>
        </w:tc>
        <w:tc>
          <w:tcPr>
            <w:tcW w:w="1418" w:type="dxa"/>
            <w:noWrap w:val="0"/>
            <w:vAlign w:val="center"/>
          </w:tcPr>
          <w:p w14:paraId="1B31C609">
            <w:pPr>
              <w:pStyle w:val="17"/>
              <w:keepNext/>
              <w:spacing w:line="440" w:lineRule="exact"/>
              <w:ind w:left="63" w:right="63"/>
              <w:rPr>
                <w:rFonts w:ascii="宋体" w:hAnsi="宋体" w:cs="宋体"/>
                <w:color w:val="auto"/>
                <w:sz w:val="24"/>
                <w:highlight w:val="none"/>
              </w:rPr>
            </w:pPr>
          </w:p>
        </w:tc>
        <w:tc>
          <w:tcPr>
            <w:tcW w:w="1301" w:type="dxa"/>
            <w:noWrap w:val="0"/>
            <w:vAlign w:val="center"/>
          </w:tcPr>
          <w:p w14:paraId="1FDD57FD">
            <w:pPr>
              <w:pStyle w:val="17"/>
              <w:keepNext/>
              <w:spacing w:line="440" w:lineRule="exact"/>
              <w:ind w:left="63" w:right="63"/>
              <w:rPr>
                <w:color w:val="auto"/>
                <w:sz w:val="24"/>
                <w:highlight w:val="none"/>
              </w:rPr>
            </w:pPr>
          </w:p>
        </w:tc>
        <w:tc>
          <w:tcPr>
            <w:tcW w:w="967" w:type="dxa"/>
            <w:noWrap w:val="0"/>
            <w:vAlign w:val="center"/>
          </w:tcPr>
          <w:p w14:paraId="37D3B89E">
            <w:pPr>
              <w:pStyle w:val="17"/>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37615FBD">
            <w:pPr>
              <w:pStyle w:val="17"/>
              <w:keepNext/>
              <w:spacing w:line="440" w:lineRule="exact"/>
              <w:ind w:left="63" w:right="63"/>
              <w:rPr>
                <w:color w:val="auto"/>
                <w:sz w:val="24"/>
                <w:highlight w:val="none"/>
              </w:rPr>
            </w:pPr>
            <w:r>
              <w:rPr>
                <w:rFonts w:hint="eastAsia" w:ascii="宋体" w:hAnsi="宋体" w:cs="宋体"/>
                <w:color w:val="auto"/>
                <w:sz w:val="24"/>
                <w:highlight w:val="none"/>
              </w:rPr>
              <w:t xml:space="preserve"> </w:t>
            </w:r>
          </w:p>
        </w:tc>
      </w:tr>
      <w:tr w14:paraId="29CBD5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4EE19524">
            <w:pPr>
              <w:pStyle w:val="17"/>
              <w:keepNext/>
              <w:spacing w:line="440" w:lineRule="exact"/>
              <w:ind w:left="63" w:right="63"/>
              <w:rPr>
                <w:color w:val="auto"/>
                <w:sz w:val="24"/>
                <w:highlight w:val="none"/>
              </w:rPr>
            </w:pPr>
            <w:r>
              <w:rPr>
                <w:rFonts w:hint="eastAsia"/>
                <w:color w:val="auto"/>
                <w:sz w:val="24"/>
                <w:highlight w:val="none"/>
              </w:rPr>
              <w:t>安全员</w:t>
            </w:r>
          </w:p>
        </w:tc>
        <w:tc>
          <w:tcPr>
            <w:tcW w:w="1418" w:type="dxa"/>
            <w:noWrap w:val="0"/>
            <w:vAlign w:val="center"/>
          </w:tcPr>
          <w:p w14:paraId="485C24C2">
            <w:pPr>
              <w:pStyle w:val="17"/>
              <w:keepNext/>
              <w:spacing w:line="440" w:lineRule="exact"/>
              <w:ind w:left="63" w:right="63"/>
              <w:rPr>
                <w:rFonts w:ascii="宋体" w:hAnsi="宋体" w:cs="宋体"/>
                <w:color w:val="auto"/>
                <w:sz w:val="24"/>
                <w:highlight w:val="none"/>
              </w:rPr>
            </w:pPr>
          </w:p>
        </w:tc>
        <w:tc>
          <w:tcPr>
            <w:tcW w:w="1301" w:type="dxa"/>
            <w:noWrap w:val="0"/>
            <w:vAlign w:val="center"/>
          </w:tcPr>
          <w:p w14:paraId="48E429B0">
            <w:pPr>
              <w:pStyle w:val="17"/>
              <w:keepNext/>
              <w:spacing w:line="440" w:lineRule="exact"/>
              <w:ind w:left="63" w:right="63"/>
              <w:rPr>
                <w:color w:val="auto"/>
                <w:sz w:val="24"/>
                <w:highlight w:val="none"/>
              </w:rPr>
            </w:pPr>
          </w:p>
        </w:tc>
        <w:tc>
          <w:tcPr>
            <w:tcW w:w="967" w:type="dxa"/>
            <w:noWrap w:val="0"/>
            <w:vAlign w:val="center"/>
          </w:tcPr>
          <w:p w14:paraId="60A16CC2">
            <w:pPr>
              <w:pStyle w:val="17"/>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7C8D1875">
            <w:pPr>
              <w:pStyle w:val="17"/>
              <w:keepNext/>
              <w:spacing w:line="440" w:lineRule="exact"/>
              <w:ind w:left="63" w:right="63"/>
              <w:rPr>
                <w:color w:val="auto"/>
                <w:sz w:val="24"/>
                <w:highlight w:val="none"/>
              </w:rPr>
            </w:pPr>
            <w:r>
              <w:rPr>
                <w:rFonts w:hint="eastAsia" w:ascii="宋体" w:hAnsi="宋体" w:cs="宋体"/>
                <w:color w:val="auto"/>
                <w:sz w:val="24"/>
                <w:highlight w:val="none"/>
              </w:rPr>
              <w:t xml:space="preserve"> </w:t>
            </w:r>
          </w:p>
        </w:tc>
      </w:tr>
      <w:tr w14:paraId="38484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2" w:hRule="atLeast"/>
          <w:jc w:val="center"/>
        </w:trPr>
        <w:tc>
          <w:tcPr>
            <w:tcW w:w="1871" w:type="dxa"/>
            <w:tcBorders>
              <w:left w:val="single" w:color="auto" w:sz="4" w:space="0"/>
            </w:tcBorders>
            <w:noWrap w:val="0"/>
            <w:vAlign w:val="center"/>
          </w:tcPr>
          <w:p w14:paraId="1B2BA04B">
            <w:pPr>
              <w:pStyle w:val="17"/>
              <w:keepNext/>
              <w:spacing w:line="440" w:lineRule="exact"/>
              <w:ind w:left="63" w:right="63"/>
              <w:rPr>
                <w:color w:val="auto"/>
                <w:sz w:val="24"/>
                <w:highlight w:val="none"/>
              </w:rPr>
            </w:pPr>
            <w:r>
              <w:rPr>
                <w:rFonts w:hint="eastAsia" w:hAnsi="宋体"/>
                <w:color w:val="auto"/>
                <w:kern w:val="0"/>
                <w:sz w:val="24"/>
                <w:highlight w:val="none"/>
              </w:rPr>
              <w:t>施工员</w:t>
            </w:r>
          </w:p>
        </w:tc>
        <w:tc>
          <w:tcPr>
            <w:tcW w:w="1418" w:type="dxa"/>
            <w:noWrap w:val="0"/>
            <w:vAlign w:val="center"/>
          </w:tcPr>
          <w:p w14:paraId="1B5D57C0">
            <w:pPr>
              <w:pStyle w:val="17"/>
              <w:keepNext/>
              <w:spacing w:line="440" w:lineRule="exact"/>
              <w:ind w:left="63" w:right="63"/>
              <w:rPr>
                <w:color w:val="auto"/>
                <w:sz w:val="24"/>
                <w:highlight w:val="none"/>
              </w:rPr>
            </w:pPr>
          </w:p>
        </w:tc>
        <w:tc>
          <w:tcPr>
            <w:tcW w:w="1301" w:type="dxa"/>
            <w:noWrap w:val="0"/>
            <w:vAlign w:val="center"/>
          </w:tcPr>
          <w:p w14:paraId="5D5196B1">
            <w:pPr>
              <w:pStyle w:val="17"/>
              <w:keepNext/>
              <w:spacing w:line="440" w:lineRule="exact"/>
              <w:ind w:left="63" w:right="63"/>
              <w:rPr>
                <w:color w:val="auto"/>
                <w:sz w:val="24"/>
                <w:highlight w:val="none"/>
              </w:rPr>
            </w:pPr>
          </w:p>
        </w:tc>
        <w:tc>
          <w:tcPr>
            <w:tcW w:w="967" w:type="dxa"/>
            <w:noWrap w:val="0"/>
            <w:vAlign w:val="center"/>
          </w:tcPr>
          <w:p w14:paraId="738A8C09">
            <w:pPr>
              <w:pStyle w:val="17"/>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46074927">
            <w:pPr>
              <w:pStyle w:val="17"/>
              <w:keepNext/>
              <w:spacing w:line="440" w:lineRule="exact"/>
              <w:ind w:left="63" w:right="63"/>
              <w:rPr>
                <w:rFonts w:eastAsia="仿宋"/>
                <w:color w:val="auto"/>
                <w:sz w:val="24"/>
                <w:highlight w:val="none"/>
              </w:rPr>
            </w:pPr>
            <w:r>
              <w:rPr>
                <w:rFonts w:hint="eastAsia" w:ascii="宋体" w:hAnsi="宋体" w:cs="宋体"/>
                <w:color w:val="auto"/>
                <w:sz w:val="24"/>
                <w:highlight w:val="none"/>
              </w:rPr>
              <w:t xml:space="preserve"> </w:t>
            </w:r>
          </w:p>
        </w:tc>
      </w:tr>
      <w:tr w14:paraId="19F30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6EC0189D">
            <w:pPr>
              <w:pStyle w:val="17"/>
              <w:keepNext/>
              <w:spacing w:line="440" w:lineRule="exact"/>
              <w:ind w:left="63" w:right="63"/>
              <w:rPr>
                <w:color w:val="auto"/>
                <w:sz w:val="24"/>
                <w:highlight w:val="none"/>
              </w:rPr>
            </w:pPr>
            <w:r>
              <w:rPr>
                <w:rFonts w:hint="eastAsia" w:hAnsi="宋体"/>
                <w:color w:val="auto"/>
                <w:kern w:val="0"/>
                <w:sz w:val="24"/>
                <w:highlight w:val="none"/>
              </w:rPr>
              <w:t>质检员</w:t>
            </w:r>
          </w:p>
        </w:tc>
        <w:tc>
          <w:tcPr>
            <w:tcW w:w="1418" w:type="dxa"/>
            <w:noWrap w:val="0"/>
            <w:vAlign w:val="center"/>
          </w:tcPr>
          <w:p w14:paraId="619DC804">
            <w:pPr>
              <w:pStyle w:val="17"/>
              <w:keepNext/>
              <w:spacing w:line="440" w:lineRule="exact"/>
              <w:ind w:left="63" w:right="63"/>
              <w:rPr>
                <w:color w:val="auto"/>
                <w:sz w:val="24"/>
                <w:highlight w:val="none"/>
              </w:rPr>
            </w:pPr>
          </w:p>
        </w:tc>
        <w:tc>
          <w:tcPr>
            <w:tcW w:w="1301" w:type="dxa"/>
            <w:noWrap w:val="0"/>
            <w:vAlign w:val="center"/>
          </w:tcPr>
          <w:p w14:paraId="4CCAF06D">
            <w:pPr>
              <w:keepNext/>
              <w:spacing w:line="440" w:lineRule="exact"/>
              <w:ind w:left="63" w:right="63"/>
              <w:rPr>
                <w:color w:val="auto"/>
                <w:sz w:val="24"/>
                <w:highlight w:val="none"/>
              </w:rPr>
            </w:pPr>
          </w:p>
        </w:tc>
        <w:tc>
          <w:tcPr>
            <w:tcW w:w="967" w:type="dxa"/>
            <w:noWrap w:val="0"/>
            <w:vAlign w:val="center"/>
          </w:tcPr>
          <w:p w14:paraId="27A944DA">
            <w:pPr>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12E922AE">
            <w:pPr>
              <w:pStyle w:val="17"/>
              <w:keepNext/>
              <w:spacing w:line="440" w:lineRule="exact"/>
              <w:ind w:left="63" w:right="63"/>
              <w:jc w:val="left"/>
              <w:rPr>
                <w:color w:val="auto"/>
                <w:sz w:val="24"/>
                <w:highlight w:val="none"/>
              </w:rPr>
            </w:pPr>
            <w:r>
              <w:rPr>
                <w:rFonts w:hint="eastAsia" w:ascii="宋体" w:hAnsi="宋体" w:cs="宋体"/>
                <w:color w:val="auto"/>
                <w:sz w:val="24"/>
                <w:highlight w:val="none"/>
              </w:rPr>
              <w:t xml:space="preserve"> </w:t>
            </w:r>
          </w:p>
        </w:tc>
      </w:tr>
      <w:tr w14:paraId="44303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511CF298">
            <w:pPr>
              <w:pStyle w:val="17"/>
              <w:keepNext/>
              <w:spacing w:line="440" w:lineRule="exact"/>
              <w:ind w:left="63" w:right="63"/>
              <w:rPr>
                <w:color w:val="auto"/>
                <w:sz w:val="24"/>
                <w:highlight w:val="none"/>
              </w:rPr>
            </w:pPr>
            <w:r>
              <w:rPr>
                <w:rFonts w:hint="eastAsia" w:hAnsi="宋体"/>
                <w:color w:val="auto"/>
                <w:kern w:val="0"/>
                <w:sz w:val="24"/>
                <w:highlight w:val="none"/>
              </w:rPr>
              <w:t>材料员</w:t>
            </w:r>
          </w:p>
        </w:tc>
        <w:tc>
          <w:tcPr>
            <w:tcW w:w="1418" w:type="dxa"/>
            <w:noWrap w:val="0"/>
            <w:vAlign w:val="center"/>
          </w:tcPr>
          <w:p w14:paraId="2E667E3E">
            <w:pPr>
              <w:pStyle w:val="17"/>
              <w:keepNext/>
              <w:spacing w:line="440" w:lineRule="exact"/>
              <w:ind w:left="63" w:right="63"/>
              <w:rPr>
                <w:color w:val="auto"/>
                <w:sz w:val="24"/>
                <w:highlight w:val="none"/>
              </w:rPr>
            </w:pPr>
          </w:p>
        </w:tc>
        <w:tc>
          <w:tcPr>
            <w:tcW w:w="1301" w:type="dxa"/>
            <w:noWrap w:val="0"/>
            <w:vAlign w:val="center"/>
          </w:tcPr>
          <w:p w14:paraId="3ED1C0F9">
            <w:pPr>
              <w:keepNext/>
              <w:spacing w:line="440" w:lineRule="exact"/>
              <w:ind w:left="63" w:right="63"/>
              <w:rPr>
                <w:color w:val="auto"/>
                <w:sz w:val="24"/>
                <w:highlight w:val="none"/>
              </w:rPr>
            </w:pPr>
          </w:p>
        </w:tc>
        <w:tc>
          <w:tcPr>
            <w:tcW w:w="967" w:type="dxa"/>
            <w:noWrap w:val="0"/>
            <w:vAlign w:val="center"/>
          </w:tcPr>
          <w:p w14:paraId="2E4D427B">
            <w:pPr>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14944301">
            <w:pPr>
              <w:pStyle w:val="17"/>
              <w:keepNext/>
              <w:spacing w:line="440" w:lineRule="exact"/>
              <w:ind w:left="63" w:right="63"/>
              <w:rPr>
                <w:color w:val="auto"/>
                <w:sz w:val="24"/>
                <w:highlight w:val="none"/>
              </w:rPr>
            </w:pPr>
            <w:r>
              <w:rPr>
                <w:rFonts w:hint="eastAsia" w:ascii="宋体" w:hAnsi="宋体" w:cs="宋体"/>
                <w:color w:val="auto"/>
                <w:sz w:val="24"/>
                <w:highlight w:val="none"/>
              </w:rPr>
              <w:t xml:space="preserve">  </w:t>
            </w:r>
          </w:p>
        </w:tc>
      </w:tr>
      <w:tr w14:paraId="5D1773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28E7113A">
            <w:pPr>
              <w:pStyle w:val="17"/>
              <w:keepNext/>
              <w:spacing w:line="440" w:lineRule="exact"/>
              <w:ind w:left="63" w:right="63"/>
              <w:rPr>
                <w:color w:val="auto"/>
                <w:sz w:val="24"/>
                <w:highlight w:val="none"/>
              </w:rPr>
            </w:pPr>
            <w:r>
              <w:rPr>
                <w:rFonts w:hint="eastAsia" w:hAnsi="宋体"/>
                <w:color w:val="auto"/>
                <w:kern w:val="0"/>
                <w:sz w:val="24"/>
                <w:highlight w:val="none"/>
              </w:rPr>
              <w:t>资料员</w:t>
            </w:r>
          </w:p>
        </w:tc>
        <w:tc>
          <w:tcPr>
            <w:tcW w:w="1418" w:type="dxa"/>
            <w:noWrap w:val="0"/>
            <w:vAlign w:val="center"/>
          </w:tcPr>
          <w:p w14:paraId="74FEE279">
            <w:pPr>
              <w:pStyle w:val="17"/>
              <w:keepNext/>
              <w:spacing w:line="440" w:lineRule="exact"/>
              <w:ind w:left="63" w:right="63"/>
              <w:rPr>
                <w:rFonts w:eastAsia="仿宋"/>
                <w:color w:val="auto"/>
                <w:sz w:val="24"/>
                <w:highlight w:val="none"/>
              </w:rPr>
            </w:pPr>
            <w:r>
              <w:rPr>
                <w:rFonts w:hint="eastAsia" w:ascii="仿宋" w:hAnsi="仿宋" w:eastAsia="仿宋" w:cs="仿宋"/>
                <w:color w:val="auto"/>
                <w:sz w:val="24"/>
                <w:highlight w:val="none"/>
              </w:rPr>
              <w:t xml:space="preserve"> </w:t>
            </w:r>
            <w:r>
              <w:rPr>
                <w:rFonts w:hint="eastAsia" w:hAnsi="宋体" w:cs="宋体"/>
                <w:color w:val="auto"/>
                <w:sz w:val="24"/>
                <w:highlight w:val="none"/>
              </w:rPr>
              <w:t xml:space="preserve"> </w:t>
            </w:r>
          </w:p>
        </w:tc>
        <w:tc>
          <w:tcPr>
            <w:tcW w:w="1301" w:type="dxa"/>
            <w:noWrap w:val="0"/>
            <w:vAlign w:val="center"/>
          </w:tcPr>
          <w:p w14:paraId="0A2B7614">
            <w:pPr>
              <w:keepNext/>
              <w:spacing w:line="440" w:lineRule="exact"/>
              <w:ind w:left="63" w:right="63"/>
              <w:rPr>
                <w:color w:val="auto"/>
                <w:sz w:val="24"/>
                <w:highlight w:val="none"/>
              </w:rPr>
            </w:pPr>
            <w:r>
              <w:rPr>
                <w:rFonts w:hint="eastAsia"/>
                <w:color w:val="auto"/>
                <w:sz w:val="24"/>
                <w:highlight w:val="none"/>
              </w:rPr>
              <w:t xml:space="preserve">  </w:t>
            </w:r>
          </w:p>
        </w:tc>
        <w:tc>
          <w:tcPr>
            <w:tcW w:w="967" w:type="dxa"/>
            <w:noWrap w:val="0"/>
            <w:vAlign w:val="center"/>
          </w:tcPr>
          <w:p w14:paraId="31285130">
            <w:pPr>
              <w:keepNext/>
              <w:spacing w:line="440" w:lineRule="exact"/>
              <w:ind w:left="63" w:right="63"/>
              <w:rPr>
                <w:color w:val="auto"/>
                <w:sz w:val="24"/>
                <w:highlight w:val="none"/>
              </w:rPr>
            </w:pPr>
            <w:r>
              <w:rPr>
                <w:rFonts w:hint="eastAsia"/>
                <w:color w:val="auto"/>
                <w:sz w:val="24"/>
                <w:highlight w:val="none"/>
              </w:rPr>
              <w:t xml:space="preserve"> </w:t>
            </w:r>
          </w:p>
        </w:tc>
        <w:tc>
          <w:tcPr>
            <w:tcW w:w="4252" w:type="dxa"/>
            <w:tcBorders>
              <w:right w:val="single" w:color="auto" w:sz="4" w:space="0"/>
            </w:tcBorders>
            <w:noWrap w:val="0"/>
            <w:vAlign w:val="center"/>
          </w:tcPr>
          <w:p w14:paraId="351FFDF0">
            <w:pPr>
              <w:pStyle w:val="17"/>
              <w:keepNext/>
              <w:spacing w:line="440" w:lineRule="exact"/>
              <w:ind w:left="63" w:right="63"/>
              <w:rPr>
                <w:rFonts w:eastAsia="仿宋"/>
                <w:color w:val="auto"/>
                <w:sz w:val="24"/>
                <w:highlight w:val="none"/>
              </w:rPr>
            </w:pPr>
            <w:r>
              <w:rPr>
                <w:rFonts w:hint="eastAsia" w:ascii="宋体" w:hAnsi="宋体" w:cs="宋体"/>
                <w:color w:val="auto"/>
                <w:sz w:val="24"/>
                <w:highlight w:val="none"/>
              </w:rPr>
              <w:t xml:space="preserve"> </w:t>
            </w:r>
          </w:p>
        </w:tc>
      </w:tr>
      <w:tr w14:paraId="4CA65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left w:val="single" w:color="auto" w:sz="4" w:space="0"/>
            </w:tcBorders>
            <w:noWrap w:val="0"/>
            <w:vAlign w:val="center"/>
          </w:tcPr>
          <w:p w14:paraId="22FA832E">
            <w:pPr>
              <w:pStyle w:val="17"/>
              <w:keepNext/>
              <w:spacing w:line="440" w:lineRule="exact"/>
              <w:ind w:left="63" w:right="63"/>
              <w:rPr>
                <w:color w:val="auto"/>
                <w:sz w:val="24"/>
                <w:highlight w:val="none"/>
              </w:rPr>
            </w:pPr>
            <w:r>
              <w:rPr>
                <w:rFonts w:hint="eastAsia" w:hAnsi="宋体"/>
                <w:color w:val="auto"/>
                <w:kern w:val="0"/>
                <w:sz w:val="24"/>
                <w:highlight w:val="none"/>
              </w:rPr>
              <w:t>预算员</w:t>
            </w:r>
          </w:p>
        </w:tc>
        <w:tc>
          <w:tcPr>
            <w:tcW w:w="1418" w:type="dxa"/>
            <w:noWrap w:val="0"/>
            <w:vAlign w:val="center"/>
          </w:tcPr>
          <w:p w14:paraId="70EBA092">
            <w:pPr>
              <w:pStyle w:val="17"/>
              <w:keepNext/>
              <w:spacing w:line="440" w:lineRule="exact"/>
              <w:ind w:left="63" w:right="63"/>
              <w:rPr>
                <w:color w:val="auto"/>
                <w:sz w:val="24"/>
                <w:highlight w:val="none"/>
              </w:rPr>
            </w:pPr>
            <w:r>
              <w:rPr>
                <w:rFonts w:hint="eastAsia" w:ascii="仿宋" w:hAnsi="仿宋" w:eastAsia="仿宋" w:cs="仿宋"/>
                <w:color w:val="auto"/>
                <w:sz w:val="24"/>
                <w:highlight w:val="none"/>
              </w:rPr>
              <w:t xml:space="preserve"> </w:t>
            </w:r>
          </w:p>
        </w:tc>
        <w:tc>
          <w:tcPr>
            <w:tcW w:w="1301" w:type="dxa"/>
            <w:noWrap w:val="0"/>
            <w:vAlign w:val="center"/>
          </w:tcPr>
          <w:p w14:paraId="160AA095">
            <w:pPr>
              <w:pStyle w:val="17"/>
              <w:keepNext/>
              <w:spacing w:line="440" w:lineRule="exact"/>
              <w:ind w:left="63" w:right="63"/>
              <w:rPr>
                <w:color w:val="auto"/>
                <w:sz w:val="24"/>
                <w:highlight w:val="none"/>
              </w:rPr>
            </w:pPr>
            <w:r>
              <w:rPr>
                <w:rFonts w:hint="eastAsia"/>
                <w:color w:val="auto"/>
                <w:sz w:val="24"/>
                <w:highlight w:val="none"/>
              </w:rPr>
              <w:t xml:space="preserve"> </w:t>
            </w:r>
          </w:p>
        </w:tc>
        <w:tc>
          <w:tcPr>
            <w:tcW w:w="967" w:type="dxa"/>
            <w:noWrap w:val="0"/>
            <w:vAlign w:val="center"/>
          </w:tcPr>
          <w:p w14:paraId="4C05A2A2">
            <w:pPr>
              <w:pStyle w:val="17"/>
              <w:keepNext/>
              <w:spacing w:line="440" w:lineRule="exact"/>
              <w:ind w:left="63" w:right="63"/>
              <w:rPr>
                <w:color w:val="auto"/>
                <w:sz w:val="24"/>
                <w:highlight w:val="none"/>
              </w:rPr>
            </w:pPr>
          </w:p>
        </w:tc>
        <w:tc>
          <w:tcPr>
            <w:tcW w:w="4252" w:type="dxa"/>
            <w:tcBorders>
              <w:right w:val="single" w:color="auto" w:sz="4" w:space="0"/>
            </w:tcBorders>
            <w:noWrap w:val="0"/>
            <w:vAlign w:val="center"/>
          </w:tcPr>
          <w:p w14:paraId="763711A6">
            <w:pPr>
              <w:pStyle w:val="17"/>
              <w:keepNext/>
              <w:spacing w:line="440" w:lineRule="exact"/>
              <w:ind w:left="63" w:right="63"/>
              <w:rPr>
                <w:rFonts w:eastAsia="仿宋"/>
                <w:color w:val="auto"/>
                <w:sz w:val="24"/>
                <w:highlight w:val="none"/>
              </w:rPr>
            </w:pPr>
            <w:r>
              <w:rPr>
                <w:rFonts w:hint="eastAsia" w:ascii="宋体" w:hAnsi="宋体" w:cs="宋体"/>
                <w:color w:val="auto"/>
                <w:sz w:val="24"/>
                <w:highlight w:val="none"/>
              </w:rPr>
              <w:t xml:space="preserve"> </w:t>
            </w:r>
          </w:p>
        </w:tc>
      </w:tr>
      <w:tr w14:paraId="46C643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5" w:hRule="atLeast"/>
          <w:jc w:val="center"/>
        </w:trPr>
        <w:tc>
          <w:tcPr>
            <w:tcW w:w="1871" w:type="dxa"/>
            <w:vMerge w:val="restart"/>
            <w:tcBorders>
              <w:left w:val="single" w:color="auto" w:sz="4" w:space="0"/>
            </w:tcBorders>
            <w:noWrap w:val="0"/>
            <w:vAlign w:val="center"/>
          </w:tcPr>
          <w:p w14:paraId="614D28DB">
            <w:pPr>
              <w:pStyle w:val="17"/>
              <w:keepNext/>
              <w:spacing w:line="440" w:lineRule="exact"/>
              <w:ind w:left="63" w:right="63"/>
              <w:rPr>
                <w:color w:val="auto"/>
                <w:sz w:val="24"/>
                <w:highlight w:val="none"/>
              </w:rPr>
            </w:pPr>
            <w:r>
              <w:rPr>
                <w:rFonts w:hint="eastAsia" w:hAnsi="宋体"/>
                <w:color w:val="auto"/>
                <w:kern w:val="0"/>
                <w:sz w:val="24"/>
                <w:highlight w:val="none"/>
              </w:rPr>
              <w:t>其他人员</w:t>
            </w:r>
          </w:p>
        </w:tc>
        <w:tc>
          <w:tcPr>
            <w:tcW w:w="1418" w:type="dxa"/>
            <w:tcBorders>
              <w:bottom w:val="single" w:color="auto" w:sz="4" w:space="0"/>
            </w:tcBorders>
            <w:noWrap w:val="0"/>
            <w:vAlign w:val="center"/>
          </w:tcPr>
          <w:p w14:paraId="009AA98F">
            <w:pPr>
              <w:pStyle w:val="17"/>
              <w:keepNext/>
              <w:spacing w:line="440" w:lineRule="exact"/>
              <w:ind w:left="63" w:right="63"/>
              <w:rPr>
                <w:color w:val="auto"/>
                <w:sz w:val="24"/>
                <w:highlight w:val="none"/>
              </w:rPr>
            </w:pPr>
          </w:p>
        </w:tc>
        <w:tc>
          <w:tcPr>
            <w:tcW w:w="1301" w:type="dxa"/>
            <w:tcBorders>
              <w:bottom w:val="single" w:color="auto" w:sz="4" w:space="0"/>
            </w:tcBorders>
            <w:noWrap w:val="0"/>
            <w:vAlign w:val="center"/>
          </w:tcPr>
          <w:p w14:paraId="0FA5A0F0">
            <w:pPr>
              <w:pStyle w:val="17"/>
              <w:keepNext/>
              <w:spacing w:line="440" w:lineRule="exact"/>
              <w:ind w:left="63" w:right="63"/>
              <w:rPr>
                <w:color w:val="auto"/>
                <w:sz w:val="24"/>
                <w:highlight w:val="none"/>
              </w:rPr>
            </w:pPr>
          </w:p>
        </w:tc>
        <w:tc>
          <w:tcPr>
            <w:tcW w:w="967" w:type="dxa"/>
            <w:tcBorders>
              <w:bottom w:val="single" w:color="auto" w:sz="4" w:space="0"/>
            </w:tcBorders>
            <w:noWrap w:val="0"/>
            <w:vAlign w:val="center"/>
          </w:tcPr>
          <w:p w14:paraId="0F3A0355">
            <w:pPr>
              <w:pStyle w:val="17"/>
              <w:keepNext/>
              <w:spacing w:line="440" w:lineRule="exact"/>
              <w:ind w:left="63" w:right="63"/>
              <w:rPr>
                <w:color w:val="auto"/>
                <w:sz w:val="24"/>
                <w:highlight w:val="none"/>
              </w:rPr>
            </w:pPr>
          </w:p>
        </w:tc>
        <w:tc>
          <w:tcPr>
            <w:tcW w:w="4252" w:type="dxa"/>
            <w:tcBorders>
              <w:bottom w:val="single" w:color="auto" w:sz="4" w:space="0"/>
              <w:right w:val="single" w:color="auto" w:sz="4" w:space="0"/>
            </w:tcBorders>
            <w:noWrap w:val="0"/>
            <w:vAlign w:val="center"/>
          </w:tcPr>
          <w:p w14:paraId="38E7F367">
            <w:pPr>
              <w:pStyle w:val="17"/>
              <w:keepNext/>
              <w:spacing w:line="440" w:lineRule="exact"/>
              <w:ind w:left="63" w:right="63"/>
              <w:rPr>
                <w:color w:val="auto"/>
                <w:sz w:val="24"/>
                <w:highlight w:val="none"/>
              </w:rPr>
            </w:pPr>
          </w:p>
        </w:tc>
      </w:tr>
      <w:tr w14:paraId="087F1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noWrap w:val="0"/>
            <w:vAlign w:val="center"/>
          </w:tcPr>
          <w:p w14:paraId="412879E1">
            <w:pPr>
              <w:widowControl/>
              <w:jc w:val="left"/>
              <w:rPr>
                <w:rFonts w:ascii="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EE606A0">
            <w:pPr>
              <w:pStyle w:val="17"/>
              <w:keepNext/>
              <w:spacing w:line="440" w:lineRule="exact"/>
              <w:ind w:left="63" w:right="63"/>
              <w:rPr>
                <w:color w:val="auto"/>
                <w:sz w:val="24"/>
                <w:highlight w:val="none"/>
                <w:u w:val="single"/>
              </w:rPr>
            </w:pP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C9D128D">
            <w:pPr>
              <w:pStyle w:val="17"/>
              <w:keepNext/>
              <w:spacing w:line="440" w:lineRule="exact"/>
              <w:ind w:left="63" w:right="63"/>
              <w:rPr>
                <w:color w:val="auto"/>
                <w:sz w:val="24"/>
                <w:highlight w:val="none"/>
                <w:u w:val="single"/>
              </w:rPr>
            </w:pPr>
          </w:p>
        </w:tc>
        <w:tc>
          <w:tcPr>
            <w:tcW w:w="967" w:type="dxa"/>
            <w:tcBorders>
              <w:top w:val="single" w:color="auto" w:sz="4" w:space="0"/>
              <w:left w:val="single" w:color="auto" w:sz="4" w:space="0"/>
              <w:bottom w:val="single" w:color="auto" w:sz="4" w:space="0"/>
              <w:right w:val="single" w:color="auto" w:sz="4" w:space="0"/>
            </w:tcBorders>
            <w:noWrap w:val="0"/>
            <w:vAlign w:val="center"/>
          </w:tcPr>
          <w:p w14:paraId="5D104457">
            <w:pPr>
              <w:pStyle w:val="17"/>
              <w:keepNext/>
              <w:spacing w:line="440" w:lineRule="exact"/>
              <w:ind w:left="63" w:right="63"/>
              <w:rPr>
                <w:color w:val="auto"/>
                <w:sz w:val="24"/>
                <w:highlight w:val="none"/>
                <w:u w:val="single"/>
              </w:rPr>
            </w:pPr>
          </w:p>
        </w:tc>
        <w:tc>
          <w:tcPr>
            <w:tcW w:w="4252" w:type="dxa"/>
            <w:tcBorders>
              <w:top w:val="single" w:color="auto" w:sz="4" w:space="0"/>
              <w:left w:val="single" w:color="auto" w:sz="4" w:space="0"/>
              <w:bottom w:val="single" w:color="auto" w:sz="4" w:space="0"/>
              <w:right w:val="single" w:color="auto" w:sz="4" w:space="0"/>
            </w:tcBorders>
            <w:noWrap w:val="0"/>
            <w:vAlign w:val="center"/>
          </w:tcPr>
          <w:p w14:paraId="214A6447">
            <w:pPr>
              <w:pStyle w:val="17"/>
              <w:keepNext/>
              <w:spacing w:line="440" w:lineRule="exact"/>
              <w:ind w:left="63" w:right="63"/>
              <w:rPr>
                <w:color w:val="auto"/>
                <w:sz w:val="24"/>
                <w:highlight w:val="none"/>
                <w:u w:val="single"/>
              </w:rPr>
            </w:pPr>
          </w:p>
        </w:tc>
      </w:tr>
    </w:tbl>
    <w:p w14:paraId="7AD9F813">
      <w:pPr>
        <w:spacing w:line="500" w:lineRule="exact"/>
        <w:ind w:left="420" w:firstLine="420"/>
        <w:rPr>
          <w:rFonts w:ascii="宋体" w:hAnsi="宋体" w:cs="宋体"/>
          <w:color w:val="auto"/>
          <w:sz w:val="24"/>
          <w:highlight w:val="none"/>
        </w:rPr>
      </w:pPr>
      <w:r>
        <w:rPr>
          <w:rFonts w:hint="eastAsia" w:ascii="宋体" w:hAnsi="宋体" w:cs="宋体"/>
          <w:color w:val="auto"/>
          <w:sz w:val="24"/>
          <w:highlight w:val="none"/>
        </w:rPr>
        <w:t>说明：承包人按照本表的最低要求填报派驻本项目的其他主要管理人员和技术人员，在经发包人审批后作为派驻本项目的项目管理机构主要人员且不允许更换。</w:t>
      </w:r>
    </w:p>
    <w:p w14:paraId="4093166D">
      <w:pPr>
        <w:ind w:left="420" w:firstLine="420"/>
        <w:rPr>
          <w:rFonts w:ascii="宋体" w:hAnsi="宋体" w:cs="宋体"/>
          <w:b/>
          <w:bCs/>
          <w:color w:val="auto"/>
          <w:kern w:val="44"/>
          <w:sz w:val="24"/>
          <w:highlight w:val="none"/>
        </w:rPr>
      </w:pPr>
      <w:r>
        <w:rPr>
          <w:rFonts w:ascii="宋体" w:hAnsi="宋体" w:cs="宋体"/>
          <w:color w:val="auto"/>
          <w:sz w:val="24"/>
          <w:highlight w:val="none"/>
        </w:rPr>
        <w:br w:type="page"/>
      </w:r>
      <w:r>
        <w:rPr>
          <w:rFonts w:hint="eastAsia" w:ascii="宋体" w:hAnsi="宋体" w:cs="宋体"/>
          <w:b/>
          <w:bCs/>
          <w:color w:val="auto"/>
          <w:kern w:val="44"/>
          <w:sz w:val="24"/>
          <w:highlight w:val="none"/>
        </w:rPr>
        <w:t>附件二 主要机械设备和试验检测设备最低要求</w:t>
      </w:r>
    </w:p>
    <w:tbl>
      <w:tblPr>
        <w:tblStyle w:val="28"/>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3169"/>
        <w:gridCol w:w="1260"/>
        <w:gridCol w:w="2880"/>
      </w:tblGrid>
      <w:tr w14:paraId="27A4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48D2341D">
            <w:pPr>
              <w:ind w:left="-178" w:leftChars="-85" w:right="-120" w:rightChars="-57" w:firstLine="420"/>
              <w:jc w:val="center"/>
              <w:rPr>
                <w:rFonts w:ascii="宋体" w:hAnsi="宋体" w:cs="宋体"/>
                <w:color w:val="auto"/>
                <w:sz w:val="24"/>
                <w:highlight w:val="none"/>
              </w:rPr>
            </w:pPr>
            <w:r>
              <w:rPr>
                <w:rFonts w:hint="eastAsia" w:ascii="宋体" w:hAnsi="宋体" w:cs="宋体"/>
                <w:color w:val="auto"/>
                <w:sz w:val="24"/>
                <w:highlight w:val="none"/>
              </w:rPr>
              <w:t>设备名称</w:t>
            </w:r>
          </w:p>
        </w:tc>
        <w:tc>
          <w:tcPr>
            <w:tcW w:w="3169" w:type="dxa"/>
            <w:noWrap w:val="0"/>
            <w:vAlign w:val="center"/>
          </w:tcPr>
          <w:p w14:paraId="151E7285">
            <w:pPr>
              <w:ind w:left="-178" w:leftChars="-85" w:right="-120" w:rightChars="-57" w:firstLine="420"/>
              <w:jc w:val="center"/>
              <w:rPr>
                <w:rFonts w:ascii="宋体" w:hAnsi="宋体" w:cs="宋体"/>
                <w:color w:val="auto"/>
                <w:sz w:val="24"/>
                <w:highlight w:val="none"/>
              </w:rPr>
            </w:pPr>
            <w:r>
              <w:rPr>
                <w:rFonts w:hint="eastAsia" w:ascii="宋体" w:hAnsi="宋体" w:cs="宋体"/>
                <w:color w:val="auto"/>
                <w:sz w:val="24"/>
                <w:highlight w:val="none"/>
              </w:rPr>
              <w:t>规格、功率及容量</w:t>
            </w:r>
          </w:p>
        </w:tc>
        <w:tc>
          <w:tcPr>
            <w:tcW w:w="1260" w:type="dxa"/>
            <w:noWrap w:val="0"/>
            <w:vAlign w:val="center"/>
          </w:tcPr>
          <w:p w14:paraId="348F4FF4">
            <w:pPr>
              <w:ind w:left="-178" w:leftChars="-85" w:right="-120" w:rightChars="-57" w:firstLine="420"/>
              <w:jc w:val="center"/>
              <w:rPr>
                <w:rFonts w:ascii="宋体" w:hAnsi="宋体" w:cs="宋体"/>
                <w:color w:val="auto"/>
                <w:sz w:val="24"/>
                <w:highlight w:val="none"/>
              </w:rPr>
            </w:pPr>
            <w:r>
              <w:rPr>
                <w:rFonts w:hint="eastAsia" w:ascii="宋体" w:hAnsi="宋体" w:cs="宋体"/>
                <w:color w:val="auto"/>
                <w:sz w:val="24"/>
                <w:highlight w:val="none"/>
              </w:rPr>
              <w:t>单位</w:t>
            </w:r>
          </w:p>
        </w:tc>
        <w:tc>
          <w:tcPr>
            <w:tcW w:w="2880" w:type="dxa"/>
            <w:noWrap w:val="0"/>
            <w:vAlign w:val="center"/>
          </w:tcPr>
          <w:p w14:paraId="6266DF95">
            <w:pPr>
              <w:ind w:left="-178" w:leftChars="-85" w:right="-120" w:rightChars="-57" w:firstLine="420"/>
              <w:jc w:val="center"/>
              <w:rPr>
                <w:rFonts w:ascii="宋体" w:hAnsi="宋体" w:cs="宋体"/>
                <w:color w:val="auto"/>
                <w:sz w:val="24"/>
                <w:highlight w:val="none"/>
              </w:rPr>
            </w:pPr>
            <w:r>
              <w:rPr>
                <w:rFonts w:hint="eastAsia" w:ascii="宋体" w:hAnsi="宋体" w:cs="宋体"/>
                <w:color w:val="auto"/>
                <w:sz w:val="24"/>
                <w:highlight w:val="none"/>
              </w:rPr>
              <w:t>全线最低数量要求</w:t>
            </w:r>
          </w:p>
        </w:tc>
      </w:tr>
      <w:tr w14:paraId="19FC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6FD7F513">
            <w:pPr>
              <w:spacing w:line="240" w:lineRule="exact"/>
              <w:rPr>
                <w:rFonts w:ascii="宋体" w:hAnsi="宋体" w:cs="宋体"/>
                <w:color w:val="auto"/>
                <w:sz w:val="24"/>
                <w:highlight w:val="none"/>
              </w:rPr>
            </w:pPr>
          </w:p>
        </w:tc>
        <w:tc>
          <w:tcPr>
            <w:tcW w:w="3169" w:type="dxa"/>
            <w:noWrap w:val="0"/>
            <w:vAlign w:val="center"/>
          </w:tcPr>
          <w:p w14:paraId="0B5A6364">
            <w:pPr>
              <w:spacing w:line="240" w:lineRule="exact"/>
              <w:rPr>
                <w:rFonts w:ascii="宋体" w:hAnsi="宋体" w:cs="宋体"/>
                <w:color w:val="auto"/>
                <w:sz w:val="24"/>
                <w:highlight w:val="none"/>
              </w:rPr>
            </w:pPr>
          </w:p>
        </w:tc>
        <w:tc>
          <w:tcPr>
            <w:tcW w:w="1260" w:type="dxa"/>
            <w:noWrap w:val="0"/>
            <w:vAlign w:val="center"/>
          </w:tcPr>
          <w:p w14:paraId="652D4A94">
            <w:pPr>
              <w:spacing w:line="240" w:lineRule="exact"/>
              <w:rPr>
                <w:rFonts w:ascii="宋体" w:hAnsi="宋体" w:cs="宋体"/>
                <w:color w:val="auto"/>
                <w:sz w:val="24"/>
                <w:highlight w:val="none"/>
              </w:rPr>
            </w:pPr>
          </w:p>
        </w:tc>
        <w:tc>
          <w:tcPr>
            <w:tcW w:w="2880" w:type="dxa"/>
            <w:noWrap w:val="0"/>
            <w:vAlign w:val="center"/>
          </w:tcPr>
          <w:p w14:paraId="352D2D8B">
            <w:pPr>
              <w:spacing w:line="240" w:lineRule="exact"/>
              <w:rPr>
                <w:rFonts w:ascii="宋体" w:hAnsi="宋体" w:cs="宋体"/>
                <w:color w:val="auto"/>
                <w:sz w:val="24"/>
                <w:highlight w:val="none"/>
              </w:rPr>
            </w:pPr>
          </w:p>
        </w:tc>
      </w:tr>
      <w:tr w14:paraId="435E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5E5506C4">
            <w:pPr>
              <w:spacing w:line="280" w:lineRule="exact"/>
              <w:rPr>
                <w:rFonts w:ascii="宋体" w:hAnsi="宋体" w:cs="宋体"/>
                <w:color w:val="auto"/>
                <w:sz w:val="24"/>
                <w:highlight w:val="none"/>
              </w:rPr>
            </w:pPr>
          </w:p>
        </w:tc>
        <w:tc>
          <w:tcPr>
            <w:tcW w:w="3169" w:type="dxa"/>
            <w:noWrap w:val="0"/>
            <w:vAlign w:val="center"/>
          </w:tcPr>
          <w:p w14:paraId="365057B4">
            <w:pPr>
              <w:spacing w:line="280" w:lineRule="exact"/>
              <w:rPr>
                <w:rFonts w:ascii="宋体" w:hAnsi="宋体" w:cs="宋体"/>
                <w:color w:val="auto"/>
                <w:sz w:val="24"/>
                <w:highlight w:val="none"/>
              </w:rPr>
            </w:pPr>
          </w:p>
        </w:tc>
        <w:tc>
          <w:tcPr>
            <w:tcW w:w="1260" w:type="dxa"/>
            <w:noWrap w:val="0"/>
            <w:vAlign w:val="center"/>
          </w:tcPr>
          <w:p w14:paraId="7C543492">
            <w:pPr>
              <w:spacing w:line="280" w:lineRule="exact"/>
              <w:rPr>
                <w:rFonts w:ascii="宋体" w:hAnsi="宋体" w:cs="宋体"/>
                <w:color w:val="auto"/>
                <w:sz w:val="24"/>
                <w:highlight w:val="none"/>
              </w:rPr>
            </w:pPr>
          </w:p>
        </w:tc>
        <w:tc>
          <w:tcPr>
            <w:tcW w:w="2880" w:type="dxa"/>
            <w:noWrap w:val="0"/>
            <w:vAlign w:val="center"/>
          </w:tcPr>
          <w:p w14:paraId="435C1AA5">
            <w:pPr>
              <w:spacing w:line="280" w:lineRule="exact"/>
              <w:rPr>
                <w:rFonts w:ascii="宋体" w:hAnsi="宋体" w:cs="宋体"/>
                <w:color w:val="auto"/>
                <w:sz w:val="24"/>
                <w:highlight w:val="none"/>
              </w:rPr>
            </w:pPr>
          </w:p>
        </w:tc>
      </w:tr>
      <w:tr w14:paraId="119B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48F64AC8">
            <w:pPr>
              <w:spacing w:line="280" w:lineRule="exact"/>
              <w:rPr>
                <w:rFonts w:ascii="宋体" w:hAnsi="宋体" w:cs="宋体"/>
                <w:color w:val="auto"/>
                <w:sz w:val="24"/>
                <w:highlight w:val="none"/>
              </w:rPr>
            </w:pPr>
          </w:p>
        </w:tc>
        <w:tc>
          <w:tcPr>
            <w:tcW w:w="3169" w:type="dxa"/>
            <w:noWrap w:val="0"/>
            <w:vAlign w:val="center"/>
          </w:tcPr>
          <w:p w14:paraId="5BCFC1AC">
            <w:pPr>
              <w:spacing w:line="280" w:lineRule="exact"/>
              <w:ind w:right="-25" w:rightChars="-12"/>
              <w:rPr>
                <w:rFonts w:ascii="宋体" w:hAnsi="宋体" w:cs="宋体"/>
                <w:color w:val="auto"/>
                <w:sz w:val="24"/>
                <w:highlight w:val="none"/>
              </w:rPr>
            </w:pPr>
          </w:p>
        </w:tc>
        <w:tc>
          <w:tcPr>
            <w:tcW w:w="1260" w:type="dxa"/>
            <w:noWrap w:val="0"/>
            <w:vAlign w:val="center"/>
          </w:tcPr>
          <w:p w14:paraId="3F9C39F5">
            <w:pPr>
              <w:spacing w:line="280" w:lineRule="exact"/>
              <w:rPr>
                <w:rFonts w:ascii="宋体" w:hAnsi="宋体" w:cs="宋体"/>
                <w:color w:val="auto"/>
                <w:sz w:val="24"/>
                <w:highlight w:val="none"/>
              </w:rPr>
            </w:pPr>
          </w:p>
        </w:tc>
        <w:tc>
          <w:tcPr>
            <w:tcW w:w="2880" w:type="dxa"/>
            <w:noWrap w:val="0"/>
            <w:vAlign w:val="center"/>
          </w:tcPr>
          <w:p w14:paraId="21767E15">
            <w:pPr>
              <w:spacing w:line="280" w:lineRule="exact"/>
              <w:rPr>
                <w:rFonts w:ascii="宋体" w:hAnsi="宋体" w:cs="宋体"/>
                <w:color w:val="auto"/>
                <w:sz w:val="24"/>
                <w:highlight w:val="none"/>
              </w:rPr>
            </w:pPr>
          </w:p>
        </w:tc>
      </w:tr>
      <w:tr w14:paraId="18B2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6AF6A590">
            <w:pPr>
              <w:spacing w:line="280" w:lineRule="exact"/>
              <w:rPr>
                <w:rFonts w:ascii="宋体" w:hAnsi="宋体" w:cs="宋体"/>
                <w:color w:val="auto"/>
                <w:sz w:val="24"/>
                <w:highlight w:val="none"/>
              </w:rPr>
            </w:pPr>
          </w:p>
        </w:tc>
        <w:tc>
          <w:tcPr>
            <w:tcW w:w="3169" w:type="dxa"/>
            <w:noWrap w:val="0"/>
            <w:vAlign w:val="center"/>
          </w:tcPr>
          <w:p w14:paraId="4AFF9A4B">
            <w:pPr>
              <w:spacing w:line="280" w:lineRule="exact"/>
              <w:rPr>
                <w:rFonts w:ascii="宋体" w:hAnsi="宋体" w:cs="宋体"/>
                <w:color w:val="auto"/>
                <w:sz w:val="24"/>
                <w:highlight w:val="none"/>
              </w:rPr>
            </w:pPr>
          </w:p>
        </w:tc>
        <w:tc>
          <w:tcPr>
            <w:tcW w:w="1260" w:type="dxa"/>
            <w:noWrap w:val="0"/>
            <w:vAlign w:val="center"/>
          </w:tcPr>
          <w:p w14:paraId="14EF509C">
            <w:pPr>
              <w:spacing w:line="280" w:lineRule="exact"/>
              <w:rPr>
                <w:rFonts w:ascii="宋体" w:hAnsi="宋体" w:cs="宋体"/>
                <w:color w:val="auto"/>
                <w:sz w:val="24"/>
                <w:highlight w:val="none"/>
              </w:rPr>
            </w:pPr>
          </w:p>
        </w:tc>
        <w:tc>
          <w:tcPr>
            <w:tcW w:w="2880" w:type="dxa"/>
            <w:noWrap w:val="0"/>
            <w:vAlign w:val="center"/>
          </w:tcPr>
          <w:p w14:paraId="334B9E3D">
            <w:pPr>
              <w:spacing w:line="280" w:lineRule="exact"/>
              <w:rPr>
                <w:rFonts w:ascii="宋体" w:hAnsi="宋体" w:cs="宋体"/>
                <w:color w:val="auto"/>
                <w:sz w:val="24"/>
                <w:highlight w:val="none"/>
              </w:rPr>
            </w:pPr>
          </w:p>
        </w:tc>
      </w:tr>
      <w:tr w14:paraId="4ED8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1F6B47CA">
            <w:pPr>
              <w:spacing w:line="280" w:lineRule="exact"/>
              <w:jc w:val="left"/>
              <w:rPr>
                <w:rFonts w:ascii="宋体" w:hAnsi="宋体" w:cs="宋体"/>
                <w:color w:val="auto"/>
                <w:sz w:val="24"/>
                <w:highlight w:val="none"/>
              </w:rPr>
            </w:pPr>
          </w:p>
        </w:tc>
        <w:tc>
          <w:tcPr>
            <w:tcW w:w="3169" w:type="dxa"/>
            <w:noWrap w:val="0"/>
            <w:vAlign w:val="center"/>
          </w:tcPr>
          <w:p w14:paraId="7F111E2D">
            <w:pPr>
              <w:spacing w:line="280" w:lineRule="exact"/>
              <w:rPr>
                <w:rFonts w:ascii="宋体" w:hAnsi="宋体" w:cs="宋体"/>
                <w:color w:val="auto"/>
                <w:sz w:val="24"/>
                <w:highlight w:val="none"/>
              </w:rPr>
            </w:pPr>
          </w:p>
        </w:tc>
        <w:tc>
          <w:tcPr>
            <w:tcW w:w="1260" w:type="dxa"/>
            <w:noWrap w:val="0"/>
            <w:vAlign w:val="center"/>
          </w:tcPr>
          <w:p w14:paraId="280D4BC9">
            <w:pPr>
              <w:spacing w:line="280" w:lineRule="exact"/>
              <w:ind w:left="-36" w:leftChars="-17" w:right="-435" w:rightChars="-207"/>
              <w:rPr>
                <w:rFonts w:ascii="宋体" w:hAnsi="宋体" w:cs="宋体"/>
                <w:color w:val="auto"/>
                <w:sz w:val="24"/>
                <w:highlight w:val="none"/>
              </w:rPr>
            </w:pPr>
          </w:p>
        </w:tc>
        <w:tc>
          <w:tcPr>
            <w:tcW w:w="2880" w:type="dxa"/>
            <w:noWrap w:val="0"/>
            <w:vAlign w:val="center"/>
          </w:tcPr>
          <w:p w14:paraId="5A80CCBC">
            <w:pPr>
              <w:spacing w:line="280" w:lineRule="exact"/>
              <w:ind w:left="-36" w:leftChars="-17" w:right="-435" w:rightChars="-207"/>
              <w:rPr>
                <w:rFonts w:ascii="宋体" w:hAnsi="宋体" w:cs="宋体"/>
                <w:color w:val="auto"/>
                <w:sz w:val="24"/>
                <w:highlight w:val="none"/>
              </w:rPr>
            </w:pPr>
          </w:p>
        </w:tc>
      </w:tr>
      <w:tr w14:paraId="6F9A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0BFC4832">
            <w:pPr>
              <w:spacing w:line="280" w:lineRule="exact"/>
              <w:rPr>
                <w:rFonts w:ascii="宋体" w:hAnsi="宋体" w:cs="宋体"/>
                <w:color w:val="auto"/>
                <w:sz w:val="24"/>
                <w:highlight w:val="none"/>
              </w:rPr>
            </w:pPr>
          </w:p>
        </w:tc>
        <w:tc>
          <w:tcPr>
            <w:tcW w:w="3169" w:type="dxa"/>
            <w:noWrap w:val="0"/>
            <w:vAlign w:val="center"/>
          </w:tcPr>
          <w:p w14:paraId="7B493CBE">
            <w:pPr>
              <w:spacing w:line="280" w:lineRule="exact"/>
              <w:rPr>
                <w:rFonts w:ascii="宋体" w:hAnsi="宋体" w:cs="宋体"/>
                <w:color w:val="auto"/>
                <w:sz w:val="24"/>
                <w:highlight w:val="none"/>
              </w:rPr>
            </w:pPr>
          </w:p>
        </w:tc>
        <w:tc>
          <w:tcPr>
            <w:tcW w:w="1260" w:type="dxa"/>
            <w:noWrap w:val="0"/>
            <w:vAlign w:val="center"/>
          </w:tcPr>
          <w:p w14:paraId="7F4EDAC6">
            <w:pPr>
              <w:spacing w:line="280" w:lineRule="exact"/>
              <w:ind w:left="-36" w:leftChars="-17" w:right="-435" w:rightChars="-207"/>
              <w:rPr>
                <w:rFonts w:ascii="宋体" w:hAnsi="宋体" w:cs="宋体"/>
                <w:color w:val="auto"/>
                <w:sz w:val="24"/>
                <w:highlight w:val="none"/>
              </w:rPr>
            </w:pPr>
          </w:p>
        </w:tc>
        <w:tc>
          <w:tcPr>
            <w:tcW w:w="2880" w:type="dxa"/>
            <w:noWrap w:val="0"/>
            <w:vAlign w:val="center"/>
          </w:tcPr>
          <w:p w14:paraId="40B60DD9">
            <w:pPr>
              <w:spacing w:line="280" w:lineRule="exact"/>
              <w:ind w:left="-36" w:leftChars="-17" w:right="-435" w:rightChars="-207"/>
              <w:rPr>
                <w:rFonts w:ascii="宋体" w:hAnsi="宋体" w:cs="宋体"/>
                <w:color w:val="auto"/>
                <w:sz w:val="24"/>
                <w:highlight w:val="none"/>
              </w:rPr>
            </w:pPr>
          </w:p>
        </w:tc>
      </w:tr>
      <w:tr w14:paraId="427E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624845CF">
            <w:pPr>
              <w:spacing w:line="280" w:lineRule="exact"/>
              <w:rPr>
                <w:rFonts w:ascii="宋体" w:hAnsi="宋体" w:cs="宋体"/>
                <w:color w:val="auto"/>
                <w:sz w:val="24"/>
                <w:highlight w:val="none"/>
              </w:rPr>
            </w:pPr>
          </w:p>
        </w:tc>
        <w:tc>
          <w:tcPr>
            <w:tcW w:w="3169" w:type="dxa"/>
            <w:noWrap w:val="0"/>
            <w:vAlign w:val="center"/>
          </w:tcPr>
          <w:p w14:paraId="21D19B24">
            <w:pPr>
              <w:spacing w:line="280" w:lineRule="exact"/>
              <w:rPr>
                <w:rFonts w:ascii="宋体" w:hAnsi="宋体" w:cs="宋体"/>
                <w:color w:val="auto"/>
                <w:sz w:val="24"/>
                <w:highlight w:val="none"/>
              </w:rPr>
            </w:pPr>
          </w:p>
        </w:tc>
        <w:tc>
          <w:tcPr>
            <w:tcW w:w="1260" w:type="dxa"/>
            <w:noWrap w:val="0"/>
            <w:vAlign w:val="center"/>
          </w:tcPr>
          <w:p w14:paraId="5569E88E">
            <w:pPr>
              <w:spacing w:line="280" w:lineRule="exact"/>
              <w:ind w:left="-36" w:leftChars="-17" w:right="-435" w:rightChars="-207"/>
              <w:rPr>
                <w:rFonts w:ascii="宋体" w:hAnsi="宋体" w:cs="宋体"/>
                <w:color w:val="auto"/>
                <w:sz w:val="24"/>
                <w:highlight w:val="none"/>
              </w:rPr>
            </w:pPr>
          </w:p>
        </w:tc>
        <w:tc>
          <w:tcPr>
            <w:tcW w:w="2880" w:type="dxa"/>
            <w:noWrap w:val="0"/>
            <w:vAlign w:val="center"/>
          </w:tcPr>
          <w:p w14:paraId="593FB613">
            <w:pPr>
              <w:spacing w:line="280" w:lineRule="exact"/>
              <w:ind w:left="-36" w:leftChars="-17" w:right="-435" w:rightChars="-207"/>
              <w:rPr>
                <w:rFonts w:ascii="宋体" w:hAnsi="宋体" w:cs="宋体"/>
                <w:color w:val="auto"/>
                <w:sz w:val="24"/>
                <w:highlight w:val="none"/>
              </w:rPr>
            </w:pPr>
          </w:p>
        </w:tc>
      </w:tr>
      <w:tr w14:paraId="2635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72210A86">
            <w:pPr>
              <w:spacing w:line="280" w:lineRule="exact"/>
              <w:ind w:firstLine="240" w:firstLineChars="100"/>
              <w:rPr>
                <w:rFonts w:ascii="宋体" w:hAnsi="宋体" w:cs="宋体"/>
                <w:color w:val="auto"/>
                <w:sz w:val="24"/>
                <w:highlight w:val="none"/>
              </w:rPr>
            </w:pPr>
          </w:p>
        </w:tc>
        <w:tc>
          <w:tcPr>
            <w:tcW w:w="3169" w:type="dxa"/>
            <w:noWrap w:val="0"/>
            <w:vAlign w:val="center"/>
          </w:tcPr>
          <w:p w14:paraId="6FD80120">
            <w:pPr>
              <w:spacing w:line="280" w:lineRule="exact"/>
              <w:rPr>
                <w:rFonts w:ascii="宋体" w:hAnsi="宋体" w:cs="宋体"/>
                <w:color w:val="auto"/>
                <w:sz w:val="24"/>
                <w:highlight w:val="none"/>
              </w:rPr>
            </w:pPr>
          </w:p>
        </w:tc>
        <w:tc>
          <w:tcPr>
            <w:tcW w:w="1260" w:type="dxa"/>
            <w:noWrap w:val="0"/>
            <w:vAlign w:val="center"/>
          </w:tcPr>
          <w:p w14:paraId="0166EF96">
            <w:pPr>
              <w:spacing w:line="280" w:lineRule="exact"/>
              <w:ind w:left="-36" w:leftChars="-17" w:right="-435" w:rightChars="-207"/>
              <w:rPr>
                <w:rFonts w:ascii="宋体" w:hAnsi="宋体" w:cs="宋体"/>
                <w:color w:val="auto"/>
                <w:sz w:val="24"/>
                <w:highlight w:val="none"/>
              </w:rPr>
            </w:pPr>
          </w:p>
        </w:tc>
        <w:tc>
          <w:tcPr>
            <w:tcW w:w="2880" w:type="dxa"/>
            <w:noWrap w:val="0"/>
            <w:vAlign w:val="center"/>
          </w:tcPr>
          <w:p w14:paraId="76492C81">
            <w:pPr>
              <w:spacing w:line="280" w:lineRule="exact"/>
              <w:ind w:left="-36" w:leftChars="-17" w:right="-435" w:rightChars="-207"/>
              <w:rPr>
                <w:rFonts w:ascii="宋体" w:hAnsi="宋体" w:cs="宋体"/>
                <w:color w:val="auto"/>
                <w:sz w:val="24"/>
                <w:highlight w:val="none"/>
              </w:rPr>
            </w:pPr>
          </w:p>
        </w:tc>
      </w:tr>
      <w:tr w14:paraId="15DE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4E429312">
            <w:pPr>
              <w:spacing w:line="280" w:lineRule="exact"/>
              <w:rPr>
                <w:rFonts w:ascii="宋体" w:hAnsi="宋体" w:cs="宋体"/>
                <w:color w:val="auto"/>
                <w:sz w:val="24"/>
                <w:highlight w:val="none"/>
              </w:rPr>
            </w:pPr>
          </w:p>
        </w:tc>
        <w:tc>
          <w:tcPr>
            <w:tcW w:w="3169" w:type="dxa"/>
            <w:noWrap w:val="0"/>
            <w:vAlign w:val="center"/>
          </w:tcPr>
          <w:p w14:paraId="4AE96C12">
            <w:pPr>
              <w:spacing w:line="280" w:lineRule="exact"/>
              <w:ind w:left="-37" w:leftChars="-52" w:right="-41" w:hanging="72" w:hangingChars="30"/>
              <w:jc w:val="left"/>
              <w:rPr>
                <w:rFonts w:ascii="宋体" w:hAnsi="宋体" w:cs="宋体"/>
                <w:color w:val="auto"/>
                <w:sz w:val="24"/>
                <w:highlight w:val="none"/>
              </w:rPr>
            </w:pPr>
          </w:p>
        </w:tc>
        <w:tc>
          <w:tcPr>
            <w:tcW w:w="1260" w:type="dxa"/>
            <w:noWrap w:val="0"/>
            <w:vAlign w:val="center"/>
          </w:tcPr>
          <w:p w14:paraId="2A8816DE">
            <w:pPr>
              <w:spacing w:line="280" w:lineRule="exact"/>
              <w:rPr>
                <w:rFonts w:ascii="宋体" w:hAnsi="宋体" w:cs="宋体"/>
                <w:color w:val="auto"/>
                <w:sz w:val="24"/>
                <w:highlight w:val="none"/>
              </w:rPr>
            </w:pPr>
          </w:p>
        </w:tc>
        <w:tc>
          <w:tcPr>
            <w:tcW w:w="2880" w:type="dxa"/>
            <w:noWrap w:val="0"/>
            <w:vAlign w:val="center"/>
          </w:tcPr>
          <w:p w14:paraId="7F3B085F">
            <w:pPr>
              <w:spacing w:line="280" w:lineRule="exact"/>
              <w:rPr>
                <w:rFonts w:ascii="宋体" w:hAnsi="宋体" w:cs="宋体"/>
                <w:color w:val="auto"/>
                <w:sz w:val="24"/>
                <w:highlight w:val="none"/>
              </w:rPr>
            </w:pPr>
          </w:p>
        </w:tc>
      </w:tr>
      <w:tr w14:paraId="56CB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6B11315B">
            <w:pPr>
              <w:spacing w:line="280" w:lineRule="exact"/>
              <w:rPr>
                <w:rFonts w:ascii="宋体" w:hAnsi="宋体" w:cs="宋体"/>
                <w:color w:val="auto"/>
                <w:sz w:val="24"/>
                <w:highlight w:val="none"/>
              </w:rPr>
            </w:pPr>
          </w:p>
        </w:tc>
        <w:tc>
          <w:tcPr>
            <w:tcW w:w="3169" w:type="dxa"/>
            <w:noWrap w:val="0"/>
            <w:vAlign w:val="center"/>
          </w:tcPr>
          <w:p w14:paraId="6ABDB6A9">
            <w:pPr>
              <w:spacing w:line="280" w:lineRule="exact"/>
              <w:rPr>
                <w:rFonts w:ascii="宋体" w:hAnsi="宋体" w:cs="宋体"/>
                <w:color w:val="auto"/>
                <w:sz w:val="24"/>
                <w:highlight w:val="none"/>
              </w:rPr>
            </w:pPr>
          </w:p>
        </w:tc>
        <w:tc>
          <w:tcPr>
            <w:tcW w:w="1260" w:type="dxa"/>
            <w:noWrap w:val="0"/>
            <w:vAlign w:val="center"/>
          </w:tcPr>
          <w:p w14:paraId="104F92F2">
            <w:pPr>
              <w:spacing w:line="280" w:lineRule="exact"/>
              <w:ind w:left="-36" w:leftChars="-17" w:right="-435" w:rightChars="-207"/>
              <w:rPr>
                <w:rFonts w:ascii="宋体" w:hAnsi="宋体" w:cs="宋体"/>
                <w:color w:val="auto"/>
                <w:sz w:val="24"/>
                <w:highlight w:val="none"/>
              </w:rPr>
            </w:pPr>
          </w:p>
        </w:tc>
        <w:tc>
          <w:tcPr>
            <w:tcW w:w="2880" w:type="dxa"/>
            <w:noWrap w:val="0"/>
            <w:vAlign w:val="center"/>
          </w:tcPr>
          <w:p w14:paraId="6CDF9964">
            <w:pPr>
              <w:spacing w:line="280" w:lineRule="exact"/>
              <w:ind w:left="-36" w:leftChars="-17" w:right="-435" w:rightChars="-207"/>
              <w:rPr>
                <w:rFonts w:ascii="宋体" w:hAnsi="宋体" w:cs="宋体"/>
                <w:color w:val="auto"/>
                <w:sz w:val="24"/>
                <w:highlight w:val="none"/>
              </w:rPr>
            </w:pPr>
          </w:p>
        </w:tc>
      </w:tr>
      <w:tr w14:paraId="7E85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46ED096D">
            <w:pPr>
              <w:spacing w:line="280" w:lineRule="exact"/>
              <w:rPr>
                <w:rFonts w:ascii="宋体" w:hAnsi="宋体" w:cs="宋体"/>
                <w:color w:val="auto"/>
                <w:sz w:val="24"/>
                <w:highlight w:val="none"/>
              </w:rPr>
            </w:pPr>
          </w:p>
        </w:tc>
        <w:tc>
          <w:tcPr>
            <w:tcW w:w="3169" w:type="dxa"/>
            <w:noWrap w:val="0"/>
            <w:vAlign w:val="center"/>
          </w:tcPr>
          <w:p w14:paraId="62F41577">
            <w:pPr>
              <w:spacing w:line="280" w:lineRule="exact"/>
              <w:rPr>
                <w:rFonts w:ascii="宋体" w:hAnsi="宋体" w:cs="宋体"/>
                <w:color w:val="auto"/>
                <w:sz w:val="24"/>
                <w:highlight w:val="none"/>
              </w:rPr>
            </w:pPr>
          </w:p>
        </w:tc>
        <w:tc>
          <w:tcPr>
            <w:tcW w:w="1260" w:type="dxa"/>
            <w:noWrap w:val="0"/>
            <w:vAlign w:val="center"/>
          </w:tcPr>
          <w:p w14:paraId="6B58B50F">
            <w:pPr>
              <w:spacing w:line="280" w:lineRule="exact"/>
              <w:rPr>
                <w:rFonts w:ascii="宋体" w:hAnsi="宋体" w:cs="宋体"/>
                <w:color w:val="auto"/>
                <w:sz w:val="24"/>
                <w:highlight w:val="none"/>
              </w:rPr>
            </w:pPr>
          </w:p>
        </w:tc>
        <w:tc>
          <w:tcPr>
            <w:tcW w:w="2880" w:type="dxa"/>
            <w:noWrap w:val="0"/>
            <w:vAlign w:val="center"/>
          </w:tcPr>
          <w:p w14:paraId="2DEBA65F">
            <w:pPr>
              <w:spacing w:line="280" w:lineRule="exact"/>
              <w:rPr>
                <w:rFonts w:ascii="宋体" w:hAnsi="宋体" w:cs="宋体"/>
                <w:color w:val="auto"/>
                <w:sz w:val="24"/>
                <w:highlight w:val="none"/>
              </w:rPr>
            </w:pPr>
          </w:p>
        </w:tc>
      </w:tr>
      <w:tr w14:paraId="6FEF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229BBFEE">
            <w:pPr>
              <w:spacing w:line="280" w:lineRule="exact"/>
              <w:rPr>
                <w:rFonts w:ascii="宋体" w:hAnsi="宋体" w:cs="宋体"/>
                <w:color w:val="auto"/>
                <w:sz w:val="24"/>
                <w:highlight w:val="none"/>
              </w:rPr>
            </w:pPr>
          </w:p>
        </w:tc>
        <w:tc>
          <w:tcPr>
            <w:tcW w:w="3169" w:type="dxa"/>
            <w:noWrap w:val="0"/>
            <w:vAlign w:val="center"/>
          </w:tcPr>
          <w:p w14:paraId="20488501">
            <w:pPr>
              <w:spacing w:line="280" w:lineRule="exact"/>
              <w:rPr>
                <w:rFonts w:ascii="宋体" w:hAnsi="宋体" w:cs="宋体"/>
                <w:color w:val="auto"/>
                <w:sz w:val="24"/>
                <w:highlight w:val="none"/>
              </w:rPr>
            </w:pPr>
          </w:p>
        </w:tc>
        <w:tc>
          <w:tcPr>
            <w:tcW w:w="1260" w:type="dxa"/>
            <w:noWrap w:val="0"/>
            <w:vAlign w:val="center"/>
          </w:tcPr>
          <w:p w14:paraId="0A341C1B">
            <w:pPr>
              <w:spacing w:line="280" w:lineRule="exact"/>
              <w:rPr>
                <w:rFonts w:ascii="宋体" w:hAnsi="宋体" w:cs="宋体"/>
                <w:color w:val="auto"/>
                <w:sz w:val="24"/>
                <w:highlight w:val="none"/>
              </w:rPr>
            </w:pPr>
          </w:p>
        </w:tc>
        <w:tc>
          <w:tcPr>
            <w:tcW w:w="2880" w:type="dxa"/>
            <w:noWrap w:val="0"/>
            <w:vAlign w:val="center"/>
          </w:tcPr>
          <w:p w14:paraId="03BCB044">
            <w:pPr>
              <w:spacing w:line="280" w:lineRule="exact"/>
              <w:rPr>
                <w:rFonts w:ascii="宋体" w:hAnsi="宋体" w:cs="宋体"/>
                <w:color w:val="auto"/>
                <w:sz w:val="24"/>
                <w:highlight w:val="none"/>
              </w:rPr>
            </w:pPr>
          </w:p>
        </w:tc>
      </w:tr>
      <w:tr w14:paraId="285A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6162031F">
            <w:pPr>
              <w:spacing w:line="280" w:lineRule="exact"/>
              <w:rPr>
                <w:rFonts w:ascii="宋体" w:hAnsi="宋体" w:cs="宋体"/>
                <w:color w:val="auto"/>
                <w:sz w:val="24"/>
                <w:highlight w:val="none"/>
              </w:rPr>
            </w:pPr>
          </w:p>
        </w:tc>
        <w:tc>
          <w:tcPr>
            <w:tcW w:w="3169" w:type="dxa"/>
            <w:noWrap w:val="0"/>
            <w:vAlign w:val="center"/>
          </w:tcPr>
          <w:p w14:paraId="10CE802A">
            <w:pPr>
              <w:spacing w:line="280" w:lineRule="exact"/>
              <w:rPr>
                <w:rFonts w:ascii="宋体" w:hAnsi="宋体" w:cs="宋体"/>
                <w:color w:val="auto"/>
                <w:sz w:val="24"/>
                <w:highlight w:val="none"/>
              </w:rPr>
            </w:pPr>
          </w:p>
        </w:tc>
        <w:tc>
          <w:tcPr>
            <w:tcW w:w="1260" w:type="dxa"/>
            <w:noWrap w:val="0"/>
            <w:vAlign w:val="center"/>
          </w:tcPr>
          <w:p w14:paraId="7F1C9430">
            <w:pPr>
              <w:spacing w:line="280" w:lineRule="exact"/>
              <w:rPr>
                <w:rFonts w:ascii="宋体" w:hAnsi="宋体" w:cs="宋体"/>
                <w:color w:val="auto"/>
                <w:sz w:val="24"/>
                <w:highlight w:val="none"/>
              </w:rPr>
            </w:pPr>
          </w:p>
        </w:tc>
        <w:tc>
          <w:tcPr>
            <w:tcW w:w="2880" w:type="dxa"/>
            <w:noWrap w:val="0"/>
            <w:vAlign w:val="center"/>
          </w:tcPr>
          <w:p w14:paraId="79A16E4B">
            <w:pPr>
              <w:spacing w:line="280" w:lineRule="exact"/>
              <w:rPr>
                <w:rFonts w:ascii="宋体" w:hAnsi="宋体" w:cs="宋体"/>
                <w:color w:val="auto"/>
                <w:sz w:val="24"/>
                <w:highlight w:val="none"/>
              </w:rPr>
            </w:pPr>
          </w:p>
        </w:tc>
      </w:tr>
      <w:tr w14:paraId="1096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7F1EB4F8">
            <w:pPr>
              <w:spacing w:line="280" w:lineRule="exact"/>
              <w:rPr>
                <w:rFonts w:ascii="宋体" w:hAnsi="宋体" w:cs="宋体"/>
                <w:color w:val="auto"/>
                <w:sz w:val="24"/>
                <w:highlight w:val="none"/>
              </w:rPr>
            </w:pPr>
          </w:p>
        </w:tc>
        <w:tc>
          <w:tcPr>
            <w:tcW w:w="3169" w:type="dxa"/>
            <w:noWrap w:val="0"/>
            <w:vAlign w:val="center"/>
          </w:tcPr>
          <w:p w14:paraId="6825E968">
            <w:pPr>
              <w:spacing w:line="280" w:lineRule="exact"/>
              <w:rPr>
                <w:rFonts w:ascii="宋体" w:hAnsi="宋体" w:cs="宋体"/>
                <w:color w:val="auto"/>
                <w:sz w:val="24"/>
                <w:highlight w:val="none"/>
              </w:rPr>
            </w:pPr>
          </w:p>
        </w:tc>
        <w:tc>
          <w:tcPr>
            <w:tcW w:w="1260" w:type="dxa"/>
            <w:noWrap w:val="0"/>
            <w:vAlign w:val="center"/>
          </w:tcPr>
          <w:p w14:paraId="2CD3F764">
            <w:pPr>
              <w:spacing w:line="280" w:lineRule="exact"/>
              <w:rPr>
                <w:rFonts w:ascii="宋体" w:hAnsi="宋体" w:cs="宋体"/>
                <w:color w:val="auto"/>
                <w:sz w:val="24"/>
                <w:highlight w:val="none"/>
              </w:rPr>
            </w:pPr>
          </w:p>
        </w:tc>
        <w:tc>
          <w:tcPr>
            <w:tcW w:w="2880" w:type="dxa"/>
            <w:noWrap w:val="0"/>
            <w:vAlign w:val="center"/>
          </w:tcPr>
          <w:p w14:paraId="13270655">
            <w:pPr>
              <w:spacing w:line="280" w:lineRule="exact"/>
              <w:rPr>
                <w:rFonts w:ascii="宋体" w:hAnsi="宋体" w:cs="宋体"/>
                <w:color w:val="auto"/>
                <w:sz w:val="24"/>
                <w:highlight w:val="none"/>
              </w:rPr>
            </w:pPr>
          </w:p>
        </w:tc>
      </w:tr>
      <w:tr w14:paraId="46F7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576840FC">
            <w:pPr>
              <w:spacing w:line="280" w:lineRule="exact"/>
              <w:rPr>
                <w:rFonts w:ascii="宋体" w:hAnsi="宋体" w:cs="宋体"/>
                <w:color w:val="auto"/>
                <w:sz w:val="24"/>
                <w:highlight w:val="none"/>
              </w:rPr>
            </w:pPr>
          </w:p>
        </w:tc>
        <w:tc>
          <w:tcPr>
            <w:tcW w:w="3169" w:type="dxa"/>
            <w:noWrap w:val="0"/>
            <w:vAlign w:val="center"/>
          </w:tcPr>
          <w:p w14:paraId="2CAA4691">
            <w:pPr>
              <w:spacing w:line="280" w:lineRule="exact"/>
              <w:rPr>
                <w:rFonts w:ascii="宋体" w:hAnsi="宋体" w:cs="宋体"/>
                <w:color w:val="auto"/>
                <w:sz w:val="24"/>
                <w:highlight w:val="none"/>
              </w:rPr>
            </w:pPr>
          </w:p>
        </w:tc>
        <w:tc>
          <w:tcPr>
            <w:tcW w:w="1260" w:type="dxa"/>
            <w:noWrap w:val="0"/>
            <w:vAlign w:val="center"/>
          </w:tcPr>
          <w:p w14:paraId="58572CC7">
            <w:pPr>
              <w:spacing w:line="280" w:lineRule="exact"/>
              <w:rPr>
                <w:rFonts w:ascii="宋体" w:hAnsi="宋体" w:cs="宋体"/>
                <w:color w:val="auto"/>
                <w:sz w:val="24"/>
                <w:highlight w:val="none"/>
              </w:rPr>
            </w:pPr>
          </w:p>
        </w:tc>
        <w:tc>
          <w:tcPr>
            <w:tcW w:w="2880" w:type="dxa"/>
            <w:noWrap w:val="0"/>
            <w:vAlign w:val="center"/>
          </w:tcPr>
          <w:p w14:paraId="0B8CA881">
            <w:pPr>
              <w:spacing w:line="280" w:lineRule="exact"/>
              <w:rPr>
                <w:rFonts w:ascii="宋体" w:hAnsi="宋体" w:cs="宋体"/>
                <w:color w:val="auto"/>
                <w:sz w:val="24"/>
                <w:highlight w:val="none"/>
              </w:rPr>
            </w:pPr>
          </w:p>
        </w:tc>
      </w:tr>
      <w:tr w14:paraId="109B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58FBE4A5">
            <w:pPr>
              <w:spacing w:line="280" w:lineRule="exact"/>
              <w:rPr>
                <w:rFonts w:ascii="宋体" w:hAnsi="宋体" w:cs="宋体"/>
                <w:color w:val="auto"/>
                <w:sz w:val="24"/>
                <w:highlight w:val="none"/>
              </w:rPr>
            </w:pPr>
          </w:p>
        </w:tc>
        <w:tc>
          <w:tcPr>
            <w:tcW w:w="3169" w:type="dxa"/>
            <w:noWrap w:val="0"/>
            <w:vAlign w:val="center"/>
          </w:tcPr>
          <w:p w14:paraId="517E1B37">
            <w:pPr>
              <w:spacing w:line="280" w:lineRule="exact"/>
              <w:rPr>
                <w:rFonts w:ascii="宋体" w:hAnsi="宋体" w:cs="宋体"/>
                <w:color w:val="auto"/>
                <w:sz w:val="24"/>
                <w:highlight w:val="none"/>
              </w:rPr>
            </w:pPr>
          </w:p>
        </w:tc>
        <w:tc>
          <w:tcPr>
            <w:tcW w:w="1260" w:type="dxa"/>
            <w:noWrap w:val="0"/>
            <w:vAlign w:val="center"/>
          </w:tcPr>
          <w:p w14:paraId="7C5844A8">
            <w:pPr>
              <w:spacing w:line="280" w:lineRule="exact"/>
              <w:rPr>
                <w:rFonts w:ascii="宋体" w:hAnsi="宋体" w:cs="宋体"/>
                <w:color w:val="auto"/>
                <w:sz w:val="24"/>
                <w:highlight w:val="none"/>
              </w:rPr>
            </w:pPr>
          </w:p>
        </w:tc>
        <w:tc>
          <w:tcPr>
            <w:tcW w:w="2880" w:type="dxa"/>
            <w:noWrap w:val="0"/>
            <w:vAlign w:val="center"/>
          </w:tcPr>
          <w:p w14:paraId="7266A678">
            <w:pPr>
              <w:spacing w:line="280" w:lineRule="exact"/>
              <w:rPr>
                <w:rFonts w:ascii="宋体" w:hAnsi="宋体" w:cs="宋体"/>
                <w:color w:val="auto"/>
                <w:sz w:val="24"/>
                <w:highlight w:val="none"/>
              </w:rPr>
            </w:pPr>
          </w:p>
        </w:tc>
      </w:tr>
      <w:tr w14:paraId="12FA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2077F494">
            <w:pPr>
              <w:spacing w:line="280" w:lineRule="exact"/>
              <w:rPr>
                <w:rFonts w:ascii="宋体" w:hAnsi="宋体" w:cs="宋体"/>
                <w:color w:val="auto"/>
                <w:sz w:val="24"/>
                <w:highlight w:val="none"/>
              </w:rPr>
            </w:pPr>
          </w:p>
        </w:tc>
        <w:tc>
          <w:tcPr>
            <w:tcW w:w="3169" w:type="dxa"/>
            <w:noWrap w:val="0"/>
            <w:vAlign w:val="center"/>
          </w:tcPr>
          <w:p w14:paraId="21A85F96">
            <w:pPr>
              <w:spacing w:line="280" w:lineRule="exact"/>
              <w:rPr>
                <w:rFonts w:ascii="宋体" w:hAnsi="宋体" w:cs="宋体"/>
                <w:color w:val="auto"/>
                <w:sz w:val="24"/>
                <w:highlight w:val="none"/>
              </w:rPr>
            </w:pPr>
          </w:p>
        </w:tc>
        <w:tc>
          <w:tcPr>
            <w:tcW w:w="1260" w:type="dxa"/>
            <w:noWrap w:val="0"/>
            <w:vAlign w:val="center"/>
          </w:tcPr>
          <w:p w14:paraId="0AC9D67A">
            <w:pPr>
              <w:spacing w:line="280" w:lineRule="exact"/>
              <w:rPr>
                <w:rFonts w:ascii="宋体" w:hAnsi="宋体" w:cs="宋体"/>
                <w:color w:val="auto"/>
                <w:sz w:val="24"/>
                <w:highlight w:val="none"/>
              </w:rPr>
            </w:pPr>
          </w:p>
        </w:tc>
        <w:tc>
          <w:tcPr>
            <w:tcW w:w="2880" w:type="dxa"/>
            <w:noWrap w:val="0"/>
            <w:vAlign w:val="center"/>
          </w:tcPr>
          <w:p w14:paraId="7ED8088C">
            <w:pPr>
              <w:spacing w:line="280" w:lineRule="exact"/>
              <w:rPr>
                <w:rFonts w:ascii="宋体" w:hAnsi="宋体" w:cs="宋体"/>
                <w:color w:val="auto"/>
                <w:sz w:val="24"/>
                <w:highlight w:val="none"/>
              </w:rPr>
            </w:pPr>
          </w:p>
        </w:tc>
      </w:tr>
      <w:tr w14:paraId="0F65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74B212A8">
            <w:pPr>
              <w:spacing w:line="280" w:lineRule="exact"/>
              <w:rPr>
                <w:rFonts w:ascii="宋体" w:hAnsi="宋体" w:cs="宋体"/>
                <w:color w:val="auto"/>
                <w:sz w:val="24"/>
                <w:highlight w:val="none"/>
              </w:rPr>
            </w:pPr>
          </w:p>
        </w:tc>
        <w:tc>
          <w:tcPr>
            <w:tcW w:w="3169" w:type="dxa"/>
            <w:noWrap w:val="0"/>
            <w:vAlign w:val="center"/>
          </w:tcPr>
          <w:p w14:paraId="1CAE4C8E">
            <w:pPr>
              <w:spacing w:line="280" w:lineRule="exact"/>
              <w:rPr>
                <w:rFonts w:ascii="宋体" w:hAnsi="宋体" w:cs="宋体"/>
                <w:color w:val="auto"/>
                <w:sz w:val="24"/>
                <w:highlight w:val="none"/>
              </w:rPr>
            </w:pPr>
          </w:p>
        </w:tc>
        <w:tc>
          <w:tcPr>
            <w:tcW w:w="1260" w:type="dxa"/>
            <w:noWrap w:val="0"/>
            <w:vAlign w:val="center"/>
          </w:tcPr>
          <w:p w14:paraId="0EA6C95B">
            <w:pPr>
              <w:spacing w:line="280" w:lineRule="exact"/>
              <w:rPr>
                <w:rFonts w:ascii="宋体" w:hAnsi="宋体" w:cs="宋体"/>
                <w:color w:val="auto"/>
                <w:sz w:val="24"/>
                <w:highlight w:val="none"/>
              </w:rPr>
            </w:pPr>
          </w:p>
        </w:tc>
        <w:tc>
          <w:tcPr>
            <w:tcW w:w="2880" w:type="dxa"/>
            <w:noWrap w:val="0"/>
            <w:vAlign w:val="center"/>
          </w:tcPr>
          <w:p w14:paraId="7EE0A9F5">
            <w:pPr>
              <w:spacing w:line="280" w:lineRule="exact"/>
              <w:rPr>
                <w:rFonts w:ascii="宋体" w:hAnsi="宋体" w:cs="宋体"/>
                <w:color w:val="auto"/>
                <w:sz w:val="24"/>
                <w:highlight w:val="none"/>
              </w:rPr>
            </w:pPr>
          </w:p>
        </w:tc>
      </w:tr>
      <w:tr w14:paraId="1BA4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511" w:type="dxa"/>
            <w:noWrap w:val="0"/>
            <w:vAlign w:val="center"/>
          </w:tcPr>
          <w:p w14:paraId="6227D363">
            <w:pPr>
              <w:spacing w:line="280" w:lineRule="exact"/>
              <w:rPr>
                <w:rFonts w:ascii="宋体" w:hAnsi="宋体" w:cs="宋体"/>
                <w:color w:val="auto"/>
                <w:spacing w:val="-10"/>
                <w:szCs w:val="21"/>
                <w:highlight w:val="none"/>
              </w:rPr>
            </w:pPr>
          </w:p>
        </w:tc>
        <w:tc>
          <w:tcPr>
            <w:tcW w:w="3169" w:type="dxa"/>
            <w:noWrap w:val="0"/>
            <w:vAlign w:val="center"/>
          </w:tcPr>
          <w:p w14:paraId="3771712B">
            <w:pPr>
              <w:spacing w:line="280" w:lineRule="exact"/>
              <w:rPr>
                <w:rFonts w:ascii="宋体" w:hAnsi="宋体" w:cs="宋体"/>
                <w:color w:val="auto"/>
                <w:sz w:val="24"/>
                <w:highlight w:val="none"/>
              </w:rPr>
            </w:pPr>
          </w:p>
        </w:tc>
        <w:tc>
          <w:tcPr>
            <w:tcW w:w="1260" w:type="dxa"/>
            <w:noWrap w:val="0"/>
            <w:vAlign w:val="center"/>
          </w:tcPr>
          <w:p w14:paraId="6614C3DA">
            <w:pPr>
              <w:spacing w:line="280" w:lineRule="exact"/>
              <w:rPr>
                <w:rFonts w:ascii="宋体" w:hAnsi="宋体" w:cs="宋体"/>
                <w:color w:val="auto"/>
                <w:sz w:val="24"/>
                <w:highlight w:val="none"/>
              </w:rPr>
            </w:pPr>
          </w:p>
        </w:tc>
        <w:tc>
          <w:tcPr>
            <w:tcW w:w="2880" w:type="dxa"/>
            <w:noWrap w:val="0"/>
            <w:vAlign w:val="center"/>
          </w:tcPr>
          <w:p w14:paraId="4C25EFA5">
            <w:pPr>
              <w:spacing w:line="280" w:lineRule="exact"/>
              <w:rPr>
                <w:rFonts w:ascii="宋体" w:hAnsi="宋体" w:cs="宋体"/>
                <w:color w:val="auto"/>
                <w:sz w:val="24"/>
                <w:highlight w:val="none"/>
              </w:rPr>
            </w:pPr>
          </w:p>
        </w:tc>
      </w:tr>
    </w:tbl>
    <w:p w14:paraId="0A81EC45">
      <w:pPr>
        <w:widowControl/>
        <w:jc w:val="center"/>
        <w:rPr>
          <w:rFonts w:ascii="宋体" w:hAnsi="宋体" w:cs="宋体"/>
          <w:color w:val="auto"/>
          <w:sz w:val="24"/>
          <w:highlight w:val="none"/>
        </w:rPr>
      </w:pPr>
    </w:p>
    <w:p w14:paraId="6CDD8049">
      <w:pPr>
        <w:spacing w:line="400" w:lineRule="exact"/>
        <w:ind w:firstLine="470" w:firstLineChars="196"/>
        <w:jc w:val="left"/>
        <w:rPr>
          <w:rFonts w:ascii="宋体" w:hAnsi="宋体" w:cs="宋体"/>
          <w:color w:val="auto"/>
          <w:sz w:val="24"/>
          <w:highlight w:val="none"/>
        </w:rPr>
      </w:pPr>
      <w:r>
        <w:rPr>
          <w:rFonts w:hint="eastAsia" w:ascii="宋体" w:hAnsi="宋体" w:cs="宋体"/>
          <w:color w:val="auto"/>
          <w:sz w:val="24"/>
          <w:highlight w:val="none"/>
        </w:rPr>
        <w:t>注：承包人按照本表的最低要求填报为本标段配备的主要设备，在经发包人审批后作为投入本标段的主要设备且不允许更换。</w:t>
      </w:r>
    </w:p>
    <w:p w14:paraId="763C9328">
      <w:pPr>
        <w:rPr>
          <w:rFonts w:ascii="宋体" w:hAnsi="宋体" w:cs="宋体"/>
          <w:b/>
          <w:bCs/>
          <w:color w:val="auto"/>
          <w:kern w:val="44"/>
          <w:sz w:val="24"/>
          <w:highlight w:val="none"/>
        </w:rPr>
      </w:pPr>
      <w:r>
        <w:rPr>
          <w:rFonts w:hint="eastAsia" w:ascii="宋体" w:hAnsi="宋体" w:cs="宋体"/>
          <w:color w:val="auto"/>
          <w:sz w:val="24"/>
          <w:highlight w:val="none"/>
        </w:rPr>
        <w:br w:type="page"/>
      </w:r>
      <w:r>
        <w:rPr>
          <w:rFonts w:hint="eastAsia" w:ascii="宋体" w:hAnsi="宋体" w:cs="宋体"/>
          <w:b/>
          <w:bCs/>
          <w:color w:val="auto"/>
          <w:kern w:val="44"/>
          <w:sz w:val="24"/>
          <w:highlight w:val="none"/>
        </w:rPr>
        <w:t>附件三：项目经理委任书</w:t>
      </w:r>
    </w:p>
    <w:p w14:paraId="7506EB8A">
      <w:pPr>
        <w:spacing w:line="500" w:lineRule="exact"/>
        <w:ind w:left="420" w:firstLine="480"/>
        <w:jc w:val="center"/>
        <w:rPr>
          <w:rFonts w:ascii="宋体" w:hAnsi="宋体" w:cs="宋体"/>
          <w:b/>
          <w:color w:val="auto"/>
          <w:sz w:val="32"/>
          <w:szCs w:val="32"/>
          <w:highlight w:val="none"/>
          <w:u w:val="single"/>
        </w:rPr>
      </w:pPr>
    </w:p>
    <w:p w14:paraId="6C9282BF">
      <w:pPr>
        <w:spacing w:line="500" w:lineRule="exact"/>
        <w:ind w:left="420" w:firstLine="480"/>
        <w:jc w:val="center"/>
        <w:rPr>
          <w:rFonts w:ascii="宋体" w:hAnsi="宋体" w:cs="宋体"/>
          <w:b/>
          <w:color w:val="auto"/>
          <w:sz w:val="32"/>
          <w:szCs w:val="32"/>
          <w:highlight w:val="none"/>
          <w:u w:val="single"/>
        </w:rPr>
      </w:pPr>
      <w:r>
        <w:rPr>
          <w:rFonts w:hint="eastAsia" w:ascii="宋体" w:hAnsi="宋体"/>
          <w:bCs/>
          <w:color w:val="auto"/>
          <w:sz w:val="24"/>
          <w:highlight w:val="none"/>
          <w:u w:val="single"/>
        </w:rPr>
        <w:t xml:space="preserve"> </w:t>
      </w:r>
      <w:r>
        <w:rPr>
          <w:rFonts w:hint="eastAsia" w:ascii="宋体" w:hAnsi="宋体" w:cs="宋体"/>
          <w:b/>
          <w:color w:val="auto"/>
          <w:sz w:val="32"/>
          <w:szCs w:val="32"/>
          <w:highlight w:val="none"/>
          <w:u w:val="single"/>
          <w:lang w:eastAsia="zh-CN"/>
        </w:rPr>
        <w:t>上石镇马垌村古油茶产业基地道路建设项目</w:t>
      </w:r>
      <w:r>
        <w:rPr>
          <w:rFonts w:hint="eastAsia" w:ascii="宋体" w:hAnsi="宋体"/>
          <w:bCs/>
          <w:color w:val="auto"/>
          <w:sz w:val="24"/>
          <w:highlight w:val="none"/>
          <w:u w:val="single"/>
        </w:rPr>
        <w:t xml:space="preserve"> </w:t>
      </w:r>
      <w:r>
        <w:rPr>
          <w:rFonts w:hint="eastAsia" w:ascii="宋体" w:hAnsi="宋体" w:cs="宋体"/>
          <w:b/>
          <w:color w:val="auto"/>
          <w:sz w:val="32"/>
          <w:szCs w:val="32"/>
          <w:highlight w:val="none"/>
          <w:u w:val="single"/>
        </w:rPr>
        <w:t>项目经理委任书</w:t>
      </w:r>
    </w:p>
    <w:p w14:paraId="1C1D0EAD">
      <w:pPr>
        <w:spacing w:line="500" w:lineRule="exact"/>
        <w:ind w:left="420" w:firstLine="480"/>
        <w:rPr>
          <w:rFonts w:ascii="宋体" w:hAnsi="宋体" w:cs="宋体"/>
          <w:b/>
          <w:color w:val="auto"/>
          <w:sz w:val="24"/>
          <w:highlight w:val="none"/>
        </w:rPr>
      </w:pPr>
    </w:p>
    <w:p w14:paraId="7F2F3881">
      <w:pPr>
        <w:spacing w:line="500" w:lineRule="exact"/>
        <w:rPr>
          <w:rFonts w:hint="eastAsia" w:ascii="宋体" w:hAnsi="宋体" w:eastAsia="宋体" w:cs="宋体"/>
          <w:color w:val="auto"/>
          <w:sz w:val="24"/>
          <w:highlight w:val="none"/>
          <w:lang w:eastAsia="zh-CN"/>
        </w:rPr>
      </w:pPr>
      <w:r>
        <w:rPr>
          <w:rFonts w:hint="eastAsia" w:ascii="宋体" w:hAnsi="宋体" w:cs="宋体"/>
          <w:color w:val="auto"/>
          <w:sz w:val="24"/>
          <w:highlight w:val="none"/>
        </w:rPr>
        <w:t>致：</w:t>
      </w:r>
      <w:r>
        <w:rPr>
          <w:rFonts w:hint="eastAsia" w:ascii="宋体" w:hAnsi="宋体" w:cs="宋体"/>
          <w:color w:val="auto"/>
          <w:sz w:val="24"/>
          <w:highlight w:val="none"/>
          <w:u w:val="single"/>
          <w:lang w:eastAsia="zh-CN"/>
        </w:rPr>
        <w:t>凭祥市林业局</w:t>
      </w:r>
    </w:p>
    <w:p w14:paraId="74234B25">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代表本单位委任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为</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的项目经理。凡本合同执行中的有关技术、工程进度</w:t>
      </w:r>
      <w:r>
        <w:rPr>
          <w:rFonts w:hint="eastAsia" w:ascii="宋体" w:hAnsi="宋体" w:cs="宋体"/>
          <w:color w:val="auto"/>
          <w:sz w:val="24"/>
          <w:highlight w:val="none"/>
        </w:rPr>
        <w:t>、现场管理、质量检验、结算与支付等方面工作，由</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代表本单位全面负责。</w:t>
      </w:r>
    </w:p>
    <w:p w14:paraId="505B3538">
      <w:pPr>
        <w:spacing w:line="500" w:lineRule="exact"/>
        <w:ind w:left="420" w:firstLine="480"/>
        <w:rPr>
          <w:rFonts w:ascii="宋体" w:hAnsi="宋体" w:cs="宋体"/>
          <w:color w:val="auto"/>
          <w:sz w:val="24"/>
          <w:highlight w:val="none"/>
        </w:rPr>
      </w:pPr>
    </w:p>
    <w:p w14:paraId="65D9D488">
      <w:pPr>
        <w:spacing w:line="500" w:lineRule="exact"/>
        <w:ind w:right="480" w:firstLine="3600" w:firstLineChars="1500"/>
        <w:rPr>
          <w:rFonts w:ascii="宋体" w:hAnsi="宋体" w:cs="宋体"/>
          <w:color w:val="auto"/>
          <w:sz w:val="24"/>
          <w:highlight w:val="none"/>
        </w:rPr>
      </w:pPr>
      <w:r>
        <w:rPr>
          <w:rFonts w:hint="eastAsia" w:ascii="宋体" w:hAnsi="宋体" w:cs="宋体"/>
          <w:color w:val="auto"/>
          <w:sz w:val="24"/>
          <w:highlight w:val="none"/>
        </w:rPr>
        <w:t>承包人：（盖单位章）</w:t>
      </w:r>
    </w:p>
    <w:p w14:paraId="06A0E53F">
      <w:pPr>
        <w:spacing w:line="500" w:lineRule="exact"/>
        <w:ind w:right="480" w:firstLine="3600" w:firstLineChars="1500"/>
        <w:rPr>
          <w:rFonts w:ascii="宋体" w:hAnsi="宋体" w:cs="宋体"/>
          <w:color w:val="auto"/>
          <w:sz w:val="24"/>
          <w:highlight w:val="none"/>
          <w:u w:val="single"/>
        </w:rPr>
      </w:pPr>
      <w:r>
        <w:rPr>
          <w:rFonts w:hint="eastAsia" w:ascii="宋体" w:hAnsi="宋体" w:cs="宋体"/>
          <w:color w:val="auto"/>
          <w:sz w:val="24"/>
          <w:highlight w:val="none"/>
        </w:rPr>
        <w:t>法定代表人：</w:t>
      </w:r>
      <w:r>
        <w:rPr>
          <w:rFonts w:hint="eastAsia" w:ascii="宋体" w:hAnsi="宋体" w:cs="宋体"/>
          <w:color w:val="auto"/>
          <w:sz w:val="24"/>
          <w:highlight w:val="none"/>
          <w:u w:val="single"/>
        </w:rPr>
        <w:t xml:space="preserve">    (职务)   </w:t>
      </w:r>
    </w:p>
    <w:p w14:paraId="6D953EA2">
      <w:pPr>
        <w:spacing w:line="500" w:lineRule="exact"/>
        <w:ind w:left="420" w:leftChars="200" w:right="480" w:firstLine="4560" w:firstLineChars="1900"/>
        <w:rPr>
          <w:rFonts w:ascii="宋体" w:hAnsi="宋体" w:cs="宋体"/>
          <w:color w:val="auto"/>
          <w:sz w:val="24"/>
          <w:highlight w:val="none"/>
          <w:u w:val="single"/>
        </w:rPr>
      </w:pPr>
      <w:r>
        <w:rPr>
          <w:rFonts w:hint="eastAsia" w:ascii="宋体" w:hAnsi="宋体" w:cs="宋体"/>
          <w:color w:val="auto"/>
          <w:sz w:val="24"/>
          <w:highlight w:val="none"/>
          <w:u w:val="single"/>
        </w:rPr>
        <w:t xml:space="preserve">    (姓名)   </w:t>
      </w:r>
    </w:p>
    <w:p w14:paraId="1B954538">
      <w:pPr>
        <w:spacing w:line="500" w:lineRule="exact"/>
        <w:ind w:left="420" w:leftChars="200" w:right="480" w:firstLine="4560" w:firstLineChars="1900"/>
        <w:rPr>
          <w:rFonts w:ascii="宋体" w:hAnsi="宋体" w:cs="宋体"/>
          <w:color w:val="auto"/>
          <w:sz w:val="24"/>
          <w:highlight w:val="none"/>
          <w:u w:val="single"/>
        </w:rPr>
      </w:pPr>
      <w:r>
        <w:rPr>
          <w:rFonts w:hint="eastAsia" w:ascii="宋体" w:hAnsi="宋体" w:cs="宋体"/>
          <w:color w:val="auto"/>
          <w:sz w:val="24"/>
          <w:highlight w:val="none"/>
          <w:u w:val="single"/>
        </w:rPr>
        <w:t xml:space="preserve">    (签字）  </w:t>
      </w:r>
    </w:p>
    <w:p w14:paraId="5B7540C0">
      <w:pPr>
        <w:spacing w:line="500" w:lineRule="exact"/>
        <w:ind w:left="420" w:firstLine="480"/>
        <w:rPr>
          <w:rFonts w:ascii="宋体" w:hAnsi="宋体" w:cs="宋体"/>
          <w:color w:val="auto"/>
          <w:sz w:val="24"/>
          <w:highlight w:val="none"/>
        </w:rPr>
      </w:pPr>
    </w:p>
    <w:p w14:paraId="60770E75">
      <w:pPr>
        <w:spacing w:line="500" w:lineRule="exact"/>
        <w:ind w:left="420" w:leftChars="200" w:right="480" w:firstLine="4440" w:firstLineChars="1850"/>
        <w:rPr>
          <w:rFonts w:ascii="宋体" w:hAnsi="宋体" w:cs="宋体"/>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   月    日</w:t>
      </w:r>
    </w:p>
    <w:p w14:paraId="1A80F399">
      <w:pPr>
        <w:spacing w:line="500" w:lineRule="exact"/>
        <w:ind w:left="420" w:firstLine="480"/>
        <w:rPr>
          <w:rFonts w:ascii="宋体" w:hAnsi="宋体" w:cs="宋体"/>
          <w:color w:val="auto"/>
          <w:sz w:val="24"/>
          <w:highlight w:val="none"/>
        </w:rPr>
      </w:pPr>
    </w:p>
    <w:p w14:paraId="27D7A78E">
      <w:pPr>
        <w:rPr>
          <w:color w:val="auto"/>
          <w:highlight w:val="none"/>
        </w:rPr>
      </w:pPr>
    </w:p>
    <w:p w14:paraId="6EED1D00">
      <w:pPr>
        <w:pStyle w:val="17"/>
        <w:ind w:left="63" w:right="63"/>
        <w:rPr>
          <w:color w:val="auto"/>
          <w:highlight w:val="none"/>
        </w:rPr>
      </w:pPr>
    </w:p>
    <w:p w14:paraId="68E6F9A1">
      <w:pPr>
        <w:pStyle w:val="17"/>
        <w:ind w:left="63" w:right="63"/>
        <w:rPr>
          <w:color w:val="auto"/>
          <w:highlight w:val="none"/>
        </w:rPr>
      </w:pPr>
    </w:p>
    <w:p w14:paraId="2450EFEC">
      <w:pPr>
        <w:pStyle w:val="17"/>
        <w:ind w:left="63" w:right="63"/>
        <w:rPr>
          <w:color w:val="auto"/>
          <w:highlight w:val="none"/>
        </w:rPr>
      </w:pPr>
    </w:p>
    <w:p w14:paraId="150180CF">
      <w:pPr>
        <w:pStyle w:val="17"/>
        <w:ind w:left="63" w:right="63"/>
        <w:rPr>
          <w:color w:val="auto"/>
          <w:highlight w:val="none"/>
        </w:rPr>
      </w:pPr>
    </w:p>
    <w:p w14:paraId="7C913235">
      <w:pPr>
        <w:pStyle w:val="17"/>
        <w:ind w:left="63" w:right="63"/>
        <w:rPr>
          <w:color w:val="auto"/>
          <w:highlight w:val="none"/>
        </w:rPr>
      </w:pPr>
    </w:p>
    <w:p w14:paraId="569C3E73">
      <w:pPr>
        <w:pStyle w:val="17"/>
        <w:ind w:left="63" w:right="63"/>
        <w:rPr>
          <w:color w:val="auto"/>
          <w:highlight w:val="none"/>
        </w:rPr>
      </w:pPr>
    </w:p>
    <w:p w14:paraId="40A03537">
      <w:pPr>
        <w:pStyle w:val="17"/>
        <w:ind w:left="63" w:right="63"/>
        <w:rPr>
          <w:color w:val="auto"/>
          <w:highlight w:val="none"/>
        </w:rPr>
      </w:pPr>
    </w:p>
    <w:p w14:paraId="247F3AB3">
      <w:pPr>
        <w:pStyle w:val="17"/>
        <w:ind w:left="63" w:right="63"/>
        <w:rPr>
          <w:color w:val="auto"/>
          <w:highlight w:val="none"/>
        </w:rPr>
      </w:pPr>
    </w:p>
    <w:p w14:paraId="2DA00B79">
      <w:pPr>
        <w:pStyle w:val="17"/>
        <w:ind w:left="63" w:right="63"/>
        <w:rPr>
          <w:color w:val="auto"/>
          <w:highlight w:val="none"/>
        </w:rPr>
      </w:pPr>
    </w:p>
    <w:p w14:paraId="512EC900">
      <w:pPr>
        <w:pStyle w:val="17"/>
        <w:ind w:right="63"/>
        <w:rPr>
          <w:color w:val="auto"/>
          <w:highlight w:val="none"/>
        </w:rPr>
      </w:pPr>
    </w:p>
    <w:p w14:paraId="75364431">
      <w:pPr>
        <w:pStyle w:val="17"/>
        <w:ind w:right="63"/>
        <w:rPr>
          <w:color w:val="auto"/>
          <w:highlight w:val="none"/>
        </w:rPr>
      </w:pPr>
    </w:p>
    <w:p w14:paraId="6EA4911B">
      <w:pPr>
        <w:pStyle w:val="17"/>
        <w:ind w:left="63" w:right="63"/>
        <w:rPr>
          <w:color w:val="auto"/>
          <w:highlight w:val="none"/>
        </w:rPr>
      </w:pPr>
    </w:p>
    <w:p w14:paraId="28F3716D">
      <w:pPr>
        <w:pStyle w:val="17"/>
        <w:ind w:left="63" w:right="63"/>
        <w:rPr>
          <w:color w:val="auto"/>
          <w:sz w:val="24"/>
          <w:highlight w:val="none"/>
        </w:rPr>
      </w:pPr>
    </w:p>
    <w:p w14:paraId="7E8387DC">
      <w:pPr>
        <w:jc w:val="center"/>
        <w:rPr>
          <w:rFonts w:hint="eastAsia"/>
          <w:b/>
          <w:color w:val="auto"/>
          <w:sz w:val="36"/>
          <w:szCs w:val="36"/>
          <w:highlight w:val="none"/>
        </w:rPr>
      </w:pPr>
      <w:bookmarkStart w:id="100" w:name="_Toc373478340"/>
      <w:bookmarkStart w:id="101" w:name="_Toc389065259"/>
      <w:bookmarkStart w:id="102" w:name="_Toc19922"/>
      <w:bookmarkStart w:id="103" w:name="_Toc373227693"/>
    </w:p>
    <w:p w14:paraId="6963868C">
      <w:pPr>
        <w:jc w:val="center"/>
        <w:rPr>
          <w:rFonts w:hint="eastAsia"/>
          <w:b/>
          <w:color w:val="auto"/>
          <w:sz w:val="36"/>
          <w:szCs w:val="36"/>
          <w:highlight w:val="none"/>
        </w:rPr>
        <w:sectPr>
          <w:footerReference r:id="rId5" w:type="default"/>
          <w:pgSz w:w="11907" w:h="16840"/>
          <w:pgMar w:top="1440" w:right="1080" w:bottom="1440" w:left="1080" w:header="1020" w:footer="850" w:gutter="0"/>
          <w:pgNumType w:fmt="decimal"/>
          <w:cols w:space="720" w:num="1"/>
          <w:docGrid w:linePitch="286" w:charSpace="0"/>
        </w:sectPr>
      </w:pPr>
    </w:p>
    <w:p w14:paraId="0F71C3EE">
      <w:pPr>
        <w:jc w:val="center"/>
        <w:rPr>
          <w:b/>
          <w:color w:val="auto"/>
          <w:sz w:val="36"/>
          <w:szCs w:val="36"/>
          <w:highlight w:val="none"/>
        </w:rPr>
      </w:pPr>
      <w:r>
        <w:rPr>
          <w:rFonts w:hint="eastAsia"/>
          <w:b/>
          <w:color w:val="auto"/>
          <w:sz w:val="36"/>
          <w:szCs w:val="36"/>
          <w:highlight w:val="none"/>
        </w:rPr>
        <w:t>公路工程适用合同范本</w:t>
      </w:r>
    </w:p>
    <w:p w14:paraId="4B3434B0">
      <w:pPr>
        <w:rPr>
          <w:color w:val="auto"/>
          <w:highlight w:val="none"/>
        </w:rPr>
      </w:pPr>
    </w:p>
    <w:p w14:paraId="5686DFDF">
      <w:pPr>
        <w:pStyle w:val="7"/>
        <w:jc w:val="center"/>
        <w:rPr>
          <w:rFonts w:ascii="宋体" w:hAnsi="宋体" w:cs="宋体"/>
          <w:color w:val="auto"/>
          <w:sz w:val="24"/>
          <w:highlight w:val="none"/>
        </w:rPr>
      </w:pPr>
      <w:bookmarkStart w:id="104" w:name="_Toc13115"/>
      <w:bookmarkStart w:id="105" w:name="_Toc6517"/>
      <w:r>
        <w:rPr>
          <w:rFonts w:hint="eastAsia" w:ascii="宋体" w:hAnsi="宋体" w:cs="宋体"/>
          <w:color w:val="auto"/>
          <w:highlight w:val="none"/>
        </w:rPr>
        <w:t>第一节 通用合同条款</w:t>
      </w:r>
      <w:bookmarkEnd w:id="104"/>
      <w:bookmarkEnd w:id="105"/>
    </w:p>
    <w:p w14:paraId="1EAB2838">
      <w:pPr>
        <w:tabs>
          <w:tab w:val="left" w:pos="1080"/>
        </w:tabs>
        <w:ind w:left="-359" w:leftChars="-171" w:firstLine="480"/>
        <w:rPr>
          <w:rFonts w:ascii="宋体" w:hAnsi="宋体" w:cs="宋体"/>
          <w:color w:val="auto"/>
          <w:sz w:val="24"/>
          <w:highlight w:val="none"/>
        </w:rPr>
      </w:pPr>
    </w:p>
    <w:p w14:paraId="1A5B91AE">
      <w:pPr>
        <w:tabs>
          <w:tab w:val="left" w:pos="1080"/>
        </w:tabs>
        <w:spacing w:line="400" w:lineRule="exact"/>
        <w:ind w:firstLine="480"/>
        <w:rPr>
          <w:rFonts w:hint="eastAsia" w:ascii="宋体" w:hAnsi="宋体" w:cs="宋体"/>
          <w:color w:val="auto"/>
          <w:highlight w:val="none"/>
        </w:rPr>
      </w:pPr>
      <w:r>
        <w:rPr>
          <w:rFonts w:hint="eastAsia" w:ascii="宋体" w:hAnsi="宋体" w:cs="宋体"/>
          <w:color w:val="auto"/>
          <w:sz w:val="24"/>
          <w:highlight w:val="none"/>
        </w:rPr>
        <w:t>通用合同条款”采用《公路工程标准施工</w:t>
      </w:r>
      <w:r>
        <w:rPr>
          <w:rFonts w:hint="eastAsia" w:ascii="宋体" w:hAnsi="宋体" w:cs="宋体"/>
          <w:color w:val="auto"/>
          <w:sz w:val="24"/>
          <w:highlight w:val="none"/>
          <w:lang w:eastAsia="zh-CN"/>
        </w:rPr>
        <w:t>采购文件</w:t>
      </w:r>
      <w:r>
        <w:rPr>
          <w:rFonts w:hint="eastAsia" w:ascii="宋体" w:hAnsi="宋体" w:cs="宋体"/>
          <w:color w:val="auto"/>
          <w:sz w:val="24"/>
          <w:highlight w:val="none"/>
        </w:rPr>
        <w:t>》（2018年版）的“通用合同条款”。</w:t>
      </w:r>
    </w:p>
    <w:p w14:paraId="2DB45C4C">
      <w:pPr>
        <w:pStyle w:val="7"/>
        <w:jc w:val="center"/>
        <w:rPr>
          <w:rFonts w:ascii="宋体" w:hAnsi="宋体" w:cs="宋体"/>
          <w:color w:val="auto"/>
          <w:sz w:val="32"/>
          <w:szCs w:val="32"/>
          <w:highlight w:val="none"/>
        </w:rPr>
      </w:pPr>
      <w:bookmarkStart w:id="106" w:name="_Toc30794"/>
      <w:bookmarkStart w:id="107" w:name="_Toc21127"/>
      <w:r>
        <w:rPr>
          <w:rFonts w:hint="eastAsia" w:ascii="宋体" w:hAnsi="宋体" w:cs="宋体"/>
          <w:color w:val="auto"/>
          <w:highlight w:val="none"/>
        </w:rPr>
        <w:t>第二节 专用合同条款</w:t>
      </w:r>
      <w:bookmarkEnd w:id="106"/>
      <w:bookmarkEnd w:id="107"/>
    </w:p>
    <w:p w14:paraId="5803F2E2">
      <w:pPr>
        <w:tabs>
          <w:tab w:val="left" w:pos="660"/>
        </w:tabs>
        <w:wordWrap w:val="0"/>
        <w:topLinePunct/>
        <w:spacing w:line="360" w:lineRule="auto"/>
        <w:ind w:left="200" w:firstLine="420"/>
        <w:rPr>
          <w:rFonts w:ascii="宋体" w:hAnsi="宋体" w:cs="宋体"/>
          <w:color w:val="auto"/>
          <w:sz w:val="24"/>
          <w:highlight w:val="none"/>
        </w:rPr>
      </w:pPr>
      <w:r>
        <w:rPr>
          <w:rFonts w:hint="eastAsia" w:ascii="宋体" w:hAnsi="宋体" w:cs="宋体"/>
          <w:color w:val="auto"/>
          <w:sz w:val="24"/>
          <w:highlight w:val="none"/>
        </w:rPr>
        <w:t>说明：</w:t>
      </w:r>
    </w:p>
    <w:p w14:paraId="485BC1A7">
      <w:pPr>
        <w:wordWrap w:val="0"/>
        <w:topLinePunct/>
        <w:spacing w:line="360" w:lineRule="auto"/>
        <w:ind w:left="200" w:right="146" w:firstLine="420"/>
        <w:rPr>
          <w:rFonts w:ascii="宋体" w:hAnsi="宋体" w:cs="宋体"/>
          <w:color w:val="auto"/>
          <w:sz w:val="24"/>
          <w:highlight w:val="none"/>
        </w:rPr>
      </w:pPr>
      <w:r>
        <w:rPr>
          <w:rFonts w:hint="eastAsia" w:ascii="宋体" w:hAnsi="宋体" w:cs="宋体"/>
          <w:color w:val="auto"/>
          <w:sz w:val="24"/>
          <w:highlight w:val="none"/>
        </w:rPr>
        <w:t>1.采购单位在根据《公路工程标准施工</w:t>
      </w:r>
      <w:r>
        <w:rPr>
          <w:rFonts w:hint="eastAsia" w:ascii="宋体" w:hAnsi="宋体" w:cs="宋体"/>
          <w:color w:val="auto"/>
          <w:sz w:val="24"/>
          <w:highlight w:val="none"/>
          <w:lang w:eastAsia="zh-CN"/>
        </w:rPr>
        <w:t>采购文件</w:t>
      </w:r>
      <w:r>
        <w:rPr>
          <w:rFonts w:hint="eastAsia" w:ascii="宋体" w:hAnsi="宋体" w:cs="宋体"/>
          <w:color w:val="auto"/>
          <w:sz w:val="24"/>
          <w:highlight w:val="none"/>
        </w:rPr>
        <w:t>》编制项目</w:t>
      </w:r>
      <w:r>
        <w:rPr>
          <w:rFonts w:hint="eastAsia" w:ascii="宋体" w:hAnsi="宋体" w:cs="宋体"/>
          <w:color w:val="auto"/>
          <w:sz w:val="24"/>
          <w:highlight w:val="none"/>
          <w:lang w:eastAsia="zh-CN"/>
        </w:rPr>
        <w:t>采购文件</w:t>
      </w:r>
      <w:r>
        <w:rPr>
          <w:rFonts w:hint="eastAsia" w:ascii="宋体" w:hAnsi="宋体" w:cs="宋体"/>
          <w:color w:val="auto"/>
          <w:sz w:val="24"/>
          <w:highlight w:val="none"/>
        </w:rPr>
        <w:t>中的“项目专用合同条款”时，可根据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内容，不得违反法律、行政法规的强制性规定和平等、自愿、公平和诚实信用原则。</w:t>
      </w:r>
    </w:p>
    <w:p w14:paraId="707144A6">
      <w:pPr>
        <w:wordWrap w:val="0"/>
        <w:topLinePunct/>
        <w:spacing w:line="360" w:lineRule="auto"/>
        <w:ind w:firstLine="708" w:firstLineChars="295"/>
        <w:rPr>
          <w:rFonts w:ascii="宋体" w:hAnsi="宋体" w:cs="宋体"/>
          <w:color w:val="auto"/>
          <w:sz w:val="24"/>
          <w:highlight w:val="none"/>
        </w:rPr>
      </w:pPr>
      <w:r>
        <w:rPr>
          <w:rFonts w:hint="eastAsia" w:ascii="宋体" w:hAnsi="宋体" w:cs="宋体"/>
          <w:color w:val="auto"/>
          <w:sz w:val="24"/>
          <w:highlight w:val="none"/>
        </w:rPr>
        <w:t>2.项目专用合同条款的编号应与通用合同条款和公路工程专用合同条款一致。</w:t>
      </w:r>
    </w:p>
    <w:p w14:paraId="6E845119">
      <w:pPr>
        <w:wordWrap w:val="0"/>
        <w:topLinePunct/>
        <w:spacing w:line="360" w:lineRule="auto"/>
        <w:ind w:firstLine="708" w:firstLineChars="295"/>
        <w:rPr>
          <w:rFonts w:ascii="宋体" w:hAnsi="宋体" w:cs="宋体"/>
          <w:color w:val="auto"/>
          <w:sz w:val="24"/>
          <w:highlight w:val="none"/>
        </w:rPr>
      </w:pPr>
      <w:r>
        <w:rPr>
          <w:rFonts w:hint="eastAsia" w:ascii="宋体" w:hAnsi="宋体" w:cs="宋体"/>
          <w:color w:val="auto"/>
          <w:sz w:val="24"/>
          <w:highlight w:val="none"/>
        </w:rPr>
        <w:t>3.项目专用合同条款可对下列内容进行补充和细化：</w:t>
      </w:r>
    </w:p>
    <w:p w14:paraId="42DE1922">
      <w:pPr>
        <w:wordWrap w:val="0"/>
        <w:topLinePunct/>
        <w:spacing w:line="360" w:lineRule="auto"/>
        <w:ind w:left="200" w:right="66" w:firstLine="420"/>
        <w:rPr>
          <w:rFonts w:ascii="宋体" w:hAnsi="宋体" w:cs="宋体"/>
          <w:color w:val="auto"/>
          <w:sz w:val="24"/>
          <w:highlight w:val="none"/>
        </w:rPr>
      </w:pPr>
      <w:r>
        <w:rPr>
          <w:rFonts w:hint="eastAsia" w:ascii="宋体" w:hAnsi="宋体" w:cs="宋体"/>
          <w:color w:val="auto"/>
          <w:sz w:val="24"/>
          <w:highlight w:val="none"/>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212BF867">
      <w:pPr>
        <w:wordWrap w:val="0"/>
        <w:topLinePunct/>
        <w:spacing w:line="360" w:lineRule="auto"/>
        <w:ind w:left="200" w:right="146" w:firstLine="420"/>
        <w:rPr>
          <w:rFonts w:ascii="宋体" w:hAnsi="宋体" w:cs="宋体"/>
          <w:color w:val="auto"/>
          <w:sz w:val="24"/>
          <w:highlight w:val="none"/>
        </w:rPr>
      </w:pPr>
      <w:r>
        <w:rPr>
          <w:rFonts w:hint="eastAsia" w:ascii="宋体" w:hAnsi="宋体" w:cs="宋体"/>
          <w:color w:val="auto"/>
          <w:sz w:val="24"/>
          <w:highlight w:val="none"/>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69DCB2F6">
      <w:pPr>
        <w:tabs>
          <w:tab w:val="left" w:pos="1080"/>
        </w:tabs>
        <w:ind w:firstLine="420"/>
        <w:rPr>
          <w:rFonts w:ascii="宋体" w:hAnsi="宋体" w:cs="宋体"/>
          <w:color w:val="auto"/>
          <w:sz w:val="24"/>
          <w:highlight w:val="none"/>
        </w:rPr>
      </w:pPr>
      <w:r>
        <w:rPr>
          <w:rFonts w:hint="eastAsia" w:ascii="宋体" w:hAnsi="宋体" w:cs="宋体"/>
          <w:color w:val="auto"/>
          <w:sz w:val="24"/>
          <w:highlight w:val="none"/>
        </w:rPr>
        <w:t>（3）其他需要补充、细化的内容。</w:t>
      </w:r>
    </w:p>
    <w:p w14:paraId="0BC02D92">
      <w:pPr>
        <w:tabs>
          <w:tab w:val="left" w:pos="1080"/>
        </w:tabs>
        <w:ind w:firstLine="482"/>
        <w:jc w:val="center"/>
        <w:rPr>
          <w:rFonts w:ascii="宋体" w:hAnsi="宋体" w:cs="宋体"/>
          <w:b/>
          <w:color w:val="auto"/>
          <w:sz w:val="24"/>
          <w:highlight w:val="none"/>
        </w:rPr>
      </w:pPr>
    </w:p>
    <w:bookmarkEnd w:id="100"/>
    <w:bookmarkEnd w:id="101"/>
    <w:bookmarkEnd w:id="102"/>
    <w:bookmarkEnd w:id="103"/>
    <w:p w14:paraId="710A1EE8">
      <w:pPr>
        <w:keepNext/>
        <w:keepLines/>
        <w:pageBreakBefore w:val="0"/>
        <w:widowControl w:val="0"/>
        <w:tabs>
          <w:tab w:val="left" w:pos="2155"/>
        </w:tabs>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bCs/>
          <w:color w:val="auto"/>
          <w:kern w:val="2"/>
          <w:sz w:val="32"/>
          <w:szCs w:val="32"/>
          <w:highlight w:val="none"/>
          <w:lang w:val="en-US" w:eastAsia="zh-CN" w:bidi="ar-SA"/>
        </w:rPr>
      </w:pPr>
      <w:bookmarkStart w:id="108" w:name="_Toc367270685"/>
      <w:bookmarkStart w:id="109" w:name="_Toc367271713"/>
      <w:bookmarkStart w:id="110" w:name="_Toc519586142"/>
      <w:bookmarkStart w:id="111" w:name="_Toc24467"/>
      <w:bookmarkStart w:id="112" w:name="_Toc267251510"/>
      <w:bookmarkStart w:id="113" w:name="_Toc267251513"/>
      <w:bookmarkStart w:id="114" w:name="_Toc267251515"/>
      <w:bookmarkStart w:id="115" w:name="_Toc389065343"/>
      <w:bookmarkStart w:id="116" w:name="_Toc373478425"/>
      <w:bookmarkStart w:id="117" w:name="_Toc267251511"/>
      <w:bookmarkStart w:id="118" w:name="_Toc267251509"/>
      <w:bookmarkStart w:id="119" w:name="_Toc267251508"/>
      <w:bookmarkStart w:id="120" w:name="_Toc373227778"/>
      <w:bookmarkStart w:id="121" w:name="_Toc267251514"/>
      <w:r>
        <w:rPr>
          <w:rFonts w:hint="eastAsia" w:ascii="宋体" w:hAnsi="宋体" w:eastAsia="宋体" w:cs="宋体"/>
          <w:color w:val="auto"/>
          <w:sz w:val="32"/>
          <w:szCs w:val="32"/>
          <w:highlight w:val="none"/>
        </w:rPr>
        <w:br w:type="page"/>
      </w:r>
      <w:r>
        <w:rPr>
          <w:rFonts w:hint="eastAsia" w:ascii="宋体" w:hAnsi="宋体" w:eastAsia="宋体" w:cs="宋体"/>
          <w:b/>
          <w:bCs/>
          <w:color w:val="auto"/>
          <w:kern w:val="2"/>
          <w:sz w:val="32"/>
          <w:szCs w:val="32"/>
          <w:highlight w:val="none"/>
          <w:lang w:val="en-US" w:eastAsia="zh-CN" w:bidi="ar-SA"/>
        </w:rPr>
        <w:t>项目专用合同条款</w:t>
      </w:r>
      <w:bookmarkEnd w:id="108"/>
      <w:bookmarkEnd w:id="109"/>
      <w:bookmarkEnd w:id="110"/>
    </w:p>
    <w:p w14:paraId="1FF968FD">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4.1  </w:t>
      </w:r>
      <w:r>
        <w:rPr>
          <w:rFonts w:hint="eastAsia"/>
          <w:b/>
          <w:color w:val="auto"/>
          <w:sz w:val="24"/>
          <w:szCs w:val="24"/>
          <w:highlight w:val="none"/>
        </w:rPr>
        <w:t>承包人的一般义务</w:t>
      </w:r>
    </w:p>
    <w:p w14:paraId="4A179C4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4.1.10  其他义务</w:t>
      </w:r>
    </w:p>
    <w:p w14:paraId="1D59DA1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2）修改为：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规定的承包人的一切责任。</w:t>
      </w:r>
    </w:p>
    <w:p w14:paraId="4987709D">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（3）各投标人必须对农民工工资保障金的问题作出以下承诺，格式见第八章投标文件格式“四、农民工工资保证金承诺书”。</w:t>
      </w:r>
    </w:p>
    <w:p w14:paraId="0346A0E5">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（4）（增加）承包人应履行的其他义务：</w:t>
      </w:r>
    </w:p>
    <w:p w14:paraId="4D476799">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a.与本工程项目相关的审计和稽查、检查、视察等活动，承包人应高度重视并有义务委派专人积极予以配合。</w:t>
      </w:r>
    </w:p>
    <w:p w14:paraId="142C4A8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b.发包人和监理有权监督检查承包人的供货合同。</w:t>
      </w:r>
    </w:p>
    <w:p w14:paraId="3A83331F">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c.对项目使用的原有道路的维护和管理，以确保正常通行。</w:t>
      </w:r>
    </w:p>
    <w:p w14:paraId="0928133B">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d.维护社会稳定，避免发生因承包人原因引起施工队伍或施工引起周边群众等群体性上访事件</w:t>
      </w:r>
    </w:p>
    <w:p w14:paraId="7234055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e.承包人应自觉接受交通主管部门、质量监督单位、公路管理机构的监督，对指出的问题进行认真的整改，及时报告处理结果。</w:t>
      </w:r>
    </w:p>
    <w:p w14:paraId="410142E2">
      <w:pPr>
        <w:spacing w:line="440" w:lineRule="exact"/>
        <w:ind w:firstLine="480"/>
        <w:rPr>
          <w:rFonts w:ascii="宋体"/>
          <w:color w:val="auto"/>
          <w:sz w:val="24"/>
          <w:highlight w:val="none"/>
        </w:rPr>
      </w:pPr>
      <w:r>
        <w:rPr>
          <w:rFonts w:hint="eastAsia" w:ascii="宋体" w:hAnsi="宋体"/>
          <w:color w:val="auto"/>
          <w:sz w:val="24"/>
          <w:highlight w:val="none"/>
        </w:rPr>
        <w:t>（5）合同实施时承包人应投入足够的技术和管理人员以满足工程施工需要，发包人要求承包人应投入本合同的最低人员要求见合同附件四（含相应要求的备选人员），在不少于合同附件四要求前提下，为确保工程进度，监理工程师有权要求承包人增加相应技术和管理人员以满足施工需要。</w:t>
      </w:r>
    </w:p>
    <w:p w14:paraId="4316DB48">
      <w:pPr>
        <w:adjustRightInd w:val="0"/>
        <w:spacing w:line="440" w:lineRule="exact"/>
        <w:ind w:firstLine="480"/>
        <w:rPr>
          <w:color w:val="auto"/>
          <w:sz w:val="24"/>
          <w:highlight w:val="none"/>
        </w:rPr>
      </w:pPr>
      <w:r>
        <w:rPr>
          <w:color w:val="auto"/>
          <w:sz w:val="24"/>
          <w:highlight w:val="none"/>
        </w:rPr>
        <w:t>4.1.11(</w:t>
      </w:r>
      <w:r>
        <w:rPr>
          <w:rFonts w:hint="eastAsia"/>
          <w:color w:val="auto"/>
          <w:sz w:val="24"/>
          <w:highlight w:val="none"/>
        </w:rPr>
        <w:t>增加</w:t>
      </w:r>
      <w:r>
        <w:rPr>
          <w:color w:val="auto"/>
          <w:sz w:val="24"/>
          <w:highlight w:val="none"/>
        </w:rPr>
        <w:t xml:space="preserve">) </w:t>
      </w:r>
      <w:r>
        <w:rPr>
          <w:rFonts w:hint="eastAsia"/>
          <w:color w:val="auto"/>
          <w:sz w:val="24"/>
          <w:highlight w:val="none"/>
        </w:rPr>
        <w:t>承包人响应“美丽广西·清洁乡村”行动</w:t>
      </w:r>
    </w:p>
    <w:p w14:paraId="2F5B3137">
      <w:pPr>
        <w:tabs>
          <w:tab w:val="left" w:pos="1080"/>
        </w:tabs>
        <w:spacing w:line="440" w:lineRule="exact"/>
        <w:ind w:firstLine="480"/>
        <w:rPr>
          <w:color w:val="auto"/>
          <w:sz w:val="24"/>
          <w:highlight w:val="none"/>
        </w:rPr>
      </w:pPr>
      <w:r>
        <w:rPr>
          <w:color w:val="auto"/>
          <w:sz w:val="24"/>
          <w:highlight w:val="none"/>
        </w:rPr>
        <w:t>1</w:t>
      </w:r>
      <w:r>
        <w:rPr>
          <w:rFonts w:hint="eastAsia"/>
          <w:color w:val="auto"/>
          <w:sz w:val="24"/>
          <w:highlight w:val="none"/>
        </w:rPr>
        <w:t>、</w:t>
      </w:r>
      <w:r>
        <w:rPr>
          <w:color w:val="auto"/>
          <w:sz w:val="24"/>
          <w:highlight w:val="none"/>
        </w:rPr>
        <w:t xml:space="preserve"> </w:t>
      </w:r>
      <w:r>
        <w:rPr>
          <w:rFonts w:hint="eastAsia"/>
          <w:color w:val="auto"/>
          <w:sz w:val="24"/>
          <w:highlight w:val="none"/>
        </w:rPr>
        <w:t>承包人应根据《中共广西壮族自治区交通厅党组关于印发自治区交通运输系统“美丽广西·清洁乡村”交通行动实施方案的通知》（桂交党宣</w:t>
      </w:r>
      <w:r>
        <w:rPr>
          <w:color w:val="auto"/>
          <w:sz w:val="24"/>
          <w:highlight w:val="none"/>
        </w:rPr>
        <w:t>[2013]15</w:t>
      </w:r>
      <w:r>
        <w:rPr>
          <w:rFonts w:hint="eastAsia"/>
          <w:color w:val="auto"/>
          <w:sz w:val="24"/>
          <w:highlight w:val="none"/>
        </w:rPr>
        <w:t>号）精神，响应号召，以清洁公路、清洁水路、清洁运输为目标，大力实施交通运输尤其是农村交通运输环境的净化、绿化、美化，为群众创造畅通、高效、平安、绿色的交通运输环境及服务，以实现“生态环境美、文明风尚美、平安和谐美”的“三美交通”。</w:t>
      </w:r>
    </w:p>
    <w:p w14:paraId="1110EEDA">
      <w:pPr>
        <w:tabs>
          <w:tab w:val="left" w:pos="1080"/>
        </w:tabs>
        <w:spacing w:line="440" w:lineRule="exact"/>
        <w:ind w:firstLine="480"/>
        <w:rPr>
          <w:color w:val="auto"/>
          <w:sz w:val="24"/>
          <w:highlight w:val="none"/>
        </w:rPr>
      </w:pPr>
      <w:r>
        <w:rPr>
          <w:color w:val="auto"/>
          <w:sz w:val="24"/>
          <w:highlight w:val="none"/>
        </w:rPr>
        <w:t>2</w:t>
      </w:r>
      <w:r>
        <w:rPr>
          <w:rFonts w:hint="eastAsia"/>
          <w:color w:val="auto"/>
          <w:sz w:val="24"/>
          <w:highlight w:val="none"/>
        </w:rPr>
        <w:t>、具体要求：在建公路项目要文明施工，强化施工路段的环境整治，施工车辆要避免扬尘洒漏，避免对原有公路的破坏，做好水土保持、环境保护工作；旧路改建项目要保证施工期间维持良好通车秩序；承包人应高度重视，有义务积极配合并委派专人参加“美丽广西·清洁乡村”的相关活动。</w:t>
      </w:r>
    </w:p>
    <w:p w14:paraId="680921C0">
      <w:pPr>
        <w:pStyle w:val="17"/>
        <w:spacing w:line="440" w:lineRule="exact"/>
        <w:ind w:left="63" w:right="63" w:firstLine="480" w:firstLineChars="200"/>
        <w:rPr>
          <w:color w:val="auto"/>
          <w:sz w:val="24"/>
          <w:highlight w:val="none"/>
        </w:rPr>
      </w:pPr>
      <w:r>
        <w:rPr>
          <w:rFonts w:hint="eastAsia"/>
          <w:color w:val="auto"/>
          <w:sz w:val="24"/>
          <w:highlight w:val="none"/>
        </w:rPr>
        <w:t xml:space="preserve">4.2 </w:t>
      </w:r>
      <w:r>
        <w:rPr>
          <w:rFonts w:hint="eastAsia" w:ascii="宋体" w:hAnsi="宋体" w:cs="宋体"/>
          <w:color w:val="auto"/>
          <w:sz w:val="24"/>
          <w:highlight w:val="none"/>
        </w:rPr>
        <w:t>履约担保：本项目不需缴纳履约担保金。</w:t>
      </w:r>
    </w:p>
    <w:p w14:paraId="24E58171">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4.6  </w:t>
      </w:r>
      <w:r>
        <w:rPr>
          <w:rFonts w:hint="eastAsia"/>
          <w:b/>
          <w:color w:val="auto"/>
          <w:sz w:val="24"/>
          <w:szCs w:val="24"/>
          <w:highlight w:val="none"/>
        </w:rPr>
        <w:t>承包人人员的管理</w:t>
      </w:r>
    </w:p>
    <w:p w14:paraId="4072606C">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（增加）4.6.5  项目经理、总工及主要管理人员每月驻工地现场时间不应少于22天，项目经理、总工及主要管理人员，技术骨干离开工地必须向监理书面请假，并经项目建设管理机构相关负责人、监理工程师书面同意方能离开，否则视为违约并按22.1款执行。</w:t>
      </w:r>
    </w:p>
    <w:p w14:paraId="1C20E9FF">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4.9</w:t>
      </w:r>
      <w:r>
        <w:rPr>
          <w:rFonts w:hint="eastAsia"/>
          <w:b/>
          <w:color w:val="auto"/>
          <w:sz w:val="24"/>
          <w:szCs w:val="24"/>
          <w:highlight w:val="none"/>
        </w:rPr>
        <w:t>工程价款应专款专用</w:t>
      </w:r>
    </w:p>
    <w:p w14:paraId="00FF9BA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在原条款末增加：项目法人向承包人支付的预付款、工程进度款等为本工程的专款专用资金，承包人违反下述规定的，项目法人将中止其任何款项的支付。</w:t>
      </w:r>
    </w:p>
    <w:p w14:paraId="00D66358">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（1）凡不在项目法人指定银行开户的承包人，项目法人将不对其支付任何款项。</w:t>
      </w:r>
    </w:p>
    <w:p w14:paraId="2EE1C671">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2）根据中国人民银行有关规定，每个承包人只能在一个银行开立一个结算帐户，不允许多头开户。项目法人按合同条款规定对承包人支付的款项，只对合同规定的法人或者法人代表的授权代理人支付，不对其内部独立核算单位或经批准的分包人直接支付（合同有专项规定者除外）。</w:t>
      </w:r>
    </w:p>
    <w:p w14:paraId="716D2E7E">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3）在合同执行期间，项目法人或项目法人委托的公路审计部门有权不定期检查或审计承包人项目经理部的财务收支情况，承包人必须严格财经纪律，确保项目经理部的财务收支能客观、真实的反映工程实际成本，承包人及项目经理部必须接受项目法人或项目法人委托部门的监督和检查。</w:t>
      </w:r>
    </w:p>
    <w:p w14:paraId="08FF337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4）在合同执行期间，为确保工程建设资金专款专用，承包人在收到项目法人（业主）支付的款项后，须向项目法人（业主）提供资金使用计划，详细说明资金使用流向，经项目法人（业主）批准并在项目法人（业主）的监督下使用，必须优先支付工人特别是农民工的工资，其次是材料价款以及工程建设直接的成本。</w:t>
      </w:r>
    </w:p>
    <w:p w14:paraId="30F6936B">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5）根据《关于印发广西壮族自治区工程建设领域农民工工资保证金规定实施办法的通知》（桂人社规〔2021〕16号），业主有权监督承包人对其雇员的工资发放，承包人应按投标承诺足额缴纳农民工工资保证金至自治区行政区域内依法设立或设有分支机构的银行类金融机构储存工资保证金或申请开立银行保函，作为支付承包人拖欠的农民工工资的保证。有关要求如下：</w:t>
      </w:r>
    </w:p>
    <w:p w14:paraId="692563C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a.工资保证金按工程建设项目施工合同额(或年度合同额)的比例存储，工资保证金存储比例为1%，交通运输(单个项目)等工程的存储金额不超过500万元。</w:t>
      </w:r>
    </w:p>
    <w:p w14:paraId="35D3F549">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b.施工总承包单位在同一工资保证金管理地区有三个以上在建工程的，自第三个在建工程起(含第三个)，工资保证金按工程建设项目施工合同额(或年度合同额)的0.9%存储，交通运输(单个项目)等工程的存储金额不超过400万元。</w:t>
      </w:r>
    </w:p>
    <w:p w14:paraId="515B7CC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c.施工总承包单位存储工资保证金或提交银行保函后，在工资保证金管理地区承建工程连续2年未发生工资拖欠行为的，地市级人力资源社会保障行政部门会同行业工程建设主管部门确定其新增工程应降低存储比例为0.5%，交通运输(单个项目)等工程的存储金额不超过250万元</w:t>
      </w:r>
    </w:p>
    <w:p w14:paraId="0CC67192">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d.施工总承包单位存储工资保证金或提交银行保函后，在工资保证金管理地区承建工程连续3年未发生工资拖欠且按要求落实用工实名制管理和农民工工资专用账户制度的，地市级人力资源社会保障行政部门会同行业工程建设主管部门确定其新增工程可免于存储工资保证金。</w:t>
      </w:r>
    </w:p>
    <w:p w14:paraId="2156363F">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e.施工总承包单位存储工资保证金或提交银行保函前2年内在工资保证金管理地区发生过拖欠农民工工资行为的，工资保证金存储比例为1.5%(单个项目存储金额不设定上限)；因拖欠农民工工资被纳入“严重失信主体名单”的，工资保证金存储比例为2%。</w:t>
      </w:r>
    </w:p>
    <w:p w14:paraId="2375ABAA">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f.人力资源社会保障部门调查认定施工单位拖欠或克扣农民工工资的，责令施工单位支付被拖欠的农民工工资。逾期仍不支付或无力支付的，经有管辖权限的人力资源社会保障部门同意，从该施工单位缴存的农民工工资保证中支付。</w:t>
      </w:r>
    </w:p>
    <w:p w14:paraId="1AB0E26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工程建设项目实行分包、转包的，发生拖欠农民工工资时，实施分包、转包的施工单位按照上述办法承担工资支付责任。</w:t>
      </w:r>
    </w:p>
    <w:p w14:paraId="75746344">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g.已使用农民工工资保证金的施工单位，必须在使用农民工工资保证金之日起一个月内，向农民工工资保证金专用账户补缴存已使用的农民工工资保证金数额的2倍工资保证金。</w:t>
      </w:r>
    </w:p>
    <w:p w14:paraId="15A1F182">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（6）根据《关于印发广西壮族自治区工程建设领域工人工资支付专用帐户管理办法》（桂薪联发[2016]1号），工程建设领域的工人工资支付实行专户管理，以银行转账方式支付工资。</w:t>
      </w:r>
    </w:p>
    <w:p w14:paraId="0DC30C0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根据《国务院办公厅关于全面治理拖欠农民工工资问题的意见》（国办发【2016】1号）、《国务院办公厅关于印发保障农民工工资支付工作考核办法的通知》（国办发【2017】96号）、《广西壮族自治区人民政府办公厅关于印发广西壮族自治区保障农民工工资支付工作考核办法的通知》（桂政办发【2018】72号）等相关文件的要求，农民工工资保障金采用实名制、分账制、银行代发工资制度的“一金三制”进行管理。</w:t>
      </w:r>
    </w:p>
    <w:p w14:paraId="0A0BD1FF">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承包人（含专业分包、劳务分包等）对建设项目中的工人工资和其他款项实行分开银行账户管理，在商业银行设立工人工资支付专用账户用于支付工资,每期计量按计量款10%存入工人工资支付专用账户。工人工资支付专用账户内的资金除发放工人工资外，不得用于其他用途。工人工资支付专用账户开立后，应向人力资源社会保障部门和建设项目主管部门备案。工人工资支付专用账户的开立、使用和管理应按照人民银行相关规定执行。</w:t>
      </w:r>
    </w:p>
    <w:p w14:paraId="2F37B5DC">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施工单位应在项目开工前，在项目所在地商业银行设立工人工资支付专用账户，并在用工之日起15个工作日内为每个工人开立有效工资个人账户。承包人将在商业银行设立的工人工资支付专用账户提交给项目法人（业主），并按月及时将工人工资支付明细表提交给项目法人（业主），项目法人（业主）在承包人申请的进度款中将工人工资以转账方式转入工人工资支付专用账户，再由银行代发到工人个人账户。</w:t>
      </w:r>
    </w:p>
    <w:p w14:paraId="01F37685">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施工单位应当建立劳动用工管理台账，真实、准确记录工人名册、劳动合同（集体合同）、劳务合同、工程进度、工时、劳务承包款和工人工资支付情况等信息，并保存两年以上备查。</w:t>
      </w:r>
    </w:p>
    <w:p w14:paraId="1DB8583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（7）工程通过交工验收后，由建设单位（项目现场管理机构）对承包人支付农民工工资等内容进行公示，公示期不少于15天。</w:t>
      </w:r>
    </w:p>
    <w:p w14:paraId="05A37832">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4.11 </w:t>
      </w:r>
      <w:r>
        <w:rPr>
          <w:rFonts w:hint="eastAsia"/>
          <w:b/>
          <w:color w:val="auto"/>
          <w:sz w:val="24"/>
          <w:szCs w:val="24"/>
          <w:highlight w:val="none"/>
        </w:rPr>
        <w:t>不利物质条件</w:t>
      </w:r>
    </w:p>
    <w:p w14:paraId="7B83CDFE">
      <w:pPr>
        <w:tabs>
          <w:tab w:val="left" w:pos="1080"/>
        </w:tabs>
        <w:spacing w:line="440" w:lineRule="exact"/>
        <w:ind w:firstLine="480"/>
        <w:rPr>
          <w:rFonts w:ascii="宋体" w:hAnsi="宋体"/>
          <w:color w:val="auto"/>
          <w:sz w:val="24"/>
          <w:highlight w:val="none"/>
          <w:u w:val="single"/>
        </w:rPr>
      </w:pPr>
      <w:r>
        <w:rPr>
          <w:rFonts w:hint="eastAsia" w:ascii="宋体" w:hAnsi="宋体"/>
          <w:color w:val="auto"/>
          <w:sz w:val="24"/>
          <w:highlight w:val="none"/>
        </w:rPr>
        <w:t>4.11.1 不利物质条件的范围：</w:t>
      </w:r>
      <w:r>
        <w:rPr>
          <w:rFonts w:hint="eastAsia" w:ascii="宋体" w:hAnsi="宋体"/>
          <w:color w:val="auto"/>
          <w:sz w:val="24"/>
          <w:highlight w:val="none"/>
          <w:u w:val="single"/>
        </w:rPr>
        <w:t xml:space="preserve">  / </w:t>
      </w:r>
    </w:p>
    <w:p w14:paraId="7E74919F">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7.3 </w:t>
      </w:r>
      <w:r>
        <w:rPr>
          <w:rFonts w:hint="eastAsia"/>
          <w:b/>
          <w:color w:val="auto"/>
          <w:sz w:val="24"/>
          <w:szCs w:val="24"/>
          <w:highlight w:val="none"/>
        </w:rPr>
        <w:t>场外交通</w:t>
      </w:r>
    </w:p>
    <w:p w14:paraId="09A4559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（增加）7.3.3为保证道路交通安全及运输畅通，承包人应采取以下措施：</w:t>
      </w:r>
    </w:p>
    <w:p w14:paraId="0EE922BE">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当施工期间，因施工原因造成原有道路暂时堵塞时，承包人必须与交通和公安部门协商，采取足够的措施引导、疏通交通。但不管何种原因，因其交通堵塞时间均不能超过30分钟。若堵塞交通超过上述规定的时间，将视为承包人违约按22.1款等相关条款处理，同时监理人可指令采取任何措施疏通，一切费用由承包人承担。</w:t>
      </w:r>
    </w:p>
    <w:p w14:paraId="6A4F4F2C">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7.3.4 承包人应加强文明施工，保障道路通畅的管理</w:t>
      </w:r>
    </w:p>
    <w:p w14:paraId="0629E3F5">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（1）承包人在施工期内应按国家、交通主管部门与公路管理机构有关文明施工，保障畅通的规定组织施工，对出现的交通堵塞无条件地采取措施进行疏通。</w:t>
      </w:r>
    </w:p>
    <w:p w14:paraId="1EB42EC6">
      <w:pPr>
        <w:spacing w:line="440" w:lineRule="exact"/>
        <w:ind w:firstLine="480"/>
        <w:rPr>
          <w:rFonts w:ascii="宋体" w:hAnsi="宋体"/>
          <w:color w:val="auto"/>
          <w:sz w:val="24"/>
          <w:highlight w:val="none"/>
        </w:rPr>
      </w:pPr>
      <w:r>
        <w:rPr>
          <w:rFonts w:hint="eastAsia" w:ascii="宋体" w:hAnsi="宋体"/>
          <w:color w:val="auto"/>
          <w:sz w:val="24"/>
          <w:highlight w:val="none"/>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14:paraId="18A2AA1E">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9.2  </w:t>
      </w:r>
      <w:r>
        <w:rPr>
          <w:rFonts w:hint="eastAsia"/>
          <w:b/>
          <w:color w:val="auto"/>
          <w:sz w:val="24"/>
          <w:szCs w:val="24"/>
          <w:highlight w:val="none"/>
        </w:rPr>
        <w:t>承包人的施工安全责任</w:t>
      </w:r>
    </w:p>
    <w:p w14:paraId="77754D62">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9.2.5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施工安全防护设施和用具（含交通标志牌、安全危险告知牌、安全隐患告知牌等）并安排专人进行设置管理等安全管理工作，所发生的费用由承包人负责，并由项目法人在承包人合同价中计量扣除。</w:t>
      </w:r>
    </w:p>
    <w:p w14:paraId="0079F47A">
      <w:pPr>
        <w:tabs>
          <w:tab w:val="left" w:pos="1080"/>
        </w:tabs>
        <w:spacing w:line="440" w:lineRule="exact"/>
        <w:rPr>
          <w:rFonts w:ascii="宋体" w:hAnsi="宋体"/>
          <w:color w:val="auto"/>
          <w:sz w:val="24"/>
          <w:highlight w:val="none"/>
        </w:rPr>
      </w:pPr>
      <w:r>
        <w:rPr>
          <w:rFonts w:hint="eastAsia" w:ascii="宋体" w:hAnsi="宋体"/>
          <w:color w:val="auto"/>
          <w:sz w:val="24"/>
          <w:highlight w:val="none"/>
        </w:rPr>
        <w:t>9.6运营中的公路道路施工安全（增加）</w:t>
      </w:r>
    </w:p>
    <w:p w14:paraId="33680ED6">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9.6.1承包人进场施工前需到路政部门和安监部门办理上路施工许可证和安全监督等手续，签订路上施工安全协议书，并接受监督。</w:t>
      </w:r>
    </w:p>
    <w:p w14:paraId="3183B154">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9.6.2 在运营公路上进行施工，必须严格执行国家颁布的《公路法》、《安全生产法》、《道路交通标志和标线》（GB5768-1999）、《公路工程施工安全技术规程》（JTJ076）、《公路养护安全作业规程》（JTG H30-2015）要求等国家及交通部门颁发的有关安全生产的法律法规、标准及制度，并按照有关规定设置施工标志、标牌、水马等安全设施)，施工过程中承包人必须派专人维护各施工标志牌正常使用。路上作业施工人员应统一着桔红色反光标志服，</w:t>
      </w:r>
      <w:r>
        <w:rPr>
          <w:rFonts w:hint="eastAsia" w:ascii="宋体" w:hAnsi="宋体"/>
          <w:color w:val="auto"/>
          <w:sz w:val="24"/>
          <w:highlight w:val="none"/>
          <w:lang w:eastAsia="zh-CN"/>
        </w:rPr>
        <w:t>采购文件</w:t>
      </w:r>
      <w:r>
        <w:rPr>
          <w:rFonts w:hint="eastAsia" w:ascii="宋体" w:hAnsi="宋体"/>
          <w:color w:val="auto"/>
          <w:sz w:val="24"/>
          <w:highlight w:val="none"/>
        </w:rPr>
        <w:t>要求的主要施工管理人员在现场时应挂戴统一制作的上岗牌做标识，每个施工点的现场应摆放由业主规定统一格式的施工公示牌。投标人报价时要充分考虑上述设施所需费用，以及施工、生活用水用电的费用，所需费用由投标人考虑在有关报价中，业主不单独进行计量支付。施工标志牌的制作应符合国家有关标准的规定，标志牌版面的反光膜应不低于国标GB5768-1999《道路交通标志和标线》的三级标准。</w:t>
      </w:r>
    </w:p>
    <w:p w14:paraId="1BDF162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9.6.3工程使用的水泥、碎石、砂等材料不得堆放在公路上，工棚搭设应设置在公路行车看不到的位置，如确需搭棚看守机械设备的，应按业主规定的式样搭设；机械设备摆放不得有碍路容路貌和行车安全。</w:t>
      </w:r>
    </w:p>
    <w:p w14:paraId="5D45156D">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9.6.6破除的公路废弃材料应集中废弃到弃土场。</w:t>
      </w:r>
    </w:p>
    <w:p w14:paraId="26E195B6">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9.6.7大修工程施工时，应设置相应防护措施确保公路行人及车流的安全畅通。安全生产发生的一切费用由投标人考虑在有关报价中，业主不单独进行计量支付。由于未采用防护措施或防护措施不力而造成公路下行人、车流受影响的，由承包人承担其责任。</w:t>
      </w:r>
    </w:p>
    <w:p w14:paraId="21BED57E">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9.6.8承包人不得在公路路面上拌和公路材料。</w:t>
      </w:r>
    </w:p>
    <w:p w14:paraId="3AC31A1B">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9.6.9承包人须将拟施工点报监理人审批后，方可进行施工。</w:t>
      </w:r>
    </w:p>
    <w:p w14:paraId="0A3A472D">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10.1  </w:t>
      </w:r>
      <w:r>
        <w:rPr>
          <w:rFonts w:hint="eastAsia"/>
          <w:b/>
          <w:color w:val="auto"/>
          <w:sz w:val="24"/>
          <w:szCs w:val="24"/>
          <w:highlight w:val="none"/>
        </w:rPr>
        <w:t>合同进度计划</w:t>
      </w:r>
    </w:p>
    <w:p w14:paraId="11C35BCE">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承包人编制施工方案的内容：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42FBEDA9">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11.4  </w:t>
      </w:r>
      <w:r>
        <w:rPr>
          <w:rFonts w:hint="eastAsia"/>
          <w:b/>
          <w:color w:val="auto"/>
          <w:sz w:val="24"/>
          <w:szCs w:val="24"/>
          <w:highlight w:val="none"/>
        </w:rPr>
        <w:t>异常恶劣的气候条件</w:t>
      </w:r>
    </w:p>
    <w:p w14:paraId="2F90EE0D">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异常恶劣的气候条件的范围：对本项目而言，指发生烈度7度（含7度）以上地震、龙卷风、施工场地受淹超过项目法人提供的设计图纸指明的设计洪水水位引起的延误的情况。</w:t>
      </w:r>
    </w:p>
    <w:p w14:paraId="476996F7">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增加：异常恶劣的气候条件，政府及有关部门预先有预报的，由于承包人没有应急措施或没有采取应急措施的，造成的损失和工期延误，由承包人负责。</w:t>
      </w:r>
    </w:p>
    <w:p w14:paraId="535AB97C">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rFonts w:hint="eastAsia"/>
          <w:b/>
          <w:color w:val="auto"/>
          <w:sz w:val="24"/>
          <w:szCs w:val="24"/>
          <w:highlight w:val="none"/>
        </w:rPr>
        <w:t>（增加）</w:t>
      </w:r>
      <w:r>
        <w:rPr>
          <w:b/>
          <w:color w:val="auto"/>
          <w:sz w:val="24"/>
          <w:szCs w:val="24"/>
          <w:highlight w:val="none"/>
        </w:rPr>
        <w:t xml:space="preserve">11.8 </w:t>
      </w:r>
      <w:r>
        <w:rPr>
          <w:rFonts w:hint="eastAsia"/>
          <w:b/>
          <w:color w:val="auto"/>
          <w:sz w:val="24"/>
          <w:szCs w:val="24"/>
          <w:highlight w:val="none"/>
        </w:rPr>
        <w:t>其它进度要求</w:t>
      </w:r>
    </w:p>
    <w:p w14:paraId="0805F32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（1）承包人应加强工程进度计划管理，努力实现均衡组织施工的目标。</w:t>
      </w:r>
    </w:p>
    <w:p w14:paraId="68124799">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14:paraId="4DCB915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b  路面碎石材料的采备应与路基施工进度同步，以保证路面施工进度。</w:t>
      </w:r>
    </w:p>
    <w:p w14:paraId="2B3014EA">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c  桥梁、主要涵洞、高大支挡结构、旧路改建（破坏旧路路面）的路面等关键工程及分项应有独立详细的施工组织设计，并采取措施确保落实。</w:t>
      </w:r>
    </w:p>
    <w:p w14:paraId="378A3F6D">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12</w:t>
      </w:r>
      <w:r>
        <w:rPr>
          <w:rFonts w:hint="eastAsia"/>
          <w:b/>
          <w:color w:val="auto"/>
          <w:sz w:val="24"/>
          <w:szCs w:val="24"/>
          <w:highlight w:val="none"/>
        </w:rPr>
        <w:t>．暂停施工</w:t>
      </w:r>
    </w:p>
    <w:p w14:paraId="4BF4F6F9">
      <w:pPr>
        <w:spacing w:line="440" w:lineRule="exact"/>
        <w:ind w:left="199" w:leftChars="95" w:firstLine="316" w:firstLineChars="132"/>
        <w:rPr>
          <w:color w:val="auto"/>
          <w:sz w:val="24"/>
          <w:highlight w:val="none"/>
        </w:rPr>
      </w:pPr>
      <w:r>
        <w:rPr>
          <w:color w:val="auto"/>
          <w:sz w:val="24"/>
          <w:highlight w:val="none"/>
        </w:rPr>
        <w:t>12. 1</w:t>
      </w:r>
      <w:r>
        <w:rPr>
          <w:rFonts w:hint="eastAsia"/>
          <w:color w:val="auto"/>
          <w:sz w:val="24"/>
          <w:highlight w:val="none"/>
        </w:rPr>
        <w:t>承包人暂停施工的责任</w:t>
      </w:r>
    </w:p>
    <w:p w14:paraId="3047A04E">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公路工程专用合同条款12.1.(6）项约定:</w:t>
      </w:r>
    </w:p>
    <w:p w14:paraId="5B744EAA">
      <w:pPr>
        <w:tabs>
          <w:tab w:val="left" w:pos="1080"/>
        </w:tabs>
        <w:spacing w:line="440" w:lineRule="exact"/>
        <w:ind w:firstLine="480"/>
        <w:rPr>
          <w:rFonts w:ascii="宋体" w:hAnsi="宋体"/>
          <w:color w:val="auto"/>
          <w:sz w:val="24"/>
          <w:highlight w:val="none"/>
          <w:u w:val="single"/>
        </w:rPr>
      </w:pPr>
      <w:r>
        <w:rPr>
          <w:rFonts w:hint="eastAsia" w:ascii="宋体" w:hAnsi="宋体"/>
          <w:color w:val="auto"/>
          <w:sz w:val="24"/>
          <w:highlight w:val="none"/>
        </w:rPr>
        <w:t>(6）由承包人承担的其他暂停施工：</w:t>
      </w:r>
      <w:r>
        <w:rPr>
          <w:rFonts w:hint="eastAsia" w:ascii="宋体" w:hAnsi="宋体"/>
          <w:color w:val="auto"/>
          <w:sz w:val="24"/>
          <w:highlight w:val="none"/>
          <w:u w:val="single"/>
        </w:rPr>
        <w:t xml:space="preserve">   ／  </w:t>
      </w:r>
    </w:p>
    <w:p w14:paraId="36901DEF">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bookmarkStart w:id="122" w:name="_Toc144974714"/>
      <w:bookmarkStart w:id="123" w:name="_Toc152042522"/>
      <w:bookmarkStart w:id="124" w:name="_Toc179632761"/>
      <w:bookmarkStart w:id="125" w:name="_Toc152045743"/>
      <w:r>
        <w:rPr>
          <w:b/>
          <w:color w:val="auto"/>
          <w:sz w:val="24"/>
          <w:szCs w:val="24"/>
          <w:highlight w:val="none"/>
        </w:rPr>
        <w:t>13.3</w:t>
      </w:r>
      <w:r>
        <w:rPr>
          <w:rFonts w:hint="eastAsia"/>
          <w:b/>
          <w:color w:val="auto"/>
          <w:sz w:val="24"/>
          <w:szCs w:val="24"/>
          <w:highlight w:val="none"/>
        </w:rPr>
        <w:t>承包人的质量检查</w:t>
      </w:r>
    </w:p>
    <w:p w14:paraId="58A54DBC">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增加内容：（1）落实质量责任制和质量保证体系</w:t>
      </w:r>
    </w:p>
    <w:p w14:paraId="31ED097F">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 xml:space="preserve">分项工程施工现场应实行质量责任牌管理，写明作业内容、项目质量管理责任人（施工单位、监理单位、建设管理机构）和质量管理举报电话； </w:t>
      </w:r>
    </w:p>
    <w:p w14:paraId="69A057A8">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（2）认真执行质量检查制度：</w:t>
      </w:r>
    </w:p>
    <w:p w14:paraId="6A7F0A27">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施工作业管理的专业工程师在测量、试验工程师配合下完成施工自检并作施工记录（工艺及原材料使用等）；</w:t>
      </w:r>
    </w:p>
    <w:p w14:paraId="3B022BE6">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质检工程师在测量、试验工程师配合下加强中间质量检测，严格控制工序质量，及时完成工序、分项完工检验并提交质量检验记录，收集工序、分项资料与检验申请经项目总工签认后报送监理工程师。</w:t>
      </w:r>
    </w:p>
    <w:p w14:paraId="1D500A83">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试验、测量工程师根据施工质检需要完成试验与测量作业并及时交检验结果报告专业工程师、质检工程师。</w:t>
      </w:r>
    </w:p>
    <w:p w14:paraId="5925959A">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14:paraId="095B98D7">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(3)质量管理记录的原始记录包括作业记录、测量记录、试验记录、检验记录及验收记录，地基、基础、填挖交界碾压，墙台背回填等隐蔽工程应摄象或照相作为现场记录保存。</w:t>
      </w:r>
    </w:p>
    <w:p w14:paraId="44422A7C">
      <w:pPr>
        <w:tabs>
          <w:tab w:val="left" w:pos="1080"/>
        </w:tabs>
        <w:spacing w:line="440" w:lineRule="exact"/>
        <w:ind w:firstLine="588" w:firstLineChars="245"/>
        <w:rPr>
          <w:rFonts w:ascii="宋体" w:hAnsi="宋体"/>
          <w:color w:val="auto"/>
          <w:sz w:val="24"/>
          <w:highlight w:val="none"/>
        </w:rPr>
      </w:pPr>
      <w:r>
        <w:rPr>
          <w:rFonts w:hint="eastAsia" w:ascii="宋体" w:hAnsi="宋体"/>
          <w:color w:val="auto"/>
          <w:sz w:val="24"/>
          <w:highlight w:val="none"/>
        </w:rPr>
        <w:t>(4) 承包人应加强文明施工，保障道路通畅的管理</w:t>
      </w:r>
    </w:p>
    <w:p w14:paraId="38976145">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a  承包人在施工期内应按国家、交通主管部门与公路管理机构文明施工，保障畅通的有关规定组织施工，对出现的交通堵塞无条件地采取措施进行疏通。</w:t>
      </w:r>
    </w:p>
    <w:p w14:paraId="56D35D74">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b 旧路改建工程项目</w:t>
      </w:r>
    </w:p>
    <w:p w14:paraId="780EA05C">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(i)破坏旧路必须作出交通维持与恢复路面通行条件方案并必须取得监理工程师与业主的批准，未经批准进行旧路开挖与填筑的，业主和监理工程师 有权责令停工，并由承包人恢复原良好的通车条件，并需承担一切费用。</w:t>
      </w:r>
    </w:p>
    <w:p w14:paraId="355C9716">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(ii)不得在道路上堆放材料或占道施工影响交通。</w:t>
      </w:r>
    </w:p>
    <w:p w14:paraId="00F9859D">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路基、路面施工应避免出现晴天扬尘，雨天打滑影响安全与交通和影响群众生活、生产的现象。</w:t>
      </w:r>
    </w:p>
    <w:p w14:paraId="19B96780">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维持交通的路基施工应保证表面平整，保证通畅。</w:t>
      </w:r>
    </w:p>
    <w:p w14:paraId="4234D0B1">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 xml:space="preserve"> (5) 承包人应自觉接受交通主管部门、质量监督单位、公路管理机构的监督，对指出的问题进行认真的整改，及时报告处理结果。</w:t>
      </w:r>
    </w:p>
    <w:p w14:paraId="4458C56E">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在整个施工过程中，监理工程师、业主对承包人履行责任有权进行监督，并向承包人提出整改要求。承包人应认真履行责任，执行业主、监理工程师的指令，否则将按第22.1款视为承包人违约。</w:t>
      </w:r>
    </w:p>
    <w:p w14:paraId="0466B65B">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13.5</w:t>
      </w:r>
      <w:r>
        <w:rPr>
          <w:rFonts w:hint="eastAsia"/>
          <w:b/>
          <w:color w:val="auto"/>
          <w:sz w:val="24"/>
          <w:szCs w:val="24"/>
          <w:highlight w:val="none"/>
        </w:rPr>
        <w:t>工程隐蔽部位覆盖前的检查</w:t>
      </w:r>
    </w:p>
    <w:p w14:paraId="2004DEA8">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（增加）13.5.1项补充：</w:t>
      </w:r>
    </w:p>
    <w:p w14:paraId="7D31F326">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 xml:space="preserve"> 隐蔽部位覆盖前应经监理人检查确认,分阶段(工序)进行拍摄或照相,并向监理人提供相关影像相片等书面资料作为计量支付的依据，否则不应给予计量.</w:t>
      </w:r>
    </w:p>
    <w:p w14:paraId="51498FD4">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15.3 </w:t>
      </w:r>
      <w:r>
        <w:rPr>
          <w:rFonts w:hint="eastAsia"/>
          <w:b/>
          <w:color w:val="auto"/>
          <w:sz w:val="24"/>
          <w:szCs w:val="24"/>
          <w:highlight w:val="none"/>
        </w:rPr>
        <w:t>变更</w:t>
      </w:r>
    </w:p>
    <w:p w14:paraId="29573002">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（增加）15.3.5项补充： 设计变更除遵守交通运输部、交通运输厅的现行设计变更管理办法外，还应执行广西壮族自治区公路管理局现行《广西壮族自治区普通公路养护工程管理实施细则》、《广西公路管理局关于进一步加强和完善公路养护大中修工程设计变更管理的通知》中有关变更的规定。</w:t>
      </w:r>
    </w:p>
    <w:p w14:paraId="4934604F">
      <w:pPr>
        <w:tabs>
          <w:tab w:val="left" w:pos="1080"/>
        </w:tabs>
        <w:spacing w:line="440" w:lineRule="exact"/>
        <w:ind w:firstLine="422"/>
        <w:rPr>
          <w:rFonts w:ascii="Arial" w:hAnsi="Arial" w:cs="Arial"/>
          <w:b/>
          <w:color w:val="auto"/>
          <w:sz w:val="24"/>
          <w:highlight w:val="none"/>
        </w:rPr>
      </w:pPr>
      <w:r>
        <w:rPr>
          <w:rFonts w:ascii="Arial" w:hAnsi="Arial" w:cs="Arial"/>
          <w:b/>
          <w:color w:val="auto"/>
          <w:sz w:val="24"/>
          <w:highlight w:val="none"/>
        </w:rPr>
        <w:t>17</w:t>
      </w:r>
      <w:r>
        <w:rPr>
          <w:rFonts w:hint="eastAsia" w:ascii="Arial" w:hAnsi="Arial" w:cs="Arial"/>
          <w:b/>
          <w:color w:val="auto"/>
          <w:sz w:val="24"/>
          <w:highlight w:val="none"/>
        </w:rPr>
        <w:t>．计量与支付</w:t>
      </w:r>
    </w:p>
    <w:p w14:paraId="4C2F1087">
      <w:pPr>
        <w:tabs>
          <w:tab w:val="left" w:pos="1080"/>
        </w:tabs>
        <w:spacing w:line="440" w:lineRule="exact"/>
        <w:ind w:firstLine="482"/>
        <w:jc w:val="left"/>
        <w:rPr>
          <w:rFonts w:ascii="宋体" w:hAnsi="宋体"/>
          <w:b/>
          <w:color w:val="auto"/>
          <w:sz w:val="24"/>
          <w:highlight w:val="none"/>
        </w:rPr>
      </w:pPr>
      <w:r>
        <w:rPr>
          <w:rFonts w:hint="eastAsia" w:ascii="宋体" w:hAnsi="宋体"/>
          <w:b/>
          <w:color w:val="auto"/>
          <w:sz w:val="24"/>
          <w:highlight w:val="none"/>
        </w:rPr>
        <w:t xml:space="preserve">17.1 计量 </w:t>
      </w:r>
    </w:p>
    <w:p w14:paraId="5AD9C889">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17.1.6施工合同价的确定及调整</w:t>
      </w:r>
    </w:p>
    <w:p w14:paraId="14EF0C95">
      <w:pPr>
        <w:tabs>
          <w:tab w:val="left" w:pos="1080"/>
        </w:tabs>
        <w:spacing w:line="440" w:lineRule="exact"/>
        <w:ind w:firstLine="480"/>
        <w:rPr>
          <w:rFonts w:hint="eastAsia" w:ascii="宋体" w:hAnsi="宋体"/>
          <w:color w:val="auto"/>
          <w:sz w:val="24"/>
          <w:highlight w:val="none"/>
        </w:rPr>
      </w:pPr>
      <w:r>
        <w:rPr>
          <w:rFonts w:hint="eastAsia" w:ascii="宋体" w:hAnsi="宋体"/>
          <w:color w:val="auto"/>
          <w:sz w:val="24"/>
          <w:highlight w:val="none"/>
        </w:rPr>
        <w:t>本合同价款采用固定综合单价合同方式。</w:t>
      </w:r>
    </w:p>
    <w:p w14:paraId="2A8F11C2">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17.2</w:t>
      </w:r>
      <w:r>
        <w:rPr>
          <w:rFonts w:hint="eastAsia"/>
          <w:b/>
          <w:color w:val="auto"/>
          <w:sz w:val="24"/>
          <w:szCs w:val="24"/>
          <w:highlight w:val="none"/>
        </w:rPr>
        <w:t>预付款</w:t>
      </w:r>
    </w:p>
    <w:p w14:paraId="0208341C">
      <w:pPr>
        <w:tabs>
          <w:tab w:val="left" w:pos="1080"/>
        </w:tabs>
        <w:spacing w:line="440" w:lineRule="exact"/>
        <w:ind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cs="Arial"/>
          <w:color w:val="auto"/>
          <w:sz w:val="24"/>
          <w:highlight w:val="none"/>
        </w:rPr>
        <w:t>承包人向发包人出示农民工工资保障金缴纳证明后，双方签订施工合同，在承包人的人员、机械设备进场后，监理人向承包人发出开工令后7天内，发包人向承包人支付合同价的</w:t>
      </w:r>
      <w:r>
        <w:rPr>
          <w:rFonts w:hint="eastAsia" w:ascii="宋体" w:hAnsi="宋体" w:cs="Arial"/>
          <w:color w:val="auto"/>
          <w:sz w:val="24"/>
          <w:highlight w:val="none"/>
          <w:u w:val="single"/>
        </w:rPr>
        <w:t>30%</w:t>
      </w:r>
      <w:r>
        <w:rPr>
          <w:rFonts w:hint="eastAsia" w:ascii="宋体" w:hAnsi="宋体" w:cs="Arial"/>
          <w:color w:val="auto"/>
          <w:sz w:val="24"/>
          <w:highlight w:val="none"/>
        </w:rPr>
        <w:t>作为开工预付款。</w:t>
      </w:r>
    </w:p>
    <w:p w14:paraId="172DFEF6">
      <w:pPr>
        <w:spacing w:line="440" w:lineRule="exact"/>
        <w:ind w:firstLine="480"/>
        <w:rPr>
          <w:rFonts w:ascii="Arial" w:hAnsi="Arial" w:cs="Arial"/>
          <w:color w:val="auto"/>
          <w:sz w:val="24"/>
          <w:highlight w:val="none"/>
        </w:rPr>
      </w:pPr>
      <w:r>
        <w:rPr>
          <w:rFonts w:hint="eastAsia" w:ascii="Arial" w:hAnsi="Arial" w:cs="Arial"/>
          <w:color w:val="auto"/>
          <w:sz w:val="24"/>
          <w:highlight w:val="none"/>
        </w:rPr>
        <w:t>承包人不得将该预付款用于与本工程无关的支出，监理人有权监督承包人对该项费用的使用，如经查实承包人滥用开工预付款，发包人有权立即通过向银行发出通知收回开工预付款保函的方式，将该款收回。</w:t>
      </w:r>
    </w:p>
    <w:p w14:paraId="0AD92ECB">
      <w:pPr>
        <w:spacing w:line="440" w:lineRule="exact"/>
        <w:ind w:firstLine="480"/>
        <w:rPr>
          <w:rFonts w:ascii="Arial" w:hAnsi="Arial" w:cs="Arial"/>
          <w:color w:val="auto"/>
          <w:sz w:val="24"/>
          <w:highlight w:val="none"/>
        </w:rPr>
      </w:pPr>
      <w:r>
        <w:rPr>
          <w:rFonts w:ascii="Arial" w:hAnsi="Arial" w:cs="Arial"/>
          <w:color w:val="auto"/>
          <w:sz w:val="24"/>
          <w:highlight w:val="none"/>
        </w:rPr>
        <w:t>17.2.</w:t>
      </w:r>
      <w:r>
        <w:rPr>
          <w:rFonts w:hint="eastAsia" w:ascii="Arial" w:hAnsi="Arial" w:cs="Arial"/>
          <w:color w:val="auto"/>
          <w:sz w:val="24"/>
          <w:highlight w:val="none"/>
        </w:rPr>
        <w:t>1预付款的扣回与还清</w:t>
      </w:r>
    </w:p>
    <w:p w14:paraId="240C7D3B">
      <w:pPr>
        <w:spacing w:line="440" w:lineRule="exact"/>
        <w:ind w:firstLine="480"/>
        <w:rPr>
          <w:rFonts w:ascii="Arial" w:hAnsi="Arial" w:cs="Arial"/>
          <w:color w:val="auto"/>
          <w:sz w:val="24"/>
          <w:highlight w:val="none"/>
        </w:rPr>
      </w:pPr>
      <w:r>
        <w:rPr>
          <w:rFonts w:hint="eastAsia" w:ascii="Arial" w:hAnsi="Arial" w:cs="Arial"/>
          <w:color w:val="auto"/>
          <w:sz w:val="24"/>
          <w:highlight w:val="none"/>
        </w:rPr>
        <w:t>本项约定为：</w:t>
      </w:r>
    </w:p>
    <w:p w14:paraId="3E843640">
      <w:pPr>
        <w:spacing w:line="440" w:lineRule="exact"/>
        <w:ind w:firstLine="480"/>
        <w:rPr>
          <w:rFonts w:ascii="Arial" w:hAnsi="Arial" w:cs="Arial"/>
          <w:color w:val="FF0000"/>
          <w:sz w:val="24"/>
          <w:highlight w:val="none"/>
        </w:rPr>
      </w:pPr>
      <w:r>
        <w:rPr>
          <w:rFonts w:hint="eastAsia" w:ascii="Arial" w:hAnsi="Arial" w:cs="Arial"/>
          <w:color w:val="FF0000"/>
          <w:sz w:val="24"/>
          <w:highlight w:val="none"/>
        </w:rPr>
        <w:t>（1）开工预付款在进度付款证书的累计金额达到签约合同价的</w:t>
      </w:r>
      <w:r>
        <w:rPr>
          <w:rFonts w:hint="eastAsia" w:ascii="Arial" w:hAnsi="Arial" w:cs="Arial"/>
          <w:color w:val="FF0000"/>
          <w:sz w:val="24"/>
          <w:highlight w:val="none"/>
          <w:lang w:val="en-US" w:eastAsia="zh-CN"/>
        </w:rPr>
        <w:t>90</w:t>
      </w:r>
      <w:r>
        <w:rPr>
          <w:rFonts w:hint="eastAsia" w:ascii="Arial" w:hAnsi="Arial" w:cs="Arial"/>
          <w:color w:val="FF0000"/>
          <w:sz w:val="24"/>
          <w:highlight w:val="none"/>
        </w:rPr>
        <w:t>％一次性扣回开工预付款（合同价的</w:t>
      </w:r>
      <w:r>
        <w:rPr>
          <w:rFonts w:hint="eastAsia" w:ascii="Arial" w:hAnsi="Arial" w:cs="Arial"/>
          <w:color w:val="FF0000"/>
          <w:sz w:val="24"/>
          <w:highlight w:val="none"/>
          <w:lang w:val="en-US" w:eastAsia="zh-CN"/>
        </w:rPr>
        <w:t>30</w:t>
      </w:r>
      <w:r>
        <w:rPr>
          <w:rFonts w:hint="eastAsia" w:ascii="Arial" w:hAnsi="Arial" w:cs="Arial"/>
          <w:color w:val="FF0000"/>
          <w:sz w:val="24"/>
          <w:highlight w:val="none"/>
        </w:rPr>
        <w:t>%）。</w:t>
      </w:r>
    </w:p>
    <w:p w14:paraId="0C06B82F">
      <w:pPr>
        <w:tabs>
          <w:tab w:val="left" w:pos="1080"/>
        </w:tabs>
        <w:spacing w:line="440" w:lineRule="exact"/>
        <w:ind w:firstLine="482"/>
        <w:rPr>
          <w:rFonts w:ascii="宋体" w:hAnsi="宋体" w:cs="Arial"/>
          <w:b/>
          <w:color w:val="auto"/>
          <w:sz w:val="24"/>
          <w:highlight w:val="none"/>
        </w:rPr>
      </w:pPr>
      <w:r>
        <w:rPr>
          <w:rFonts w:hint="eastAsia" w:ascii="宋体" w:hAnsi="宋体" w:cs="Arial"/>
          <w:b/>
          <w:color w:val="auto"/>
          <w:sz w:val="24"/>
          <w:highlight w:val="none"/>
        </w:rPr>
        <w:t>17.3  工程进度付款</w:t>
      </w:r>
    </w:p>
    <w:p w14:paraId="1CCFDCB3">
      <w:pPr>
        <w:tabs>
          <w:tab w:val="left" w:pos="1080"/>
        </w:tabs>
        <w:spacing w:line="440" w:lineRule="exact"/>
        <w:ind w:firstLine="480"/>
        <w:rPr>
          <w:rFonts w:ascii="宋体" w:hAnsi="宋体" w:cs="Arial"/>
          <w:color w:val="auto"/>
          <w:sz w:val="24"/>
          <w:highlight w:val="none"/>
        </w:rPr>
      </w:pPr>
      <w:r>
        <w:rPr>
          <w:rFonts w:hint="eastAsia" w:hAnsi="宋体" w:cs="宋体"/>
          <w:color w:val="auto"/>
          <w:sz w:val="24"/>
          <w:highlight w:val="none"/>
          <w:u w:val="single"/>
        </w:rPr>
        <w:t>17.3</w:t>
      </w:r>
      <w:r>
        <w:rPr>
          <w:rFonts w:hAnsi="宋体" w:cs="宋体"/>
          <w:color w:val="auto"/>
          <w:sz w:val="24"/>
          <w:highlight w:val="none"/>
          <w:u w:val="single"/>
        </w:rPr>
        <w:t>.1</w:t>
      </w:r>
      <w:r>
        <w:rPr>
          <w:rFonts w:ascii="宋体" w:hAnsi="宋体" w:cs="Arial"/>
          <w:color w:val="auto"/>
          <w:sz w:val="24"/>
          <w:highlight w:val="none"/>
        </w:rPr>
        <w:t>进度款支付金额：本工程款按上级补助和配套资金情况拨付资金进度款。</w:t>
      </w:r>
    </w:p>
    <w:p w14:paraId="10A27E7E">
      <w:pPr>
        <w:tabs>
          <w:tab w:val="left" w:pos="1080"/>
        </w:tabs>
        <w:spacing w:line="440" w:lineRule="exact"/>
        <w:ind w:firstLine="480"/>
        <w:rPr>
          <w:rFonts w:ascii="宋体" w:hAnsi="宋体" w:cs="Arial"/>
          <w:color w:val="auto"/>
          <w:sz w:val="24"/>
          <w:highlight w:val="none"/>
        </w:rPr>
      </w:pPr>
      <w:r>
        <w:rPr>
          <w:rFonts w:ascii="宋体" w:hAnsi="宋体" w:cs="Arial"/>
          <w:color w:val="auto"/>
          <w:sz w:val="24"/>
          <w:highlight w:val="none"/>
        </w:rPr>
        <w:t>合同内进度款支付：支付限额为已完成计量工程量的90%</w:t>
      </w:r>
      <w:r>
        <w:rPr>
          <w:rFonts w:hint="eastAsia" w:ascii="宋体" w:hAnsi="宋体" w:cs="Arial"/>
          <w:color w:val="auto"/>
          <w:sz w:val="24"/>
          <w:highlight w:val="none"/>
        </w:rPr>
        <w:t>，竣工结算经审计完成后，发包人再拔付已完成计量工程量的</w:t>
      </w:r>
      <w:r>
        <w:rPr>
          <w:rFonts w:ascii="宋体" w:hAnsi="宋体" w:cs="Arial"/>
          <w:color w:val="auto"/>
          <w:sz w:val="24"/>
          <w:highlight w:val="none"/>
        </w:rPr>
        <w:t>1</w:t>
      </w:r>
      <w:r>
        <w:rPr>
          <w:rFonts w:hint="eastAsia" w:ascii="宋体" w:hAnsi="宋体" w:cs="Arial"/>
          <w:color w:val="auto"/>
          <w:sz w:val="24"/>
          <w:highlight w:val="none"/>
        </w:rPr>
        <w:t>0%</w:t>
      </w:r>
      <w:r>
        <w:rPr>
          <w:rFonts w:ascii="宋体" w:hAnsi="宋体" w:cs="Arial"/>
          <w:color w:val="auto"/>
          <w:sz w:val="24"/>
          <w:highlight w:val="none"/>
        </w:rPr>
        <w:t>。</w:t>
      </w:r>
    </w:p>
    <w:p w14:paraId="7723DD0E">
      <w:pPr>
        <w:tabs>
          <w:tab w:val="left" w:pos="1080"/>
        </w:tabs>
        <w:spacing w:line="440" w:lineRule="exact"/>
        <w:ind w:firstLine="480"/>
        <w:rPr>
          <w:rFonts w:ascii="宋体" w:hAnsi="宋体" w:cs="Arial"/>
          <w:color w:val="auto"/>
          <w:sz w:val="24"/>
          <w:highlight w:val="none"/>
        </w:rPr>
      </w:pPr>
      <w:r>
        <w:rPr>
          <w:rFonts w:ascii="宋体" w:hAnsi="宋体" w:cs="Arial"/>
          <w:color w:val="auto"/>
          <w:sz w:val="24"/>
          <w:highlight w:val="none"/>
        </w:rPr>
        <w:t>合同外进度款支付（变更增加部分）：竣工结算经审计后支付100%的工程款。</w:t>
      </w:r>
    </w:p>
    <w:p w14:paraId="3CE66974">
      <w:pPr>
        <w:pStyle w:val="20"/>
        <w:tabs>
          <w:tab w:val="left" w:pos="846"/>
        </w:tabs>
        <w:spacing w:line="440" w:lineRule="exact"/>
        <w:ind w:firstLine="516" w:firstLineChars="215"/>
        <w:rPr>
          <w:rFonts w:hAnsi="宋体" w:cs="宋体"/>
          <w:color w:val="auto"/>
          <w:sz w:val="24"/>
          <w:szCs w:val="24"/>
          <w:highlight w:val="none"/>
          <w:u w:val="single"/>
        </w:rPr>
      </w:pPr>
      <w:r>
        <w:rPr>
          <w:rFonts w:hint="eastAsia" w:hAnsi="宋体" w:cs="宋体"/>
          <w:color w:val="auto"/>
          <w:sz w:val="24"/>
          <w:szCs w:val="24"/>
          <w:highlight w:val="none"/>
          <w:u w:val="single"/>
        </w:rPr>
        <w:t>17.3</w:t>
      </w:r>
      <w:r>
        <w:rPr>
          <w:rFonts w:hAnsi="宋体" w:cs="宋体"/>
          <w:color w:val="auto"/>
          <w:sz w:val="24"/>
          <w:szCs w:val="24"/>
          <w:highlight w:val="none"/>
          <w:u w:val="single"/>
        </w:rPr>
        <w:t>.2</w:t>
      </w:r>
      <w:r>
        <w:rPr>
          <w:rFonts w:hint="eastAsia" w:hAnsi="宋体" w:cs="宋体"/>
          <w:color w:val="auto"/>
          <w:sz w:val="24"/>
          <w:szCs w:val="24"/>
          <w:highlight w:val="none"/>
        </w:rPr>
        <w:t>合同价为经</w:t>
      </w:r>
      <w:r>
        <w:rPr>
          <w:rFonts w:hint="eastAsia" w:hAnsi="宋体" w:cs="宋体"/>
          <w:color w:val="auto"/>
          <w:sz w:val="24"/>
          <w:szCs w:val="24"/>
          <w:highlight w:val="none"/>
          <w:lang w:val="en-US" w:eastAsia="zh-CN"/>
        </w:rPr>
        <w:t>当地</w:t>
      </w:r>
      <w:r>
        <w:rPr>
          <w:rFonts w:hint="eastAsia" w:hAnsi="宋体" w:cs="宋体"/>
          <w:color w:val="auto"/>
          <w:sz w:val="24"/>
          <w:szCs w:val="24"/>
          <w:highlight w:val="none"/>
        </w:rPr>
        <w:t>财政投资评审中心或政府采购定点服务编制单位编制审定的上限控制价乘以（</w:t>
      </w:r>
      <w:r>
        <w:rPr>
          <w:rFonts w:hAnsi="宋体" w:cs="宋体"/>
          <w:color w:val="auto"/>
          <w:sz w:val="24"/>
          <w:szCs w:val="24"/>
          <w:highlight w:val="none"/>
        </w:rPr>
        <w:t>1-</w:t>
      </w:r>
      <w:r>
        <w:rPr>
          <w:rFonts w:hint="eastAsia" w:hAnsi="宋体" w:cs="宋体"/>
          <w:color w:val="auto"/>
          <w:sz w:val="24"/>
          <w:szCs w:val="24"/>
          <w:highlight w:val="none"/>
        </w:rPr>
        <w:t>下浮系数）。竣工结算送第三方审计部门审核，工程结算价以第三方审计部门审定为准。</w:t>
      </w:r>
    </w:p>
    <w:p w14:paraId="30ABC7F0">
      <w:pPr>
        <w:pStyle w:val="20"/>
        <w:spacing w:line="440" w:lineRule="exact"/>
        <w:ind w:firstLine="540" w:firstLineChars="225"/>
        <w:jc w:val="left"/>
        <w:rPr>
          <w:rFonts w:hAnsi="宋体" w:cs="宋体"/>
          <w:color w:val="auto"/>
          <w:sz w:val="24"/>
          <w:szCs w:val="24"/>
          <w:highlight w:val="none"/>
        </w:rPr>
      </w:pPr>
      <w:r>
        <w:rPr>
          <w:rFonts w:hint="eastAsia" w:hAnsi="宋体" w:cs="宋体"/>
          <w:color w:val="auto"/>
          <w:sz w:val="24"/>
          <w:szCs w:val="24"/>
          <w:highlight w:val="none"/>
        </w:rPr>
        <w:t>17.3</w:t>
      </w:r>
      <w:r>
        <w:rPr>
          <w:rFonts w:hAnsi="宋体" w:cs="宋体"/>
          <w:color w:val="auto"/>
          <w:sz w:val="24"/>
          <w:szCs w:val="24"/>
          <w:highlight w:val="none"/>
        </w:rPr>
        <w:t>.3</w:t>
      </w:r>
      <w:r>
        <w:rPr>
          <w:rFonts w:hint="eastAsia" w:hAnsi="宋体" w:cs="宋体"/>
          <w:color w:val="auto"/>
          <w:sz w:val="24"/>
          <w:szCs w:val="24"/>
          <w:highlight w:val="none"/>
        </w:rPr>
        <w:t>合同履行期间，如乙方存在违法行为，在政府采购监督管理部门调查期间、被行政处罚期间，政府采购监督管理部门可视情况依法履行法定程序后中止合同，并通知县财政局延期支付工程款。</w:t>
      </w:r>
    </w:p>
    <w:p w14:paraId="584E441B">
      <w:pPr>
        <w:pStyle w:val="20"/>
        <w:spacing w:line="440" w:lineRule="exact"/>
        <w:ind w:firstLine="504" w:firstLineChars="210"/>
        <w:rPr>
          <w:rFonts w:hAnsi="宋体" w:cs="宋体"/>
          <w:color w:val="auto"/>
          <w:sz w:val="24"/>
          <w:szCs w:val="24"/>
          <w:highlight w:val="none"/>
          <w:u w:val="single"/>
        </w:rPr>
      </w:pPr>
      <w:r>
        <w:rPr>
          <w:rFonts w:hint="eastAsia" w:hAnsi="宋体" w:cs="宋体"/>
          <w:color w:val="auto"/>
          <w:sz w:val="24"/>
          <w:szCs w:val="24"/>
          <w:highlight w:val="none"/>
          <w:u w:val="single"/>
        </w:rPr>
        <w:t>17.3</w:t>
      </w:r>
      <w:r>
        <w:rPr>
          <w:rFonts w:hAnsi="宋体" w:cs="宋体"/>
          <w:color w:val="auto"/>
          <w:sz w:val="24"/>
          <w:szCs w:val="24"/>
          <w:highlight w:val="none"/>
          <w:u w:val="single"/>
        </w:rPr>
        <w:t>.4</w:t>
      </w:r>
      <w:r>
        <w:rPr>
          <w:rFonts w:hint="eastAsia" w:hAnsi="宋体" w:cs="宋体"/>
          <w:color w:val="auto"/>
          <w:sz w:val="24"/>
          <w:szCs w:val="24"/>
          <w:highlight w:val="none"/>
          <w:u w:val="single"/>
        </w:rPr>
        <w:t>合同履行期间，乙方如果认为甲方有故意拖延工程进度款的拨付的，乙方应及时向</w:t>
      </w:r>
      <w:r>
        <w:rPr>
          <w:rFonts w:hint="eastAsia" w:hAnsi="宋体" w:cs="宋体"/>
          <w:color w:val="auto"/>
          <w:sz w:val="24"/>
          <w:szCs w:val="24"/>
          <w:highlight w:val="none"/>
          <w:u w:val="single"/>
          <w:lang w:eastAsia="zh-CN"/>
        </w:rPr>
        <w:t>当地财政局</w:t>
      </w:r>
      <w:r>
        <w:rPr>
          <w:rFonts w:hint="eastAsia" w:hAnsi="宋体" w:cs="宋体"/>
          <w:color w:val="auto"/>
          <w:sz w:val="24"/>
          <w:szCs w:val="24"/>
          <w:highlight w:val="none"/>
          <w:u w:val="single"/>
        </w:rPr>
        <w:t>（政府采购监督管理办公室或资金拨款科室）反映情况。县财政局应查实并采取有效措施督促建设单位及时拨付工程进度款。</w:t>
      </w:r>
    </w:p>
    <w:p w14:paraId="76717B97">
      <w:pPr>
        <w:keepNext/>
        <w:keepLines/>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Fonts w:ascii="宋体" w:hAnsi="宋体" w:cs="宋体"/>
          <w:color w:val="auto"/>
          <w:sz w:val="24"/>
          <w:szCs w:val="24"/>
          <w:highlight w:val="none"/>
        </w:rPr>
      </w:pPr>
      <w:r>
        <w:rPr>
          <w:rFonts w:hint="eastAsia" w:hAnsi="宋体" w:cs="宋体"/>
          <w:color w:val="auto"/>
          <w:sz w:val="24"/>
          <w:szCs w:val="24"/>
          <w:highlight w:val="none"/>
        </w:rPr>
        <w:t xml:space="preserve">17.4 </w:t>
      </w:r>
      <w:r>
        <w:rPr>
          <w:rFonts w:hint="eastAsia" w:ascii="宋体" w:hAnsi="宋体" w:cs="宋体"/>
          <w:color w:val="auto"/>
          <w:sz w:val="24"/>
          <w:szCs w:val="24"/>
          <w:highlight w:val="none"/>
        </w:rPr>
        <w:t>质量保证金</w:t>
      </w:r>
    </w:p>
    <w:p w14:paraId="54251C8F">
      <w:pPr>
        <w:pStyle w:val="20"/>
        <w:spacing w:line="440" w:lineRule="exact"/>
        <w:ind w:firstLine="540" w:firstLineChars="225"/>
        <w:jc w:val="left"/>
        <w:rPr>
          <w:rFonts w:hAnsi="宋体" w:cs="宋体"/>
          <w:color w:val="auto"/>
          <w:sz w:val="24"/>
          <w:szCs w:val="24"/>
          <w:highlight w:val="none"/>
        </w:rPr>
      </w:pPr>
      <w:r>
        <w:rPr>
          <w:rFonts w:hint="eastAsia" w:hAnsi="宋体" w:cs="宋体"/>
          <w:color w:val="auto"/>
          <w:sz w:val="24"/>
          <w:szCs w:val="24"/>
          <w:highlight w:val="none"/>
        </w:rPr>
        <w:t>17.4.1质量保证金采用以下方式：</w:t>
      </w:r>
    </w:p>
    <w:p w14:paraId="1315F6E4">
      <w:pPr>
        <w:pStyle w:val="20"/>
        <w:spacing w:line="440" w:lineRule="exact"/>
        <w:ind w:firstLine="540" w:firstLineChars="225"/>
        <w:jc w:val="left"/>
        <w:rPr>
          <w:rFonts w:hAnsi="宋体" w:cs="宋体"/>
          <w:color w:val="auto"/>
          <w:sz w:val="24"/>
          <w:szCs w:val="24"/>
          <w:highlight w:val="none"/>
        </w:rPr>
      </w:pPr>
      <w:r>
        <w:rPr>
          <w:rFonts w:hint="eastAsia" w:hAnsi="宋体" w:cs="宋体"/>
          <w:color w:val="auto"/>
          <w:sz w:val="24"/>
          <w:szCs w:val="24"/>
          <w:highlight w:val="none"/>
        </w:rPr>
        <w:t>按工程结算价的3%向</w:t>
      </w:r>
      <w:r>
        <w:rPr>
          <w:rFonts w:hint="eastAsia" w:hAnsi="宋体" w:cs="宋体"/>
          <w:color w:val="auto"/>
          <w:sz w:val="24"/>
          <w:szCs w:val="24"/>
          <w:highlight w:val="none"/>
          <w:lang w:eastAsia="zh-CN"/>
        </w:rPr>
        <w:t>当地财政局</w:t>
      </w:r>
      <w:r>
        <w:rPr>
          <w:rFonts w:hint="eastAsia" w:hAnsi="宋体" w:cs="宋体"/>
          <w:color w:val="auto"/>
          <w:sz w:val="24"/>
          <w:szCs w:val="24"/>
          <w:highlight w:val="none"/>
        </w:rPr>
        <w:t>缴纳工程质量保修金，待工程质量保修期满后返还。</w:t>
      </w:r>
    </w:p>
    <w:p w14:paraId="1F0C2A8A">
      <w:pPr>
        <w:pStyle w:val="20"/>
        <w:spacing w:line="440" w:lineRule="exact"/>
        <w:ind w:firstLine="540" w:firstLineChars="225"/>
        <w:jc w:val="left"/>
        <w:rPr>
          <w:rFonts w:hAnsi="宋体" w:cs="宋体"/>
          <w:color w:val="auto"/>
          <w:sz w:val="24"/>
          <w:szCs w:val="24"/>
          <w:highlight w:val="none"/>
        </w:rPr>
      </w:pPr>
      <w:bookmarkStart w:id="126" w:name="_Toc16168"/>
      <w:r>
        <w:rPr>
          <w:rFonts w:hint="eastAsia" w:hAnsi="宋体" w:cs="宋体"/>
          <w:color w:val="auto"/>
          <w:sz w:val="24"/>
          <w:szCs w:val="24"/>
          <w:highlight w:val="none"/>
        </w:rPr>
        <w:t>17.4.2.</w:t>
      </w:r>
      <w:bookmarkEnd w:id="126"/>
      <w:r>
        <w:rPr>
          <w:rFonts w:hint="eastAsia" w:hAnsi="宋体" w:cs="宋体"/>
          <w:color w:val="auto"/>
          <w:sz w:val="24"/>
          <w:szCs w:val="24"/>
          <w:highlight w:val="none"/>
        </w:rPr>
        <w:t xml:space="preserve"> 质量保证金的扣留采取以下方式：</w:t>
      </w:r>
    </w:p>
    <w:p w14:paraId="54771653">
      <w:pPr>
        <w:pStyle w:val="20"/>
        <w:spacing w:line="440" w:lineRule="exact"/>
        <w:ind w:firstLine="540" w:firstLineChars="225"/>
        <w:jc w:val="left"/>
        <w:rPr>
          <w:rFonts w:hint="eastAsia" w:hAnsi="宋体" w:eastAsia="宋体" w:cs="宋体"/>
          <w:color w:val="auto"/>
          <w:sz w:val="24"/>
          <w:szCs w:val="24"/>
          <w:highlight w:val="none"/>
          <w:lang w:eastAsia="zh-CN"/>
        </w:rPr>
      </w:pPr>
      <w:r>
        <w:rPr>
          <w:rFonts w:hint="eastAsia" w:hAnsi="宋体" w:cs="宋体"/>
          <w:color w:val="auto"/>
          <w:sz w:val="24"/>
          <w:szCs w:val="24"/>
          <w:highlight w:val="none"/>
        </w:rPr>
        <w:t>工程竣工结算时一次性扣留质量保证金，交入财政局归集账户</w:t>
      </w:r>
      <w:r>
        <w:rPr>
          <w:rFonts w:hint="eastAsia" w:hAnsi="宋体" w:cs="宋体"/>
          <w:color w:val="auto"/>
          <w:sz w:val="24"/>
          <w:szCs w:val="24"/>
          <w:highlight w:val="none"/>
          <w:lang w:eastAsia="zh-CN"/>
        </w:rPr>
        <w:t>。</w:t>
      </w:r>
    </w:p>
    <w:p w14:paraId="537DB3E0">
      <w:pPr>
        <w:spacing w:line="440" w:lineRule="exact"/>
        <w:ind w:firstLine="480" w:firstLineChars="200"/>
        <w:jc w:val="left"/>
        <w:rPr>
          <w:rFonts w:hAnsi="宋体" w:cs="宋体"/>
          <w:color w:val="auto"/>
          <w:sz w:val="24"/>
          <w:highlight w:val="none"/>
          <w:u w:val="single"/>
        </w:rPr>
      </w:pPr>
      <w:r>
        <w:rPr>
          <w:rFonts w:hint="eastAsia" w:ascii="宋体" w:hAnsi="宋体" w:cs="宋体"/>
          <w:color w:val="auto"/>
          <w:sz w:val="24"/>
          <w:highlight w:val="none"/>
        </w:rPr>
        <w:t>本工程保修期为：2年，缺陷责任期的具体期限：</w:t>
      </w:r>
      <w:r>
        <w:rPr>
          <w:rFonts w:hint="eastAsia" w:ascii="宋体" w:hAnsi="宋体"/>
          <w:color w:val="auto"/>
          <w:sz w:val="24"/>
          <w:highlight w:val="none"/>
        </w:rPr>
        <w:t>自实际交工日期起计算</w:t>
      </w:r>
      <w:r>
        <w:rPr>
          <w:rFonts w:hint="eastAsia" w:ascii="宋体" w:hAnsi="宋体" w:cs="宋体"/>
          <w:color w:val="auto"/>
          <w:sz w:val="24"/>
          <w:highlight w:val="none"/>
        </w:rPr>
        <w:t>1年。</w:t>
      </w:r>
    </w:p>
    <w:p w14:paraId="3D56355A">
      <w:pPr>
        <w:tabs>
          <w:tab w:val="left" w:pos="1080"/>
        </w:tabs>
        <w:spacing w:line="440" w:lineRule="exact"/>
        <w:ind w:firstLine="480"/>
        <w:rPr>
          <w:rFonts w:ascii="宋体" w:hAnsi="宋体" w:cs="Arial"/>
          <w:color w:val="auto"/>
          <w:sz w:val="24"/>
          <w:highlight w:val="none"/>
        </w:rPr>
      </w:pPr>
      <w:r>
        <w:rPr>
          <w:rFonts w:hint="eastAsia" w:ascii="宋体" w:hAnsi="宋体" w:cs="Arial"/>
          <w:color w:val="auto"/>
          <w:sz w:val="24"/>
          <w:highlight w:val="none"/>
        </w:rPr>
        <w:t>17.5  交工结算</w:t>
      </w:r>
    </w:p>
    <w:p w14:paraId="3DC97993">
      <w:pPr>
        <w:tabs>
          <w:tab w:val="left" w:pos="1080"/>
        </w:tabs>
        <w:spacing w:line="440" w:lineRule="exact"/>
        <w:ind w:firstLine="482"/>
        <w:rPr>
          <w:rFonts w:ascii="宋体" w:hAnsi="宋体" w:cs="Arial"/>
          <w:b/>
          <w:color w:val="auto"/>
          <w:sz w:val="24"/>
          <w:highlight w:val="none"/>
        </w:rPr>
      </w:pPr>
      <w:r>
        <w:rPr>
          <w:rFonts w:hint="eastAsia" w:ascii="宋体" w:hAnsi="宋体" w:cs="Arial"/>
          <w:b/>
          <w:color w:val="auto"/>
          <w:sz w:val="24"/>
          <w:highlight w:val="none"/>
        </w:rPr>
        <w:t xml:space="preserve">17.5.2 </w:t>
      </w:r>
      <w:r>
        <w:rPr>
          <w:rFonts w:hint="eastAsia" w:ascii="宋体" w:hAnsi="宋体" w:cs="Arial"/>
          <w:color w:val="auto"/>
          <w:sz w:val="24"/>
          <w:highlight w:val="none"/>
        </w:rPr>
        <w:t>交工结算需经</w:t>
      </w:r>
      <w:r>
        <w:rPr>
          <w:rFonts w:hint="eastAsia" w:hAnsi="宋体" w:cs="宋体"/>
          <w:color w:val="auto"/>
          <w:sz w:val="24"/>
          <w:highlight w:val="none"/>
        </w:rPr>
        <w:t>第三方</w:t>
      </w:r>
      <w:r>
        <w:rPr>
          <w:rFonts w:hint="eastAsia" w:ascii="宋体" w:hAnsi="宋体" w:cs="Arial"/>
          <w:color w:val="auto"/>
          <w:sz w:val="24"/>
          <w:highlight w:val="none"/>
        </w:rPr>
        <w:t>审计部门审定</w:t>
      </w:r>
      <w:r>
        <w:rPr>
          <w:rFonts w:hint="eastAsia" w:ascii="宋体" w:hAnsi="宋体" w:cs="Arial"/>
          <w:b/>
          <w:color w:val="auto"/>
          <w:sz w:val="24"/>
          <w:highlight w:val="none"/>
        </w:rPr>
        <w:t>，</w:t>
      </w:r>
      <w:r>
        <w:rPr>
          <w:rFonts w:hint="eastAsia" w:ascii="宋体" w:hAnsi="宋体" w:cs="Arial"/>
          <w:bCs/>
          <w:color w:val="auto"/>
          <w:sz w:val="24"/>
          <w:highlight w:val="none"/>
        </w:rPr>
        <w:t>政策性文件或规格有变化可相应据实调整。</w:t>
      </w:r>
    </w:p>
    <w:p w14:paraId="5B262FC4">
      <w:pPr>
        <w:tabs>
          <w:tab w:val="left" w:pos="1080"/>
        </w:tabs>
        <w:spacing w:line="440" w:lineRule="exact"/>
        <w:ind w:firstLine="482"/>
        <w:rPr>
          <w:rFonts w:hint="eastAsia" w:ascii="宋体" w:hAnsi="宋体" w:cs="宋体"/>
          <w:b/>
          <w:color w:val="auto"/>
          <w:sz w:val="24"/>
          <w:highlight w:val="none"/>
        </w:rPr>
      </w:pPr>
      <w:r>
        <w:rPr>
          <w:rFonts w:hint="eastAsia" w:ascii="宋体" w:hAnsi="宋体" w:cs="宋体"/>
          <w:b/>
          <w:color w:val="auto"/>
          <w:sz w:val="24"/>
          <w:highlight w:val="none"/>
        </w:rPr>
        <w:t>17.6  最终结算</w:t>
      </w:r>
    </w:p>
    <w:p w14:paraId="24BDACE6">
      <w:pPr>
        <w:tabs>
          <w:tab w:val="left" w:pos="1080"/>
        </w:tabs>
        <w:spacing w:line="440" w:lineRule="exact"/>
        <w:ind w:firstLine="482"/>
        <w:rPr>
          <w:rFonts w:ascii="宋体" w:hAnsi="宋体" w:cs="Arial"/>
          <w:b/>
          <w:color w:val="auto"/>
          <w:sz w:val="24"/>
          <w:highlight w:val="none"/>
        </w:rPr>
      </w:pPr>
      <w:r>
        <w:rPr>
          <w:rFonts w:hint="eastAsia" w:ascii="宋体" w:hAnsi="宋体" w:cs="宋体"/>
          <w:b/>
          <w:color w:val="auto"/>
          <w:sz w:val="24"/>
          <w:highlight w:val="none"/>
        </w:rPr>
        <w:t>17.6.2</w:t>
      </w:r>
      <w:r>
        <w:rPr>
          <w:rFonts w:hint="eastAsia" w:ascii="Arial" w:hAnsi="Arial" w:cs="Arial"/>
          <w:color w:val="auto"/>
          <w:sz w:val="24"/>
          <w:highlight w:val="none"/>
        </w:rPr>
        <w:t>在工程质量保修期满后（保修期</w:t>
      </w:r>
      <w:r>
        <w:rPr>
          <w:rFonts w:hint="eastAsia" w:ascii="宋体" w:hAnsi="宋体"/>
          <w:color w:val="auto"/>
          <w:sz w:val="24"/>
          <w:highlight w:val="none"/>
        </w:rPr>
        <w:t>自实际交工日期起计算2年</w:t>
      </w:r>
      <w:r>
        <w:rPr>
          <w:rFonts w:hint="eastAsia" w:ascii="Arial" w:hAnsi="Arial" w:cs="Arial"/>
          <w:b/>
          <w:color w:val="auto"/>
          <w:sz w:val="24"/>
          <w:highlight w:val="none"/>
        </w:rPr>
        <w:t>）</w:t>
      </w:r>
      <w:r>
        <w:rPr>
          <w:rFonts w:hint="eastAsia" w:ascii="Arial" w:hAnsi="Arial" w:cs="Arial"/>
          <w:color w:val="auto"/>
          <w:sz w:val="24"/>
          <w:highlight w:val="none"/>
        </w:rPr>
        <w:t>由监理工程师签发《保修期终止证书》。</w:t>
      </w:r>
    </w:p>
    <w:p w14:paraId="655CDB77">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18.9 </w:t>
      </w:r>
      <w:r>
        <w:rPr>
          <w:rFonts w:hint="eastAsia"/>
          <w:b/>
          <w:color w:val="auto"/>
          <w:sz w:val="24"/>
          <w:szCs w:val="24"/>
          <w:highlight w:val="none"/>
        </w:rPr>
        <w:t>竣工文件</w:t>
      </w:r>
    </w:p>
    <w:p w14:paraId="2ED9923D">
      <w:pPr>
        <w:spacing w:line="440" w:lineRule="exact"/>
        <w:ind w:firstLine="480"/>
        <w:rPr>
          <w:rFonts w:ascii="宋体" w:hAnsi="宋体"/>
          <w:color w:val="auto"/>
          <w:sz w:val="24"/>
          <w:highlight w:val="none"/>
        </w:rPr>
      </w:pPr>
      <w:r>
        <w:rPr>
          <w:rStyle w:val="53"/>
          <w:b w:val="0"/>
          <w:color w:val="auto"/>
          <w:highlight w:val="none"/>
        </w:rPr>
        <w:t xml:space="preserve"> （增加）</w:t>
      </w:r>
      <w:r>
        <w:rPr>
          <w:rFonts w:hint="eastAsia" w:ascii="宋体" w:hAnsi="宋体"/>
          <w:color w:val="auto"/>
          <w:sz w:val="24"/>
          <w:highlight w:val="none"/>
        </w:rPr>
        <w:t>工程竣工文件的立卷归档按交通部《公路工程竣工文件材料立卷归档管理办法》（交办发[2010]382号）及广西壮族自治区公路管理局《广西路网项目公路工程文件材料收集立卷归档及验收实施细则》（修订）（桂路工程发[2014]316号）执行。</w:t>
      </w:r>
    </w:p>
    <w:p w14:paraId="67F9FD81">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20.1 </w:t>
      </w:r>
      <w:r>
        <w:rPr>
          <w:rFonts w:hint="eastAsia"/>
          <w:b/>
          <w:color w:val="auto"/>
          <w:sz w:val="24"/>
          <w:szCs w:val="24"/>
          <w:highlight w:val="none"/>
        </w:rPr>
        <w:t>工程保险</w:t>
      </w:r>
      <w:bookmarkEnd w:id="122"/>
      <w:bookmarkEnd w:id="123"/>
      <w:bookmarkEnd w:id="124"/>
      <w:bookmarkEnd w:id="125"/>
    </w:p>
    <w:p w14:paraId="6BEC489F">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rFonts w:ascii="宋体" w:hAnsi="宋体"/>
          <w:b/>
          <w:bCs/>
          <w:color w:val="auto"/>
          <w:sz w:val="24"/>
          <w:szCs w:val="24"/>
          <w:highlight w:val="none"/>
        </w:rPr>
      </w:pPr>
      <w:r>
        <w:rPr>
          <w:rFonts w:hint="eastAsia" w:ascii="宋体" w:hAnsi="宋体"/>
          <w:b/>
          <w:bCs/>
          <w:color w:val="auto"/>
          <w:sz w:val="24"/>
          <w:szCs w:val="24"/>
          <w:highlight w:val="none"/>
        </w:rPr>
        <w:t>建筑工程一切险的保险费率：1</w:t>
      </w:r>
      <w:r>
        <w:rPr>
          <w:rFonts w:hint="eastAsia" w:ascii="宋体" w:hAnsi="宋体"/>
          <w:b/>
          <w:bCs/>
          <w:color w:val="auto"/>
          <w:sz w:val="24"/>
          <w:szCs w:val="24"/>
          <w:highlight w:val="none"/>
        </w:rPr>
        <w:tab/>
      </w:r>
      <w:r>
        <w:rPr>
          <w:rFonts w:hint="eastAsia" w:ascii="宋体" w:hAnsi="宋体"/>
          <w:b/>
          <w:bCs/>
          <w:color w:val="auto"/>
          <w:sz w:val="24"/>
          <w:szCs w:val="24"/>
          <w:highlight w:val="none"/>
        </w:rPr>
        <w:t>‰</w:t>
      </w:r>
      <w:bookmarkStart w:id="127" w:name="_Toc152045744"/>
      <w:bookmarkStart w:id="128" w:name="_Toc152042523"/>
      <w:bookmarkStart w:id="129" w:name="_Toc144974715"/>
      <w:bookmarkStart w:id="130" w:name="_Toc179632762"/>
    </w:p>
    <w:p w14:paraId="387BB9B1">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20.2 </w:t>
      </w:r>
      <w:r>
        <w:rPr>
          <w:rFonts w:hint="eastAsia"/>
          <w:b/>
          <w:color w:val="auto"/>
          <w:sz w:val="24"/>
          <w:szCs w:val="24"/>
          <w:highlight w:val="none"/>
        </w:rPr>
        <w:t>人员工伤事故的保险</w:t>
      </w:r>
      <w:bookmarkEnd w:id="127"/>
      <w:bookmarkEnd w:id="128"/>
      <w:bookmarkEnd w:id="129"/>
      <w:bookmarkEnd w:id="130"/>
    </w:p>
    <w:p w14:paraId="59359616">
      <w:pPr>
        <w:tabs>
          <w:tab w:val="left" w:pos="1080"/>
        </w:tabs>
        <w:spacing w:line="440" w:lineRule="exact"/>
        <w:ind w:firstLine="480"/>
        <w:rPr>
          <w:rFonts w:ascii="黑体" w:eastAsia="黑体"/>
          <w:color w:val="auto"/>
          <w:sz w:val="24"/>
          <w:highlight w:val="none"/>
        </w:rPr>
      </w:pPr>
      <w:r>
        <w:rPr>
          <w:rFonts w:hint="eastAsia" w:ascii="宋体" w:hAnsi="宋体"/>
          <w:color w:val="auto"/>
          <w:sz w:val="24"/>
          <w:highlight w:val="none"/>
        </w:rPr>
        <w:t>20.2.1 承包人员工伤事故的保险</w:t>
      </w:r>
    </w:p>
    <w:p w14:paraId="72029071">
      <w:pPr>
        <w:tabs>
          <w:tab w:val="left" w:pos="1080"/>
        </w:tabs>
        <w:spacing w:line="440" w:lineRule="exact"/>
        <w:ind w:firstLine="480"/>
        <w:rPr>
          <w:rStyle w:val="53"/>
          <w:b w:val="0"/>
          <w:color w:val="auto"/>
          <w:highlight w:val="none"/>
        </w:rPr>
      </w:pPr>
      <w:r>
        <w:rPr>
          <w:rFonts w:hint="eastAsia" w:ascii="宋体" w:hAnsi="宋体"/>
          <w:color w:val="auto"/>
          <w:sz w:val="24"/>
          <w:highlight w:val="none"/>
        </w:rPr>
        <w:t>增加内容：</w:t>
      </w:r>
    </w:p>
    <w:p w14:paraId="03E5E03A">
      <w:pPr>
        <w:autoSpaceDE w:val="0"/>
        <w:autoSpaceDN w:val="0"/>
        <w:adjustRightInd w:val="0"/>
        <w:spacing w:line="440" w:lineRule="exact"/>
        <w:ind w:firstLine="480"/>
        <w:jc w:val="left"/>
        <w:rPr>
          <w:color w:val="auto"/>
          <w:kern w:val="0"/>
          <w:sz w:val="24"/>
          <w:highlight w:val="none"/>
        </w:rPr>
      </w:pPr>
      <w:r>
        <w:rPr>
          <w:rFonts w:hint="eastAsia" w:ascii="宋体" w:hAnsi="宋体"/>
          <w:color w:val="auto"/>
          <w:kern w:val="0"/>
          <w:sz w:val="24"/>
          <w:highlight w:val="none"/>
        </w:rPr>
        <w:t>办理保险的一切费用均由承包人承担，并包括在工程量清单的单价及总额价中，发包人不单独支付。</w:t>
      </w:r>
    </w:p>
    <w:p w14:paraId="45F47577">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bookmarkStart w:id="131" w:name="_Toc179632763"/>
      <w:bookmarkStart w:id="132" w:name="_Toc152045745"/>
      <w:bookmarkStart w:id="133" w:name="_Toc152042524"/>
      <w:bookmarkStart w:id="134" w:name="_Toc144974716"/>
      <w:r>
        <w:rPr>
          <w:b/>
          <w:color w:val="auto"/>
          <w:sz w:val="24"/>
          <w:szCs w:val="24"/>
          <w:highlight w:val="none"/>
        </w:rPr>
        <w:t xml:space="preserve">20.3 </w:t>
      </w:r>
      <w:r>
        <w:rPr>
          <w:rFonts w:hint="eastAsia"/>
          <w:b/>
          <w:color w:val="auto"/>
          <w:sz w:val="24"/>
          <w:szCs w:val="24"/>
          <w:highlight w:val="none"/>
        </w:rPr>
        <w:t>人身意外伤害险</w:t>
      </w:r>
      <w:bookmarkEnd w:id="131"/>
      <w:bookmarkEnd w:id="132"/>
      <w:bookmarkEnd w:id="133"/>
      <w:bookmarkEnd w:id="134"/>
    </w:p>
    <w:p w14:paraId="158225B6">
      <w:pPr>
        <w:tabs>
          <w:tab w:val="left" w:pos="1080"/>
        </w:tabs>
        <w:spacing w:line="440" w:lineRule="exact"/>
        <w:ind w:firstLine="480"/>
        <w:rPr>
          <w:rFonts w:ascii="宋体" w:hAnsi="宋体"/>
          <w:color w:val="auto"/>
          <w:kern w:val="0"/>
          <w:sz w:val="24"/>
          <w:highlight w:val="none"/>
        </w:rPr>
      </w:pPr>
      <w:r>
        <w:rPr>
          <w:color w:val="auto"/>
          <w:sz w:val="24"/>
          <w:highlight w:val="none"/>
        </w:rPr>
        <w:t xml:space="preserve">20.3.2 </w:t>
      </w:r>
      <w:r>
        <w:rPr>
          <w:rFonts w:hint="eastAsia"/>
          <w:color w:val="auto"/>
          <w:sz w:val="24"/>
          <w:highlight w:val="none"/>
        </w:rPr>
        <w:t>承包人应在整个施工期间为其现场机构雇用的全部人员，投保人身意外伤害险，缴纳保险费，并要求其分包人也进行此项保险。</w:t>
      </w:r>
      <w:r>
        <w:rPr>
          <w:rFonts w:hint="eastAsia" w:ascii="宋体" w:hAnsi="宋体"/>
          <w:color w:val="auto"/>
          <w:kern w:val="0"/>
          <w:sz w:val="24"/>
          <w:highlight w:val="none"/>
        </w:rPr>
        <w:t>办理保险的一切费用均由承包人承担，并包括在工程量清单的单价及总额价中，发包人不单独支付。</w:t>
      </w:r>
    </w:p>
    <w:p w14:paraId="52480632">
      <w:pPr>
        <w:autoSpaceDE w:val="0"/>
        <w:autoSpaceDN w:val="0"/>
        <w:adjustRightInd w:val="0"/>
        <w:spacing w:line="440" w:lineRule="exact"/>
        <w:ind w:firstLine="480"/>
        <w:jc w:val="left"/>
        <w:rPr>
          <w:rFonts w:ascii="宋体" w:hAnsi="宋体"/>
          <w:color w:val="auto"/>
          <w:kern w:val="0"/>
          <w:sz w:val="24"/>
          <w:highlight w:val="none"/>
        </w:rPr>
      </w:pPr>
      <w:r>
        <w:rPr>
          <w:rFonts w:hint="eastAsia" w:ascii="宋体" w:hAnsi="宋体"/>
          <w:color w:val="auto"/>
          <w:kern w:val="0"/>
          <w:sz w:val="24"/>
          <w:highlight w:val="none"/>
        </w:rPr>
        <w:t>其中：人身意外伤害险每位被保险人的最低保险金额为10万元人民币，附加意外伤害险医疗险的保险金额为2万元人民币，每合同段的人身意外伤害险和附加意外伤害医疗险保险费按合同价（不含该保险费）的3‰计列。人身意外伤害险和附加意外伤害医疗险的保险对象为建筑施工企业参加基建项目建设施工现场从事施工作业和管理的人员。时间上涵盖施工全过程的任一时段，在保险范围上覆盖所有参加工程建设的管理人员、施工人员（含农民工）。保险期限为自施工队伍进场之日起至工程通过竣工验收时止。</w:t>
      </w:r>
    </w:p>
    <w:p w14:paraId="1F928A65">
      <w:pPr>
        <w:tabs>
          <w:tab w:val="left" w:pos="1080"/>
        </w:tabs>
        <w:spacing w:line="440" w:lineRule="exact"/>
        <w:ind w:firstLine="480"/>
        <w:rPr>
          <w:rStyle w:val="53"/>
          <w:b w:val="0"/>
          <w:color w:val="auto"/>
          <w:highlight w:val="none"/>
        </w:rPr>
      </w:pPr>
      <w:r>
        <w:rPr>
          <w:rFonts w:hint="eastAsia" w:ascii="宋体" w:hAnsi="宋体"/>
          <w:color w:val="auto"/>
          <w:kern w:val="0"/>
          <w:sz w:val="24"/>
          <w:highlight w:val="none"/>
        </w:rPr>
        <w:t>施工合同签订后工程开工前15日，承包人必须按有关规定与保险公司签订人身意外伤害险和附加意外伤害医疗险以及其他需要投保的保险的保险合同。</w:t>
      </w:r>
    </w:p>
    <w:p w14:paraId="2B5F3DAE">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20.4  </w:t>
      </w:r>
      <w:r>
        <w:rPr>
          <w:rFonts w:hint="eastAsia"/>
          <w:b/>
          <w:color w:val="auto"/>
          <w:sz w:val="24"/>
          <w:szCs w:val="24"/>
          <w:highlight w:val="none"/>
        </w:rPr>
        <w:t>第三者责任险</w:t>
      </w:r>
    </w:p>
    <w:p w14:paraId="090B12D2">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修改20.4.2款为：第三者责任险由承包人以承包人与项目法人的名义联名投保，保险费由承包人承担并支付，投标人应在所报的单价或总额价中对该保险费予以考虑，发包人不单独进行计量与支付。</w:t>
      </w:r>
    </w:p>
    <w:p w14:paraId="750A4B9E">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21.1</w:t>
      </w:r>
      <w:r>
        <w:rPr>
          <w:rFonts w:hint="eastAsia"/>
          <w:b/>
          <w:color w:val="auto"/>
          <w:sz w:val="24"/>
          <w:szCs w:val="24"/>
          <w:highlight w:val="none"/>
        </w:rPr>
        <w:t>不可抗力的确认</w:t>
      </w:r>
    </w:p>
    <w:p w14:paraId="1AEF376C">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公路工程专用合同条款21. 1款</w:t>
      </w:r>
    </w:p>
    <w:p w14:paraId="42BAC48F">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21.1.1  (6）项目专用合同条款约定的其他情形：</w:t>
      </w:r>
      <w:r>
        <w:rPr>
          <w:rFonts w:hint="eastAsia" w:ascii="宋体" w:hAnsi="宋体"/>
          <w:color w:val="auto"/>
          <w:sz w:val="24"/>
          <w:highlight w:val="none"/>
          <w:u w:val="single"/>
        </w:rPr>
        <w:t xml:space="preserve">   /  </w:t>
      </w:r>
      <w:r>
        <w:rPr>
          <w:rFonts w:hint="eastAsia" w:ascii="宋体" w:hAnsi="宋体"/>
          <w:color w:val="auto"/>
          <w:sz w:val="24"/>
          <w:highlight w:val="none"/>
        </w:rPr>
        <w:t xml:space="preserve"> </w:t>
      </w:r>
    </w:p>
    <w:p w14:paraId="4FE6FA01">
      <w:pPr>
        <w:keepNext/>
        <w:keepLines/>
        <w:pageBreakBefore w:val="0"/>
        <w:widowControl w:val="0"/>
        <w:kinsoku/>
        <w:wordWrap/>
        <w:overflowPunct/>
        <w:topLinePunct w:val="0"/>
        <w:autoSpaceDE/>
        <w:autoSpaceDN/>
        <w:bidi w:val="0"/>
        <w:adjustRightInd/>
        <w:snapToGrid/>
        <w:spacing w:before="120" w:line="440" w:lineRule="exact"/>
        <w:ind w:firstLine="482"/>
        <w:textAlignment w:val="auto"/>
        <w:outlineLvl w:val="9"/>
        <w:rPr>
          <w:b/>
          <w:color w:val="auto"/>
          <w:sz w:val="24"/>
          <w:szCs w:val="24"/>
          <w:highlight w:val="none"/>
        </w:rPr>
      </w:pPr>
      <w:r>
        <w:rPr>
          <w:b/>
          <w:color w:val="auto"/>
          <w:sz w:val="24"/>
          <w:szCs w:val="24"/>
          <w:highlight w:val="none"/>
        </w:rPr>
        <w:t xml:space="preserve">22.1  </w:t>
      </w:r>
      <w:r>
        <w:rPr>
          <w:rFonts w:hint="eastAsia"/>
          <w:b/>
          <w:color w:val="auto"/>
          <w:sz w:val="24"/>
          <w:szCs w:val="24"/>
          <w:highlight w:val="none"/>
        </w:rPr>
        <w:t>承包人违约</w:t>
      </w:r>
    </w:p>
    <w:p w14:paraId="64F322C1">
      <w:pPr>
        <w:spacing w:line="440" w:lineRule="exact"/>
        <w:ind w:left="199" w:leftChars="95" w:firstLine="316" w:firstLineChars="132"/>
        <w:rPr>
          <w:rFonts w:ascii="宋体" w:hAnsi="宋体"/>
          <w:color w:val="auto"/>
          <w:sz w:val="24"/>
          <w:highlight w:val="none"/>
        </w:rPr>
      </w:pPr>
      <w:r>
        <w:rPr>
          <w:rFonts w:hint="eastAsia" w:ascii="宋体" w:hAnsi="宋体"/>
          <w:color w:val="auto"/>
          <w:sz w:val="24"/>
          <w:highlight w:val="none"/>
        </w:rPr>
        <w:t>22.1.1承包人违约的情形</w:t>
      </w:r>
    </w:p>
    <w:p w14:paraId="72BAB977">
      <w:pPr>
        <w:spacing w:line="440" w:lineRule="exact"/>
        <w:ind w:firstLine="480"/>
        <w:rPr>
          <w:rFonts w:ascii="宋体" w:hAnsi="宋体"/>
          <w:color w:val="auto"/>
          <w:sz w:val="24"/>
          <w:highlight w:val="none"/>
        </w:rPr>
      </w:pPr>
      <w:r>
        <w:rPr>
          <w:rFonts w:hint="eastAsia" w:ascii="宋体" w:hAnsi="宋体"/>
          <w:color w:val="auto"/>
          <w:sz w:val="24"/>
          <w:highlight w:val="none"/>
        </w:rPr>
        <w:t>(1)承包人违反第1.8款或第4.3款的约定，私自将合同的全部或部分权利转让给其他人，或私自将合同的全部或部分义务转移给其他人；</w:t>
      </w:r>
    </w:p>
    <w:p w14:paraId="51F6A81F">
      <w:pPr>
        <w:spacing w:line="440" w:lineRule="exact"/>
        <w:ind w:firstLine="480"/>
        <w:rPr>
          <w:rFonts w:ascii="宋体" w:hAnsi="宋体"/>
          <w:color w:val="auto"/>
          <w:sz w:val="24"/>
          <w:highlight w:val="none"/>
        </w:rPr>
      </w:pPr>
      <w:r>
        <w:rPr>
          <w:rFonts w:hint="eastAsia" w:ascii="宋体" w:hAnsi="宋体"/>
          <w:color w:val="auto"/>
          <w:sz w:val="24"/>
          <w:highlight w:val="none"/>
        </w:rPr>
        <w:t>(2)承包人违反第5.3款或第6.4款的约定，未经监理人批准，私自将已按合同约定进入施工场地的施工设备、临时设施、材料或工程设备撤离施工场地；</w:t>
      </w:r>
    </w:p>
    <w:p w14:paraId="763098F6">
      <w:pPr>
        <w:spacing w:line="440" w:lineRule="exact"/>
        <w:ind w:firstLine="480"/>
        <w:rPr>
          <w:rFonts w:ascii="宋体" w:hAnsi="宋体"/>
          <w:color w:val="auto"/>
          <w:sz w:val="24"/>
          <w:highlight w:val="none"/>
        </w:rPr>
      </w:pPr>
      <w:r>
        <w:rPr>
          <w:rFonts w:hint="eastAsia" w:ascii="宋体" w:hAnsi="宋体"/>
          <w:color w:val="auto"/>
          <w:sz w:val="24"/>
          <w:highlight w:val="none"/>
        </w:rPr>
        <w:t>(3)承包人违反第5.4款的约定使用了不合格材料或工程设备，工程质量达不到标准要求，又拒绝清理不合格工程；</w:t>
      </w:r>
    </w:p>
    <w:p w14:paraId="136EDD1A">
      <w:pPr>
        <w:spacing w:line="440" w:lineRule="exact"/>
        <w:ind w:firstLine="480"/>
        <w:rPr>
          <w:rFonts w:ascii="宋体" w:hAnsi="宋体"/>
          <w:color w:val="auto"/>
          <w:sz w:val="24"/>
          <w:highlight w:val="none"/>
        </w:rPr>
      </w:pPr>
      <w:r>
        <w:rPr>
          <w:rFonts w:hint="eastAsia" w:ascii="宋体" w:hAnsi="宋体"/>
          <w:color w:val="auto"/>
          <w:sz w:val="24"/>
          <w:highlight w:val="none"/>
        </w:rPr>
        <w:t>(4)承包人未能按合同进度计划及时完成合同约定的工作，己造成或预期造成工期延误；</w:t>
      </w:r>
    </w:p>
    <w:p w14:paraId="3F175748">
      <w:pPr>
        <w:spacing w:line="440" w:lineRule="exact"/>
        <w:ind w:firstLine="480"/>
        <w:rPr>
          <w:rFonts w:ascii="宋体" w:hAnsi="宋体"/>
          <w:color w:val="auto"/>
          <w:sz w:val="24"/>
          <w:highlight w:val="none"/>
        </w:rPr>
      </w:pPr>
      <w:r>
        <w:rPr>
          <w:rFonts w:hint="eastAsia" w:ascii="宋体" w:hAnsi="宋体"/>
          <w:color w:val="auto"/>
          <w:sz w:val="24"/>
          <w:highlight w:val="none"/>
        </w:rPr>
        <w:t>(5)承包人在缺陷责任期内，未能对工程接受证书所列的缺陷清单的内容或缺陷责任期内发生的缺陷进行修复，而又拒绝按监理人指示再进行修补；</w:t>
      </w:r>
    </w:p>
    <w:p w14:paraId="64D5368B">
      <w:pPr>
        <w:spacing w:line="440" w:lineRule="exact"/>
        <w:ind w:firstLine="480"/>
        <w:rPr>
          <w:rFonts w:ascii="宋体" w:hAnsi="宋体"/>
          <w:color w:val="auto"/>
          <w:sz w:val="24"/>
          <w:highlight w:val="none"/>
        </w:rPr>
      </w:pPr>
      <w:r>
        <w:rPr>
          <w:rFonts w:hint="eastAsia" w:ascii="宋体" w:hAnsi="宋体"/>
          <w:color w:val="auto"/>
          <w:sz w:val="24"/>
          <w:highlight w:val="none"/>
        </w:rPr>
        <w:t>(6）承包人无法继续履行或明确表示不履行或实质上己停止履行合同；</w:t>
      </w:r>
    </w:p>
    <w:p w14:paraId="0BD43DE2">
      <w:pPr>
        <w:spacing w:line="440" w:lineRule="exact"/>
        <w:ind w:firstLine="480"/>
        <w:rPr>
          <w:rFonts w:ascii="宋体" w:hAnsi="宋体"/>
          <w:color w:val="auto"/>
          <w:sz w:val="24"/>
          <w:highlight w:val="none"/>
        </w:rPr>
      </w:pPr>
      <w:r>
        <w:rPr>
          <w:rFonts w:hint="eastAsia" w:ascii="宋体" w:hAnsi="宋体"/>
          <w:color w:val="auto"/>
          <w:sz w:val="24"/>
          <w:highlight w:val="none"/>
        </w:rPr>
        <w:t>(7)承包人未能按监理指令开工；</w:t>
      </w:r>
    </w:p>
    <w:p w14:paraId="0144A791">
      <w:pPr>
        <w:spacing w:line="440" w:lineRule="exact"/>
        <w:ind w:firstLine="480"/>
        <w:rPr>
          <w:rFonts w:ascii="宋体" w:hAnsi="宋体"/>
          <w:color w:val="auto"/>
          <w:sz w:val="24"/>
          <w:highlight w:val="none"/>
        </w:rPr>
      </w:pPr>
      <w:r>
        <w:rPr>
          <w:rFonts w:hint="eastAsia" w:ascii="宋体" w:hAnsi="宋体"/>
          <w:color w:val="auto"/>
          <w:sz w:val="24"/>
          <w:highlight w:val="none"/>
        </w:rPr>
        <w:t>(8)承包人违反第4.6款或第6.3款的规定，未按承诺或未按监理人的要求及时配备称职的主要管理人员、技术骨干或关键施工设备；</w:t>
      </w:r>
    </w:p>
    <w:p w14:paraId="002BCF3D">
      <w:pPr>
        <w:spacing w:line="440" w:lineRule="exact"/>
        <w:ind w:firstLine="480"/>
        <w:rPr>
          <w:rFonts w:ascii="宋体" w:hAnsi="宋体"/>
          <w:color w:val="auto"/>
          <w:sz w:val="24"/>
          <w:highlight w:val="none"/>
        </w:rPr>
      </w:pPr>
      <w:r>
        <w:rPr>
          <w:rFonts w:hint="eastAsia" w:ascii="宋体" w:hAnsi="宋体"/>
          <w:color w:val="auto"/>
          <w:sz w:val="24"/>
          <w:highlight w:val="none"/>
        </w:rPr>
        <w:t>(9)经监理人和发包人检查，发现承包人有安全问题或有违反安全管理规章制度的情况；</w:t>
      </w:r>
    </w:p>
    <w:p w14:paraId="2402ABF7">
      <w:pPr>
        <w:spacing w:line="440" w:lineRule="exact"/>
        <w:ind w:firstLine="480"/>
        <w:rPr>
          <w:rFonts w:ascii="宋体" w:hAnsi="宋体"/>
          <w:color w:val="auto"/>
          <w:sz w:val="24"/>
          <w:highlight w:val="none"/>
        </w:rPr>
      </w:pPr>
      <w:r>
        <w:rPr>
          <w:rFonts w:hint="eastAsia" w:ascii="宋体" w:hAnsi="宋体"/>
          <w:color w:val="auto"/>
          <w:sz w:val="24"/>
          <w:highlight w:val="none"/>
        </w:rPr>
        <w:t>(10）承包人不按合同约定履行义务的其他情况。</w:t>
      </w:r>
    </w:p>
    <w:p w14:paraId="20E96F98">
      <w:pPr>
        <w:spacing w:line="440" w:lineRule="exact"/>
        <w:ind w:left="199" w:leftChars="95" w:firstLine="316" w:firstLineChars="132"/>
        <w:rPr>
          <w:rFonts w:ascii="宋体" w:hAnsi="宋体"/>
          <w:color w:val="auto"/>
          <w:sz w:val="24"/>
          <w:highlight w:val="none"/>
        </w:rPr>
      </w:pPr>
      <w:r>
        <w:rPr>
          <w:rFonts w:hint="eastAsia" w:ascii="宋体" w:hAnsi="宋体"/>
          <w:color w:val="auto"/>
          <w:sz w:val="24"/>
          <w:highlight w:val="none"/>
        </w:rPr>
        <w:t>22.1.2  对承包人违约的处理</w:t>
      </w:r>
    </w:p>
    <w:p w14:paraId="5E2A50B6">
      <w:pPr>
        <w:spacing w:line="440" w:lineRule="exact"/>
        <w:ind w:firstLine="480"/>
        <w:rPr>
          <w:rFonts w:ascii="宋体" w:hAnsi="宋体"/>
          <w:color w:val="auto"/>
          <w:sz w:val="24"/>
          <w:highlight w:val="none"/>
        </w:rPr>
      </w:pPr>
      <w:r>
        <w:rPr>
          <w:rFonts w:hint="eastAsia" w:ascii="宋体" w:hAnsi="宋体"/>
          <w:color w:val="auto"/>
          <w:sz w:val="24"/>
          <w:highlight w:val="none"/>
        </w:rPr>
        <w:t>（1）承包人发生第22.1.1⑹目约定的违约情形时，发包人可通知承包人立即解除合同，并按有关法律处理。</w:t>
      </w:r>
    </w:p>
    <w:p w14:paraId="6B690982">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（2）承包人发生第22.1.1⑺目约定的违约情形时，按以下条款处理：</w:t>
      </w:r>
    </w:p>
    <w:p w14:paraId="57AED4DF">
      <w:pPr>
        <w:tabs>
          <w:tab w:val="left" w:pos="1080"/>
        </w:tabs>
        <w:spacing w:line="440" w:lineRule="exact"/>
        <w:ind w:firstLine="480"/>
        <w:rPr>
          <w:rFonts w:ascii="Arial" w:hAnsi="Arial" w:cs="Arial"/>
          <w:color w:val="auto"/>
          <w:sz w:val="24"/>
          <w:highlight w:val="none"/>
        </w:rPr>
      </w:pPr>
      <w:r>
        <w:rPr>
          <w:rFonts w:hint="eastAsia" w:ascii="宋体" w:hAnsi="宋体"/>
          <w:color w:val="auto"/>
          <w:sz w:val="24"/>
          <w:highlight w:val="none"/>
        </w:rPr>
        <w:t>a.</w:t>
      </w:r>
      <w:r>
        <w:rPr>
          <w:rFonts w:hint="eastAsia" w:ascii="Arial" w:hAnsi="Arial" w:cs="Arial"/>
          <w:color w:val="auto"/>
          <w:sz w:val="24"/>
          <w:highlight w:val="none"/>
        </w:rPr>
        <w:t>未按监理开工指令开工的，超出开工时间</w:t>
      </w:r>
      <w:r>
        <w:rPr>
          <w:rFonts w:ascii="Arial" w:hAnsi="Arial" w:cs="Arial"/>
          <w:color w:val="auto"/>
          <w:sz w:val="24"/>
          <w:highlight w:val="none"/>
        </w:rPr>
        <w:t>15</w:t>
      </w:r>
      <w:r>
        <w:rPr>
          <w:rFonts w:hint="eastAsia" w:ascii="Arial" w:hAnsi="Arial" w:cs="Arial"/>
          <w:color w:val="auto"/>
          <w:sz w:val="24"/>
          <w:highlight w:val="none"/>
        </w:rPr>
        <w:t>天内可处以</w:t>
      </w:r>
      <w:r>
        <w:rPr>
          <w:rFonts w:ascii="Arial" w:hAnsi="Arial" w:cs="Arial"/>
          <w:color w:val="auto"/>
          <w:sz w:val="24"/>
          <w:highlight w:val="none"/>
        </w:rPr>
        <w:t>2500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天的业主延期损失偿金。</w:t>
      </w:r>
    </w:p>
    <w:p w14:paraId="37F0BB0F">
      <w:pPr>
        <w:tabs>
          <w:tab w:val="left" w:pos="1080"/>
        </w:tabs>
        <w:spacing w:line="440" w:lineRule="exact"/>
        <w:ind w:firstLine="420"/>
        <w:rPr>
          <w:rFonts w:ascii="Arial" w:hAnsi="Arial" w:cs="Arial"/>
          <w:color w:val="auto"/>
          <w:sz w:val="24"/>
          <w:highlight w:val="none"/>
        </w:rPr>
      </w:pPr>
      <w:r>
        <w:rPr>
          <w:rFonts w:ascii="Arial" w:hAnsi="Arial" w:cs="Arial"/>
          <w:color w:val="auto"/>
          <w:sz w:val="24"/>
          <w:highlight w:val="none"/>
        </w:rPr>
        <w:t>b</w:t>
      </w:r>
      <w:r>
        <w:rPr>
          <w:rFonts w:hint="eastAsia" w:ascii="Arial" w:hAnsi="Arial" w:cs="Arial"/>
          <w:color w:val="auto"/>
          <w:sz w:val="24"/>
          <w:highlight w:val="none"/>
        </w:rPr>
        <w:t>．承包人未按监理开工指令开工的，超出开工时间</w:t>
      </w:r>
      <w:r>
        <w:rPr>
          <w:rFonts w:ascii="Arial" w:hAnsi="Arial" w:cs="Arial"/>
          <w:color w:val="auto"/>
          <w:sz w:val="24"/>
          <w:highlight w:val="none"/>
        </w:rPr>
        <w:t>15</w:t>
      </w:r>
      <w:r>
        <w:rPr>
          <w:rFonts w:hint="eastAsia" w:ascii="Arial" w:hAnsi="Arial" w:cs="Arial"/>
          <w:color w:val="auto"/>
          <w:sz w:val="24"/>
          <w:highlight w:val="none"/>
        </w:rPr>
        <w:t>天的，发包人有权解除合同，并按</w:t>
      </w:r>
      <w:r>
        <w:rPr>
          <w:rFonts w:ascii="Arial" w:hAnsi="Arial" w:cs="Arial"/>
          <w:color w:val="auto"/>
          <w:sz w:val="24"/>
          <w:highlight w:val="none"/>
        </w:rPr>
        <w:t>2500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天的业主延期损失偿金向承包人处以相应违约金。</w:t>
      </w:r>
    </w:p>
    <w:p w14:paraId="4C7FED3B">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（3）承包人发生第22.1.1⑷、⑽目约定的违约情形时，按以下条款处理：</w:t>
      </w:r>
    </w:p>
    <w:p w14:paraId="07B26CC9">
      <w:pPr>
        <w:tabs>
          <w:tab w:val="left" w:pos="1080"/>
        </w:tabs>
        <w:spacing w:line="440" w:lineRule="exact"/>
        <w:ind w:firstLine="480"/>
        <w:rPr>
          <w:rFonts w:ascii="Arial" w:hAnsi="Arial" w:cs="Arial"/>
          <w:color w:val="auto"/>
          <w:sz w:val="24"/>
          <w:highlight w:val="none"/>
        </w:rPr>
      </w:pPr>
      <w:r>
        <w:rPr>
          <w:rFonts w:hint="eastAsia" w:ascii="宋体" w:hAnsi="宋体"/>
          <w:color w:val="auto"/>
          <w:sz w:val="24"/>
          <w:highlight w:val="none"/>
        </w:rPr>
        <w:t>a</w:t>
      </w:r>
      <w:r>
        <w:rPr>
          <w:rFonts w:hint="eastAsia" w:ascii="Arial" w:hAnsi="Arial" w:cs="Arial"/>
          <w:color w:val="auto"/>
          <w:sz w:val="24"/>
          <w:highlight w:val="none"/>
        </w:rPr>
        <w:t>．未按指令采取措施加快进行本工程或其关键部分的施工，可处以</w:t>
      </w:r>
      <w:r>
        <w:rPr>
          <w:rFonts w:ascii="Arial" w:hAnsi="Arial" w:cs="Arial"/>
          <w:color w:val="auto"/>
          <w:sz w:val="24"/>
          <w:highlight w:val="none"/>
        </w:rPr>
        <w:t>1000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天的业主延期损失偿金，</w:t>
      </w:r>
      <w:r>
        <w:rPr>
          <w:rFonts w:hint="eastAsia" w:ascii="宋体" w:hAnsi="宋体" w:cs="宋体"/>
          <w:color w:val="auto"/>
          <w:sz w:val="24"/>
          <w:highlight w:val="none"/>
        </w:rPr>
        <w:t>因承包人原因造成工期延误，逾期竣工违约金的上限：</w:t>
      </w:r>
      <w:r>
        <w:rPr>
          <w:rFonts w:hint="eastAsia" w:ascii="宋体" w:hAnsi="宋体" w:cs="宋体"/>
          <w:color w:val="auto"/>
          <w:sz w:val="24"/>
          <w:highlight w:val="none"/>
          <w:u w:val="single"/>
        </w:rPr>
        <w:t>合同价的</w:t>
      </w:r>
      <w:r>
        <w:rPr>
          <w:rFonts w:ascii="宋体" w:hAnsi="宋体" w:cs="宋体"/>
          <w:color w:val="auto"/>
          <w:sz w:val="24"/>
          <w:highlight w:val="none"/>
          <w:u w:val="single"/>
        </w:rPr>
        <w:t>5 %</w:t>
      </w:r>
      <w:r>
        <w:rPr>
          <w:rFonts w:hint="eastAsia" w:ascii="宋体" w:hAnsi="宋体" w:cs="宋体"/>
          <w:color w:val="auto"/>
          <w:sz w:val="24"/>
          <w:highlight w:val="none"/>
        </w:rPr>
        <w:t>。</w:t>
      </w:r>
    </w:p>
    <w:p w14:paraId="70B9B0E0">
      <w:pPr>
        <w:tabs>
          <w:tab w:val="left" w:pos="1080"/>
        </w:tabs>
        <w:spacing w:line="440" w:lineRule="exact"/>
        <w:ind w:firstLine="420"/>
        <w:rPr>
          <w:rFonts w:ascii="Arial" w:hAnsi="Arial" w:cs="Arial"/>
          <w:color w:val="auto"/>
          <w:sz w:val="24"/>
          <w:highlight w:val="none"/>
        </w:rPr>
      </w:pPr>
      <w:r>
        <w:rPr>
          <w:rFonts w:ascii="Arial" w:hAnsi="Arial" w:cs="Arial"/>
          <w:color w:val="auto"/>
          <w:sz w:val="24"/>
          <w:highlight w:val="none"/>
        </w:rPr>
        <w:t>b</w:t>
      </w:r>
      <w:r>
        <w:rPr>
          <w:rFonts w:hint="eastAsia" w:ascii="Arial" w:hAnsi="Arial" w:cs="Arial"/>
          <w:color w:val="auto"/>
          <w:sz w:val="24"/>
          <w:highlight w:val="none"/>
        </w:rPr>
        <w:t>．路面碎石材料采备没有达到计划进度，按月检查处</w:t>
      </w:r>
      <w:r>
        <w:rPr>
          <w:rFonts w:ascii="Arial" w:hAnsi="Arial" w:cs="Arial"/>
          <w:color w:val="auto"/>
          <w:sz w:val="24"/>
          <w:highlight w:val="none"/>
        </w:rPr>
        <w:t>5000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月。</w:t>
      </w:r>
    </w:p>
    <w:p w14:paraId="3F1A304F">
      <w:pPr>
        <w:tabs>
          <w:tab w:val="left" w:pos="1080"/>
        </w:tabs>
        <w:spacing w:line="440" w:lineRule="exact"/>
        <w:ind w:firstLine="420"/>
        <w:rPr>
          <w:rFonts w:ascii="Arial" w:hAnsi="Arial" w:cs="Arial"/>
          <w:color w:val="auto"/>
          <w:sz w:val="24"/>
          <w:highlight w:val="none"/>
        </w:rPr>
      </w:pPr>
      <w:r>
        <w:rPr>
          <w:rFonts w:ascii="Arial" w:hAnsi="Arial" w:cs="Arial"/>
          <w:color w:val="auto"/>
          <w:sz w:val="24"/>
          <w:highlight w:val="none"/>
        </w:rPr>
        <w:t>c</w:t>
      </w:r>
      <w:r>
        <w:rPr>
          <w:rFonts w:hint="eastAsia" w:ascii="Arial" w:hAnsi="Arial" w:cs="Arial"/>
          <w:color w:val="auto"/>
          <w:sz w:val="24"/>
          <w:highlight w:val="none"/>
        </w:rPr>
        <w:t>．未按均衡组织施工要求组织施工的，处每项</w:t>
      </w:r>
      <w:r>
        <w:rPr>
          <w:rFonts w:ascii="Arial" w:hAnsi="Arial" w:cs="Arial"/>
          <w:color w:val="auto"/>
          <w:sz w:val="24"/>
          <w:highlight w:val="none"/>
        </w:rPr>
        <w:t>2500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月次。</w:t>
      </w:r>
    </w:p>
    <w:p w14:paraId="38E1729A">
      <w:pPr>
        <w:spacing w:line="440" w:lineRule="exact"/>
        <w:ind w:firstLine="480"/>
        <w:rPr>
          <w:rFonts w:ascii="宋体" w:hAnsi="宋体"/>
          <w:color w:val="auto"/>
          <w:sz w:val="24"/>
          <w:highlight w:val="none"/>
        </w:rPr>
      </w:pPr>
      <w:r>
        <w:rPr>
          <w:rFonts w:hint="eastAsia" w:ascii="宋体" w:hAnsi="宋体"/>
          <w:color w:val="auto"/>
          <w:sz w:val="24"/>
          <w:highlight w:val="none"/>
        </w:rPr>
        <w:t>（4）承包人发生第22.1.1⑹、⑺、⑷及⑽目约定以外的违约情形时，监理人可向承包人发出整改通知，要求其在指定的期限内改正。承包人应承担其违约所引起的费用增加和（或）工期延误，按以下条款处理：</w:t>
      </w:r>
    </w:p>
    <w:p w14:paraId="40E8A1E1">
      <w:pPr>
        <w:tabs>
          <w:tab w:val="left" w:pos="1080"/>
        </w:tabs>
        <w:spacing w:line="440" w:lineRule="exact"/>
        <w:ind w:firstLine="480"/>
        <w:rPr>
          <w:rFonts w:ascii="Arial" w:hAnsi="Arial" w:cs="Arial"/>
          <w:color w:val="auto"/>
          <w:sz w:val="24"/>
          <w:highlight w:val="none"/>
        </w:rPr>
      </w:pPr>
      <w:r>
        <w:rPr>
          <w:rFonts w:hint="eastAsia" w:ascii="宋体" w:hAnsi="宋体"/>
          <w:color w:val="auto"/>
          <w:sz w:val="24"/>
          <w:highlight w:val="none"/>
        </w:rPr>
        <w:t>a</w:t>
      </w:r>
      <w:r>
        <w:rPr>
          <w:rFonts w:hint="eastAsia" w:ascii="Arial" w:hAnsi="Arial" w:cs="Arial"/>
          <w:color w:val="auto"/>
          <w:sz w:val="24"/>
          <w:highlight w:val="none"/>
        </w:rPr>
        <w:t>．同类事件第一次被监理工程师、业主工作指令整改的处</w:t>
      </w:r>
      <w:r>
        <w:rPr>
          <w:rFonts w:ascii="Arial" w:hAnsi="Arial" w:cs="Arial"/>
          <w:color w:val="auto"/>
          <w:sz w:val="24"/>
          <w:highlight w:val="none"/>
        </w:rPr>
        <w:t>1000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次；第二次出现指令整改的处</w:t>
      </w:r>
      <w:r>
        <w:rPr>
          <w:rFonts w:ascii="Arial" w:hAnsi="Arial" w:cs="Arial"/>
          <w:color w:val="auto"/>
          <w:sz w:val="24"/>
          <w:highlight w:val="none"/>
        </w:rPr>
        <w:t>2500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次；多次重复出现被责令整改的处</w:t>
      </w:r>
      <w:r>
        <w:rPr>
          <w:rFonts w:ascii="Arial" w:hAnsi="Arial" w:cs="Arial"/>
          <w:color w:val="auto"/>
          <w:sz w:val="24"/>
          <w:highlight w:val="none"/>
        </w:rPr>
        <w:t>5000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次。</w:t>
      </w:r>
    </w:p>
    <w:p w14:paraId="3FD0CE2A">
      <w:pPr>
        <w:tabs>
          <w:tab w:val="left" w:pos="1080"/>
        </w:tabs>
        <w:spacing w:line="440" w:lineRule="exact"/>
        <w:ind w:firstLine="420"/>
        <w:rPr>
          <w:rFonts w:ascii="Arial" w:hAnsi="Arial" w:cs="Arial"/>
          <w:color w:val="auto"/>
          <w:sz w:val="24"/>
          <w:highlight w:val="none"/>
        </w:rPr>
      </w:pPr>
      <w:r>
        <w:rPr>
          <w:rFonts w:ascii="Arial" w:hAnsi="Arial" w:cs="Arial"/>
          <w:color w:val="auto"/>
          <w:sz w:val="24"/>
          <w:highlight w:val="none"/>
        </w:rPr>
        <w:t>b</w:t>
      </w:r>
      <w:r>
        <w:rPr>
          <w:rFonts w:hint="eastAsia" w:ascii="Arial" w:hAnsi="Arial" w:cs="Arial"/>
          <w:color w:val="auto"/>
          <w:sz w:val="24"/>
          <w:highlight w:val="none"/>
        </w:rPr>
        <w:t>．在指令规定时间内拒不整改的同一事件被第二次及以上责令整改的处</w:t>
      </w:r>
      <w:r>
        <w:rPr>
          <w:rFonts w:ascii="Arial" w:hAnsi="Arial" w:cs="Arial"/>
          <w:color w:val="auto"/>
          <w:sz w:val="24"/>
          <w:highlight w:val="none"/>
        </w:rPr>
        <w:t>5000</w:t>
      </w:r>
      <w:r>
        <w:rPr>
          <w:rFonts w:hint="eastAsia" w:ascii="Arial" w:hAnsi="Arial" w:cs="Arial"/>
          <w:color w:val="auto"/>
          <w:sz w:val="24"/>
          <w:highlight w:val="none"/>
        </w:rPr>
        <w:t>元</w:t>
      </w:r>
      <w:r>
        <w:rPr>
          <w:rFonts w:ascii="Arial" w:hAnsi="Arial" w:cs="Arial"/>
          <w:color w:val="auto"/>
          <w:sz w:val="24"/>
          <w:highlight w:val="none"/>
        </w:rPr>
        <w:t>/</w:t>
      </w:r>
      <w:r>
        <w:rPr>
          <w:rFonts w:hint="eastAsia" w:ascii="Arial" w:hAnsi="Arial" w:cs="Arial"/>
          <w:color w:val="auto"/>
          <w:sz w:val="24"/>
          <w:highlight w:val="none"/>
        </w:rPr>
        <w:t>次。</w:t>
      </w:r>
    </w:p>
    <w:p w14:paraId="44744918">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（5）经检查证明承包人已采取了有效措施纠正违约行为，具备复工条件的可由监理人签发复工通知进行复工。</w:t>
      </w:r>
    </w:p>
    <w:p w14:paraId="63E64E45">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6）承包人发生第22.1.1项约定的违约情况时，无论发包人是否解除合同，发包人均有权向承包人课以违约金，并由发包人将其违约行为上报省级交通主管部门，作为不良记录纳人公路建设市场信用信息管理系统。</w:t>
      </w:r>
    </w:p>
    <w:p w14:paraId="3D710706">
      <w:pPr>
        <w:tabs>
          <w:tab w:val="left" w:pos="1080"/>
        </w:tabs>
        <w:spacing w:line="440" w:lineRule="exact"/>
        <w:ind w:firstLine="482"/>
        <w:rPr>
          <w:rFonts w:ascii="宋体" w:hAnsi="宋体"/>
          <w:b/>
          <w:color w:val="auto"/>
          <w:sz w:val="24"/>
          <w:highlight w:val="none"/>
        </w:rPr>
      </w:pPr>
      <w:r>
        <w:rPr>
          <w:rFonts w:hint="eastAsia" w:ascii="宋体" w:hAnsi="宋体"/>
          <w:b/>
          <w:color w:val="auto"/>
          <w:sz w:val="24"/>
          <w:highlight w:val="none"/>
        </w:rPr>
        <w:t>增加</w:t>
      </w:r>
    </w:p>
    <w:p w14:paraId="3C0C6D1C">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（1）承包人发生第22.1.1项（5）目情形，按第19.2.4款规定处理；</w:t>
      </w:r>
    </w:p>
    <w:p w14:paraId="5F810BB1">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（2）有22.1.1.（8）款行为或以下行为的，视为承包人违约，可对承包人处以以下的违约金：</w:t>
      </w:r>
    </w:p>
    <w:p w14:paraId="60910B27">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a.承包人更换主要人员的（不管是否经项目法人或监理工程师同意），项目经理处10万元/人次，总工（或技术负责人）处5万元/人次，其他主要人员（指结构专业工程师、路基路面专业工程师、测量工程师、计量工程师和试验工程师）处2万元/人次；</w:t>
      </w:r>
    </w:p>
    <w:p w14:paraId="133B6105">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b．项目经理或项目技术负责人未经发包人同意擅自离开工地，每天课以违约金500元／人；若虽经批准离开工地但每月在工地天数不足22天（特殊情况经监理人批准报发包人同意例外）的，每不足一天课以违约金500元／人。其它主要技术骨干人员每月在工地天数不足22天（特殊情况经监理人批准报发包人同意例外）的,每不足一天课以违约金300元／人；</w:t>
      </w:r>
    </w:p>
    <w:p w14:paraId="04765741">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C．主要设备没有按进度和合同规定承诺进场的处500元/日台。</w:t>
      </w:r>
    </w:p>
    <w:p w14:paraId="1FD59FA0">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（3）承包存在以下情形的，可对承包人处以以下违约金：</w:t>
      </w:r>
    </w:p>
    <w:p w14:paraId="37C8C62B">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a.发生质量事故，未按有关规定和时间向有关部门报告的,处2000元/次；</w:t>
      </w:r>
    </w:p>
    <w:p w14:paraId="67725E99">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b.出现二、三级一般质量事故，且承包人负有直接责任，或不能证明其履行其职责的,可处5000元/次；</w:t>
      </w:r>
    </w:p>
    <w:p w14:paraId="4B126BAB">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c.发生一级一般质量事故或重大质量事故，且承包人负有直接责任，或不能证明其履行其职责的,可处10000元/次；</w:t>
      </w:r>
    </w:p>
    <w:p w14:paraId="71C8EDA1">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d.因质量问题被地市级及以上交通主管部门、质量监督单位、公路管理机构通报（批评）的，可对承包人处以20000元违约金/次，红牌警告10000元/次，黄牌警告5000元/次。</w:t>
      </w:r>
    </w:p>
    <w:p w14:paraId="5896D8DD">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e．出现一般安全生事故负有责任的或发生重大安全事故不按规定报告的,可处1000元/处·次。</w:t>
      </w:r>
    </w:p>
    <w:p w14:paraId="0C966224">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f.出现重大安全生产事故负有责任的，可处10000元/处·次。</w:t>
      </w:r>
    </w:p>
    <w:p w14:paraId="1E46A879">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g．由于施工原因造成污染、破坏被群众向政府、主管单位投诉或被环保、水利部门责令整改的，处1000元/次。</w:t>
      </w:r>
    </w:p>
    <w:p w14:paraId="765B2E44">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h.由于承包人原因违反7.3等条款造成交通堵塞，堵车30分钟至60分钟的处3000元/次，堵车60分钟至二小时的处5000元/次，堵车二小时至三小时的处1万元/次，堵车三小时以上的处每小时（不满1小时按1小时计）1万元，严重的建议上级主管单位进行通报。</w:t>
      </w:r>
    </w:p>
    <w:p w14:paraId="5F97DA16">
      <w:pPr>
        <w:tabs>
          <w:tab w:val="left" w:pos="1080"/>
        </w:tabs>
        <w:spacing w:line="440" w:lineRule="exact"/>
        <w:ind w:firstLine="480"/>
        <w:rPr>
          <w:rFonts w:ascii="宋体" w:hAnsi="宋体"/>
          <w:color w:val="auto"/>
          <w:sz w:val="24"/>
          <w:highlight w:val="none"/>
        </w:rPr>
      </w:pPr>
      <w:r>
        <w:rPr>
          <w:rFonts w:hint="eastAsia" w:ascii="宋体" w:hAnsi="宋体"/>
          <w:color w:val="auto"/>
          <w:sz w:val="24"/>
          <w:highlight w:val="none"/>
        </w:rPr>
        <w:t>j．劳务人员未按规定签订聘用合同并向项目法人、监理工程师报备的,处500元/人次。</w:t>
      </w:r>
    </w:p>
    <w:p w14:paraId="3A18BB54">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（4）有以下情形的，可对承包人处以违约金。</w:t>
      </w:r>
    </w:p>
    <w:p w14:paraId="46A1667C">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a.质量管理</w:t>
      </w:r>
    </w:p>
    <w:p w14:paraId="0A49A3FE">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(a)出现下列行为之一可处200元/（人）次。</w:t>
      </w:r>
    </w:p>
    <w:p w14:paraId="4E944186">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分项工程施工现场无合格的施工责任牌；</w:t>
      </w:r>
    </w:p>
    <w:p w14:paraId="3CF9EF59">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分项工程施工现场无其相关责任人；</w:t>
      </w:r>
    </w:p>
    <w:p w14:paraId="6C22B470">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施工现场无基本的检测检验工具；</w:t>
      </w:r>
    </w:p>
    <w:p w14:paraId="4E6102C1">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Ⅳ 施工现场相关责任人无检查检验记录表；</w:t>
      </w:r>
    </w:p>
    <w:p w14:paraId="1583BABE">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Ⅴ 现场已完成工作无检查记录。</w:t>
      </w:r>
    </w:p>
    <w:p w14:paraId="7F2D08EB">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（b）出现以下行为之一，可处1000元/次。</w:t>
      </w:r>
    </w:p>
    <w:p w14:paraId="240A3F1B">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未按工序申请检验进入下一道工序的；</w:t>
      </w:r>
    </w:p>
    <w:p w14:paraId="364D1B97">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隐蔽工程记录文件不全；</w:t>
      </w:r>
    </w:p>
    <w:p w14:paraId="0546A31D">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施工试验检验频率不符合施工规范规定；</w:t>
      </w:r>
    </w:p>
    <w:p w14:paraId="1DFDD5EC">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Ⅳ　分项工程质量自检验收检验频率不符合质量评定标准规定的。</w:t>
      </w:r>
    </w:p>
    <w:p w14:paraId="4D225FA6">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（c）出现以下行为之一，可处2000元/次。</w:t>
      </w:r>
    </w:p>
    <w:p w14:paraId="7682283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出现质量问题，且承包人负有直接责任的，或不能证明其履行其职责的。</w:t>
      </w:r>
    </w:p>
    <w:p w14:paraId="29B2B87F">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发生质量事故，未按有关规定和时间向有关部门报告的；</w:t>
      </w:r>
    </w:p>
    <w:p w14:paraId="4BA8DB03">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已经施工完成的工程没有按竣工文件收集归档管理办法要求依分项工程、工序将施工作业记录、测量记录、试验检测记录及工序报验审批记录等收集归档。</w:t>
      </w:r>
    </w:p>
    <w:p w14:paraId="70755F2C">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（d ）出现以下行为之一，可处5000元/次。</w:t>
      </w:r>
    </w:p>
    <w:p w14:paraId="76ECD164">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施工单位不接受质监机构监督；</w:t>
      </w:r>
    </w:p>
    <w:p w14:paraId="338245EA">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出现二、三级一般质量事故，且承包人负有直接责任，或不能证明其履行其职责的；</w:t>
      </w:r>
    </w:p>
    <w:p w14:paraId="06E884F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未按规定建立合格的工地试验室的；</w:t>
      </w:r>
    </w:p>
    <w:p w14:paraId="4FF15507">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Ⅳ　路基土石方，路面各结构层一次单项单点实体抽查合格率为50%—70%的；</w:t>
      </w:r>
    </w:p>
    <w:p w14:paraId="1492D65F">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Ⅴ　使用主要材料（钢筋、水泥、沥青、碎石、砂、砂砾等）不合格的。</w:t>
      </w:r>
    </w:p>
    <w:p w14:paraId="42B2E585">
      <w:pPr>
        <w:tabs>
          <w:tab w:val="left" w:pos="1080"/>
        </w:tabs>
        <w:spacing w:line="440" w:lineRule="exact"/>
        <w:ind w:firstLine="720" w:firstLineChars="300"/>
        <w:rPr>
          <w:rFonts w:ascii="Arial" w:hAnsi="Arial" w:cs="Arial"/>
          <w:color w:val="auto"/>
          <w:sz w:val="24"/>
          <w:highlight w:val="none"/>
        </w:rPr>
      </w:pPr>
      <w:r>
        <w:rPr>
          <w:rFonts w:hint="eastAsia" w:ascii="宋体" w:hAnsi="宋体" w:cs="宋体"/>
          <w:color w:val="auto"/>
          <w:sz w:val="24"/>
          <w:highlight w:val="none"/>
        </w:rPr>
        <w:t>Ⅷ</w:t>
      </w:r>
      <w:r>
        <w:rPr>
          <w:rFonts w:hint="eastAsia" w:ascii="Arial" w:hAnsi="Arial" w:cs="Arial"/>
          <w:color w:val="auto"/>
          <w:sz w:val="24"/>
          <w:highlight w:val="none"/>
        </w:rPr>
        <w:t>　已完成的工程项目，在</w:t>
      </w:r>
      <w:r>
        <w:rPr>
          <w:rFonts w:ascii="Arial" w:hAnsi="Arial" w:cs="Arial"/>
          <w:color w:val="auto"/>
          <w:sz w:val="24"/>
          <w:highlight w:val="none"/>
        </w:rPr>
        <w:t>20</w:t>
      </w:r>
      <w:r>
        <w:rPr>
          <w:rFonts w:hint="eastAsia" w:ascii="Arial" w:hAnsi="Arial" w:cs="Arial"/>
          <w:color w:val="auto"/>
          <w:sz w:val="24"/>
          <w:highlight w:val="none"/>
        </w:rPr>
        <w:t>天内无法提供按竣工文件收集归档管理办法要求提供合格的工程竣工文件。</w:t>
      </w:r>
    </w:p>
    <w:p w14:paraId="069217A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（e）出现以下行为之一，可处10000元/次。</w:t>
      </w:r>
    </w:p>
    <w:p w14:paraId="36B3605E">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 xml:space="preserve">Ⅰ　发生一级一般质量事故或重大质量事故，且承包人负有直接责任，或不能证明其履行其职责的； </w:t>
      </w:r>
    </w:p>
    <w:p w14:paraId="2606266B">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路基土石方，路面各结构一次单项单点实体抽查合格率在50%以下的（单点合格率计算以设计值为准，达不到设计值的点为不合格点，下同）；</w:t>
      </w:r>
    </w:p>
    <w:p w14:paraId="5C04F12F">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砌筑、排水、小桥、涵洞等构造物，中小型预制构件，房建工程等一次单点实体抽查合格率小于50%的；</w:t>
      </w:r>
    </w:p>
    <w:p w14:paraId="44646E99">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Ⅳ　未按要求进行自检，弄虚作假、捏造数据、伪造试验报告的。</w:t>
      </w:r>
    </w:p>
    <w:p w14:paraId="7E1901DB">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（f）因质量问题被地市级及以上交通主管部门、质量监督单位、公路管理机构通报（批评）的，可对承包人处以100000元违约金，红牌警告50000元，黄牌警告30000元。</w:t>
      </w:r>
    </w:p>
    <w:p w14:paraId="1BE4F24B">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（g）因地市局以上交通主管部门、质量监督单位、公路管理机构对施工现场抽检不合格的，按每项对承包人处以100000元罚款。</w:t>
      </w:r>
    </w:p>
    <w:p w14:paraId="52C77AA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b．安全生产管理</w:t>
      </w:r>
    </w:p>
    <w:p w14:paraId="14E5F6E5">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（a）出现下列行为之一可处200元/（人）次。</w:t>
      </w:r>
    </w:p>
    <w:p w14:paraId="21AA68FB">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需持证上岗人员无证上岗的；</w:t>
      </w:r>
    </w:p>
    <w:p w14:paraId="78F5DB43">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需配戴安全防护用具作业的；</w:t>
      </w:r>
    </w:p>
    <w:p w14:paraId="32AC5BE9">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未经登记、安全培训教育上岗的。</w:t>
      </w:r>
    </w:p>
    <w:p w14:paraId="3E16F327">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（b）出现下列行为之一可处500元/处次。</w:t>
      </w:r>
    </w:p>
    <w:p w14:paraId="1A8CC927">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无专职安全检查人员；</w:t>
      </w:r>
    </w:p>
    <w:p w14:paraId="23786E11">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无安全生产检查日志；</w:t>
      </w:r>
    </w:p>
    <w:p w14:paraId="073B59E8">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作业点或危险施工路段安全标志不全；</w:t>
      </w:r>
    </w:p>
    <w:p w14:paraId="42E36918">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Ⅳ　安全标志（牌）、线（绳）不符国家规定的；</w:t>
      </w:r>
    </w:p>
    <w:p w14:paraId="253EF75A">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Ⅴ　易燃易爆物品管理不符合管理要求。</w:t>
      </w:r>
    </w:p>
    <w:p w14:paraId="08D599AD">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（c）出现下列行为之一可处1000元/处次。</w:t>
      </w:r>
    </w:p>
    <w:p w14:paraId="21D284B6">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Ⅰ　施工作业点或施工形成的危险路段无规定的安全标志；</w:t>
      </w:r>
    </w:p>
    <w:p w14:paraId="7DCF2710">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Ⅱ　需设安全防护设施的未按规定设置；</w:t>
      </w:r>
    </w:p>
    <w:p w14:paraId="00EEE4AF">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Ⅲ　出现一般安全生事故负有责任的；</w:t>
      </w:r>
    </w:p>
    <w:p w14:paraId="4D9DB55E">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Ⅳ　发生重大安全事故不按规定报告的。</w:t>
      </w:r>
    </w:p>
    <w:p w14:paraId="5214260D">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（d）出现下列行为之一可处10000元/处次。</w:t>
      </w:r>
    </w:p>
    <w:p w14:paraId="5136AA6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出现重大安全生产事故负有责任的。</w:t>
      </w:r>
    </w:p>
    <w:p w14:paraId="67783A0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c．文明施工与环境保护，交通通畅</w:t>
      </w:r>
    </w:p>
    <w:p w14:paraId="0256BA6A">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（a）路基路面施工扬尘影响交通安全的处500元/处天；</w:t>
      </w:r>
    </w:p>
    <w:p w14:paraId="7FF537F1">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（b）由于施工原因造成污染、破坏被群众向政府、主管单位投诉或被环保、水利部门责令整改的，处1000元/次。</w:t>
      </w:r>
    </w:p>
    <w:p w14:paraId="2C62DAB0">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c）由于承包人原因包括不及时处理堵车造成交通堵塞，堵车30分钟至一小时的处5000元/次，堵车一小时至二小时的处1万元/次，堵车二小时以上的处每小时（不满1小时按1小时计）1万元，并建议上级主管单位进行通报。</w:t>
      </w:r>
    </w:p>
    <w:p w14:paraId="2027C9C2">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d．其他重要规定违约处理</w:t>
      </w:r>
    </w:p>
    <w:p w14:paraId="032F73D6">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　有下列行为之一的处500元/人次违约金并责令承包人进行整改。</w:t>
      </w:r>
    </w:p>
    <w:p w14:paraId="21B98F35">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(a)  劳务人员未按规定签订聘用合同并向业主、监理工程师报备；</w:t>
      </w:r>
    </w:p>
    <w:p w14:paraId="68A82A7D">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(b )　签订的劳务合同不符合劳动法等法规要求；</w:t>
      </w:r>
    </w:p>
    <w:p w14:paraId="344637BC">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(c )　劳务人员未编入承包人施工班组，并持项目经理签发的劳务上岗证上岗。</w:t>
      </w:r>
    </w:p>
    <w:p w14:paraId="34ACD2FA">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（5）上述被处的违约金在计量支付时从履约担保金中扣除，当扣除额达履约担保金总额30%时，承包人无条件进行足额补充。</w:t>
      </w:r>
    </w:p>
    <w:p w14:paraId="71099360">
      <w:pPr>
        <w:tabs>
          <w:tab w:val="left" w:pos="1080"/>
        </w:tabs>
        <w:spacing w:line="440" w:lineRule="exact"/>
        <w:ind w:left="420" w:firstLine="480"/>
        <w:rPr>
          <w:rFonts w:ascii="宋体" w:hAnsi="宋体"/>
          <w:color w:val="auto"/>
          <w:sz w:val="24"/>
          <w:highlight w:val="none"/>
        </w:rPr>
      </w:pPr>
      <w:r>
        <w:rPr>
          <w:rFonts w:hint="eastAsia" w:ascii="宋体" w:hAnsi="宋体"/>
          <w:color w:val="auto"/>
          <w:sz w:val="24"/>
          <w:highlight w:val="none"/>
        </w:rPr>
        <w:t>（6）业主（招标人）按合同进行违约处理后，并不解除承包人按照国家法规与合同应承担的责任与义务。</w:t>
      </w:r>
    </w:p>
    <w:p w14:paraId="1762AA0D">
      <w:pPr>
        <w:tabs>
          <w:tab w:val="left" w:pos="1080"/>
        </w:tabs>
        <w:ind w:left="420" w:firstLine="480"/>
        <w:rPr>
          <w:rFonts w:ascii="宋体" w:hAnsi="宋体"/>
          <w:color w:val="auto"/>
          <w:sz w:val="24"/>
          <w:highlight w:val="none"/>
        </w:rPr>
      </w:pPr>
    </w:p>
    <w:p w14:paraId="31D73E39">
      <w:pPr>
        <w:spacing w:line="360" w:lineRule="auto"/>
        <w:rPr>
          <w:color w:val="auto"/>
          <w:sz w:val="24"/>
          <w:highlight w:val="none"/>
        </w:rPr>
      </w:pPr>
    </w:p>
    <w:bookmarkEnd w:id="111"/>
    <w:bookmarkEnd w:id="112"/>
    <w:bookmarkEnd w:id="113"/>
    <w:bookmarkEnd w:id="114"/>
    <w:bookmarkEnd w:id="115"/>
    <w:bookmarkEnd w:id="116"/>
    <w:bookmarkEnd w:id="117"/>
    <w:bookmarkEnd w:id="118"/>
    <w:bookmarkEnd w:id="119"/>
    <w:bookmarkEnd w:id="120"/>
    <w:bookmarkEnd w:id="121"/>
    <w:p w14:paraId="592D203D">
      <w:pPr>
        <w:spacing w:line="360" w:lineRule="auto"/>
        <w:jc w:val="left"/>
        <w:rPr>
          <w:rFonts w:eastAsia="黑体"/>
          <w:b/>
          <w:color w:val="auto"/>
          <w:sz w:val="24"/>
          <w:highlight w:val="none"/>
        </w:rPr>
      </w:pPr>
      <w:bookmarkStart w:id="135" w:name="_Toc351203652"/>
    </w:p>
    <w:p w14:paraId="4BE33745">
      <w:pPr>
        <w:spacing w:line="360" w:lineRule="auto"/>
        <w:jc w:val="left"/>
        <w:rPr>
          <w:rFonts w:ascii="宋体" w:cs="宋体"/>
          <w:b/>
          <w:color w:val="auto"/>
          <w:sz w:val="24"/>
          <w:highlight w:val="none"/>
        </w:rPr>
      </w:pPr>
      <w:r>
        <w:rPr>
          <w:rFonts w:eastAsia="黑体"/>
          <w:b/>
          <w:color w:val="auto"/>
          <w:sz w:val="24"/>
          <w:highlight w:val="none"/>
        </w:rPr>
        <w:t>附件</w:t>
      </w:r>
      <w:bookmarkEnd w:id="135"/>
    </w:p>
    <w:p w14:paraId="22D816A1">
      <w:pPr>
        <w:spacing w:line="360" w:lineRule="auto"/>
        <w:jc w:val="left"/>
        <w:rPr>
          <w:rFonts w:ascii="宋体"/>
          <w:color w:val="auto"/>
          <w:sz w:val="24"/>
          <w:highlight w:val="none"/>
        </w:rPr>
      </w:pPr>
      <w:r>
        <w:rPr>
          <w:rFonts w:hint="eastAsia" w:ascii="宋体" w:hAnsi="宋体"/>
          <w:color w:val="auto"/>
          <w:sz w:val="24"/>
          <w:highlight w:val="none"/>
        </w:rPr>
        <w:t>协议书附件：</w:t>
      </w:r>
    </w:p>
    <w:p w14:paraId="11DD85B1">
      <w:pPr>
        <w:spacing w:line="360" w:lineRule="auto"/>
        <w:jc w:val="left"/>
        <w:rPr>
          <w:rFonts w:ascii="宋体"/>
          <w:color w:val="auto"/>
          <w:sz w:val="24"/>
          <w:highlight w:val="none"/>
        </w:rPr>
      </w:pPr>
      <w:r>
        <w:rPr>
          <w:rFonts w:hint="eastAsia" w:ascii="宋体" w:hAnsi="宋体"/>
          <w:color w:val="auto"/>
          <w:sz w:val="24"/>
          <w:highlight w:val="none"/>
        </w:rPr>
        <w:t>附件</w:t>
      </w:r>
      <w:r>
        <w:rPr>
          <w:rFonts w:ascii="宋体" w:hAnsi="宋体"/>
          <w:color w:val="auto"/>
          <w:sz w:val="24"/>
          <w:highlight w:val="none"/>
        </w:rPr>
        <w:t>1</w:t>
      </w:r>
      <w:r>
        <w:rPr>
          <w:rFonts w:hint="eastAsia" w:ascii="宋体" w:hAnsi="宋体"/>
          <w:color w:val="auto"/>
          <w:sz w:val="24"/>
          <w:highlight w:val="none"/>
        </w:rPr>
        <w:t>：已标价工程量清单</w:t>
      </w:r>
    </w:p>
    <w:p w14:paraId="0408576E">
      <w:pPr>
        <w:spacing w:line="360" w:lineRule="auto"/>
        <w:jc w:val="left"/>
        <w:rPr>
          <w:rFonts w:ascii="宋体"/>
          <w:color w:val="auto"/>
          <w:sz w:val="24"/>
          <w:highlight w:val="none"/>
        </w:rPr>
      </w:pPr>
      <w:r>
        <w:rPr>
          <w:rFonts w:hint="eastAsia" w:ascii="宋体" w:hAnsi="宋体"/>
          <w:color w:val="auto"/>
          <w:sz w:val="24"/>
          <w:highlight w:val="none"/>
        </w:rPr>
        <w:t>附件</w:t>
      </w:r>
      <w:r>
        <w:rPr>
          <w:rFonts w:ascii="宋体" w:hAnsi="宋体"/>
          <w:color w:val="auto"/>
          <w:sz w:val="24"/>
          <w:highlight w:val="none"/>
        </w:rPr>
        <w:t>2</w:t>
      </w:r>
      <w:r>
        <w:rPr>
          <w:rFonts w:hint="eastAsia" w:ascii="宋体" w:hAnsi="宋体"/>
          <w:color w:val="auto"/>
          <w:sz w:val="24"/>
          <w:highlight w:val="none"/>
        </w:rPr>
        <w:t>：工程质量保修书</w:t>
      </w:r>
    </w:p>
    <w:p w14:paraId="41F9B17C">
      <w:pPr>
        <w:spacing w:line="360" w:lineRule="auto"/>
        <w:jc w:val="left"/>
        <w:rPr>
          <w:rFonts w:ascii="宋体"/>
          <w:color w:val="auto"/>
          <w:sz w:val="24"/>
          <w:highlight w:val="none"/>
        </w:rPr>
      </w:pPr>
      <w:r>
        <w:rPr>
          <w:rFonts w:hint="eastAsia" w:ascii="宋体" w:hAnsi="宋体"/>
          <w:color w:val="auto"/>
          <w:sz w:val="24"/>
          <w:highlight w:val="none"/>
        </w:rPr>
        <w:t>附件3：农民工工资保证金缴纳证明</w:t>
      </w:r>
    </w:p>
    <w:p w14:paraId="7B509BDD">
      <w:pPr>
        <w:spacing w:line="360" w:lineRule="auto"/>
        <w:jc w:val="left"/>
        <w:rPr>
          <w:rFonts w:hint="eastAsia" w:ascii="宋体" w:hAnsi="宋体"/>
          <w:color w:val="auto"/>
          <w:sz w:val="24"/>
          <w:highlight w:val="none"/>
        </w:rPr>
        <w:sectPr>
          <w:pgSz w:w="11907" w:h="16840"/>
          <w:pgMar w:top="1440" w:right="1080" w:bottom="1440" w:left="1080" w:header="850" w:footer="850" w:gutter="0"/>
          <w:pgNumType w:fmt="decimal"/>
          <w:cols w:space="720" w:num="1"/>
          <w:docGrid w:linePitch="286" w:charSpace="0"/>
        </w:sectPr>
      </w:pPr>
    </w:p>
    <w:p w14:paraId="2B9E3A87">
      <w:pPr>
        <w:spacing w:line="360" w:lineRule="auto"/>
        <w:jc w:val="left"/>
        <w:rPr>
          <w:rFonts w:ascii="宋体"/>
          <w:color w:val="auto"/>
          <w:sz w:val="24"/>
          <w:highlight w:val="none"/>
        </w:rPr>
      </w:pPr>
      <w:r>
        <w:rPr>
          <w:rFonts w:hint="eastAsia" w:ascii="宋体" w:hAnsi="宋体"/>
          <w:color w:val="auto"/>
          <w:sz w:val="24"/>
          <w:highlight w:val="none"/>
        </w:rPr>
        <w:t>附件</w:t>
      </w:r>
      <w:r>
        <w:rPr>
          <w:rFonts w:ascii="宋体" w:hAnsi="宋体"/>
          <w:color w:val="auto"/>
          <w:sz w:val="24"/>
          <w:highlight w:val="none"/>
        </w:rPr>
        <w:t>2</w:t>
      </w:r>
      <w:r>
        <w:rPr>
          <w:rFonts w:hint="eastAsia" w:ascii="宋体" w:hAnsi="宋体"/>
          <w:color w:val="auto"/>
          <w:sz w:val="24"/>
          <w:highlight w:val="none"/>
        </w:rPr>
        <w:t>：</w:t>
      </w:r>
    </w:p>
    <w:p w14:paraId="7AA34B3F">
      <w:pPr>
        <w:spacing w:before="120" w:beforeLines="50" w:after="120" w:afterLines="50" w:line="440" w:lineRule="exact"/>
        <w:jc w:val="center"/>
        <w:rPr>
          <w:rFonts w:ascii="宋体"/>
          <w:b/>
          <w:color w:val="auto"/>
          <w:sz w:val="24"/>
          <w:highlight w:val="none"/>
        </w:rPr>
      </w:pPr>
      <w:r>
        <w:rPr>
          <w:rFonts w:hint="eastAsia" w:ascii="宋体" w:hAnsi="宋体"/>
          <w:b/>
          <w:color w:val="auto"/>
          <w:sz w:val="24"/>
          <w:highlight w:val="none"/>
        </w:rPr>
        <w:t>工程质量保修书</w:t>
      </w:r>
    </w:p>
    <w:p w14:paraId="04929871">
      <w:pPr>
        <w:pStyle w:val="20"/>
        <w:spacing w:line="360" w:lineRule="auto"/>
        <w:ind w:firstLine="540"/>
        <w:rPr>
          <w:rFonts w:hint="eastAsia" w:hAnsi="宋体" w:eastAsia="宋体"/>
          <w:color w:val="auto"/>
          <w:sz w:val="24"/>
          <w:szCs w:val="24"/>
          <w:highlight w:val="none"/>
          <w:u w:val="single"/>
          <w:lang w:eastAsia="zh-CN"/>
        </w:rPr>
      </w:pPr>
      <w:r>
        <w:rPr>
          <w:rFonts w:hint="eastAsia" w:hAnsi="宋体"/>
          <w:color w:val="auto"/>
          <w:sz w:val="24"/>
          <w:szCs w:val="24"/>
          <w:highlight w:val="none"/>
        </w:rPr>
        <w:t>发包人</w:t>
      </w:r>
      <w:r>
        <w:rPr>
          <w:rFonts w:hAnsi="宋体"/>
          <w:color w:val="auto"/>
          <w:sz w:val="24"/>
          <w:szCs w:val="24"/>
          <w:highlight w:val="none"/>
        </w:rPr>
        <w:t>(</w:t>
      </w:r>
      <w:r>
        <w:rPr>
          <w:rFonts w:hint="eastAsia" w:hAnsi="宋体"/>
          <w:color w:val="auto"/>
          <w:sz w:val="24"/>
          <w:szCs w:val="24"/>
          <w:highlight w:val="none"/>
        </w:rPr>
        <w:t>全称</w:t>
      </w:r>
      <w:r>
        <w:rPr>
          <w:rFonts w:hAnsi="宋体"/>
          <w:color w:val="auto"/>
          <w:sz w:val="24"/>
          <w:szCs w:val="24"/>
          <w:highlight w:val="none"/>
        </w:rPr>
        <w:t>)</w:t>
      </w:r>
      <w:r>
        <w:rPr>
          <w:rFonts w:hint="eastAsia" w:hAnsi="宋体"/>
          <w:color w:val="auto"/>
          <w:sz w:val="24"/>
          <w:szCs w:val="24"/>
          <w:highlight w:val="none"/>
        </w:rPr>
        <w:t>：</w:t>
      </w:r>
      <w:r>
        <w:rPr>
          <w:rFonts w:hint="eastAsia" w:hAnsi="宋体"/>
          <w:color w:val="auto"/>
          <w:sz w:val="24"/>
          <w:szCs w:val="24"/>
          <w:highlight w:val="none"/>
          <w:u w:val="single"/>
          <w:lang w:eastAsia="zh-CN"/>
        </w:rPr>
        <w:t>凭祥市林业局</w:t>
      </w:r>
    </w:p>
    <w:p w14:paraId="1C13D76F">
      <w:pPr>
        <w:pStyle w:val="20"/>
        <w:spacing w:line="360" w:lineRule="auto"/>
        <w:ind w:firstLine="540"/>
        <w:rPr>
          <w:rFonts w:hAnsi="宋体"/>
          <w:bCs/>
          <w:color w:val="auto"/>
          <w:sz w:val="24"/>
          <w:szCs w:val="24"/>
          <w:highlight w:val="none"/>
          <w:u w:val="single"/>
        </w:rPr>
      </w:pPr>
      <w:r>
        <w:rPr>
          <w:rFonts w:hint="eastAsia" w:hAnsi="宋体"/>
          <w:color w:val="auto"/>
          <w:sz w:val="24"/>
          <w:szCs w:val="24"/>
          <w:highlight w:val="none"/>
        </w:rPr>
        <w:t>承包人</w:t>
      </w:r>
      <w:r>
        <w:rPr>
          <w:rFonts w:hAnsi="宋体"/>
          <w:color w:val="auto"/>
          <w:sz w:val="24"/>
          <w:szCs w:val="24"/>
          <w:highlight w:val="none"/>
        </w:rPr>
        <w:t>(</w:t>
      </w:r>
      <w:r>
        <w:rPr>
          <w:rFonts w:hint="eastAsia" w:hAnsi="宋体"/>
          <w:color w:val="auto"/>
          <w:sz w:val="24"/>
          <w:szCs w:val="24"/>
          <w:highlight w:val="none"/>
        </w:rPr>
        <w:t>全称</w:t>
      </w:r>
      <w:r>
        <w:rPr>
          <w:rFonts w:hAnsi="宋体"/>
          <w:color w:val="auto"/>
          <w:sz w:val="24"/>
          <w:szCs w:val="24"/>
          <w:highlight w:val="none"/>
        </w:rPr>
        <w:t>)</w:t>
      </w:r>
      <w:r>
        <w:rPr>
          <w:rFonts w:hint="eastAsia" w:hAnsi="宋体"/>
          <w:color w:val="auto"/>
          <w:sz w:val="24"/>
          <w:szCs w:val="24"/>
          <w:highlight w:val="none"/>
        </w:rPr>
        <w:t>：</w:t>
      </w:r>
      <w:r>
        <w:rPr>
          <w:rFonts w:hint="eastAsia" w:hAnsi="宋体"/>
          <w:bCs/>
          <w:color w:val="auto"/>
          <w:sz w:val="24"/>
          <w:szCs w:val="24"/>
          <w:highlight w:val="none"/>
          <w:u w:val="single"/>
        </w:rPr>
        <w:t xml:space="preserve">            </w:t>
      </w:r>
    </w:p>
    <w:p w14:paraId="3B65AB7C">
      <w:pPr>
        <w:pStyle w:val="20"/>
        <w:spacing w:line="360" w:lineRule="auto"/>
        <w:ind w:firstLine="540"/>
        <w:rPr>
          <w:rFonts w:hAnsi="宋体"/>
          <w:color w:val="auto"/>
          <w:sz w:val="24"/>
          <w:szCs w:val="24"/>
          <w:highlight w:val="none"/>
        </w:rPr>
      </w:pPr>
      <w:r>
        <w:rPr>
          <w:rFonts w:hint="eastAsia" w:hAnsi="宋体"/>
          <w:color w:val="auto"/>
          <w:sz w:val="24"/>
          <w:szCs w:val="24"/>
          <w:highlight w:val="none"/>
        </w:rPr>
        <w:t>为保证</w:t>
      </w:r>
      <w:r>
        <w:rPr>
          <w:rFonts w:hint="eastAsia" w:hAnsi="宋体" w:cs="宋体"/>
          <w:bCs/>
          <w:color w:val="auto"/>
          <w:sz w:val="24"/>
          <w:szCs w:val="24"/>
          <w:highlight w:val="none"/>
          <w:u w:val="single"/>
        </w:rPr>
        <w:t xml:space="preserve"> </w:t>
      </w:r>
      <w:r>
        <w:rPr>
          <w:rFonts w:hint="eastAsia" w:hAnsi="宋体"/>
          <w:bCs/>
          <w:color w:val="auto"/>
          <w:sz w:val="24"/>
          <w:szCs w:val="24"/>
          <w:highlight w:val="none"/>
          <w:u w:val="single"/>
          <w:lang w:eastAsia="zh-CN"/>
        </w:rPr>
        <w:t>上石镇马垌村古油茶产业基地道路建设项目</w:t>
      </w:r>
      <w:r>
        <w:rPr>
          <w:rFonts w:hint="eastAsia" w:hAnsi="宋体"/>
          <w:bCs/>
          <w:color w:val="auto"/>
          <w:sz w:val="24"/>
          <w:szCs w:val="24"/>
          <w:highlight w:val="none"/>
          <w:u w:val="single"/>
        </w:rPr>
        <w:t xml:space="preserve"> </w:t>
      </w:r>
      <w:r>
        <w:rPr>
          <w:rFonts w:hint="eastAsia" w:hAnsi="宋体"/>
          <w:bCs/>
          <w:color w:val="auto"/>
          <w:sz w:val="24"/>
          <w:szCs w:val="24"/>
          <w:highlight w:val="none"/>
        </w:rPr>
        <w:t>工程</w:t>
      </w:r>
      <w:r>
        <w:rPr>
          <w:rFonts w:hint="eastAsia" w:hAnsi="宋体"/>
          <w:color w:val="auto"/>
          <w:sz w:val="24"/>
          <w:szCs w:val="24"/>
          <w:highlight w:val="none"/>
        </w:rPr>
        <w:t>在合理使用期限内正常使用，发包人承包人协商一致签订工程质量保修书。承包人在质量保修期内按照有关管理规定及双方约定承担工程质量保修责任。</w:t>
      </w:r>
    </w:p>
    <w:p w14:paraId="03B1E7A5">
      <w:pPr>
        <w:pStyle w:val="20"/>
        <w:spacing w:line="360" w:lineRule="auto"/>
        <w:ind w:firstLine="540"/>
        <w:rPr>
          <w:rFonts w:hAnsi="宋体"/>
          <w:color w:val="auto"/>
          <w:sz w:val="24"/>
          <w:szCs w:val="24"/>
          <w:highlight w:val="none"/>
        </w:rPr>
      </w:pPr>
      <w:r>
        <w:rPr>
          <w:rFonts w:hint="eastAsia" w:hAnsi="宋体"/>
          <w:color w:val="auto"/>
          <w:sz w:val="24"/>
          <w:szCs w:val="24"/>
          <w:highlight w:val="none"/>
        </w:rPr>
        <w:t>一、工程质量保修范围和内容</w:t>
      </w:r>
    </w:p>
    <w:p w14:paraId="17F46036">
      <w:pPr>
        <w:pStyle w:val="20"/>
        <w:spacing w:line="360" w:lineRule="auto"/>
        <w:ind w:firstLine="420"/>
        <w:rPr>
          <w:rFonts w:hint="eastAsia" w:hAnsi="宋体"/>
          <w:color w:val="auto"/>
          <w:sz w:val="24"/>
          <w:szCs w:val="24"/>
          <w:highlight w:val="none"/>
        </w:rPr>
      </w:pPr>
      <w:r>
        <w:rPr>
          <w:rFonts w:hint="eastAsia" w:hAnsi="宋体"/>
          <w:color w:val="auto"/>
          <w:sz w:val="24"/>
          <w:szCs w:val="24"/>
          <w:highlight w:val="none"/>
        </w:rPr>
        <w:t>承包人在质量保修期内，按照有关法律、法规，规章规定和双方约定，承担本工程质量保修责任。</w:t>
      </w:r>
    </w:p>
    <w:p w14:paraId="768DB79B">
      <w:pPr>
        <w:pStyle w:val="20"/>
        <w:spacing w:line="360" w:lineRule="auto"/>
        <w:ind w:firstLine="420"/>
        <w:rPr>
          <w:rFonts w:hAnsi="宋体"/>
          <w:color w:val="auto"/>
          <w:sz w:val="24"/>
          <w:szCs w:val="24"/>
          <w:highlight w:val="none"/>
        </w:rPr>
      </w:pPr>
      <w:r>
        <w:rPr>
          <w:rFonts w:hint="eastAsia" w:hAnsi="宋体"/>
          <w:color w:val="auto"/>
          <w:sz w:val="24"/>
          <w:szCs w:val="24"/>
          <w:highlight w:val="none"/>
        </w:rPr>
        <w:t>质量保修范围包括涵洞工程。</w:t>
      </w:r>
    </w:p>
    <w:p w14:paraId="54D73A0D">
      <w:pPr>
        <w:pStyle w:val="20"/>
        <w:spacing w:line="360" w:lineRule="auto"/>
        <w:ind w:firstLine="406"/>
        <w:rPr>
          <w:rFonts w:hAnsi="宋体"/>
          <w:color w:val="auto"/>
          <w:sz w:val="24"/>
          <w:szCs w:val="24"/>
          <w:highlight w:val="none"/>
        </w:rPr>
      </w:pPr>
      <w:r>
        <w:rPr>
          <w:rFonts w:hint="eastAsia" w:hAnsi="宋体"/>
          <w:color w:val="auto"/>
          <w:sz w:val="24"/>
          <w:szCs w:val="24"/>
          <w:highlight w:val="none"/>
        </w:rPr>
        <w:t>具体质量保修内容双方约定如下：</w:t>
      </w:r>
    </w:p>
    <w:p w14:paraId="61CEC120">
      <w:pPr>
        <w:pStyle w:val="20"/>
        <w:spacing w:line="360" w:lineRule="auto"/>
        <w:ind w:firstLine="540"/>
        <w:rPr>
          <w:rFonts w:hAnsi="宋体"/>
          <w:b/>
          <w:color w:val="auto"/>
          <w:sz w:val="24"/>
          <w:szCs w:val="24"/>
          <w:highlight w:val="none"/>
        </w:rPr>
      </w:pPr>
      <w:r>
        <w:rPr>
          <w:rFonts w:hint="eastAsia" w:hAnsi="宋体"/>
          <w:b/>
          <w:color w:val="auto"/>
          <w:sz w:val="24"/>
          <w:szCs w:val="24"/>
          <w:highlight w:val="none"/>
        </w:rPr>
        <w:t>二、质量保修期</w:t>
      </w:r>
    </w:p>
    <w:p w14:paraId="63655862">
      <w:pPr>
        <w:pStyle w:val="20"/>
        <w:numPr>
          <w:ilvl w:val="1"/>
          <w:numId w:val="8"/>
        </w:numPr>
        <w:tabs>
          <w:tab w:val="left" w:pos="906"/>
        </w:tabs>
        <w:spacing w:line="360" w:lineRule="auto"/>
        <w:ind w:left="922" w:hanging="390"/>
        <w:rPr>
          <w:rFonts w:hAnsi="宋体"/>
          <w:b/>
          <w:color w:val="auto"/>
          <w:sz w:val="24"/>
          <w:szCs w:val="24"/>
          <w:highlight w:val="none"/>
        </w:rPr>
      </w:pPr>
      <w:r>
        <w:rPr>
          <w:rFonts w:hint="eastAsia" w:hAnsi="宋体"/>
          <w:b/>
          <w:color w:val="auto"/>
          <w:sz w:val="24"/>
          <w:szCs w:val="24"/>
          <w:highlight w:val="none"/>
        </w:rPr>
        <w:t>质量保修期从工程实际交工之日算起2年。</w:t>
      </w:r>
    </w:p>
    <w:p w14:paraId="447E2786">
      <w:pPr>
        <w:pStyle w:val="20"/>
        <w:spacing w:line="360" w:lineRule="auto"/>
        <w:ind w:firstLine="540"/>
        <w:rPr>
          <w:rFonts w:hAnsi="宋体"/>
          <w:color w:val="auto"/>
          <w:sz w:val="24"/>
          <w:szCs w:val="24"/>
          <w:highlight w:val="none"/>
        </w:rPr>
      </w:pPr>
      <w:r>
        <w:rPr>
          <w:rFonts w:hint="eastAsia" w:hAnsi="宋体"/>
          <w:color w:val="auto"/>
          <w:sz w:val="24"/>
          <w:szCs w:val="24"/>
          <w:highlight w:val="none"/>
        </w:rPr>
        <w:t>三、质量保修保质责任</w:t>
      </w:r>
    </w:p>
    <w:p w14:paraId="32445191">
      <w:pPr>
        <w:pStyle w:val="20"/>
        <w:spacing w:line="360" w:lineRule="auto"/>
        <w:ind w:firstLine="412"/>
        <w:rPr>
          <w:rFonts w:hAnsi="宋体"/>
          <w:color w:val="auto"/>
          <w:sz w:val="24"/>
          <w:szCs w:val="24"/>
          <w:highlight w:val="none"/>
        </w:rPr>
      </w:pPr>
      <w:r>
        <w:rPr>
          <w:rFonts w:hAnsi="宋体"/>
          <w:color w:val="auto"/>
          <w:sz w:val="24"/>
          <w:szCs w:val="24"/>
          <w:highlight w:val="none"/>
        </w:rPr>
        <w:t>1</w:t>
      </w:r>
      <w:r>
        <w:rPr>
          <w:rFonts w:hint="eastAsia" w:hAnsi="宋体"/>
          <w:color w:val="auto"/>
          <w:sz w:val="24"/>
          <w:szCs w:val="24"/>
          <w:highlight w:val="none"/>
        </w:rPr>
        <w:t>、属于保修范围和内容的项目，承包人应在接到修理通知之日后</w:t>
      </w:r>
      <w:r>
        <w:rPr>
          <w:rFonts w:hAnsi="宋体"/>
          <w:color w:val="auto"/>
          <w:sz w:val="24"/>
          <w:szCs w:val="24"/>
          <w:highlight w:val="none"/>
        </w:rPr>
        <w:t>2</w:t>
      </w:r>
      <w:r>
        <w:rPr>
          <w:rFonts w:hint="eastAsia" w:hAnsi="宋体"/>
          <w:color w:val="auto"/>
          <w:sz w:val="24"/>
          <w:szCs w:val="24"/>
          <w:highlight w:val="none"/>
        </w:rPr>
        <w:t>天内派人修理。承包人不在约定期限内派人修理，发包人可委托其他人员修理，保修费用从质量保修金内扣除。</w:t>
      </w:r>
    </w:p>
    <w:p w14:paraId="094DB3B9">
      <w:pPr>
        <w:pStyle w:val="20"/>
        <w:spacing w:line="360" w:lineRule="auto"/>
        <w:ind w:firstLine="412"/>
        <w:rPr>
          <w:rFonts w:hAnsi="宋体"/>
          <w:color w:val="auto"/>
          <w:sz w:val="24"/>
          <w:szCs w:val="24"/>
          <w:highlight w:val="none"/>
        </w:rPr>
      </w:pPr>
      <w:r>
        <w:rPr>
          <w:rFonts w:hAnsi="宋体"/>
          <w:color w:val="auto"/>
          <w:sz w:val="24"/>
          <w:szCs w:val="24"/>
          <w:highlight w:val="none"/>
        </w:rPr>
        <w:t>2</w:t>
      </w:r>
      <w:r>
        <w:rPr>
          <w:rFonts w:hint="eastAsia" w:hAnsi="宋体"/>
          <w:color w:val="auto"/>
          <w:sz w:val="24"/>
          <w:szCs w:val="24"/>
          <w:highlight w:val="none"/>
        </w:rPr>
        <w:t>、发生须紧急抢修事故的，承包人接到事故通知后，应立即到达事故现场抢修。非承包人施工质量引起的事故，抢修费用由发包人承担。</w:t>
      </w:r>
    </w:p>
    <w:p w14:paraId="38BFCAF9">
      <w:pPr>
        <w:pStyle w:val="20"/>
        <w:spacing w:line="360" w:lineRule="auto"/>
        <w:ind w:firstLine="412"/>
        <w:rPr>
          <w:rFonts w:hAnsi="宋体"/>
          <w:color w:val="auto"/>
          <w:sz w:val="24"/>
          <w:szCs w:val="24"/>
          <w:highlight w:val="none"/>
        </w:rPr>
      </w:pPr>
      <w:r>
        <w:rPr>
          <w:rFonts w:hAnsi="宋体"/>
          <w:color w:val="auto"/>
          <w:sz w:val="24"/>
          <w:szCs w:val="24"/>
          <w:highlight w:val="none"/>
        </w:rPr>
        <w:t>3</w:t>
      </w:r>
      <w:r>
        <w:rPr>
          <w:rFonts w:hint="eastAsia" w:hAnsi="宋体"/>
          <w:color w:val="auto"/>
          <w:sz w:val="24"/>
          <w:szCs w:val="24"/>
          <w:highlight w:val="none"/>
        </w:rPr>
        <w:t>、在保修期内，如发生涉及结构安全的质量问题，发包人和承包人应当立即向当地建设行政主管部门报告，并采取安全防范措施，由原设计单位或具有相应资质等级的设计单位提出保修方案，承包人负责实施保修，保修费用由承包人承担。因承包人原因致使工程在合理使用期限内造成人身和财产损害的，承包人应承担损害赔偿责任。</w:t>
      </w:r>
    </w:p>
    <w:p w14:paraId="63043F2C">
      <w:pPr>
        <w:pStyle w:val="20"/>
        <w:spacing w:line="360" w:lineRule="auto"/>
        <w:ind w:firstLine="456"/>
        <w:rPr>
          <w:rFonts w:hAnsi="宋体"/>
          <w:color w:val="auto"/>
          <w:sz w:val="24"/>
          <w:szCs w:val="24"/>
          <w:highlight w:val="none"/>
        </w:rPr>
      </w:pPr>
      <w:r>
        <w:rPr>
          <w:rFonts w:hAnsi="宋体"/>
          <w:color w:val="auto"/>
          <w:sz w:val="24"/>
          <w:szCs w:val="24"/>
          <w:highlight w:val="none"/>
        </w:rPr>
        <w:t>4</w:t>
      </w:r>
      <w:r>
        <w:rPr>
          <w:rFonts w:hint="eastAsia" w:hAnsi="宋体"/>
          <w:color w:val="auto"/>
          <w:sz w:val="24"/>
          <w:szCs w:val="24"/>
          <w:highlight w:val="none"/>
        </w:rPr>
        <w:t>、保修完成后，由发包人组织有关单位人员验收。</w:t>
      </w:r>
    </w:p>
    <w:p w14:paraId="690D3C0D">
      <w:pPr>
        <w:pStyle w:val="20"/>
        <w:spacing w:line="360" w:lineRule="auto"/>
        <w:ind w:firstLine="456"/>
        <w:rPr>
          <w:rFonts w:hAnsi="宋体"/>
          <w:b/>
          <w:bCs/>
          <w:color w:val="auto"/>
          <w:sz w:val="24"/>
          <w:szCs w:val="24"/>
          <w:highlight w:val="none"/>
        </w:rPr>
      </w:pPr>
      <w:r>
        <w:rPr>
          <w:rFonts w:hint="eastAsia" w:hAnsi="宋体"/>
          <w:b/>
          <w:bCs/>
          <w:color w:val="auto"/>
          <w:sz w:val="24"/>
          <w:szCs w:val="24"/>
          <w:highlight w:val="none"/>
        </w:rPr>
        <w:t>﹡四、质量保修金的支付</w:t>
      </w:r>
    </w:p>
    <w:p w14:paraId="55FF9976">
      <w:pPr>
        <w:pStyle w:val="20"/>
        <w:spacing w:line="360" w:lineRule="auto"/>
        <w:ind w:firstLine="412"/>
        <w:rPr>
          <w:rFonts w:hAnsi="宋体"/>
          <w:color w:val="auto"/>
          <w:sz w:val="24"/>
          <w:szCs w:val="24"/>
          <w:highlight w:val="none"/>
        </w:rPr>
      </w:pPr>
      <w:r>
        <w:rPr>
          <w:rFonts w:hint="eastAsia" w:hAnsi="宋体"/>
          <w:color w:val="auto"/>
          <w:sz w:val="24"/>
          <w:szCs w:val="24"/>
          <w:highlight w:val="none"/>
        </w:rPr>
        <w:t>本工程约定的工程质量保修金为工程结算价的3％。</w:t>
      </w:r>
    </w:p>
    <w:p w14:paraId="63E6D5FA">
      <w:pPr>
        <w:pStyle w:val="20"/>
        <w:spacing w:line="360" w:lineRule="auto"/>
        <w:ind w:firstLine="456"/>
        <w:rPr>
          <w:rFonts w:hAnsi="宋体"/>
          <w:color w:val="auto"/>
          <w:sz w:val="24"/>
          <w:szCs w:val="24"/>
          <w:highlight w:val="none"/>
        </w:rPr>
      </w:pPr>
      <w:r>
        <w:rPr>
          <w:rFonts w:hint="eastAsia" w:hAnsi="宋体"/>
          <w:color w:val="auto"/>
          <w:sz w:val="24"/>
          <w:szCs w:val="24"/>
          <w:highlight w:val="none"/>
        </w:rPr>
        <w:t>五、质量保修金的扣出及返还</w:t>
      </w:r>
    </w:p>
    <w:p w14:paraId="438CDB30">
      <w:pPr>
        <w:pStyle w:val="20"/>
        <w:spacing w:line="360" w:lineRule="auto"/>
        <w:ind w:firstLine="456"/>
        <w:rPr>
          <w:rFonts w:hAnsi="宋体"/>
          <w:color w:val="auto"/>
          <w:sz w:val="24"/>
          <w:szCs w:val="24"/>
          <w:highlight w:val="none"/>
        </w:rPr>
      </w:pPr>
      <w:r>
        <w:rPr>
          <w:rFonts w:hint="eastAsia" w:hAnsi="宋体"/>
          <w:color w:val="auto"/>
          <w:sz w:val="24"/>
          <w:szCs w:val="24"/>
          <w:highlight w:val="none"/>
        </w:rPr>
        <w:t>在工程质量保修期满后，由监理工程师签发《保修期终止证书》，由承包人向</w:t>
      </w:r>
      <w:r>
        <w:rPr>
          <w:rFonts w:hint="eastAsia" w:hAnsi="宋体"/>
          <w:color w:val="auto"/>
          <w:sz w:val="24"/>
          <w:szCs w:val="24"/>
          <w:highlight w:val="none"/>
          <w:lang w:eastAsia="zh-CN"/>
        </w:rPr>
        <w:t>当地财政局</w:t>
      </w:r>
      <w:r>
        <w:rPr>
          <w:rFonts w:hint="eastAsia" w:hAnsi="宋体"/>
          <w:color w:val="auto"/>
          <w:sz w:val="24"/>
          <w:szCs w:val="24"/>
          <w:highlight w:val="none"/>
        </w:rPr>
        <w:t>提出申请将3%工程质量保证金结清。</w:t>
      </w:r>
    </w:p>
    <w:p w14:paraId="5F591224">
      <w:pPr>
        <w:pStyle w:val="20"/>
        <w:spacing w:line="360" w:lineRule="auto"/>
        <w:ind w:firstLine="456"/>
        <w:rPr>
          <w:rFonts w:hAnsi="宋体"/>
          <w:color w:val="auto"/>
          <w:sz w:val="24"/>
          <w:szCs w:val="24"/>
          <w:highlight w:val="none"/>
        </w:rPr>
      </w:pPr>
      <w:r>
        <w:rPr>
          <w:rFonts w:hint="eastAsia" w:hAnsi="宋体"/>
          <w:color w:val="auto"/>
          <w:sz w:val="24"/>
          <w:szCs w:val="24"/>
          <w:highlight w:val="none"/>
        </w:rPr>
        <w:t>六、其他</w:t>
      </w:r>
    </w:p>
    <w:p w14:paraId="68230CA0">
      <w:pPr>
        <w:pStyle w:val="20"/>
        <w:spacing w:line="360" w:lineRule="auto"/>
        <w:ind w:firstLine="456"/>
        <w:rPr>
          <w:rFonts w:hAnsi="宋体"/>
          <w:color w:val="auto"/>
          <w:sz w:val="24"/>
          <w:szCs w:val="24"/>
          <w:highlight w:val="none"/>
        </w:rPr>
      </w:pPr>
      <w:r>
        <w:rPr>
          <w:rFonts w:hint="eastAsia" w:hAnsi="宋体"/>
          <w:color w:val="auto"/>
          <w:sz w:val="24"/>
          <w:szCs w:val="24"/>
          <w:highlight w:val="none"/>
        </w:rPr>
        <w:t>双方约定的其他工程质量保修事项：无</w:t>
      </w:r>
    </w:p>
    <w:p w14:paraId="134DB494">
      <w:pPr>
        <w:pStyle w:val="20"/>
        <w:spacing w:line="360" w:lineRule="auto"/>
        <w:ind w:firstLine="456"/>
        <w:rPr>
          <w:rFonts w:hAnsi="宋体"/>
          <w:color w:val="auto"/>
          <w:sz w:val="24"/>
          <w:szCs w:val="24"/>
          <w:highlight w:val="none"/>
        </w:rPr>
      </w:pPr>
    </w:p>
    <w:p w14:paraId="7178A852">
      <w:pPr>
        <w:pStyle w:val="20"/>
        <w:spacing w:line="360" w:lineRule="auto"/>
        <w:ind w:firstLine="456"/>
        <w:rPr>
          <w:rFonts w:hAnsi="宋体"/>
          <w:color w:val="auto"/>
          <w:sz w:val="24"/>
          <w:szCs w:val="24"/>
          <w:highlight w:val="none"/>
        </w:rPr>
      </w:pPr>
      <w:r>
        <w:rPr>
          <w:rFonts w:hint="eastAsia" w:hAnsi="宋体"/>
          <w:color w:val="auto"/>
          <w:sz w:val="24"/>
          <w:szCs w:val="24"/>
          <w:highlight w:val="none"/>
        </w:rPr>
        <w:t>本工程质量保修书作为施工合同附件，由施工合同发包人承包人双方共同签署。</w:t>
      </w:r>
    </w:p>
    <w:p w14:paraId="22853058">
      <w:pPr>
        <w:pStyle w:val="20"/>
        <w:spacing w:line="360" w:lineRule="auto"/>
        <w:ind w:firstLine="540"/>
        <w:rPr>
          <w:rFonts w:hAnsi="宋体"/>
          <w:color w:val="auto"/>
          <w:sz w:val="24"/>
          <w:szCs w:val="24"/>
          <w:highlight w:val="none"/>
        </w:rPr>
      </w:pPr>
    </w:p>
    <w:p w14:paraId="3966ECFF">
      <w:pPr>
        <w:pStyle w:val="20"/>
        <w:tabs>
          <w:tab w:val="left" w:pos="4500"/>
        </w:tabs>
        <w:spacing w:line="360" w:lineRule="auto"/>
        <w:ind w:firstLine="540"/>
        <w:rPr>
          <w:rFonts w:hAnsi="宋体"/>
          <w:color w:val="auto"/>
          <w:sz w:val="24"/>
          <w:szCs w:val="24"/>
          <w:highlight w:val="none"/>
        </w:rPr>
      </w:pPr>
    </w:p>
    <w:p w14:paraId="1B9F0134">
      <w:pPr>
        <w:pStyle w:val="20"/>
        <w:spacing w:line="360" w:lineRule="auto"/>
        <w:ind w:firstLine="540"/>
        <w:rPr>
          <w:rFonts w:hint="eastAsia" w:hAnsi="宋体"/>
          <w:color w:val="auto"/>
          <w:sz w:val="24"/>
          <w:szCs w:val="24"/>
          <w:highlight w:val="none"/>
        </w:rPr>
      </w:pPr>
      <w:r>
        <w:rPr>
          <w:rFonts w:hint="eastAsia" w:hAnsi="宋体"/>
          <w:color w:val="auto"/>
          <w:sz w:val="24"/>
          <w:szCs w:val="24"/>
          <w:highlight w:val="none"/>
        </w:rPr>
        <w:t>发包人</w:t>
      </w:r>
      <w:r>
        <w:rPr>
          <w:rFonts w:hAnsi="宋体"/>
          <w:color w:val="auto"/>
          <w:sz w:val="24"/>
          <w:szCs w:val="24"/>
          <w:highlight w:val="none"/>
        </w:rPr>
        <w:t>(</w:t>
      </w:r>
      <w:r>
        <w:rPr>
          <w:rFonts w:hint="eastAsia" w:hAnsi="宋体"/>
          <w:color w:val="auto"/>
          <w:sz w:val="24"/>
          <w:szCs w:val="24"/>
          <w:highlight w:val="none"/>
        </w:rPr>
        <w:t>公章</w:t>
      </w:r>
      <w:r>
        <w:rPr>
          <w:rFonts w:hAnsi="宋体"/>
          <w:color w:val="auto"/>
          <w:sz w:val="24"/>
          <w:szCs w:val="24"/>
          <w:highlight w:val="none"/>
        </w:rPr>
        <w:t>)</w:t>
      </w:r>
      <w:r>
        <w:rPr>
          <w:rFonts w:hint="eastAsia" w:hAnsi="宋体"/>
          <w:color w:val="auto"/>
          <w:sz w:val="24"/>
          <w:szCs w:val="24"/>
          <w:highlight w:val="none"/>
        </w:rPr>
        <w:t>：</w:t>
      </w:r>
      <w:r>
        <w:rPr>
          <w:rFonts w:hint="eastAsia" w:hAnsi="宋体"/>
          <w:color w:val="auto"/>
          <w:sz w:val="24"/>
          <w:szCs w:val="24"/>
          <w:highlight w:val="none"/>
          <w:lang w:eastAsia="zh-CN"/>
        </w:rPr>
        <w:t>凭祥市林业局</w:t>
      </w:r>
      <w:r>
        <w:rPr>
          <w:rFonts w:hAnsi="宋体"/>
          <w:color w:val="auto"/>
          <w:sz w:val="24"/>
          <w:szCs w:val="24"/>
          <w:highlight w:val="none"/>
        </w:rPr>
        <w:t xml:space="preserve"> </w:t>
      </w:r>
      <w:r>
        <w:rPr>
          <w:rFonts w:hAnsi="宋体"/>
          <w:color w:val="auto"/>
          <w:sz w:val="24"/>
          <w:szCs w:val="24"/>
          <w:highlight w:val="none"/>
        </w:rPr>
        <w:tab/>
      </w:r>
      <w:r>
        <w:rPr>
          <w:rFonts w:hint="eastAsia" w:hAnsi="宋体"/>
          <w:color w:val="auto"/>
          <w:sz w:val="24"/>
          <w:szCs w:val="24"/>
          <w:highlight w:val="none"/>
        </w:rPr>
        <w:t>承包人</w:t>
      </w:r>
      <w:r>
        <w:rPr>
          <w:rFonts w:hAnsi="宋体"/>
          <w:color w:val="auto"/>
          <w:sz w:val="24"/>
          <w:szCs w:val="24"/>
          <w:highlight w:val="none"/>
        </w:rPr>
        <w:t>(</w:t>
      </w:r>
      <w:r>
        <w:rPr>
          <w:rFonts w:hint="eastAsia" w:hAnsi="宋体"/>
          <w:color w:val="auto"/>
          <w:sz w:val="24"/>
          <w:szCs w:val="24"/>
          <w:highlight w:val="none"/>
        </w:rPr>
        <w:t>公章</w:t>
      </w:r>
      <w:r>
        <w:rPr>
          <w:rFonts w:hAnsi="宋体"/>
          <w:color w:val="auto"/>
          <w:sz w:val="24"/>
          <w:szCs w:val="24"/>
          <w:highlight w:val="none"/>
        </w:rPr>
        <w:t>)</w:t>
      </w:r>
      <w:r>
        <w:rPr>
          <w:rFonts w:hint="eastAsia" w:hAnsi="宋体"/>
          <w:color w:val="auto"/>
          <w:sz w:val="24"/>
          <w:szCs w:val="24"/>
          <w:highlight w:val="none"/>
        </w:rPr>
        <w:t>：</w:t>
      </w:r>
      <w:r>
        <w:rPr>
          <w:rFonts w:hint="eastAsia" w:hAnsi="宋体"/>
          <w:bCs/>
          <w:color w:val="auto"/>
          <w:sz w:val="24"/>
          <w:szCs w:val="24"/>
          <w:highlight w:val="none"/>
        </w:rPr>
        <w:t xml:space="preserve"> </w:t>
      </w:r>
    </w:p>
    <w:p w14:paraId="741AED4D">
      <w:pPr>
        <w:pStyle w:val="20"/>
        <w:tabs>
          <w:tab w:val="left" w:pos="4500"/>
        </w:tabs>
        <w:spacing w:line="360" w:lineRule="auto"/>
        <w:ind w:firstLine="540"/>
        <w:rPr>
          <w:rFonts w:hAnsi="宋体"/>
          <w:color w:val="auto"/>
          <w:sz w:val="24"/>
          <w:szCs w:val="24"/>
          <w:highlight w:val="none"/>
        </w:rPr>
      </w:pPr>
      <w:r>
        <w:rPr>
          <w:rFonts w:hint="eastAsia" w:hAnsi="宋体"/>
          <w:color w:val="auto"/>
          <w:sz w:val="24"/>
          <w:szCs w:val="24"/>
          <w:highlight w:val="none"/>
        </w:rPr>
        <w:t>法定代表人</w:t>
      </w:r>
      <w:r>
        <w:rPr>
          <w:rFonts w:hAnsi="宋体"/>
          <w:color w:val="auto"/>
          <w:sz w:val="24"/>
          <w:szCs w:val="24"/>
          <w:highlight w:val="none"/>
        </w:rPr>
        <w:t>(</w:t>
      </w:r>
      <w:r>
        <w:rPr>
          <w:rFonts w:hint="eastAsia" w:hAnsi="宋体"/>
          <w:color w:val="auto"/>
          <w:sz w:val="24"/>
          <w:szCs w:val="24"/>
          <w:highlight w:val="none"/>
        </w:rPr>
        <w:t>签字</w:t>
      </w:r>
      <w:r>
        <w:rPr>
          <w:rFonts w:hAnsi="宋体"/>
          <w:color w:val="auto"/>
          <w:sz w:val="24"/>
          <w:szCs w:val="24"/>
          <w:highlight w:val="none"/>
        </w:rPr>
        <w:t>)</w:t>
      </w:r>
      <w:r>
        <w:rPr>
          <w:rFonts w:hint="eastAsia" w:hAnsi="宋体"/>
          <w:color w:val="auto"/>
          <w:sz w:val="24"/>
          <w:szCs w:val="24"/>
          <w:highlight w:val="none"/>
        </w:rPr>
        <w:t>：</w:t>
      </w:r>
      <w:r>
        <w:rPr>
          <w:rFonts w:hAnsi="宋体"/>
          <w:color w:val="auto"/>
          <w:sz w:val="24"/>
          <w:szCs w:val="24"/>
          <w:highlight w:val="none"/>
        </w:rPr>
        <w:t xml:space="preserve"> </w:t>
      </w:r>
      <w:r>
        <w:rPr>
          <w:rFonts w:hAnsi="宋体"/>
          <w:color w:val="auto"/>
          <w:sz w:val="24"/>
          <w:szCs w:val="24"/>
          <w:highlight w:val="none"/>
        </w:rPr>
        <w:tab/>
      </w:r>
      <w:r>
        <w:rPr>
          <w:rFonts w:hAnsi="宋体"/>
          <w:color w:val="auto"/>
          <w:sz w:val="24"/>
          <w:szCs w:val="24"/>
          <w:highlight w:val="none"/>
        </w:rPr>
        <w:t xml:space="preserve"> </w:t>
      </w:r>
      <w:r>
        <w:rPr>
          <w:rFonts w:hint="eastAsia" w:hAnsi="宋体"/>
          <w:color w:val="auto"/>
          <w:sz w:val="24"/>
          <w:szCs w:val="24"/>
          <w:highlight w:val="none"/>
        </w:rPr>
        <w:t>法定代表人</w:t>
      </w:r>
      <w:r>
        <w:rPr>
          <w:rFonts w:hAnsi="宋体"/>
          <w:color w:val="auto"/>
          <w:sz w:val="24"/>
          <w:szCs w:val="24"/>
          <w:highlight w:val="none"/>
        </w:rPr>
        <w:t>(</w:t>
      </w:r>
      <w:r>
        <w:rPr>
          <w:rFonts w:hint="eastAsia" w:hAnsi="宋体"/>
          <w:color w:val="auto"/>
          <w:sz w:val="24"/>
          <w:szCs w:val="24"/>
          <w:highlight w:val="none"/>
        </w:rPr>
        <w:t>签字</w:t>
      </w:r>
      <w:r>
        <w:rPr>
          <w:rFonts w:hAnsi="宋体"/>
          <w:color w:val="auto"/>
          <w:sz w:val="24"/>
          <w:szCs w:val="24"/>
          <w:highlight w:val="none"/>
        </w:rPr>
        <w:t>)</w:t>
      </w:r>
      <w:r>
        <w:rPr>
          <w:rFonts w:hint="eastAsia" w:hAnsi="宋体"/>
          <w:color w:val="auto"/>
          <w:sz w:val="24"/>
          <w:szCs w:val="24"/>
          <w:highlight w:val="none"/>
        </w:rPr>
        <w:t>：</w:t>
      </w:r>
    </w:p>
    <w:p w14:paraId="1EA68217">
      <w:pPr>
        <w:spacing w:line="480" w:lineRule="auto"/>
        <w:ind w:firstLine="480"/>
        <w:jc w:val="center"/>
        <w:rPr>
          <w:rFonts w:ascii="宋体"/>
          <w:color w:val="auto"/>
          <w:sz w:val="24"/>
          <w:highlight w:val="none"/>
        </w:rPr>
      </w:pPr>
    </w:p>
    <w:p w14:paraId="50C0D386">
      <w:pPr>
        <w:spacing w:line="480" w:lineRule="auto"/>
        <w:ind w:firstLine="480"/>
        <w:jc w:val="center"/>
        <w:rPr>
          <w:rFonts w:ascii="宋体"/>
          <w:color w:val="auto"/>
          <w:sz w:val="24"/>
          <w:highlight w:val="none"/>
        </w:rPr>
      </w:pPr>
      <w:r>
        <w:rPr>
          <w:rFonts w:ascii="宋体"/>
          <w:color w:val="auto"/>
          <w:sz w:val="24"/>
          <w:highlight w:val="none"/>
        </w:rPr>
        <w:tab/>
      </w:r>
      <w:r>
        <w:rPr>
          <w:rFonts w:hint="eastAsia" w:ascii="宋体"/>
          <w:color w:val="auto"/>
          <w:sz w:val="24"/>
          <w:highlight w:val="none"/>
        </w:rPr>
        <w:t>202</w:t>
      </w:r>
      <w:r>
        <w:rPr>
          <w:rFonts w:hint="eastAsia" w:ascii="宋体"/>
          <w:color w:val="auto"/>
          <w:sz w:val="24"/>
          <w:highlight w:val="none"/>
          <w:lang w:val="en-US" w:eastAsia="zh-CN"/>
        </w:rPr>
        <w:t>5</w:t>
      </w:r>
      <w:r>
        <w:rPr>
          <w:rFonts w:hint="eastAsia" w:ascii="宋体" w:hAnsi="宋体"/>
          <w:color w:val="auto"/>
          <w:sz w:val="24"/>
          <w:highlight w:val="none"/>
        </w:rPr>
        <w:t>年   月</w:t>
      </w:r>
      <w:r>
        <w:rPr>
          <w:rFonts w:ascii="宋体" w:hAnsi="宋体"/>
          <w:color w:val="auto"/>
          <w:sz w:val="24"/>
          <w:highlight w:val="none"/>
        </w:rPr>
        <w:t xml:space="preserve">   </w:t>
      </w:r>
      <w:r>
        <w:rPr>
          <w:rFonts w:hint="eastAsia" w:ascii="宋体" w:hAnsi="宋体"/>
          <w:color w:val="auto"/>
          <w:sz w:val="24"/>
          <w:highlight w:val="none"/>
        </w:rPr>
        <w:t>日</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03384DDC">
      <w:pPr>
        <w:pStyle w:val="2"/>
        <w:keepNext w:val="0"/>
        <w:keepLines w:val="0"/>
        <w:pageBreakBefore w:val="0"/>
        <w:widowControl w:val="0"/>
        <w:kinsoku/>
        <w:wordWrap/>
        <w:overflowPunct/>
        <w:topLinePunct w:val="0"/>
        <w:autoSpaceDE/>
        <w:autoSpaceDN/>
        <w:bidi w:val="0"/>
        <w:adjustRightInd/>
        <w:spacing w:line="360" w:lineRule="auto"/>
        <w:ind w:firstLine="640"/>
        <w:textAlignment w:val="auto"/>
        <w:rPr>
          <w:rFonts w:hint="eastAsia" w:asciiTheme="minorEastAsia" w:hAnsiTheme="minorEastAsia" w:eastAsiaTheme="minorEastAsia" w:cstheme="minorEastAsia"/>
          <w:color w:val="auto"/>
          <w:szCs w:val="32"/>
          <w:highlight w:val="none"/>
        </w:rPr>
      </w:pPr>
    </w:p>
    <w:p w14:paraId="4BCAE9B4">
      <w:pPr>
        <w:pStyle w:val="21"/>
        <w:keepNext w:val="0"/>
        <w:keepLines w:val="0"/>
        <w:pageBreakBefore w:val="0"/>
        <w:widowControl w:val="0"/>
        <w:kinsoku/>
        <w:wordWrap/>
        <w:overflowPunct/>
        <w:topLinePunct w:val="0"/>
        <w:autoSpaceDE/>
        <w:autoSpaceDN/>
        <w:bidi w:val="0"/>
        <w:adjustRightInd/>
        <w:spacing w:line="360" w:lineRule="auto"/>
        <w:textAlignment w:val="auto"/>
        <w:rPr>
          <w:rFonts w:hint="eastAsia"/>
        </w:rPr>
        <w:sectPr>
          <w:footerReference r:id="rId6" w:type="default"/>
          <w:pgSz w:w="11920" w:h="16840"/>
          <w:pgMar w:top="1120" w:right="1253" w:bottom="1040" w:left="1253" w:header="0" w:footer="857" w:gutter="0"/>
          <w:pgNumType w:fmt="decimal"/>
          <w:cols w:space="720" w:num="1"/>
        </w:sectPr>
      </w:pP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
        <w:ind w:firstLine="640"/>
        <w:rPr>
          <w:rFonts w:hint="eastAsia" w:asciiTheme="minorEastAsia" w:hAnsiTheme="minorEastAsia" w:eastAsiaTheme="minorEastAsia" w:cstheme="minorEastAsia"/>
          <w:color w:val="auto"/>
          <w:sz w:val="32"/>
          <w:szCs w:val="32"/>
          <w:highlight w:val="none"/>
        </w:rPr>
      </w:pPr>
    </w:p>
    <w:p w14:paraId="37157BCE">
      <w:pPr>
        <w:pStyle w:val="2"/>
        <w:ind w:firstLine="640"/>
        <w:rPr>
          <w:rFonts w:hint="eastAsia" w:asciiTheme="minorEastAsia" w:hAnsiTheme="minorEastAsia" w:eastAsiaTheme="minorEastAsia" w:cstheme="minorEastAsia"/>
          <w:color w:val="auto"/>
          <w:sz w:val="32"/>
          <w:szCs w:val="32"/>
          <w:highlight w:val="none"/>
        </w:rPr>
      </w:pPr>
    </w:p>
    <w:p w14:paraId="66665ACD">
      <w:pPr>
        <w:pStyle w:val="2"/>
        <w:ind w:firstLine="640"/>
        <w:rPr>
          <w:rFonts w:hint="eastAsia" w:asciiTheme="minorEastAsia" w:hAnsiTheme="minorEastAsia" w:eastAsiaTheme="minorEastAsia" w:cstheme="minorEastAsia"/>
          <w:color w:val="auto"/>
          <w:sz w:val="32"/>
          <w:szCs w:val="32"/>
          <w:highlight w:val="none"/>
        </w:rPr>
      </w:pPr>
    </w:p>
    <w:p w14:paraId="38A07F5E">
      <w:pPr>
        <w:pStyle w:val="2"/>
        <w:ind w:firstLine="640"/>
        <w:rPr>
          <w:rFonts w:hint="eastAsia" w:asciiTheme="minorEastAsia" w:hAnsiTheme="minorEastAsia" w:eastAsiaTheme="minorEastAsia" w:cstheme="minorEastAsia"/>
          <w:color w:val="auto"/>
          <w:sz w:val="32"/>
          <w:szCs w:val="32"/>
          <w:highlight w:val="none"/>
        </w:rPr>
      </w:pPr>
    </w:p>
    <w:p w14:paraId="169454B6">
      <w:pPr>
        <w:pStyle w:val="2"/>
        <w:ind w:firstLine="640"/>
        <w:rPr>
          <w:rFonts w:hint="eastAsia" w:asciiTheme="minorEastAsia" w:hAnsiTheme="minorEastAsia" w:eastAsiaTheme="minorEastAsia" w:cstheme="minorEastAsia"/>
          <w:color w:val="auto"/>
          <w:sz w:val="32"/>
          <w:szCs w:val="32"/>
          <w:highlight w:val="none"/>
        </w:rPr>
      </w:pPr>
    </w:p>
    <w:p w14:paraId="0A5CC1B2">
      <w:pPr>
        <w:pStyle w:val="2"/>
        <w:ind w:firstLine="640"/>
        <w:rPr>
          <w:rFonts w:hint="eastAsia" w:asciiTheme="minorEastAsia" w:hAnsiTheme="minorEastAsia" w:eastAsiaTheme="minorEastAsia" w:cstheme="minorEastAsia"/>
          <w:color w:val="auto"/>
          <w:sz w:val="32"/>
          <w:szCs w:val="32"/>
          <w:highlight w:val="none"/>
        </w:rPr>
      </w:pPr>
    </w:p>
    <w:p w14:paraId="6E33FE04">
      <w:pPr>
        <w:pStyle w:val="2"/>
        <w:ind w:firstLine="640"/>
        <w:rPr>
          <w:rFonts w:hint="eastAsia" w:asciiTheme="minorEastAsia" w:hAnsiTheme="minorEastAsia" w:eastAsiaTheme="minorEastAsia" w:cstheme="minorEastAsia"/>
          <w:color w:val="auto"/>
          <w:sz w:val="32"/>
          <w:szCs w:val="32"/>
          <w:highlight w:val="none"/>
        </w:rPr>
      </w:pPr>
    </w:p>
    <w:p w14:paraId="168BC3FC">
      <w:pPr>
        <w:pStyle w:val="21"/>
        <w:rPr>
          <w:rFonts w:hint="eastAsia" w:asciiTheme="minorEastAsia" w:hAnsiTheme="minorEastAsia" w:eastAsiaTheme="minorEastAsia" w:cstheme="minorEastAsia"/>
          <w:b/>
          <w:color w:val="auto"/>
          <w:sz w:val="44"/>
          <w:szCs w:val="44"/>
          <w:highlight w:val="none"/>
        </w:rPr>
      </w:pPr>
    </w:p>
    <w:p w14:paraId="16A540EC">
      <w:pPr>
        <w:pStyle w:val="5"/>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36" w:name="_Toc29844"/>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36"/>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20"/>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20"/>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20"/>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20"/>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20"/>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20"/>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20"/>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20"/>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上石镇马垌村古油茶产业基地道路建设项目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凭祥市林业局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20"/>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20"/>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20"/>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20"/>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20"/>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20"/>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20"/>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20"/>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20"/>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20"/>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20"/>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20"/>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20"/>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20"/>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20"/>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20"/>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20"/>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20"/>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20"/>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上石镇马垌村古油茶产业基地道路建设项目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20"/>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凭祥市林业局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20"/>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广西森予工程咨询有限公司</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20"/>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20"/>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20"/>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2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20"/>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CBF4A5F">
      <w:pPr>
        <w:pStyle w:val="20"/>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2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20"/>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20"/>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2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2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20"/>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20"/>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20"/>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20"/>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20"/>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20"/>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20"/>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20"/>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20"/>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20"/>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20"/>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20"/>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20"/>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20"/>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DB1171B-0C96-48D4-B7D1-E8E9CF5105A1}"/>
  </w:font>
  <w:font w:name="黑体">
    <w:panose1 w:val="02010609060101010101"/>
    <w:charset w:val="86"/>
    <w:family w:val="auto"/>
    <w:pitch w:val="default"/>
    <w:sig w:usb0="800002BF" w:usb1="38CF7CFA" w:usb2="00000016" w:usb3="00000000" w:csb0="00040001" w:csb1="00000000"/>
    <w:embedRegular r:id="rId2" w:fontKey="{8654CE22-3AC5-4D0A-A388-79C6D82BE273}"/>
  </w:font>
  <w:font w:name="Courier New">
    <w:panose1 w:val="02070309020205020404"/>
    <w:charset w:val="01"/>
    <w:family w:val="modern"/>
    <w:pitch w:val="default"/>
    <w:sig w:usb0="E0002EFF" w:usb1="C0007843" w:usb2="00000009" w:usb3="00000000" w:csb0="400001FF" w:csb1="FFFF0000"/>
    <w:embedRegular r:id="rId3" w:fontKey="{41088002-C964-41C9-9CFA-18DE461110D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BC74768E-CDB3-4480-AC90-D175F4F3D060}"/>
  </w:font>
  <w:font w:name="仿宋_GB2312">
    <w:panose1 w:val="02010609030101010101"/>
    <w:charset w:val="86"/>
    <w:family w:val="modern"/>
    <w:pitch w:val="default"/>
    <w:sig w:usb0="00000001" w:usb1="080E0000" w:usb2="00000000" w:usb3="00000000" w:csb0="00040000" w:csb1="00000000"/>
    <w:embedRegular r:id="rId5" w:fontKey="{762DCBAF-4C9A-4914-A318-B5937706DFE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6" w:fontKey="{D8D05C54-CD2A-44E8-BEE6-8BD46EDF3F0D}"/>
  </w:font>
  <w:font w:name="方正小标宋简体">
    <w:panose1 w:val="02000000000000000000"/>
    <w:charset w:val="86"/>
    <w:family w:val="script"/>
    <w:pitch w:val="default"/>
    <w:sig w:usb0="00000001" w:usb1="08000000" w:usb2="00000000" w:usb3="00000000" w:csb0="00040000" w:csb1="00000000"/>
    <w:embedRegular r:id="rId7" w:fontKey="{E098806D-3715-4F62-9FB0-A1C13DAA43BB}"/>
  </w:font>
  <w:font w:name="Arial Unicode MS">
    <w:altName w:val="宋体"/>
    <w:panose1 w:val="020B0604020202020204"/>
    <w:charset w:val="86"/>
    <w:family w:val="roman"/>
    <w:pitch w:val="default"/>
    <w:sig w:usb0="00000000" w:usb1="00000000" w:usb2="0000003F" w:usb3="00000000" w:csb0="603F01FF" w:csb1="FFFF0000"/>
    <w:embedRegular r:id="rId8" w:fontKey="{7FE115AC-A7E6-4FA8-935A-C4DAA1EB516C}"/>
  </w:font>
  <w:font w:name="仿宋">
    <w:panose1 w:val="02010609060101010101"/>
    <w:charset w:val="86"/>
    <w:family w:val="auto"/>
    <w:pitch w:val="default"/>
    <w:sig w:usb0="800002BF" w:usb1="38CF7CFA" w:usb2="00000016" w:usb3="00000000" w:csb0="00040001" w:csb1="00000000"/>
    <w:embedRegular r:id="rId9" w:fontKey="{A52EA9EE-C945-444E-BD80-CBF14020A14B}"/>
  </w:font>
  <w:font w:name="Helvetica">
    <w:altName w:val="Arial"/>
    <w:panose1 w:val="020B0604020202020204"/>
    <w:charset w:val="00"/>
    <w:family w:val="swiss"/>
    <w:pitch w:val="default"/>
    <w:sig w:usb0="00000000" w:usb1="00000000" w:usb2="00000000" w:usb3="00000000" w:csb0="00000000" w:csb1="00000000"/>
    <w:embedRegular r:id="rId10" w:fontKey="{3D2F34A7-6BE7-4E8F-B94D-171E5BE6C570}"/>
  </w:font>
  <w:font w:name="Verdana">
    <w:panose1 w:val="020B0604030504040204"/>
    <w:charset w:val="00"/>
    <w:family w:val="swiss"/>
    <w:pitch w:val="default"/>
    <w:sig w:usb0="A00006FF" w:usb1="4000205B" w:usb2="00000010" w:usb3="00000000" w:csb0="2000019F" w:csb1="00000000"/>
    <w:embedRegular r:id="rId11" w:fontKey="{6C1413D4-33E6-40D5-9258-D1BA25BB8823}"/>
  </w:font>
  <w:font w:name="方正小标宋_GBK">
    <w:panose1 w:val="02000000000000000000"/>
    <w:charset w:val="86"/>
    <w:family w:val="script"/>
    <w:pitch w:val="default"/>
    <w:sig w:usb0="A00002BF" w:usb1="38CF7CFA" w:usb2="00082016" w:usb3="00000000" w:csb0="00040001" w:csb1="00000000"/>
    <w:embedRegular r:id="rId12" w:fontKey="{9DE55AC3-A6DA-49F7-AA34-1E735119F2E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1"/>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6E87">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B6F1D3">
                          <w:pPr>
                            <w:pStyle w:val="2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6FB6F1D3">
                    <w:pPr>
                      <w:pStyle w:val="2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0F5C">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383F72">
                          <w:pPr>
                            <w:pStyle w:val="2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4383F72">
                    <w:pPr>
                      <w:pStyle w:val="21"/>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1"/>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1"/>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1"/>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1"/>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1"/>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95C3">
    <w:pPr>
      <w:pStyle w:val="22"/>
      <w:jc w:val="center"/>
      <w:rPr>
        <w:rFonts w:hint="eastAsia"/>
        <w:color w:val="000000"/>
        <w:sz w:val="24"/>
        <w:szCs w:val="24"/>
        <w:lang w:val="en-US" w:eastAsia="zh-CN"/>
      </w:rPr>
    </w:pPr>
  </w:p>
  <w:p w14:paraId="140D4E17">
    <w:pPr>
      <w:pStyle w:val="22"/>
      <w:tabs>
        <w:tab w:val="left" w:pos="3401"/>
        <w:tab w:val="center" w:pos="5220"/>
      </w:tabs>
      <w:jc w:val="left"/>
      <w:rPr>
        <w:color w:val="000000"/>
      </w:rPr>
    </w:pPr>
    <w:r>
      <w:rPr>
        <w:rFonts w:hint="eastAsia"/>
        <w:color w:val="000000"/>
        <w:sz w:val="24"/>
        <w:szCs w:val="24"/>
        <w:lang w:val="en-US" w:eastAsia="zh-CN"/>
      </w:rPr>
      <w:tab/>
    </w: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9CE"/>
    <w:multiLevelType w:val="multilevel"/>
    <w:tmpl w:val="000009CE"/>
    <w:lvl w:ilvl="0" w:tentative="0">
      <w:start w:val="4"/>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00000A28"/>
    <w:multiLevelType w:val="multilevel"/>
    <w:tmpl w:val="00000A28"/>
    <w:lvl w:ilvl="0" w:tentative="0">
      <w:start w:val="3"/>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000013D3"/>
    <w:multiLevelType w:val="multilevel"/>
    <w:tmpl w:val="000013D3"/>
    <w:lvl w:ilvl="0" w:tentative="0">
      <w:start w:val="1"/>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000029D8"/>
    <w:multiLevelType w:val="multilevel"/>
    <w:tmpl w:val="000029D8"/>
    <w:lvl w:ilvl="0" w:tentative="0">
      <w:start w:val="2"/>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0000520B"/>
    <w:multiLevelType w:val="multilevel"/>
    <w:tmpl w:val="0000520B"/>
    <w:lvl w:ilvl="0" w:tentative="0">
      <w:start w:val="5"/>
      <w:numFmt w:val="decimal"/>
      <w:lvlText w:val="%1."/>
      <w:lvlJc w:val="left"/>
      <w:rPr>
        <w:rFonts w:cs="Times New Roman"/>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6">
    <w:nsid w:val="5714554F"/>
    <w:multiLevelType w:val="multilevel"/>
    <w:tmpl w:val="5714554F"/>
    <w:lvl w:ilvl="0" w:tentative="0">
      <w:start w:val="1"/>
      <w:numFmt w:val="japaneseCounting"/>
      <w:lvlText w:val="%1、"/>
      <w:lvlJc w:val="left"/>
      <w:pPr>
        <w:tabs>
          <w:tab w:val="left" w:pos="1202"/>
        </w:tabs>
        <w:ind w:left="1202" w:hanging="7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7">
    <w:nsid w:val="68D9086C"/>
    <w:multiLevelType w:val="singleLevel"/>
    <w:tmpl w:val="68D9086C"/>
    <w:lvl w:ilvl="0" w:tentative="0">
      <w:start w:val="1"/>
      <w:numFmt w:val="decimal"/>
      <w:pStyle w:val="13"/>
      <w:lvlText w:val="%1."/>
      <w:lvlJc w:val="left"/>
      <w:pPr>
        <w:tabs>
          <w:tab w:val="left" w:pos="360"/>
        </w:tabs>
        <w:ind w:left="36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1"/>
  </w:num>
  <w:num w:numId="6">
    <w:abstractNumId w:val="0"/>
  </w:num>
  <w:num w:numId="7">
    <w:abstractNumId w:val="4"/>
  </w:num>
  <w:num w:numId="8">
    <w:abstractNumId w:val="6"/>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616504"/>
    <w:rsid w:val="00C9112E"/>
    <w:rsid w:val="00D31FC9"/>
    <w:rsid w:val="01CE1272"/>
    <w:rsid w:val="02AB5AF9"/>
    <w:rsid w:val="02D934E1"/>
    <w:rsid w:val="034877EC"/>
    <w:rsid w:val="035E4919"/>
    <w:rsid w:val="03630182"/>
    <w:rsid w:val="03BD6130"/>
    <w:rsid w:val="03E00AD0"/>
    <w:rsid w:val="0449636A"/>
    <w:rsid w:val="04687C96"/>
    <w:rsid w:val="05337432"/>
    <w:rsid w:val="058C45FC"/>
    <w:rsid w:val="05A02444"/>
    <w:rsid w:val="05DC2B5A"/>
    <w:rsid w:val="05E76E48"/>
    <w:rsid w:val="0606371E"/>
    <w:rsid w:val="064A5A9D"/>
    <w:rsid w:val="068943A3"/>
    <w:rsid w:val="06D952E7"/>
    <w:rsid w:val="06E44639"/>
    <w:rsid w:val="06FA3E47"/>
    <w:rsid w:val="072D2DE1"/>
    <w:rsid w:val="07375BAD"/>
    <w:rsid w:val="074D6336"/>
    <w:rsid w:val="07591FC8"/>
    <w:rsid w:val="07825D59"/>
    <w:rsid w:val="07CE5726"/>
    <w:rsid w:val="07DB2536"/>
    <w:rsid w:val="087679A3"/>
    <w:rsid w:val="08CA47FF"/>
    <w:rsid w:val="0989613F"/>
    <w:rsid w:val="09B72FD5"/>
    <w:rsid w:val="0A225B52"/>
    <w:rsid w:val="0A40121D"/>
    <w:rsid w:val="0A4C7BC2"/>
    <w:rsid w:val="0AC839D5"/>
    <w:rsid w:val="0AF35D41"/>
    <w:rsid w:val="0B3F3282"/>
    <w:rsid w:val="0B4E5BBB"/>
    <w:rsid w:val="0B70168E"/>
    <w:rsid w:val="0B7A5DD0"/>
    <w:rsid w:val="0B9836AF"/>
    <w:rsid w:val="0B9F650D"/>
    <w:rsid w:val="0BE67B3C"/>
    <w:rsid w:val="0BEE68FD"/>
    <w:rsid w:val="0C3606DC"/>
    <w:rsid w:val="0C567B4F"/>
    <w:rsid w:val="0CB62F95"/>
    <w:rsid w:val="0D447CF4"/>
    <w:rsid w:val="0D89320B"/>
    <w:rsid w:val="0D90360F"/>
    <w:rsid w:val="0DBF4B4E"/>
    <w:rsid w:val="0DED32AB"/>
    <w:rsid w:val="0E045213"/>
    <w:rsid w:val="0E0D7335"/>
    <w:rsid w:val="0E3F6CDE"/>
    <w:rsid w:val="0E8F4521"/>
    <w:rsid w:val="0E9C279A"/>
    <w:rsid w:val="0E9D6C3E"/>
    <w:rsid w:val="0F303D09"/>
    <w:rsid w:val="0FA45DAA"/>
    <w:rsid w:val="10924C62"/>
    <w:rsid w:val="109E4EEF"/>
    <w:rsid w:val="11063E57"/>
    <w:rsid w:val="110D3BA5"/>
    <w:rsid w:val="113F3C44"/>
    <w:rsid w:val="11DE2A35"/>
    <w:rsid w:val="120B7AA9"/>
    <w:rsid w:val="123375B5"/>
    <w:rsid w:val="12444656"/>
    <w:rsid w:val="12A62A65"/>
    <w:rsid w:val="12A63DE9"/>
    <w:rsid w:val="12C028F6"/>
    <w:rsid w:val="13160D6D"/>
    <w:rsid w:val="1336140F"/>
    <w:rsid w:val="13990B3D"/>
    <w:rsid w:val="139C11E7"/>
    <w:rsid w:val="13A97E33"/>
    <w:rsid w:val="13C24E4E"/>
    <w:rsid w:val="13E476F3"/>
    <w:rsid w:val="13F5101B"/>
    <w:rsid w:val="1411069B"/>
    <w:rsid w:val="143D59F2"/>
    <w:rsid w:val="146F4AE2"/>
    <w:rsid w:val="149E4582"/>
    <w:rsid w:val="14C2077F"/>
    <w:rsid w:val="151D2886"/>
    <w:rsid w:val="152A02C4"/>
    <w:rsid w:val="156F177E"/>
    <w:rsid w:val="15D10293"/>
    <w:rsid w:val="16287735"/>
    <w:rsid w:val="164D3B4F"/>
    <w:rsid w:val="16544DC4"/>
    <w:rsid w:val="1666025D"/>
    <w:rsid w:val="168460D8"/>
    <w:rsid w:val="1687721B"/>
    <w:rsid w:val="16CA259A"/>
    <w:rsid w:val="16E976BD"/>
    <w:rsid w:val="16F13FCB"/>
    <w:rsid w:val="17DD454F"/>
    <w:rsid w:val="181B6E25"/>
    <w:rsid w:val="187F1162"/>
    <w:rsid w:val="18A37AFE"/>
    <w:rsid w:val="195D6994"/>
    <w:rsid w:val="19971CFA"/>
    <w:rsid w:val="19983C04"/>
    <w:rsid w:val="19A5109C"/>
    <w:rsid w:val="19A669C5"/>
    <w:rsid w:val="19CC6629"/>
    <w:rsid w:val="19DA5495"/>
    <w:rsid w:val="1A2226ED"/>
    <w:rsid w:val="1A5D3725"/>
    <w:rsid w:val="1A743CD7"/>
    <w:rsid w:val="1A9D0FEE"/>
    <w:rsid w:val="1AE55F51"/>
    <w:rsid w:val="1B5E1503"/>
    <w:rsid w:val="1BC97741"/>
    <w:rsid w:val="1BFD6F6E"/>
    <w:rsid w:val="1C077ACA"/>
    <w:rsid w:val="1C197B20"/>
    <w:rsid w:val="1C3B7A96"/>
    <w:rsid w:val="1CF053D3"/>
    <w:rsid w:val="1D311C76"/>
    <w:rsid w:val="1DA84CB7"/>
    <w:rsid w:val="1DD67D74"/>
    <w:rsid w:val="1E543E16"/>
    <w:rsid w:val="1ED815CC"/>
    <w:rsid w:val="1EFF2327"/>
    <w:rsid w:val="1F070C83"/>
    <w:rsid w:val="1F3F5AEF"/>
    <w:rsid w:val="1FD23FA1"/>
    <w:rsid w:val="1FEB7F50"/>
    <w:rsid w:val="20464723"/>
    <w:rsid w:val="206425C2"/>
    <w:rsid w:val="206A603E"/>
    <w:rsid w:val="206C0909"/>
    <w:rsid w:val="206C5BEC"/>
    <w:rsid w:val="20757347"/>
    <w:rsid w:val="21601B61"/>
    <w:rsid w:val="21775AB6"/>
    <w:rsid w:val="2298179E"/>
    <w:rsid w:val="22A75E85"/>
    <w:rsid w:val="22E9024C"/>
    <w:rsid w:val="23151041"/>
    <w:rsid w:val="23773E1A"/>
    <w:rsid w:val="23A979DB"/>
    <w:rsid w:val="23E0672D"/>
    <w:rsid w:val="24415E66"/>
    <w:rsid w:val="244A2F6C"/>
    <w:rsid w:val="24904744"/>
    <w:rsid w:val="2540357F"/>
    <w:rsid w:val="255A71DF"/>
    <w:rsid w:val="262C35EF"/>
    <w:rsid w:val="26347509"/>
    <w:rsid w:val="26381D6E"/>
    <w:rsid w:val="26631B73"/>
    <w:rsid w:val="26734135"/>
    <w:rsid w:val="267352C9"/>
    <w:rsid w:val="26793695"/>
    <w:rsid w:val="26B06F5F"/>
    <w:rsid w:val="26C012C4"/>
    <w:rsid w:val="270560BF"/>
    <w:rsid w:val="279462AC"/>
    <w:rsid w:val="27D668C5"/>
    <w:rsid w:val="27E47736"/>
    <w:rsid w:val="283D3CA5"/>
    <w:rsid w:val="28441A80"/>
    <w:rsid w:val="28A80261"/>
    <w:rsid w:val="28CF48C6"/>
    <w:rsid w:val="28FB7825"/>
    <w:rsid w:val="294837F2"/>
    <w:rsid w:val="297E5C36"/>
    <w:rsid w:val="29D05CC2"/>
    <w:rsid w:val="29E22D43"/>
    <w:rsid w:val="2A6335D2"/>
    <w:rsid w:val="2B5F3E49"/>
    <w:rsid w:val="2BCF662B"/>
    <w:rsid w:val="2C44440E"/>
    <w:rsid w:val="2CB74404"/>
    <w:rsid w:val="2CC138A8"/>
    <w:rsid w:val="2CCE2260"/>
    <w:rsid w:val="2CE33F5E"/>
    <w:rsid w:val="2D1C5DB8"/>
    <w:rsid w:val="2D7B5F44"/>
    <w:rsid w:val="2D7E77E3"/>
    <w:rsid w:val="2DDD6BFF"/>
    <w:rsid w:val="2DE74695"/>
    <w:rsid w:val="2E304F81"/>
    <w:rsid w:val="2E507B3E"/>
    <w:rsid w:val="2E942770"/>
    <w:rsid w:val="2F4204C7"/>
    <w:rsid w:val="2F5879A4"/>
    <w:rsid w:val="2FC022FB"/>
    <w:rsid w:val="2FC242FE"/>
    <w:rsid w:val="2FCA46BE"/>
    <w:rsid w:val="309D08C8"/>
    <w:rsid w:val="30E072A6"/>
    <w:rsid w:val="310C7527"/>
    <w:rsid w:val="317E1F31"/>
    <w:rsid w:val="31B4625E"/>
    <w:rsid w:val="31BF74C3"/>
    <w:rsid w:val="31FA664D"/>
    <w:rsid w:val="3278392F"/>
    <w:rsid w:val="327D275F"/>
    <w:rsid w:val="32806966"/>
    <w:rsid w:val="328C29A2"/>
    <w:rsid w:val="328C315E"/>
    <w:rsid w:val="32AA76CF"/>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60D204B"/>
    <w:rsid w:val="3619454C"/>
    <w:rsid w:val="36443650"/>
    <w:rsid w:val="366D4898"/>
    <w:rsid w:val="36D33164"/>
    <w:rsid w:val="36F31B3E"/>
    <w:rsid w:val="37022E10"/>
    <w:rsid w:val="37405B09"/>
    <w:rsid w:val="374E0E41"/>
    <w:rsid w:val="37951544"/>
    <w:rsid w:val="37A95DA4"/>
    <w:rsid w:val="37D20543"/>
    <w:rsid w:val="385664E5"/>
    <w:rsid w:val="386E4861"/>
    <w:rsid w:val="38A81D8B"/>
    <w:rsid w:val="38C257E1"/>
    <w:rsid w:val="38E5105E"/>
    <w:rsid w:val="39042BC1"/>
    <w:rsid w:val="391D0886"/>
    <w:rsid w:val="395B30CE"/>
    <w:rsid w:val="395E0781"/>
    <w:rsid w:val="39763A64"/>
    <w:rsid w:val="39982775"/>
    <w:rsid w:val="39B32F0A"/>
    <w:rsid w:val="3A1954F0"/>
    <w:rsid w:val="3A281202"/>
    <w:rsid w:val="3A3B7187"/>
    <w:rsid w:val="3A5E5795"/>
    <w:rsid w:val="3A711271"/>
    <w:rsid w:val="3A7B6BD0"/>
    <w:rsid w:val="3A960861"/>
    <w:rsid w:val="3ADB0022"/>
    <w:rsid w:val="3B2E1B9B"/>
    <w:rsid w:val="3B6A5780"/>
    <w:rsid w:val="3B806E1C"/>
    <w:rsid w:val="3B8D5065"/>
    <w:rsid w:val="3BB97C1C"/>
    <w:rsid w:val="3BDD601C"/>
    <w:rsid w:val="3C10408D"/>
    <w:rsid w:val="3C5C7FAC"/>
    <w:rsid w:val="3C6B3628"/>
    <w:rsid w:val="3C7A2133"/>
    <w:rsid w:val="3C81109D"/>
    <w:rsid w:val="3C8B3CCA"/>
    <w:rsid w:val="3CA8487C"/>
    <w:rsid w:val="3CB274A9"/>
    <w:rsid w:val="3CF47384"/>
    <w:rsid w:val="3D1D2B74"/>
    <w:rsid w:val="3D23371B"/>
    <w:rsid w:val="3D7824A0"/>
    <w:rsid w:val="3D7A6218"/>
    <w:rsid w:val="3DB8289D"/>
    <w:rsid w:val="3DBD6105"/>
    <w:rsid w:val="3E442382"/>
    <w:rsid w:val="3E4F5709"/>
    <w:rsid w:val="3E5D610C"/>
    <w:rsid w:val="3EAF2B6F"/>
    <w:rsid w:val="3F057D64"/>
    <w:rsid w:val="3F48386B"/>
    <w:rsid w:val="3FBC2D85"/>
    <w:rsid w:val="400210C8"/>
    <w:rsid w:val="40152228"/>
    <w:rsid w:val="40386096"/>
    <w:rsid w:val="405C4962"/>
    <w:rsid w:val="405E2404"/>
    <w:rsid w:val="40717318"/>
    <w:rsid w:val="409370DC"/>
    <w:rsid w:val="40EF3F6D"/>
    <w:rsid w:val="410F6C78"/>
    <w:rsid w:val="414F52C6"/>
    <w:rsid w:val="416F4B98"/>
    <w:rsid w:val="41A12AFD"/>
    <w:rsid w:val="41FC45FA"/>
    <w:rsid w:val="4256010E"/>
    <w:rsid w:val="42892A5A"/>
    <w:rsid w:val="428A0B10"/>
    <w:rsid w:val="42EB13B3"/>
    <w:rsid w:val="42FA5706"/>
    <w:rsid w:val="43BC6F64"/>
    <w:rsid w:val="440855C5"/>
    <w:rsid w:val="44562E10"/>
    <w:rsid w:val="445F7F16"/>
    <w:rsid w:val="44646F08"/>
    <w:rsid w:val="448259B3"/>
    <w:rsid w:val="449178F7"/>
    <w:rsid w:val="44CF0267"/>
    <w:rsid w:val="459C0CF6"/>
    <w:rsid w:val="46044DED"/>
    <w:rsid w:val="46113492"/>
    <w:rsid w:val="462D68B0"/>
    <w:rsid w:val="464B2ABD"/>
    <w:rsid w:val="46651908"/>
    <w:rsid w:val="467A1F4E"/>
    <w:rsid w:val="46BD2CD2"/>
    <w:rsid w:val="46C10A14"/>
    <w:rsid w:val="46D22C21"/>
    <w:rsid w:val="47460F19"/>
    <w:rsid w:val="47637509"/>
    <w:rsid w:val="47BE221C"/>
    <w:rsid w:val="47D429C9"/>
    <w:rsid w:val="48DD765B"/>
    <w:rsid w:val="48E652B6"/>
    <w:rsid w:val="492A650E"/>
    <w:rsid w:val="49555444"/>
    <w:rsid w:val="495B1176"/>
    <w:rsid w:val="49CF51F6"/>
    <w:rsid w:val="4ADB406F"/>
    <w:rsid w:val="4AEC002A"/>
    <w:rsid w:val="4B005883"/>
    <w:rsid w:val="4B105AC6"/>
    <w:rsid w:val="4B38326F"/>
    <w:rsid w:val="4B3B5044"/>
    <w:rsid w:val="4B654430"/>
    <w:rsid w:val="4B8F1535"/>
    <w:rsid w:val="4B961880"/>
    <w:rsid w:val="4BAB1C93"/>
    <w:rsid w:val="4BE62961"/>
    <w:rsid w:val="4C4579F1"/>
    <w:rsid w:val="4C50431F"/>
    <w:rsid w:val="4DDA060D"/>
    <w:rsid w:val="4DF72727"/>
    <w:rsid w:val="4E0F1F90"/>
    <w:rsid w:val="4E3221F7"/>
    <w:rsid w:val="4E6411DD"/>
    <w:rsid w:val="4E8E06CC"/>
    <w:rsid w:val="4ECF6E92"/>
    <w:rsid w:val="4F0D3069"/>
    <w:rsid w:val="4F2C30EB"/>
    <w:rsid w:val="4FE142D8"/>
    <w:rsid w:val="5010292C"/>
    <w:rsid w:val="50120532"/>
    <w:rsid w:val="50245C76"/>
    <w:rsid w:val="50267B3A"/>
    <w:rsid w:val="502B4182"/>
    <w:rsid w:val="505C17AE"/>
    <w:rsid w:val="50792360"/>
    <w:rsid w:val="508D5E0B"/>
    <w:rsid w:val="510559A1"/>
    <w:rsid w:val="51275918"/>
    <w:rsid w:val="51347986"/>
    <w:rsid w:val="51363DAD"/>
    <w:rsid w:val="51404548"/>
    <w:rsid w:val="519B5849"/>
    <w:rsid w:val="519D4926"/>
    <w:rsid w:val="51AE7DE7"/>
    <w:rsid w:val="51BD627C"/>
    <w:rsid w:val="51ED5355"/>
    <w:rsid w:val="51F82482"/>
    <w:rsid w:val="52481FEA"/>
    <w:rsid w:val="52840552"/>
    <w:rsid w:val="52B478CE"/>
    <w:rsid w:val="52CC1D29"/>
    <w:rsid w:val="5311687F"/>
    <w:rsid w:val="53135A5B"/>
    <w:rsid w:val="53B86CFB"/>
    <w:rsid w:val="53C37568"/>
    <w:rsid w:val="54300F87"/>
    <w:rsid w:val="548553F0"/>
    <w:rsid w:val="54A92A4B"/>
    <w:rsid w:val="550E13D1"/>
    <w:rsid w:val="551D59AF"/>
    <w:rsid w:val="55275A0F"/>
    <w:rsid w:val="55393E6B"/>
    <w:rsid w:val="555E38D2"/>
    <w:rsid w:val="55F67554"/>
    <w:rsid w:val="55FB134A"/>
    <w:rsid w:val="562813FF"/>
    <w:rsid w:val="56676D61"/>
    <w:rsid w:val="566C002D"/>
    <w:rsid w:val="56BA5F02"/>
    <w:rsid w:val="56C1680E"/>
    <w:rsid w:val="56CA4E2E"/>
    <w:rsid w:val="5740020E"/>
    <w:rsid w:val="576553EC"/>
    <w:rsid w:val="57DB1C8E"/>
    <w:rsid w:val="5875165E"/>
    <w:rsid w:val="58A4192B"/>
    <w:rsid w:val="58C271B3"/>
    <w:rsid w:val="58D36BEC"/>
    <w:rsid w:val="58F32DDD"/>
    <w:rsid w:val="58FA5332"/>
    <w:rsid w:val="59831B59"/>
    <w:rsid w:val="598A113A"/>
    <w:rsid w:val="59C80198"/>
    <w:rsid w:val="5A957D96"/>
    <w:rsid w:val="5AAF067B"/>
    <w:rsid w:val="5AF96AF3"/>
    <w:rsid w:val="5B42195B"/>
    <w:rsid w:val="5BE34433"/>
    <w:rsid w:val="5BF157BD"/>
    <w:rsid w:val="5C40483D"/>
    <w:rsid w:val="5C594DF3"/>
    <w:rsid w:val="5C660FA0"/>
    <w:rsid w:val="5C756FD4"/>
    <w:rsid w:val="5D30024A"/>
    <w:rsid w:val="5DB46C14"/>
    <w:rsid w:val="5DCD3CEB"/>
    <w:rsid w:val="5E181417"/>
    <w:rsid w:val="5E2356B9"/>
    <w:rsid w:val="5E5B2FBB"/>
    <w:rsid w:val="5E9B16F3"/>
    <w:rsid w:val="5E9D36BD"/>
    <w:rsid w:val="5EE017FC"/>
    <w:rsid w:val="5EE975A9"/>
    <w:rsid w:val="5F385194"/>
    <w:rsid w:val="5F7A15E0"/>
    <w:rsid w:val="5F8F41DB"/>
    <w:rsid w:val="5FB5460B"/>
    <w:rsid w:val="5FF437B1"/>
    <w:rsid w:val="60B94350"/>
    <w:rsid w:val="60C45590"/>
    <w:rsid w:val="60C969EB"/>
    <w:rsid w:val="61447E20"/>
    <w:rsid w:val="616E7FED"/>
    <w:rsid w:val="61BC48CB"/>
    <w:rsid w:val="62350B41"/>
    <w:rsid w:val="62465926"/>
    <w:rsid w:val="62580981"/>
    <w:rsid w:val="629673B3"/>
    <w:rsid w:val="62F16238"/>
    <w:rsid w:val="6300421A"/>
    <w:rsid w:val="634952F7"/>
    <w:rsid w:val="63517FBF"/>
    <w:rsid w:val="63712D78"/>
    <w:rsid w:val="63911317"/>
    <w:rsid w:val="63A30231"/>
    <w:rsid w:val="63A941EF"/>
    <w:rsid w:val="63B23767"/>
    <w:rsid w:val="63B82D47"/>
    <w:rsid w:val="63CB65D6"/>
    <w:rsid w:val="64945716"/>
    <w:rsid w:val="64ED30F3"/>
    <w:rsid w:val="64FE3E45"/>
    <w:rsid w:val="650D6719"/>
    <w:rsid w:val="651915C4"/>
    <w:rsid w:val="652E2FEC"/>
    <w:rsid w:val="656767D3"/>
    <w:rsid w:val="656A27C1"/>
    <w:rsid w:val="659B022A"/>
    <w:rsid w:val="66014531"/>
    <w:rsid w:val="661A1A97"/>
    <w:rsid w:val="663D65E3"/>
    <w:rsid w:val="66540CDB"/>
    <w:rsid w:val="669368CF"/>
    <w:rsid w:val="669E7FD2"/>
    <w:rsid w:val="66AA1F67"/>
    <w:rsid w:val="66D628C4"/>
    <w:rsid w:val="67222AB0"/>
    <w:rsid w:val="672C0ACD"/>
    <w:rsid w:val="679459C7"/>
    <w:rsid w:val="67A97C05"/>
    <w:rsid w:val="67F329AA"/>
    <w:rsid w:val="68246BFD"/>
    <w:rsid w:val="68307350"/>
    <w:rsid w:val="68B92468"/>
    <w:rsid w:val="68D26659"/>
    <w:rsid w:val="68E9494D"/>
    <w:rsid w:val="693B7832"/>
    <w:rsid w:val="69A91168"/>
    <w:rsid w:val="69DB7C4F"/>
    <w:rsid w:val="69EB57C5"/>
    <w:rsid w:val="69F61ED3"/>
    <w:rsid w:val="6A2627B9"/>
    <w:rsid w:val="6A81245A"/>
    <w:rsid w:val="6A852FF6"/>
    <w:rsid w:val="6AEB3A02"/>
    <w:rsid w:val="6B51548F"/>
    <w:rsid w:val="6B722972"/>
    <w:rsid w:val="6BDD334B"/>
    <w:rsid w:val="6BFB1C7D"/>
    <w:rsid w:val="6C0E5593"/>
    <w:rsid w:val="6C1B4BCF"/>
    <w:rsid w:val="6C7075F7"/>
    <w:rsid w:val="6CB542C8"/>
    <w:rsid w:val="6CB75846"/>
    <w:rsid w:val="6CC2175B"/>
    <w:rsid w:val="6CC369E5"/>
    <w:rsid w:val="6CF307A1"/>
    <w:rsid w:val="6D176091"/>
    <w:rsid w:val="6D2B53C0"/>
    <w:rsid w:val="6D5639A8"/>
    <w:rsid w:val="6D9C0C38"/>
    <w:rsid w:val="6DEA7FA1"/>
    <w:rsid w:val="6E3B25AB"/>
    <w:rsid w:val="6E49116B"/>
    <w:rsid w:val="6E6E08DC"/>
    <w:rsid w:val="6E930639"/>
    <w:rsid w:val="6F6645C9"/>
    <w:rsid w:val="6F742218"/>
    <w:rsid w:val="6F757D58"/>
    <w:rsid w:val="6FAB5188"/>
    <w:rsid w:val="6FC02565"/>
    <w:rsid w:val="6FCB6256"/>
    <w:rsid w:val="70110A8D"/>
    <w:rsid w:val="70253512"/>
    <w:rsid w:val="70716FAD"/>
    <w:rsid w:val="709D45DF"/>
    <w:rsid w:val="72162548"/>
    <w:rsid w:val="724C67BE"/>
    <w:rsid w:val="728101B5"/>
    <w:rsid w:val="72DF1E1E"/>
    <w:rsid w:val="73074E07"/>
    <w:rsid w:val="733C304D"/>
    <w:rsid w:val="73456F57"/>
    <w:rsid w:val="73506AF8"/>
    <w:rsid w:val="73741809"/>
    <w:rsid w:val="739C3AEB"/>
    <w:rsid w:val="73CC4B62"/>
    <w:rsid w:val="741301A0"/>
    <w:rsid w:val="746548C8"/>
    <w:rsid w:val="748B7C4D"/>
    <w:rsid w:val="74E0215D"/>
    <w:rsid w:val="751A73BE"/>
    <w:rsid w:val="75321867"/>
    <w:rsid w:val="75842A89"/>
    <w:rsid w:val="75AA56BE"/>
    <w:rsid w:val="75B936DE"/>
    <w:rsid w:val="75E672A0"/>
    <w:rsid w:val="75EF084A"/>
    <w:rsid w:val="75F05AFC"/>
    <w:rsid w:val="760029C6"/>
    <w:rsid w:val="76F61765"/>
    <w:rsid w:val="77AF6556"/>
    <w:rsid w:val="77BF5FFA"/>
    <w:rsid w:val="77C17FC5"/>
    <w:rsid w:val="783C7EEB"/>
    <w:rsid w:val="78414DEA"/>
    <w:rsid w:val="78650950"/>
    <w:rsid w:val="786A124A"/>
    <w:rsid w:val="786C7107"/>
    <w:rsid w:val="79866335"/>
    <w:rsid w:val="79960FDD"/>
    <w:rsid w:val="79AA1C36"/>
    <w:rsid w:val="7AFF3C6F"/>
    <w:rsid w:val="7B110DD1"/>
    <w:rsid w:val="7B487562"/>
    <w:rsid w:val="7B7974B6"/>
    <w:rsid w:val="7BDD1145"/>
    <w:rsid w:val="7BEC3136"/>
    <w:rsid w:val="7BF003F6"/>
    <w:rsid w:val="7BF8635E"/>
    <w:rsid w:val="7C2C2348"/>
    <w:rsid w:val="7CC8329D"/>
    <w:rsid w:val="7D1E420E"/>
    <w:rsid w:val="7DA47454"/>
    <w:rsid w:val="7DD16820"/>
    <w:rsid w:val="7E6617AF"/>
    <w:rsid w:val="7E696CC0"/>
    <w:rsid w:val="7EA121A9"/>
    <w:rsid w:val="7EC460E8"/>
    <w:rsid w:val="7F10770B"/>
    <w:rsid w:val="7F512483"/>
    <w:rsid w:val="7F954211"/>
    <w:rsid w:val="7F9D4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6">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7">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8">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0"/>
    <w:autoRedefine/>
    <w:unhideWhenUsed/>
    <w:qFormat/>
    <w:uiPriority w:val="9"/>
    <w:pPr>
      <w:keepNext/>
      <w:keepLines/>
      <w:spacing w:before="280" w:after="290" w:line="376" w:lineRule="auto"/>
      <w:outlineLvl w:val="4"/>
    </w:pPr>
    <w:rPr>
      <w:b/>
      <w:bCs/>
      <w:sz w:val="28"/>
      <w:szCs w:val="28"/>
    </w:rPr>
  </w:style>
  <w:style w:type="paragraph" w:styleId="11">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unhideWhenUsed/>
    <w:qFormat/>
    <w:uiPriority w:val="99"/>
    <w:pPr>
      <w:ind w:firstLine="420" w:firstLineChars="200"/>
    </w:pPr>
  </w:style>
  <w:style w:type="paragraph" w:styleId="3">
    <w:name w:val="Body Text Indent"/>
    <w:basedOn w:val="1"/>
    <w:next w:val="4"/>
    <w:autoRedefine/>
    <w:qFormat/>
    <w:uiPriority w:val="0"/>
    <w:pPr>
      <w:ind w:firstLine="830" w:firstLineChars="352"/>
    </w:pPr>
    <w:rPr>
      <w:rFonts w:ascii="仿宋_GB2312" w:eastAsia="仿宋_GB2312"/>
      <w:kern w:val="0"/>
      <w:sz w:val="32"/>
      <w:szCs w:val="20"/>
    </w:rPr>
  </w:style>
  <w:style w:type="paragraph" w:customStyle="1" w:styleId="4">
    <w:name w:val="font5"/>
    <w:basedOn w:val="1"/>
    <w:qFormat/>
    <w:uiPriority w:val="0"/>
    <w:pPr>
      <w:widowControl/>
      <w:spacing w:before="100" w:beforeAutospacing="1" w:after="100" w:afterAutospacing="1"/>
      <w:jc w:val="left"/>
    </w:pPr>
    <w:rPr>
      <w:kern w:val="0"/>
      <w:sz w:val="24"/>
      <w:szCs w:val="20"/>
    </w:rPr>
  </w:style>
  <w:style w:type="paragraph" w:styleId="10">
    <w:name w:val="Normal Indent"/>
    <w:basedOn w:val="1"/>
    <w:autoRedefine/>
    <w:qFormat/>
    <w:uiPriority w:val="0"/>
    <w:pPr>
      <w:ind w:firstLine="420"/>
    </w:pPr>
    <w:rPr>
      <w:szCs w:val="20"/>
    </w:rPr>
  </w:style>
  <w:style w:type="paragraph" w:styleId="12">
    <w:name w:val="index 8"/>
    <w:basedOn w:val="1"/>
    <w:next w:val="1"/>
    <w:autoRedefine/>
    <w:qFormat/>
    <w:uiPriority w:val="0"/>
    <w:pPr>
      <w:ind w:left="2940"/>
    </w:pPr>
  </w:style>
  <w:style w:type="paragraph" w:styleId="13">
    <w:name w:val="List Number"/>
    <w:basedOn w:val="1"/>
    <w:autoRedefine/>
    <w:qFormat/>
    <w:uiPriority w:val="0"/>
    <w:pPr>
      <w:numPr>
        <w:ilvl w:val="0"/>
        <w:numId w:val="1"/>
      </w:numPr>
    </w:pPr>
  </w:style>
  <w:style w:type="paragraph" w:styleId="14">
    <w:name w:val="annotation text"/>
    <w:basedOn w:val="1"/>
    <w:autoRedefine/>
    <w:qFormat/>
    <w:uiPriority w:val="0"/>
    <w:pPr>
      <w:jc w:val="left"/>
    </w:pPr>
  </w:style>
  <w:style w:type="paragraph" w:styleId="15">
    <w:name w:val="index 6"/>
    <w:basedOn w:val="1"/>
    <w:next w:val="1"/>
    <w:autoRedefine/>
    <w:qFormat/>
    <w:uiPriority w:val="0"/>
    <w:pPr>
      <w:ind w:left="1000" w:leftChars="1000"/>
    </w:pPr>
  </w:style>
  <w:style w:type="paragraph" w:styleId="16">
    <w:name w:val="Body Text 3"/>
    <w:basedOn w:val="1"/>
    <w:autoRedefine/>
    <w:qFormat/>
    <w:uiPriority w:val="0"/>
    <w:pPr>
      <w:spacing w:after="120"/>
    </w:pPr>
    <w:rPr>
      <w:sz w:val="16"/>
      <w:szCs w:val="16"/>
    </w:rPr>
  </w:style>
  <w:style w:type="paragraph" w:styleId="17">
    <w:name w:val="Body Text"/>
    <w:basedOn w:val="1"/>
    <w:next w:val="1"/>
    <w:autoRedefine/>
    <w:qFormat/>
    <w:uiPriority w:val="0"/>
    <w:pPr>
      <w:spacing w:after="120"/>
    </w:pPr>
  </w:style>
  <w:style w:type="paragraph" w:styleId="18">
    <w:name w:val="List 2"/>
    <w:basedOn w:val="1"/>
    <w:autoRedefine/>
    <w:qFormat/>
    <w:uiPriority w:val="0"/>
    <w:pPr>
      <w:ind w:left="100" w:leftChars="200" w:hanging="200" w:hangingChars="200"/>
      <w:contextualSpacing/>
    </w:pPr>
  </w:style>
  <w:style w:type="paragraph" w:styleId="19">
    <w:name w:val="toc 3"/>
    <w:basedOn w:val="1"/>
    <w:next w:val="1"/>
    <w:autoRedefine/>
    <w:qFormat/>
    <w:uiPriority w:val="0"/>
    <w:pPr>
      <w:ind w:left="840" w:leftChars="400"/>
    </w:pPr>
  </w:style>
  <w:style w:type="paragraph" w:styleId="20">
    <w:name w:val="Plain Text"/>
    <w:basedOn w:val="1"/>
    <w:next w:val="8"/>
    <w:autoRedefine/>
    <w:qFormat/>
    <w:uiPriority w:val="0"/>
    <w:rPr>
      <w:rFonts w:ascii="宋体" w:hAnsi="Courier New"/>
      <w:kern w:val="0"/>
      <w:sz w:val="20"/>
      <w:szCs w:val="21"/>
    </w:rPr>
  </w:style>
  <w:style w:type="paragraph" w:styleId="21">
    <w:name w:val="footer"/>
    <w:basedOn w:val="1"/>
    <w:next w:val="1"/>
    <w:autoRedefine/>
    <w:qFormat/>
    <w:uiPriority w:val="99"/>
    <w:pPr>
      <w:tabs>
        <w:tab w:val="center" w:pos="4153"/>
        <w:tab w:val="right" w:pos="8306"/>
      </w:tabs>
      <w:snapToGrid w:val="0"/>
      <w:jc w:val="left"/>
    </w:pPr>
    <w:rPr>
      <w:kern w:val="0"/>
      <w:sz w:val="18"/>
      <w:szCs w:val="18"/>
    </w:rPr>
  </w:style>
  <w:style w:type="paragraph" w:styleId="22">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autoRedefine/>
    <w:qFormat/>
    <w:uiPriority w:val="0"/>
  </w:style>
  <w:style w:type="paragraph" w:styleId="24">
    <w:name w:val="List"/>
    <w:basedOn w:val="1"/>
    <w:autoRedefine/>
    <w:qFormat/>
    <w:uiPriority w:val="0"/>
    <w:pPr>
      <w:ind w:left="200" w:hanging="200" w:hangingChars="200"/>
      <w:contextualSpacing/>
    </w:pPr>
  </w:style>
  <w:style w:type="paragraph" w:styleId="25">
    <w:name w:val="toc 2"/>
    <w:basedOn w:val="1"/>
    <w:next w:val="1"/>
    <w:autoRedefine/>
    <w:qFormat/>
    <w:uiPriority w:val="0"/>
    <w:pPr>
      <w:tabs>
        <w:tab w:val="right" w:leader="dot" w:pos="8296"/>
      </w:tabs>
      <w:ind w:left="420" w:leftChars="200"/>
    </w:pPr>
  </w:style>
  <w:style w:type="paragraph" w:styleId="26">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7">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5"/>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3"/>
    <w:next w:val="17"/>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58475</Words>
  <Characters>61942</Characters>
  <Lines>0</Lines>
  <Paragraphs>0</Paragraphs>
  <TotalTime>0</TotalTime>
  <ScaleCrop>false</ScaleCrop>
  <LinksUpToDate>false</LinksUpToDate>
  <CharactersWithSpaces>67690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2025-05-12T10:01:18Z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5FCCE20B35664C9884158E1D0CAA7B0E_12</vt:lpwstr>
  </property>
  <property fmtid="{D5CDD505-2E9C-101B-9397-08002B2CF9AE}" pid="4" name="KSOTemplateDocerSaveRecord">
    <vt:lpwstr>eyJoZGlkIjoiN2I3ZWNmYWI3ZDUyOTVjOGY2YzllMWI4ZTljZjFiODkiLCJ1c2VySWQiOiIzNjA5ODU4ODMifQ==</vt:lpwstr>
  </property>
</Properties>
</file>