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BA431">
      <w:pPr>
        <w:spacing w:before="156" w:beforeLines="50" w:line="360" w:lineRule="auto"/>
        <w:jc w:val="center"/>
        <w:rPr>
          <w:rFonts w:hint="eastAsia" w:ascii="宋体" w:hAnsi="宋体" w:eastAsia="宋体" w:cs="宋体"/>
          <w:color w:val="auto"/>
          <w:sz w:val="52"/>
          <w:szCs w:val="52"/>
          <w:highlight w:val="none"/>
        </w:rPr>
      </w:pPr>
      <w:r>
        <w:drawing>
          <wp:inline distT="0" distB="0" distL="114300" distR="114300">
            <wp:extent cx="6017895" cy="8476615"/>
            <wp:effectExtent l="0" t="0" r="1905" b="63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2"/>
                    <a:stretch>
                      <a:fillRect/>
                    </a:stretch>
                  </pic:blipFill>
                  <pic:spPr>
                    <a:xfrm>
                      <a:off x="0" y="0"/>
                      <a:ext cx="6017895" cy="8476615"/>
                    </a:xfrm>
                    <a:prstGeom prst="rect">
                      <a:avLst/>
                    </a:prstGeom>
                    <a:noFill/>
                    <a:ln>
                      <a:noFill/>
                    </a:ln>
                  </pic:spPr>
                </pic:pic>
              </a:graphicData>
            </a:graphic>
          </wp:inline>
        </w:drawing>
      </w:r>
      <w:bookmarkStart w:id="1064" w:name="_GoBack"/>
      <w:bookmarkEnd w:id="1064"/>
      <w:r>
        <w:rPr>
          <w:rFonts w:hint="eastAsia" w:ascii="宋体" w:hAnsi="宋体" w:eastAsia="宋体" w:cs="宋体"/>
          <w:color w:val="auto"/>
          <w:sz w:val="52"/>
          <w:szCs w:val="52"/>
          <w:highlight w:val="none"/>
        </w:rPr>
        <w:t>南宁市政府采购</w:t>
      </w:r>
    </w:p>
    <w:p w14:paraId="3B5D16F1">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14:paraId="1AE72CEC">
      <w:pPr>
        <w:spacing w:beforeLines="50" w:line="360" w:lineRule="auto"/>
        <w:jc w:val="center"/>
        <w:rPr>
          <w:rFonts w:ascii="宋体"/>
          <w:color w:val="auto"/>
          <w:sz w:val="36"/>
          <w:szCs w:val="36"/>
          <w:highlight w:val="none"/>
        </w:rPr>
      </w:pPr>
    </w:p>
    <w:p w14:paraId="51077D83">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14EDB75">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14:paraId="11AEF1DE">
      <w:pPr>
        <w:spacing w:before="156" w:beforeLines="50" w:line="360" w:lineRule="auto"/>
        <w:jc w:val="center"/>
        <w:rPr>
          <w:rFonts w:hint="eastAsia" w:ascii="宋体" w:hAnsi="宋体" w:eastAsia="宋体" w:cs="宋体"/>
          <w:color w:val="auto"/>
          <w:sz w:val="36"/>
          <w:szCs w:val="36"/>
          <w:highlight w:val="none"/>
        </w:rPr>
      </w:pPr>
    </w:p>
    <w:p w14:paraId="5EE8654A">
      <w:pPr>
        <w:spacing w:line="360" w:lineRule="auto"/>
        <w:jc w:val="both"/>
        <w:rPr>
          <w:rFonts w:hint="eastAsia" w:ascii="宋体" w:hAnsi="宋体" w:eastAsia="宋体" w:cs="宋体"/>
          <w:b/>
          <w:color w:val="auto"/>
          <w:sz w:val="32"/>
          <w:szCs w:val="32"/>
          <w:highlight w:val="none"/>
        </w:rPr>
      </w:pPr>
    </w:p>
    <w:p w14:paraId="0814FCAD">
      <w:pPr>
        <w:pStyle w:val="25"/>
        <w:rPr>
          <w:rFonts w:hint="eastAsia"/>
          <w:color w:val="auto"/>
          <w:highlight w:val="none"/>
        </w:rPr>
      </w:pPr>
    </w:p>
    <w:p w14:paraId="3AE06FDE">
      <w:pPr>
        <w:spacing w:line="360" w:lineRule="auto"/>
        <w:ind w:left="2883" w:leftChars="608" w:hanging="1606" w:hangingChars="5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宾阳县横水水库标准化创建工程</w:t>
      </w:r>
    </w:p>
    <w:p w14:paraId="2D9DE7BB">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NNZC2024-C2-260291-GXXM</w:t>
      </w:r>
    </w:p>
    <w:p w14:paraId="1DCED76F">
      <w:pPr>
        <w:spacing w:line="360" w:lineRule="auto"/>
        <w:ind w:firstLine="1285" w:firstLineChars="400"/>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rPr>
        <w:t>项目所属区划：</w:t>
      </w:r>
      <w:r>
        <w:rPr>
          <w:rFonts w:hint="eastAsia" w:ascii="仿宋" w:hAnsi="仿宋" w:eastAsia="仿宋" w:cs="仿宋"/>
          <w:b/>
          <w:color w:val="auto"/>
          <w:sz w:val="32"/>
          <w:szCs w:val="32"/>
          <w:highlight w:val="none"/>
          <w:u w:val="single"/>
          <w:lang w:val="en-US" w:eastAsia="zh-CN"/>
        </w:rPr>
        <w:t>宾阳县</w:t>
      </w:r>
    </w:p>
    <w:p w14:paraId="7122A147">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宾阳县水利工程建设服务站</w:t>
      </w:r>
    </w:p>
    <w:p w14:paraId="4A5ECB1B">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广西星木工程咨询有限公司</w:t>
      </w:r>
    </w:p>
    <w:p w14:paraId="6841F4DD">
      <w:pPr>
        <w:outlineLvl w:val="9"/>
        <w:rPr>
          <w:rFonts w:hint="eastAsia"/>
          <w:color w:val="auto"/>
          <w:highlight w:val="none"/>
          <w:lang w:val="en-US" w:eastAsia="zh-CN"/>
        </w:rPr>
      </w:pPr>
    </w:p>
    <w:p w14:paraId="52902C42">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10</w:t>
      </w:r>
      <w:r>
        <w:rPr>
          <w:rFonts w:hint="eastAsia" w:ascii="仿宋" w:hAnsi="仿宋" w:eastAsia="仿宋" w:cs="仿宋"/>
          <w:b/>
          <w:color w:val="auto"/>
          <w:sz w:val="32"/>
          <w:szCs w:val="32"/>
          <w:highlight w:val="none"/>
          <w:lang w:eastAsia="zh-CN"/>
        </w:rPr>
        <w:t>月</w:t>
      </w:r>
      <w:r>
        <w:rPr>
          <w:rFonts w:hint="eastAsia" w:ascii="仿宋_GB2312" w:hAnsi="宋体" w:eastAsia="仿宋_GB2312"/>
          <w:b/>
          <w:color w:val="auto"/>
          <w:sz w:val="32"/>
          <w:szCs w:val="32"/>
          <w:highlight w:val="none"/>
          <w:lang w:val="en-US" w:eastAsia="zh-CN"/>
        </w:rPr>
        <w:t>14</w:t>
      </w:r>
      <w:r>
        <w:rPr>
          <w:rFonts w:hint="eastAsia" w:ascii="仿宋_GB2312" w:hAnsi="宋体" w:eastAsia="仿宋_GB2312"/>
          <w:b/>
          <w:color w:val="auto"/>
          <w:sz w:val="32"/>
          <w:szCs w:val="32"/>
          <w:highlight w:val="none"/>
        </w:rPr>
        <w:t>日</w:t>
      </w:r>
    </w:p>
    <w:p w14:paraId="6B339581">
      <w:pPr>
        <w:pStyle w:val="25"/>
        <w:rPr>
          <w:rFonts w:hint="eastAsia" w:ascii="仿宋" w:hAnsi="仿宋" w:eastAsia="仿宋" w:cs="仿宋"/>
          <w:b/>
          <w:color w:val="auto"/>
          <w:sz w:val="32"/>
          <w:szCs w:val="32"/>
          <w:highlight w:val="none"/>
          <w:lang w:val="en-US" w:eastAsia="zh-CN"/>
        </w:rPr>
      </w:pPr>
    </w:p>
    <w:p w14:paraId="17A419DA">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7FEEEDA4">
      <w:pPr>
        <w:spacing w:line="360" w:lineRule="auto"/>
        <w:jc w:val="center"/>
        <w:outlineLvl w:val="9"/>
        <w:rPr>
          <w:rFonts w:hint="eastAsia" w:ascii="宋体" w:hAnsi="宋体" w:eastAsia="宋体" w:cs="宋体"/>
          <w:b w:val="0"/>
          <w:color w:val="auto"/>
          <w:sz w:val="48"/>
          <w:szCs w:val="48"/>
          <w:highlight w:val="none"/>
        </w:rPr>
      </w:pPr>
      <w:bookmarkStart w:id="0" w:name="_Toc22635"/>
      <w:bookmarkStart w:id="1" w:name="_Toc15289"/>
      <w:bookmarkStart w:id="2" w:name="_Toc21342"/>
      <w:r>
        <w:rPr>
          <w:rFonts w:hint="eastAsia" w:ascii="宋体" w:hAnsi="宋体" w:eastAsia="宋体" w:cs="宋体"/>
          <w:b/>
          <w:bCs/>
          <w:color w:val="auto"/>
          <w:sz w:val="48"/>
          <w:szCs w:val="48"/>
          <w:highlight w:val="none"/>
        </w:rPr>
        <w:t>目   录</w:t>
      </w:r>
      <w:bookmarkEnd w:id="0"/>
      <w:bookmarkEnd w:id="1"/>
      <w:bookmarkEnd w:id="2"/>
    </w:p>
    <w:p w14:paraId="47829B50">
      <w:pPr>
        <w:pStyle w:val="22"/>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"1-3"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_Toc16535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_Toc16535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s="宋体"/>
          <w:color w:val="auto"/>
          <w:szCs w:val="24"/>
          <w:highlight w:val="none"/>
        </w:rPr>
        <w:fldChar w:fldCharType="end"/>
      </w:r>
    </w:p>
    <w:p w14:paraId="4258BCE3">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 xml:space="preserve">第二章 </w:t>
      </w:r>
      <w:r>
        <w:rPr>
          <w:rFonts w:hint="eastAsia" w:ascii="宋体" w:hAnsi="宋体" w:eastAsia="宋体" w:cs="宋体"/>
          <w:bCs/>
          <w:color w:val="auto"/>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_Toc10591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24"/>
          <w:highlight w:val="none"/>
        </w:rPr>
        <w:fldChar w:fldCharType="end"/>
      </w:r>
    </w:p>
    <w:p w14:paraId="2360EF6A">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_Toc13594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30AEE746">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color w:val="auto"/>
          <w:highlight w:val="none"/>
        </w:rPr>
        <w:tab/>
      </w:r>
      <w:r>
        <w:rPr>
          <w:color w:val="auto"/>
          <w:highlight w:val="none"/>
        </w:rPr>
        <w:fldChar w:fldCharType="begin"/>
      </w:r>
      <w:r>
        <w:rPr>
          <w:color w:val="auto"/>
          <w:highlight w:val="none"/>
        </w:rPr>
        <w:instrText xml:space="preserve"> PAGEREF _Toc23393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szCs w:val="24"/>
          <w:highlight w:val="none"/>
        </w:rPr>
        <w:fldChar w:fldCharType="end"/>
      </w:r>
    </w:p>
    <w:p w14:paraId="2AF46E0D">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_Toc31001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_Toc31001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2A4D295F">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_Toc26491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_Toc26491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0C9531AE">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_Toc6695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_Toc6695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74373EB5">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_Toc19295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_Toc19295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0A60281E">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_Toc21487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_Toc21487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14820F50">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_Toc15815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_Toc15815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szCs w:val="24"/>
          <w:highlight w:val="none"/>
        </w:rPr>
        <w:fldChar w:fldCharType="end"/>
      </w:r>
    </w:p>
    <w:p w14:paraId="540BE563">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_Toc11545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_Toc11545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14:paraId="5368A76F">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_Toc29251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color w:val="auto"/>
          <w:highlight w:val="none"/>
        </w:rPr>
        <w:tab/>
      </w:r>
      <w:r>
        <w:rPr>
          <w:color w:val="auto"/>
          <w:highlight w:val="none"/>
        </w:rPr>
        <w:fldChar w:fldCharType="begin"/>
      </w:r>
      <w:r>
        <w:rPr>
          <w:color w:val="auto"/>
          <w:highlight w:val="none"/>
        </w:rPr>
        <w:instrText xml:space="preserve"> PAGEREF _Toc29251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szCs w:val="24"/>
          <w:highlight w:val="none"/>
        </w:rPr>
        <w:fldChar w:fldCharType="end"/>
      </w:r>
    </w:p>
    <w:p w14:paraId="304DA266">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_Toc23637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_Toc23637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67262415">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_Toc22688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_Toc22688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szCs w:val="24"/>
          <w:highlight w:val="none"/>
        </w:rPr>
        <w:fldChar w:fldCharType="end"/>
      </w:r>
    </w:p>
    <w:p w14:paraId="1CAADCDD">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_Toc16046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color w:val="auto"/>
          <w:highlight w:val="none"/>
        </w:rPr>
        <w:tab/>
      </w:r>
      <w:r>
        <w:rPr>
          <w:color w:val="auto"/>
          <w:highlight w:val="none"/>
        </w:rPr>
        <w:fldChar w:fldCharType="begin"/>
      </w:r>
      <w:r>
        <w:rPr>
          <w:color w:val="auto"/>
          <w:highlight w:val="none"/>
        </w:rPr>
        <w:instrText xml:space="preserve"> PAGEREF _Toc16046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69A69CD0">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_Toc7265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color w:val="auto"/>
          <w:highlight w:val="none"/>
        </w:rPr>
        <w:tab/>
      </w:r>
      <w:r>
        <w:rPr>
          <w:color w:val="auto"/>
          <w:highlight w:val="none"/>
        </w:rPr>
        <w:fldChar w:fldCharType="begin"/>
      </w:r>
      <w:r>
        <w:rPr>
          <w:color w:val="auto"/>
          <w:highlight w:val="none"/>
        </w:rPr>
        <w:instrText xml:space="preserve"> PAGEREF _Toc7265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7B4F15F8">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_Toc12700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_Toc12700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234C5538">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_Toc3361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第一节 封面格式</w:t>
      </w:r>
      <w:r>
        <w:rPr>
          <w:color w:val="auto"/>
          <w:highlight w:val="none"/>
        </w:rPr>
        <w:tab/>
      </w:r>
      <w:r>
        <w:rPr>
          <w:color w:val="auto"/>
          <w:highlight w:val="none"/>
        </w:rPr>
        <w:fldChar w:fldCharType="begin"/>
      </w:r>
      <w:r>
        <w:rPr>
          <w:color w:val="auto"/>
          <w:highlight w:val="none"/>
        </w:rPr>
        <w:instrText xml:space="preserve"> PAGEREF _Toc3361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0E846A9A">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_Toc30309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_Toc30309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5273B10A">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_Toc7889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eastAsia="zh-CN"/>
        </w:rPr>
        <w:t>三</w:t>
      </w:r>
      <w:r>
        <w:rPr>
          <w:rFonts w:hint="eastAsia" w:ascii="宋体" w:hAnsi="宋体" w:eastAsia="宋体" w:cs="宋体"/>
          <w:bCs w:val="0"/>
          <w:color w:val="auto"/>
          <w:highlight w:val="none"/>
        </w:rPr>
        <w:t xml:space="preserve">节 </w:t>
      </w:r>
      <w:r>
        <w:rPr>
          <w:rFonts w:hint="eastAsia" w:ascii="宋体" w:hAnsi="宋体" w:eastAsia="宋体" w:cs="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_Toc7889 \h </w:instrText>
      </w:r>
      <w:r>
        <w:rPr>
          <w:color w:val="auto"/>
          <w:highlight w:val="none"/>
        </w:rPr>
        <w:fldChar w:fldCharType="separate"/>
      </w:r>
      <w:r>
        <w:rPr>
          <w:color w:val="auto"/>
          <w:highlight w:val="none"/>
        </w:rPr>
        <w:t>51</w:t>
      </w:r>
      <w:r>
        <w:rPr>
          <w:color w:val="auto"/>
          <w:highlight w:val="none"/>
        </w:rPr>
        <w:fldChar w:fldCharType="end"/>
      </w:r>
      <w:r>
        <w:rPr>
          <w:rFonts w:hint="eastAsia" w:ascii="宋体" w:hAnsi="宋体" w:eastAsia="宋体" w:cs="宋体"/>
          <w:color w:val="auto"/>
          <w:szCs w:val="24"/>
          <w:highlight w:val="none"/>
        </w:rPr>
        <w:fldChar w:fldCharType="end"/>
      </w:r>
    </w:p>
    <w:p w14:paraId="2FEDAD14">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_Toc12752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第四节 报价文件格式</w:t>
      </w:r>
      <w:r>
        <w:rPr>
          <w:color w:val="auto"/>
          <w:highlight w:val="none"/>
        </w:rPr>
        <w:tab/>
      </w:r>
      <w:r>
        <w:rPr>
          <w:color w:val="auto"/>
          <w:highlight w:val="none"/>
        </w:rPr>
        <w:fldChar w:fldCharType="begin"/>
      </w:r>
      <w:r>
        <w:rPr>
          <w:color w:val="auto"/>
          <w:highlight w:val="none"/>
        </w:rPr>
        <w:instrText xml:space="preserve"> PAGEREF _Toc12752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20CFD37C">
      <w:pPr>
        <w:pStyle w:val="25"/>
        <w:tabs>
          <w:tab w:val="right" w:leader="dot" w:pos="9746"/>
          <w:tab w:val="clear" w:pos="829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_Toc29246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lang w:val="en-US" w:eastAsia="zh-CN"/>
        </w:rPr>
        <w:t>第五节 其他文书、文件格式</w:t>
      </w:r>
      <w:r>
        <w:rPr>
          <w:color w:val="auto"/>
          <w:highlight w:val="none"/>
        </w:rPr>
        <w:tab/>
      </w:r>
      <w:r>
        <w:rPr>
          <w:color w:val="auto"/>
          <w:highlight w:val="none"/>
        </w:rPr>
        <w:fldChar w:fldCharType="begin"/>
      </w:r>
      <w:r>
        <w:rPr>
          <w:color w:val="auto"/>
          <w:highlight w:val="none"/>
        </w:rPr>
        <w:instrText xml:space="preserve"> PAGEREF _Toc29246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1A34E097">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_Toc2080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72A62BCE">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_Toc14233 </w:instrText>
      </w:r>
      <w:r>
        <w:rPr>
          <w:rFonts w:hint="eastAsia" w:ascii="宋体" w:hAnsi="宋体" w:eastAsia="宋体" w:cs="宋体"/>
          <w:color w:val="auto"/>
          <w:szCs w:val="24"/>
          <w:highlight w:val="none"/>
        </w:rPr>
        <w:fldChar w:fldCharType="separate"/>
      </w:r>
      <w:r>
        <w:rPr>
          <w:rFonts w:hint="eastAsia" w:ascii="Times New Roman" w:hAnsi="Times New Roman" w:cs="Times New Roman"/>
          <w:bCs/>
          <w:color w:val="auto"/>
          <w:szCs w:val="44"/>
          <w:highlight w:val="none"/>
          <w:lang w:eastAsia="zh-CN"/>
        </w:rPr>
        <w:t>第一节</w:t>
      </w:r>
      <w:r>
        <w:rPr>
          <w:rFonts w:hint="eastAsia" w:cs="Times New Roman"/>
          <w:bCs/>
          <w:color w:val="auto"/>
          <w:szCs w:val="44"/>
          <w:highlight w:val="none"/>
          <w:lang w:val="en-US" w:eastAsia="zh-CN"/>
        </w:rPr>
        <w:t xml:space="preserve">  </w:t>
      </w:r>
      <w:r>
        <w:rPr>
          <w:rFonts w:hint="eastAsia" w:ascii="Times New Roman" w:hAnsi="Times New Roman" w:cs="Times New Roman"/>
          <w:bCs/>
          <w:color w:val="auto"/>
          <w:szCs w:val="44"/>
          <w:highlight w:val="none"/>
          <w:lang w:eastAsia="zh-CN"/>
        </w:rPr>
        <w:t>合同协议书</w:t>
      </w:r>
      <w:r>
        <w:rPr>
          <w:color w:val="auto"/>
          <w:highlight w:val="none"/>
        </w:rPr>
        <w:tab/>
      </w:r>
      <w:r>
        <w:rPr>
          <w:color w:val="auto"/>
          <w:highlight w:val="none"/>
        </w:rPr>
        <w:fldChar w:fldCharType="begin"/>
      </w:r>
      <w:r>
        <w:rPr>
          <w:color w:val="auto"/>
          <w:highlight w:val="none"/>
        </w:rPr>
        <w:instrText xml:space="preserve"> PAGEREF _Toc14233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4"/>
          <w:highlight w:val="none"/>
        </w:rPr>
        <w:fldChar w:fldCharType="end"/>
      </w:r>
    </w:p>
    <w:p w14:paraId="34C8CBEE">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_Toc2561 </w:instrText>
      </w:r>
      <w:r>
        <w:rPr>
          <w:rFonts w:hint="eastAsia" w:ascii="宋体" w:hAnsi="宋体" w:eastAsia="宋体" w:cs="宋体"/>
          <w:color w:val="auto"/>
          <w:szCs w:val="24"/>
          <w:highlight w:val="none"/>
        </w:rPr>
        <w:fldChar w:fldCharType="separate"/>
      </w:r>
      <w:r>
        <w:rPr>
          <w:rFonts w:hint="eastAsia" w:ascii="Times New Roman" w:hAnsi="Times New Roman" w:cs="Times New Roman"/>
          <w:bCs/>
          <w:color w:val="auto"/>
          <w:szCs w:val="44"/>
          <w:highlight w:val="none"/>
          <w:lang w:eastAsia="zh-CN"/>
        </w:rPr>
        <w:t>第二节</w:t>
      </w:r>
      <w:r>
        <w:rPr>
          <w:rFonts w:hint="eastAsia" w:cs="Times New Roman"/>
          <w:bCs/>
          <w:color w:val="auto"/>
          <w:szCs w:val="44"/>
          <w:highlight w:val="none"/>
          <w:lang w:val="en-US" w:eastAsia="zh-CN"/>
        </w:rPr>
        <w:t xml:space="preserve"> </w:t>
      </w:r>
      <w:r>
        <w:rPr>
          <w:rFonts w:hint="eastAsia" w:ascii="Times New Roman" w:hAnsi="Times New Roman" w:cs="Times New Roman"/>
          <w:bCs/>
          <w:color w:val="auto"/>
          <w:szCs w:val="44"/>
          <w:highlight w:val="none"/>
          <w:lang w:eastAsia="zh-CN"/>
        </w:rPr>
        <w:t xml:space="preserve"> 通用合同条款</w:t>
      </w:r>
      <w:r>
        <w:rPr>
          <w:color w:val="auto"/>
          <w:highlight w:val="none"/>
        </w:rPr>
        <w:tab/>
      </w:r>
      <w:r>
        <w:rPr>
          <w:color w:val="auto"/>
          <w:highlight w:val="none"/>
        </w:rPr>
        <w:fldChar w:fldCharType="begin"/>
      </w:r>
      <w:r>
        <w:rPr>
          <w:color w:val="auto"/>
          <w:highlight w:val="none"/>
        </w:rPr>
        <w:instrText xml:space="preserve"> PAGEREF _Toc2561 \h </w:instrText>
      </w:r>
      <w:r>
        <w:rPr>
          <w:color w:val="auto"/>
          <w:highlight w:val="none"/>
        </w:rPr>
        <w:fldChar w:fldCharType="separate"/>
      </w:r>
      <w:r>
        <w:rPr>
          <w:color w:val="auto"/>
          <w:highlight w:val="none"/>
        </w:rPr>
        <w:t>78</w:t>
      </w:r>
      <w:r>
        <w:rPr>
          <w:color w:val="auto"/>
          <w:highlight w:val="none"/>
        </w:rPr>
        <w:fldChar w:fldCharType="end"/>
      </w:r>
      <w:r>
        <w:rPr>
          <w:rFonts w:hint="eastAsia" w:ascii="宋体" w:hAnsi="宋体" w:eastAsia="宋体" w:cs="宋体"/>
          <w:color w:val="auto"/>
          <w:szCs w:val="24"/>
          <w:highlight w:val="none"/>
        </w:rPr>
        <w:fldChar w:fldCharType="end"/>
      </w:r>
    </w:p>
    <w:p w14:paraId="086E35C7">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_Toc5057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bCs/>
          <w:color w:val="auto"/>
          <w:szCs w:val="44"/>
          <w:highlight w:val="none"/>
          <w:lang w:eastAsia="zh-CN"/>
        </w:rPr>
        <w:t xml:space="preserve">第三节 </w:t>
      </w:r>
      <w:r>
        <w:rPr>
          <w:rFonts w:hint="eastAsia" w:cs="Times New Roman"/>
          <w:bCs/>
          <w:color w:val="auto"/>
          <w:szCs w:val="44"/>
          <w:highlight w:val="none"/>
          <w:lang w:val="en-US" w:eastAsia="zh-CN"/>
        </w:rPr>
        <w:t xml:space="preserve"> </w:t>
      </w:r>
      <w:r>
        <w:rPr>
          <w:rFonts w:hint="eastAsia" w:ascii="Times New Roman" w:hAnsi="Times New Roman" w:eastAsia="宋体" w:cs="Times New Roman"/>
          <w:bCs/>
          <w:color w:val="auto"/>
          <w:szCs w:val="44"/>
          <w:highlight w:val="none"/>
          <w:lang w:eastAsia="zh-CN"/>
        </w:rPr>
        <w:t>专用合同条款</w:t>
      </w:r>
      <w:r>
        <w:rPr>
          <w:color w:val="auto"/>
          <w:highlight w:val="none"/>
        </w:rPr>
        <w:tab/>
      </w:r>
      <w:r>
        <w:rPr>
          <w:color w:val="auto"/>
          <w:highlight w:val="none"/>
        </w:rPr>
        <w:fldChar w:fldCharType="begin"/>
      </w:r>
      <w:r>
        <w:rPr>
          <w:color w:val="auto"/>
          <w:highlight w:val="none"/>
        </w:rPr>
        <w:instrText xml:space="preserve"> PAGEREF _Toc5057 \h </w:instrText>
      </w:r>
      <w:r>
        <w:rPr>
          <w:color w:val="auto"/>
          <w:highlight w:val="none"/>
        </w:rPr>
        <w:fldChar w:fldCharType="separate"/>
      </w:r>
      <w:r>
        <w:rPr>
          <w:color w:val="auto"/>
          <w:highlight w:val="none"/>
        </w:rPr>
        <w:t>119</w:t>
      </w:r>
      <w:r>
        <w:rPr>
          <w:color w:val="auto"/>
          <w:highlight w:val="none"/>
        </w:rPr>
        <w:fldChar w:fldCharType="end"/>
      </w:r>
      <w:r>
        <w:rPr>
          <w:rFonts w:hint="eastAsia" w:ascii="宋体" w:hAnsi="宋体" w:eastAsia="宋体" w:cs="宋体"/>
          <w:color w:val="auto"/>
          <w:szCs w:val="24"/>
          <w:highlight w:val="none"/>
        </w:rPr>
        <w:fldChar w:fldCharType="end"/>
      </w:r>
    </w:p>
    <w:p w14:paraId="78A2BBAD">
      <w:pPr>
        <w:pStyle w:val="1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_Toc18757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bCs/>
          <w:color w:val="auto"/>
          <w:kern w:val="0"/>
          <w:szCs w:val="44"/>
          <w:highlight w:val="none"/>
          <w:lang w:val="en-US" w:eastAsia="zh-CN" w:bidi="en-US"/>
        </w:rPr>
        <w:t>第四节  合同附件格式</w:t>
      </w:r>
      <w:r>
        <w:rPr>
          <w:color w:val="auto"/>
          <w:highlight w:val="none"/>
        </w:rPr>
        <w:tab/>
      </w:r>
      <w:r>
        <w:rPr>
          <w:color w:val="auto"/>
          <w:highlight w:val="none"/>
        </w:rPr>
        <w:fldChar w:fldCharType="begin"/>
      </w:r>
      <w:r>
        <w:rPr>
          <w:color w:val="auto"/>
          <w:highlight w:val="none"/>
        </w:rPr>
        <w:instrText xml:space="preserve"> PAGEREF _Toc18757 \h </w:instrText>
      </w:r>
      <w:r>
        <w:rPr>
          <w:color w:val="auto"/>
          <w:highlight w:val="none"/>
        </w:rPr>
        <w:fldChar w:fldCharType="separate"/>
      </w:r>
      <w:r>
        <w:rPr>
          <w:color w:val="auto"/>
          <w:highlight w:val="none"/>
        </w:rPr>
        <w:t>134</w:t>
      </w:r>
      <w:r>
        <w:rPr>
          <w:color w:val="auto"/>
          <w:highlight w:val="none"/>
        </w:rPr>
        <w:fldChar w:fldCharType="end"/>
      </w:r>
      <w:r>
        <w:rPr>
          <w:rFonts w:hint="eastAsia" w:ascii="宋体" w:hAnsi="宋体" w:eastAsia="宋体" w:cs="宋体"/>
          <w:color w:val="auto"/>
          <w:szCs w:val="24"/>
          <w:highlight w:val="none"/>
        </w:rPr>
        <w:fldChar w:fldCharType="end"/>
      </w:r>
    </w:p>
    <w:p w14:paraId="252E976D">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_Toc28511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r>
        <w:rPr>
          <w:color w:val="auto"/>
          <w:highlight w:val="none"/>
        </w:rPr>
        <w:tab/>
      </w:r>
      <w:r>
        <w:rPr>
          <w:color w:val="auto"/>
          <w:highlight w:val="none"/>
        </w:rPr>
        <w:fldChar w:fldCharType="begin"/>
      </w:r>
      <w:r>
        <w:rPr>
          <w:color w:val="auto"/>
          <w:highlight w:val="none"/>
        </w:rPr>
        <w:instrText xml:space="preserve"> PAGEREF _Toc28511 \h </w:instrText>
      </w:r>
      <w:r>
        <w:rPr>
          <w:color w:val="auto"/>
          <w:highlight w:val="none"/>
        </w:rPr>
        <w:fldChar w:fldCharType="separate"/>
      </w:r>
      <w:r>
        <w:rPr>
          <w:color w:val="auto"/>
          <w:highlight w:val="none"/>
        </w:rPr>
        <w:t>136</w:t>
      </w:r>
      <w:r>
        <w:rPr>
          <w:color w:val="auto"/>
          <w:highlight w:val="none"/>
        </w:rPr>
        <w:fldChar w:fldCharType="end"/>
      </w:r>
      <w:r>
        <w:rPr>
          <w:rFonts w:hint="eastAsia" w:ascii="宋体" w:hAnsi="宋体" w:eastAsia="宋体" w:cs="宋体"/>
          <w:color w:val="auto"/>
          <w:szCs w:val="24"/>
          <w:highlight w:val="none"/>
        </w:rPr>
        <w:fldChar w:fldCharType="end"/>
      </w:r>
    </w:p>
    <w:p w14:paraId="01924F97">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_Toc11341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r>
        <w:rPr>
          <w:color w:val="auto"/>
          <w:highlight w:val="none"/>
        </w:rPr>
        <w:tab/>
      </w:r>
      <w:r>
        <w:rPr>
          <w:color w:val="auto"/>
          <w:highlight w:val="none"/>
        </w:rPr>
        <w:fldChar w:fldCharType="begin"/>
      </w:r>
      <w:r>
        <w:rPr>
          <w:color w:val="auto"/>
          <w:highlight w:val="none"/>
        </w:rPr>
        <w:instrText xml:space="preserve"> PAGEREF _Toc11341 \h </w:instrText>
      </w:r>
      <w:r>
        <w:rPr>
          <w:color w:val="auto"/>
          <w:highlight w:val="none"/>
        </w:rPr>
        <w:fldChar w:fldCharType="separate"/>
      </w:r>
      <w:r>
        <w:rPr>
          <w:color w:val="auto"/>
          <w:highlight w:val="none"/>
        </w:rPr>
        <w:t>137</w:t>
      </w:r>
      <w:r>
        <w:rPr>
          <w:color w:val="auto"/>
          <w:highlight w:val="none"/>
        </w:rPr>
        <w:fldChar w:fldCharType="end"/>
      </w:r>
      <w:r>
        <w:rPr>
          <w:rFonts w:hint="eastAsia" w:ascii="宋体" w:hAnsi="宋体" w:eastAsia="宋体" w:cs="宋体"/>
          <w:color w:val="auto"/>
          <w:szCs w:val="24"/>
          <w:highlight w:val="none"/>
        </w:rPr>
        <w:fldChar w:fldCharType="end"/>
      </w:r>
    </w:p>
    <w:p w14:paraId="230958A3">
      <w:pPr>
        <w:pStyle w:val="22"/>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_Toc7745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rPr>
        <w:t>章 质疑、投诉材料格式</w:t>
      </w:r>
      <w:r>
        <w:rPr>
          <w:color w:val="auto"/>
          <w:highlight w:val="none"/>
        </w:rPr>
        <w:tab/>
      </w:r>
      <w:r>
        <w:rPr>
          <w:color w:val="auto"/>
          <w:highlight w:val="none"/>
        </w:rPr>
        <w:fldChar w:fldCharType="begin"/>
      </w:r>
      <w:r>
        <w:rPr>
          <w:color w:val="auto"/>
          <w:highlight w:val="none"/>
        </w:rPr>
        <w:instrText xml:space="preserve"> PAGEREF _Toc7745 \h </w:instrText>
      </w:r>
      <w:r>
        <w:rPr>
          <w:color w:val="auto"/>
          <w:highlight w:val="none"/>
        </w:rPr>
        <w:fldChar w:fldCharType="separate"/>
      </w:r>
      <w:r>
        <w:rPr>
          <w:color w:val="auto"/>
          <w:highlight w:val="none"/>
        </w:rPr>
        <w:t>138</w:t>
      </w:r>
      <w:r>
        <w:rPr>
          <w:color w:val="auto"/>
          <w:highlight w:val="none"/>
        </w:rPr>
        <w:fldChar w:fldCharType="end"/>
      </w:r>
      <w:r>
        <w:rPr>
          <w:rFonts w:hint="eastAsia" w:ascii="宋体" w:hAnsi="宋体" w:eastAsia="宋体" w:cs="宋体"/>
          <w:color w:val="auto"/>
          <w:szCs w:val="24"/>
          <w:highlight w:val="none"/>
        </w:rPr>
        <w:fldChar w:fldCharType="end"/>
      </w:r>
    </w:p>
    <w:p w14:paraId="7AC448F1">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14:paraId="24E644FE">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14:paraId="05F562F8">
      <w:pPr>
        <w:pStyle w:val="3"/>
        <w:spacing w:line="360" w:lineRule="auto"/>
        <w:jc w:val="center"/>
        <w:rPr>
          <w:rFonts w:hint="eastAsia" w:ascii="宋体" w:hAnsi="宋体" w:eastAsia="宋体" w:cs="宋体"/>
          <w:color w:val="auto"/>
          <w:highlight w:val="none"/>
          <w:lang w:eastAsia="zh-CN"/>
        </w:rPr>
      </w:pPr>
      <w:bookmarkStart w:id="3" w:name="_Toc2884"/>
      <w:bookmarkStart w:id="4" w:name="_Toc1000"/>
      <w:bookmarkStart w:id="5" w:name="_Toc11033"/>
      <w:bookmarkStart w:id="6" w:name="_Toc21181"/>
      <w:bookmarkStart w:id="7" w:name="_Toc16535"/>
      <w:bookmarkStart w:id="8" w:name="_Toc23020"/>
      <w:r>
        <w:rPr>
          <w:rFonts w:hint="eastAsia" w:ascii="宋体" w:hAnsi="宋体" w:eastAsia="宋体" w:cs="宋体"/>
          <w:color w:val="auto"/>
          <w:highlight w:val="none"/>
        </w:rPr>
        <w:t>第一章 竞争性磋商公告</w:t>
      </w:r>
      <w:bookmarkEnd w:id="3"/>
      <w:bookmarkEnd w:id="4"/>
      <w:bookmarkEnd w:id="5"/>
      <w:bookmarkEnd w:id="6"/>
      <w:bookmarkEnd w:id="7"/>
      <w:bookmarkEnd w:id="8"/>
      <w:bookmarkStart w:id="9" w:name="_Toc35393798"/>
      <w:bookmarkStart w:id="10" w:name="_Toc35393629"/>
      <w:bookmarkStart w:id="11" w:name="_Toc28359012"/>
      <w:bookmarkStart w:id="12" w:name="_Toc28359089"/>
      <w:bookmarkStart w:id="13" w:name="_Toc44229878"/>
      <w:bookmarkStart w:id="14" w:name="_Toc35393623"/>
      <w:bookmarkStart w:id="15" w:name="_Toc28359004"/>
      <w:bookmarkStart w:id="16" w:name="_Toc35393792"/>
      <w:bookmarkStart w:id="17" w:name="_Toc28359081"/>
    </w:p>
    <w:p w14:paraId="49FD15BC">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D13E700">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宾阳县横水水库标准化创建工程</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Cs w:val="21"/>
          <w:highlight w:val="none"/>
          <w:lang w:eastAsia="zh-CN"/>
        </w:rPr>
        <w:t>广西政府采购云平台（https://www.gcy.zfcg.gxzf.gov.cn/）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DF8D0D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9"/>
      <w:bookmarkEnd w:id="10"/>
      <w:bookmarkEnd w:id="11"/>
      <w:bookmarkEnd w:id="12"/>
      <w:bookmarkEnd w:id="13"/>
    </w:p>
    <w:p w14:paraId="5E357FB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NNZC2024-C2-260291-GXXM</w:t>
      </w:r>
    </w:p>
    <w:p w14:paraId="7562642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宾阳县横水水库标准化创建工程</w:t>
      </w:r>
    </w:p>
    <w:p w14:paraId="09CD6A98">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14:paraId="378EC6B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val="en-US" w:eastAsia="zh-CN"/>
        </w:rPr>
        <w:t>786582.38</w:t>
      </w:r>
      <w:r>
        <w:rPr>
          <w:rFonts w:hint="eastAsia" w:ascii="宋体" w:hAnsi="宋体" w:eastAsia="宋体" w:cs="宋体"/>
          <w:b w:val="0"/>
          <w:bCs w:val="0"/>
          <w:color w:val="auto"/>
          <w:szCs w:val="21"/>
          <w:highlight w:val="none"/>
          <w:lang w:val="en-US" w:eastAsia="zh-CN"/>
        </w:rPr>
        <w:t>元</w:t>
      </w:r>
    </w:p>
    <w:p w14:paraId="4B45AD5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786582.38</w:t>
      </w:r>
      <w:r>
        <w:rPr>
          <w:rFonts w:hint="eastAsia" w:ascii="宋体" w:hAnsi="宋体" w:eastAsia="宋体" w:cs="宋体"/>
          <w:b w:val="0"/>
          <w:bCs w:val="0"/>
          <w:color w:val="auto"/>
          <w:szCs w:val="21"/>
          <w:highlight w:val="none"/>
          <w:lang w:val="en-US" w:eastAsia="zh-CN"/>
        </w:rPr>
        <w:t>元</w:t>
      </w:r>
    </w:p>
    <w:p w14:paraId="3B7BA7B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宾阳县横水水库标准化创建工程</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14:paraId="0CD9AB8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90</w:t>
      </w:r>
      <w:r>
        <w:rPr>
          <w:rFonts w:hint="eastAsia" w:ascii="宋体" w:hAnsi="宋体" w:cs="宋体"/>
          <w:color w:val="auto"/>
          <w:sz w:val="21"/>
          <w:szCs w:val="21"/>
          <w:highlight w:val="none"/>
        </w:rPr>
        <w:t>日历天</w:t>
      </w:r>
      <w:r>
        <w:rPr>
          <w:rFonts w:hint="eastAsia" w:ascii="宋体" w:hAnsi="宋体" w:eastAsia="宋体" w:cs="宋体"/>
          <w:color w:val="auto"/>
          <w:szCs w:val="21"/>
          <w:highlight w:val="none"/>
        </w:rPr>
        <w:t>。</w:t>
      </w:r>
    </w:p>
    <w:p w14:paraId="4864D941">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2FF9F8DB">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8" w:name="_Toc44229879"/>
      <w:bookmarkStart w:id="19" w:name="_Toc28359013"/>
      <w:bookmarkStart w:id="20" w:name="_Toc35393630"/>
      <w:bookmarkStart w:id="21" w:name="_Toc35393799"/>
      <w:bookmarkStart w:id="22" w:name="_Toc28359090"/>
      <w:r>
        <w:rPr>
          <w:rFonts w:hint="eastAsia" w:ascii="宋体" w:hAnsi="宋体" w:eastAsia="宋体" w:cs="宋体"/>
          <w:b/>
          <w:color w:val="auto"/>
          <w:kern w:val="44"/>
          <w:sz w:val="24"/>
          <w:highlight w:val="none"/>
        </w:rPr>
        <w:t>二、供应商的资格条件</w:t>
      </w:r>
      <w:bookmarkEnd w:id="18"/>
      <w:bookmarkEnd w:id="19"/>
      <w:bookmarkEnd w:id="20"/>
      <w:bookmarkEnd w:id="21"/>
      <w:bookmarkEnd w:id="22"/>
    </w:p>
    <w:p w14:paraId="18E71FA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14:paraId="396181FF">
      <w:pPr>
        <w:keepNext w:val="0"/>
        <w:keepLines w:val="0"/>
        <w:pageBreakBefore w:val="0"/>
        <w:kinsoku/>
        <w:wordWrap/>
        <w:overflowPunct/>
        <w:topLinePunct w:val="0"/>
        <w:autoSpaceDE/>
        <w:autoSpaceDN/>
        <w:bidi w:val="0"/>
        <w:adjustRightInd/>
        <w:spacing w:line="440" w:lineRule="exact"/>
        <w:ind w:firstLine="420" w:firstLineChars="200"/>
        <w:textAlignment w:val="auto"/>
        <w:rPr>
          <w:rFonts w:ascii="宋体" w:hAnsi="宋体" w:eastAsia="宋体" w:cs="Times New Roman"/>
          <w:color w:val="auto"/>
          <w:szCs w:val="21"/>
          <w:highlight w:val="none"/>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专门面向中小企业采购的项目（供应商应为中小微企业、监狱企业、残疾人福利性单位)</w:t>
      </w:r>
    </w:p>
    <w:p w14:paraId="59867DF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14:paraId="70C9D38F">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（1）须具备独立的法人资格，具有水利水电工程施工总承包叁级或叁级以上资质；具有省级及以上建设行政主管部门颁发的安全生产许可证。在人员、设备、资金等方面具备相应的施工能力。</w:t>
      </w:r>
    </w:p>
    <w:p w14:paraId="2498BA9F">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w:t>
      </w:r>
      <w:r>
        <w:rPr>
          <w:rFonts w:hint="eastAsia" w:ascii="宋体" w:hAnsi="宋体" w:cs="宋体"/>
          <w:color w:val="auto"/>
          <w:szCs w:val="21"/>
          <w:highlight w:val="none"/>
          <w:lang w:eastAsia="zh-CN"/>
        </w:rPr>
        <w:t>水利水电工程专业贰级以上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（含贰级）注册建造师执业资格，具备有效的安全生产考核合格证书（B类）。本项目不接受有在建、已中标未开工或已列为本项目或其他项目中标候选人第一名的建造师作为项目经理。</w:t>
      </w:r>
    </w:p>
    <w:p w14:paraId="420060D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14:paraId="032C38B2">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FC20448">
      <w:pPr>
        <w:keepNext w:val="0"/>
        <w:keepLines w:val="0"/>
        <w:pageBreakBefore w:val="0"/>
        <w:kinsoku/>
        <w:wordWrap/>
        <w:overflowPunct/>
        <w:topLinePunct w:val="0"/>
        <w:autoSpaceDE/>
        <w:autoSpaceDN/>
        <w:bidi w:val="0"/>
        <w:adjustRightInd/>
        <w:spacing w:line="440" w:lineRule="exact"/>
        <w:ind w:left="210" w:leftChars="100"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14:paraId="446E05E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4"/>
      <w:bookmarkEnd w:id="15"/>
      <w:bookmarkEnd w:id="16"/>
      <w:bookmarkEnd w:id="17"/>
    </w:p>
    <w:p w14:paraId="6A80582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3" w:name="_Toc35393624"/>
      <w:bookmarkStart w:id="24" w:name="_Toc28359005"/>
      <w:bookmarkStart w:id="25" w:name="_Toc35393793"/>
      <w:bookmarkStart w:id="26" w:name="_Toc28359082"/>
      <w:r>
        <w:rPr>
          <w:rFonts w:hint="eastAsia" w:ascii="宋体" w:hAnsi="宋体" w:eastAsia="宋体" w:cs="宋体"/>
          <w:color w:val="auto"/>
          <w:szCs w:val="21"/>
          <w:highlight w:val="none"/>
        </w:rPr>
        <w:t>时间：自公告发布之日起。</w:t>
      </w:r>
    </w:p>
    <w:p w14:paraId="16015CBC">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highlight w:val="none"/>
        </w:rPr>
        <w:t>网上下载。本项目不发放纸质采购文件，</w:t>
      </w:r>
      <w:r>
        <w:rPr>
          <w:rFonts w:hint="eastAsia" w:ascii="宋体" w:hAnsi="宋体" w:eastAsia="宋体" w:cs="宋体"/>
          <w:color w:val="auto"/>
          <w:szCs w:val="21"/>
          <w:highlight w:val="none"/>
        </w:rPr>
        <w:t>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03D7E85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60B40AFA">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3"/>
      <w:bookmarkEnd w:id="24"/>
      <w:bookmarkEnd w:id="25"/>
      <w:bookmarkEnd w:id="26"/>
      <w:r>
        <w:rPr>
          <w:rFonts w:hint="eastAsia" w:ascii="宋体" w:hAnsi="宋体" w:eastAsia="宋体" w:cs="宋体"/>
          <w:b/>
          <w:bCs/>
          <w:color w:val="auto"/>
          <w:sz w:val="24"/>
          <w:highlight w:val="none"/>
        </w:rPr>
        <w:t>响应文件提交</w:t>
      </w:r>
    </w:p>
    <w:p w14:paraId="366E1173">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color w:val="auto"/>
          <w:szCs w:val="21"/>
          <w:highlight w:val="none"/>
        </w:rPr>
        <w:t>。</w:t>
      </w:r>
    </w:p>
    <w:p w14:paraId="0D2DBD7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1EBC811D">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）实行在线电子响应，供应商应先安装“政采云电子交易客户端”（请自行前往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2B1CCE27">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）及响应文件的提交。完成CA数字证书办理预计7日左右，供应商只需办理其中一家CA数字证书及签章。</w:t>
      </w:r>
    </w:p>
    <w:p w14:paraId="7CD4861F">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A51EF72">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32A9DFE2">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w:t>
      </w:r>
      <w:r>
        <w:rPr>
          <w:rFonts w:hint="eastAsia" w:ascii="宋体" w:hAnsi="宋体" w:cs="宋体"/>
          <w:b/>
          <w:bCs/>
          <w:color w:val="auto"/>
          <w:kern w:val="0"/>
          <w:szCs w:val="21"/>
          <w:highlight w:val="none"/>
          <w:lang w:val="en-US" w:eastAsia="zh-CN"/>
        </w:rPr>
        <w:t>须</w:t>
      </w:r>
      <w:r>
        <w:rPr>
          <w:rFonts w:hint="eastAsia" w:ascii="宋体" w:hAnsi="宋体" w:eastAsia="宋体" w:cs="宋体"/>
          <w:b/>
          <w:bCs/>
          <w:color w:val="auto"/>
          <w:kern w:val="0"/>
          <w:szCs w:val="21"/>
          <w:highlight w:val="none"/>
          <w:lang w:eastAsia="zh-CN"/>
        </w:rPr>
        <w:t>要</w:t>
      </w:r>
      <w:r>
        <w:rPr>
          <w:rFonts w:hint="eastAsia" w:ascii="宋体" w:hAnsi="宋体" w:eastAsia="宋体" w:cs="宋体"/>
          <w:b/>
          <w:bCs/>
          <w:color w:val="auto"/>
          <w:kern w:val="0"/>
          <w:szCs w:val="21"/>
          <w:highlight w:val="none"/>
        </w:rPr>
        <w:t>供应商携带制作响应文件时用来加密的有效数字证书（CA认证）登录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电子开标大厅现场按规定时间对加密的响应文件进行解密，未能按要求进行解密的，由此产生的后果由</w:t>
      </w:r>
      <w:r>
        <w:rPr>
          <w:rFonts w:hint="eastAsia" w:ascii="宋体" w:hAnsi="宋体" w:cs="宋体"/>
          <w:color w:val="auto"/>
          <w:kern w:val="0"/>
          <w:szCs w:val="21"/>
          <w:highlight w:val="none"/>
          <w:lang w:val="en-US" w:eastAsia="zh-CN"/>
        </w:rPr>
        <w:t>供应商</w:t>
      </w:r>
      <w:r>
        <w:rPr>
          <w:rFonts w:hint="eastAsia" w:ascii="宋体" w:hAnsi="宋体" w:eastAsia="宋体" w:cs="宋体"/>
          <w:color w:val="auto"/>
          <w:kern w:val="0"/>
          <w:szCs w:val="21"/>
          <w:highlight w:val="none"/>
        </w:rPr>
        <w:t>自行承担。</w:t>
      </w:r>
    </w:p>
    <w:p w14:paraId="27ECE3A6">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65E2F9F4">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691315E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11时00分</w:t>
      </w:r>
      <w:r>
        <w:rPr>
          <w:rFonts w:hint="eastAsia" w:ascii="宋体" w:hAnsi="宋体" w:eastAsia="宋体" w:cs="宋体"/>
          <w:color w:val="auto"/>
          <w:szCs w:val="21"/>
          <w:highlight w:val="none"/>
        </w:rPr>
        <w:t>后</w:t>
      </w:r>
    </w:p>
    <w:p w14:paraId="51D115F9">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4496EB06">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7" w:name="_Toc28359084"/>
      <w:bookmarkStart w:id="28" w:name="_Toc28359007"/>
      <w:bookmarkStart w:id="29" w:name="_Toc35393794"/>
      <w:bookmarkStart w:id="30" w:name="_Toc35393625"/>
      <w:r>
        <w:rPr>
          <w:rFonts w:hint="eastAsia" w:ascii="宋体" w:hAnsi="宋体" w:eastAsia="宋体" w:cs="宋体"/>
          <w:b/>
          <w:bCs/>
          <w:color w:val="auto"/>
          <w:sz w:val="24"/>
          <w:highlight w:val="none"/>
        </w:rPr>
        <w:t>六、公告期限</w:t>
      </w:r>
      <w:bookmarkEnd w:id="27"/>
      <w:bookmarkEnd w:id="28"/>
      <w:bookmarkEnd w:id="29"/>
      <w:bookmarkEnd w:id="30"/>
    </w:p>
    <w:p w14:paraId="275A868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w:t>
      </w:r>
    </w:p>
    <w:p w14:paraId="0F1A8FB8">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31" w:name="_Toc35393795"/>
      <w:bookmarkStart w:id="32" w:name="_Toc35393626"/>
      <w:r>
        <w:rPr>
          <w:rFonts w:hint="eastAsia" w:ascii="宋体" w:hAnsi="宋体" w:eastAsia="宋体" w:cs="宋体"/>
          <w:b/>
          <w:bCs/>
          <w:color w:val="auto"/>
          <w:sz w:val="24"/>
          <w:highlight w:val="none"/>
        </w:rPr>
        <w:t>七、其他补充事宜</w:t>
      </w:r>
      <w:bookmarkEnd w:id="31"/>
      <w:bookmarkEnd w:id="32"/>
    </w:p>
    <w:p w14:paraId="6A8FEEF6">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5BA56F71">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2.采购意向公开链接：</w:t>
      </w:r>
    </w:p>
    <w:tbl>
      <w:tblPr>
        <w:tblStyle w:val="28"/>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6"/>
      </w:tblGrid>
      <w:tr w14:paraId="6774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6" w:type="dxa"/>
          </w:tcPr>
          <w:p w14:paraId="1394D1D9">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vertAlign w:val="baseline"/>
              </w:rPr>
            </w:pPr>
            <w:r>
              <w:rPr>
                <w:rFonts w:hint="eastAsia" w:ascii="宋体" w:hAnsi="宋体" w:eastAsia="宋体" w:cs="宋体"/>
                <w:color w:val="auto"/>
                <w:kern w:val="0"/>
                <w:szCs w:val="21"/>
                <w:highlight w:val="none"/>
              </w:rPr>
              <w:t>http://www.ccgp-guangxi.gov.cn/site/detail?categoryCode=reformColumn&amp;parentId=66601&amp;articleId=ztLswB11XlVtH7TyO0mEog==</w:t>
            </w:r>
          </w:p>
        </w:tc>
      </w:tr>
    </w:tbl>
    <w:p w14:paraId="0FA380F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3" w:name="_Hlk37429585"/>
      <w:r>
        <w:rPr>
          <w:rFonts w:hint="eastAsia" w:ascii="宋体" w:hAnsi="宋体" w:eastAsia="宋体" w:cs="宋体"/>
          <w:color w:val="auto"/>
          <w:kern w:val="0"/>
          <w:szCs w:val="21"/>
          <w:highlight w:val="none"/>
        </w:rPr>
        <w:t>3.</w:t>
      </w:r>
      <w:bookmarkStart w:id="34" w:name="_Hlk37429595"/>
      <w:r>
        <w:rPr>
          <w:rFonts w:hint="eastAsia" w:ascii="宋体" w:hAnsi="宋体" w:eastAsia="宋体" w:cs="宋体"/>
          <w:color w:val="auto"/>
          <w:kern w:val="0"/>
          <w:szCs w:val="21"/>
          <w:highlight w:val="none"/>
        </w:rPr>
        <w:t>网上查询地址</w:t>
      </w:r>
    </w:p>
    <w:bookmarkEnd w:id="33"/>
    <w:bookmarkEnd w:id="34"/>
    <w:p w14:paraId="78249BC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eastAsia="宋体" w:cs="宋体"/>
          <w:color w:val="auto"/>
          <w:kern w:val="0"/>
          <w:szCs w:val="21"/>
          <w:highlight w:val="none"/>
          <w:lang w:eastAsia="zh-CN"/>
        </w:rPr>
      </w:pPr>
      <w:bookmarkStart w:id="35"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s="宋体"/>
          <w:color w:val="auto"/>
          <w:kern w:val="0"/>
          <w:szCs w:val="21"/>
          <w:highlight w:val="none"/>
          <w:lang w:val="en-US" w:eastAsia="zh-CN"/>
        </w:rPr>
        <w:t>。</w:t>
      </w:r>
    </w:p>
    <w:p w14:paraId="5501E84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5"/>
    <w:p w14:paraId="0426E30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648A7698">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7776859C">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02BB839E">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19A170AD">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14:paraId="1E5C9A14">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14:paraId="150A5BE7">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2E3154A">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（https://www.gcy.zfcg.gxzf.gov.cn/），点击右侧咨询小采，获取采小蜜智能服务管家帮助，或拨打政采云服务热线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14:paraId="3DF51493">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0838A02E">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6" w:name="_Toc24059"/>
      <w:bookmarkStart w:id="37" w:name="_Toc20817"/>
      <w:bookmarkStart w:id="38" w:name="_Toc15775"/>
      <w:r>
        <w:rPr>
          <w:rFonts w:hint="eastAsia" w:ascii="宋体" w:hAnsi="宋体" w:eastAsia="宋体" w:cs="宋体"/>
          <w:color w:val="auto"/>
          <w:szCs w:val="21"/>
          <w:highlight w:val="none"/>
        </w:rPr>
        <w:t>1.采购人信息</w:t>
      </w:r>
    </w:p>
    <w:p w14:paraId="07B0919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宾阳县水利工程建设服务站</w:t>
      </w:r>
    </w:p>
    <w:p w14:paraId="2C40DE3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广西南宁市宾阳县宾州镇枫江路240号</w:t>
      </w:r>
    </w:p>
    <w:p w14:paraId="1B6EFC1C">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val="en-US" w:eastAsia="zh-CN"/>
        </w:rPr>
        <w:t>廖站长</w:t>
      </w:r>
    </w:p>
    <w:p w14:paraId="2B180D64">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联系电话：0771-8252307</w:t>
      </w:r>
      <w:r>
        <w:rPr>
          <w:rFonts w:hint="eastAsia" w:ascii="宋体" w:hAnsi="宋体" w:cs="宋体"/>
          <w:color w:val="auto"/>
          <w:szCs w:val="21"/>
          <w:highlight w:val="none"/>
          <w:lang w:val="en-US" w:eastAsia="zh-CN"/>
        </w:rPr>
        <w:t xml:space="preserve"> </w:t>
      </w:r>
    </w:p>
    <w:p w14:paraId="4EC804D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5C44CDF7">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广西星木工程咨询有限公司</w:t>
      </w:r>
    </w:p>
    <w:p w14:paraId="0EB08F83">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地址：南宁市青秀区佛子岭路18号德利国际·东盟文化广场B1栋十五层1508、1509号办公室</w:t>
      </w:r>
    </w:p>
    <w:p w14:paraId="6486752B">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韦工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0771-3132669</w:t>
      </w:r>
    </w:p>
    <w:p w14:paraId="596F99FE">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679FBAE3">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韦工</w:t>
      </w:r>
    </w:p>
    <w:p w14:paraId="684322B8">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0771-3132669</w:t>
      </w:r>
    </w:p>
    <w:p w14:paraId="615A7A9B">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14:paraId="46A5CAF1">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14:paraId="3E3BE4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color w:val="auto"/>
          <w:szCs w:val="21"/>
          <w:highlight w:val="none"/>
        </w:rPr>
        <w:t>CA证书申请方式及操作指南下载地址（</w:t>
      </w:r>
      <w:r>
        <w:rPr>
          <w:rFonts w:hint="eastAsia" w:ascii="宋体" w:hAnsi="宋体"/>
          <w:color w:val="auto"/>
          <w:szCs w:val="21"/>
          <w:highlight w:val="none"/>
          <w:lang w:eastAsia="zh-CN"/>
        </w:rPr>
        <w:t>登录http</w:t>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“广西政采云西部</w:t>
      </w:r>
      <w:r>
        <w:rPr>
          <w:color w:val="auto"/>
          <w:highlight w:val="none"/>
        </w:rPr>
        <w:t>CA</w:t>
      </w:r>
      <w:r>
        <w:rPr>
          <w:rFonts w:hint="eastAsia"/>
          <w:color w:val="auto"/>
          <w:highlight w:val="none"/>
        </w:rPr>
        <w:t>办理方式”或“南宁市政采云</w:t>
      </w:r>
      <w:r>
        <w:rPr>
          <w:color w:val="auto"/>
          <w:highlight w:val="none"/>
        </w:rPr>
        <w:t>CA</w:t>
      </w:r>
      <w:r>
        <w:rPr>
          <w:rFonts w:hint="eastAsia"/>
          <w:color w:val="auto"/>
          <w:highlight w:val="none"/>
        </w:rPr>
        <w:t>证书办理操作指南”</w:t>
      </w:r>
      <w:r>
        <w:rPr>
          <w:rFonts w:hint="eastAsia" w:ascii="宋体" w:hAnsi="宋体"/>
          <w:color w:val="auto"/>
          <w:szCs w:val="21"/>
          <w:highlight w:val="none"/>
        </w:rPr>
        <w:t>）</w:t>
      </w:r>
    </w:p>
    <w:p w14:paraId="09291E8D">
      <w:pPr>
        <w:pStyle w:val="11"/>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color w:val="auto"/>
          <w:szCs w:val="21"/>
          <w:highlight w:val="none"/>
        </w:rPr>
        <w:t>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Style w:val="31"/>
          <w:color w:val="auto"/>
          <w:highlight w:val="none"/>
        </w:rPr>
        <w:t>http://nncz.nanning.gov.cn/</w:t>
      </w:r>
      <w:r>
        <w:rPr>
          <w:color w:val="auto"/>
          <w:highlight w:val="none"/>
        </w:rPr>
        <w:fldChar w:fldCharType="end"/>
      </w:r>
      <w:r>
        <w:rPr>
          <w:rFonts w:hint="eastAsia"/>
          <w:color w:val="auto"/>
          <w:highlight w:val="none"/>
        </w:rPr>
        <w:t>（南宁市财政局官网）</w:t>
      </w:r>
      <w:r>
        <w:rPr>
          <w:rFonts w:hint="eastAsia"/>
          <w:color w:val="auto"/>
          <w:highlight w:val="none"/>
          <w:lang w:eastAsia="zh-CN"/>
        </w:rPr>
        <w:t>－</w:t>
      </w:r>
      <w:r>
        <w:rPr>
          <w:rFonts w:hint="eastAsia"/>
          <w:color w:val="auto"/>
          <w:highlight w:val="none"/>
        </w:rPr>
        <w:t>业务专题</w:t>
      </w:r>
      <w:r>
        <w:rPr>
          <w:rFonts w:hint="eastAsia"/>
          <w:color w:val="auto"/>
          <w:highlight w:val="none"/>
          <w:lang w:eastAsia="zh-CN"/>
        </w:rPr>
        <w:t>－</w:t>
      </w:r>
      <w:r>
        <w:rPr>
          <w:rFonts w:hint="eastAsia"/>
          <w:color w:val="auto"/>
          <w:highlight w:val="none"/>
        </w:rPr>
        <w:t>政府采购监督管理</w:t>
      </w:r>
      <w:r>
        <w:rPr>
          <w:rFonts w:hint="eastAsia"/>
          <w:color w:val="auto"/>
          <w:highlight w:val="none"/>
          <w:lang w:eastAsia="zh-CN"/>
        </w:rPr>
        <w:t>－</w:t>
      </w:r>
      <w:r>
        <w:rPr>
          <w:rFonts w:hint="eastAsia"/>
          <w:color w:val="auto"/>
          <w:highlight w:val="none"/>
        </w:rPr>
        <w:t>资料下载</w:t>
      </w:r>
      <w:r>
        <w:rPr>
          <w:rFonts w:hint="eastAsia"/>
          <w:color w:val="auto"/>
          <w:highlight w:val="none"/>
          <w:lang w:eastAsia="zh-CN"/>
        </w:rPr>
        <w:t>－</w:t>
      </w:r>
      <w:r>
        <w:rPr>
          <w:rFonts w:hint="eastAsia"/>
          <w:color w:val="auto"/>
          <w:highlight w:val="none"/>
        </w:rPr>
        <w:t>南宁市政府采购项目全流程电子化交易操作指南</w:t>
      </w:r>
      <w:r>
        <w:rPr>
          <w:rFonts w:hint="eastAsia" w:ascii="宋体" w:hAnsi="宋体"/>
          <w:color w:val="auto"/>
          <w:szCs w:val="21"/>
          <w:highlight w:val="none"/>
        </w:rPr>
        <w:t>）</w:t>
      </w:r>
    </w:p>
    <w:p w14:paraId="114D537B">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14:paraId="0D8B2A10">
      <w:pPr>
        <w:pStyle w:val="11"/>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广西星木工程咨询有限公司</w:t>
      </w:r>
    </w:p>
    <w:p w14:paraId="1947A88A">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日</w:t>
      </w:r>
    </w:p>
    <w:p w14:paraId="49846EF1">
      <w:pPr>
        <w:pStyle w:val="3"/>
        <w:spacing w:line="360" w:lineRule="auto"/>
        <w:jc w:val="center"/>
        <w:rPr>
          <w:rFonts w:hint="eastAsia" w:ascii="宋体" w:hAnsi="宋体" w:eastAsia="宋体" w:cs="宋体"/>
          <w:b/>
          <w:bCs/>
          <w:color w:val="auto"/>
          <w:highlight w:val="none"/>
          <w:lang w:val="en-US" w:eastAsia="zh-CN"/>
        </w:rPr>
      </w:pPr>
      <w:bookmarkStart w:id="39" w:name="_Toc7539"/>
      <w:bookmarkStart w:id="40" w:name="_Toc10591"/>
      <w:bookmarkStart w:id="41" w:name="_Toc5115"/>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6"/>
      <w:bookmarkEnd w:id="37"/>
      <w:bookmarkEnd w:id="38"/>
      <w:bookmarkEnd w:id="39"/>
      <w:bookmarkEnd w:id="40"/>
      <w:bookmarkEnd w:id="41"/>
    </w:p>
    <w:p w14:paraId="6731584E">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14:paraId="75C2B23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14:paraId="4B4016B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548ED8B">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600D4E2">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14:paraId="32C9FCF1">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14:paraId="11371D92">
      <w:pPr>
        <w:outlineLvl w:val="9"/>
        <w:rPr>
          <w:rFonts w:hint="eastAsia" w:ascii="宋体" w:hAnsi="宋体"/>
          <w:color w:val="auto"/>
          <w:highlight w:val="none"/>
        </w:rPr>
      </w:pPr>
    </w:p>
    <w:p w14:paraId="1DDE115E">
      <w:pPr>
        <w:outlineLvl w:val="9"/>
        <w:rPr>
          <w:rFonts w:hint="eastAsia" w:ascii="宋体" w:hAnsi="宋体"/>
          <w:color w:val="auto"/>
          <w:highlight w:val="none"/>
        </w:rPr>
      </w:pPr>
    </w:p>
    <w:p w14:paraId="4EE8DE37">
      <w:pPr>
        <w:outlineLvl w:val="9"/>
        <w:rPr>
          <w:rFonts w:hint="eastAsia" w:ascii="宋体" w:hAnsi="宋体"/>
          <w:color w:val="auto"/>
          <w:highlight w:val="none"/>
        </w:rPr>
      </w:pPr>
    </w:p>
    <w:p w14:paraId="58DBE6D9">
      <w:pPr>
        <w:outlineLvl w:val="9"/>
        <w:rPr>
          <w:rFonts w:hint="eastAsia" w:ascii="宋体" w:hAnsi="宋体"/>
          <w:color w:val="auto"/>
          <w:highlight w:val="none"/>
        </w:rPr>
      </w:pPr>
    </w:p>
    <w:p w14:paraId="54B223DD">
      <w:pPr>
        <w:outlineLvl w:val="9"/>
        <w:rPr>
          <w:rFonts w:hint="eastAsia" w:ascii="宋体" w:hAnsi="宋体"/>
          <w:color w:val="auto"/>
          <w:highlight w:val="none"/>
        </w:rPr>
      </w:pPr>
    </w:p>
    <w:p w14:paraId="18A730A6">
      <w:pPr>
        <w:outlineLvl w:val="9"/>
        <w:rPr>
          <w:rFonts w:hint="eastAsia" w:ascii="宋体" w:hAnsi="宋体"/>
          <w:color w:val="auto"/>
          <w:highlight w:val="none"/>
        </w:rPr>
      </w:pPr>
    </w:p>
    <w:p w14:paraId="06C267E0">
      <w:pPr>
        <w:outlineLvl w:val="9"/>
        <w:rPr>
          <w:rFonts w:hint="eastAsia" w:ascii="宋体" w:hAnsi="宋体"/>
          <w:color w:val="auto"/>
          <w:highlight w:val="none"/>
        </w:rPr>
      </w:pPr>
    </w:p>
    <w:p w14:paraId="6788D42D">
      <w:pPr>
        <w:outlineLvl w:val="9"/>
        <w:rPr>
          <w:rFonts w:hint="eastAsia"/>
          <w:color w:val="auto"/>
          <w:highlight w:val="none"/>
        </w:rPr>
      </w:pPr>
    </w:p>
    <w:p w14:paraId="63F53F5F">
      <w:pPr>
        <w:outlineLvl w:val="9"/>
        <w:rPr>
          <w:rFonts w:hint="eastAsia" w:ascii="宋体" w:hAnsi="宋体"/>
          <w:color w:val="auto"/>
          <w:highlight w:val="none"/>
        </w:rPr>
      </w:pPr>
    </w:p>
    <w:p w14:paraId="706ADC0F">
      <w:pPr>
        <w:outlineLvl w:val="9"/>
        <w:rPr>
          <w:rFonts w:hint="eastAsia" w:ascii="宋体" w:hAnsi="宋体"/>
          <w:color w:val="auto"/>
          <w:highlight w:val="none"/>
        </w:rPr>
      </w:pPr>
    </w:p>
    <w:p w14:paraId="1CECA51D">
      <w:pPr>
        <w:pStyle w:val="32"/>
        <w:rPr>
          <w:rFonts w:hint="eastAsia" w:ascii="宋体" w:hAnsi="宋体"/>
          <w:color w:val="auto"/>
          <w:highlight w:val="none"/>
        </w:rPr>
      </w:pPr>
    </w:p>
    <w:p w14:paraId="2D53CC6C">
      <w:pPr>
        <w:pStyle w:val="32"/>
        <w:rPr>
          <w:rFonts w:hint="eastAsia" w:ascii="宋体" w:hAnsi="宋体"/>
          <w:color w:val="auto"/>
          <w:highlight w:val="none"/>
        </w:rPr>
      </w:pPr>
    </w:p>
    <w:p w14:paraId="5819D328">
      <w:pPr>
        <w:pStyle w:val="32"/>
        <w:rPr>
          <w:rFonts w:hint="eastAsia" w:ascii="宋体" w:hAnsi="宋体"/>
          <w:color w:val="auto"/>
          <w:highlight w:val="none"/>
        </w:rPr>
      </w:pPr>
    </w:p>
    <w:p w14:paraId="3BA74477">
      <w:pPr>
        <w:outlineLvl w:val="9"/>
        <w:rPr>
          <w:rFonts w:hint="eastAsia" w:ascii="宋体" w:hAnsi="宋体"/>
          <w:color w:val="auto"/>
          <w:highlight w:val="none"/>
        </w:rPr>
      </w:pPr>
    </w:p>
    <w:p w14:paraId="642984B7">
      <w:pPr>
        <w:outlineLvl w:val="9"/>
        <w:rPr>
          <w:rFonts w:hint="eastAsia"/>
          <w:color w:val="auto"/>
          <w:highlight w:val="none"/>
        </w:rPr>
      </w:pPr>
    </w:p>
    <w:p w14:paraId="0F751D7A">
      <w:pPr>
        <w:outlineLvl w:val="9"/>
        <w:rPr>
          <w:rFonts w:hint="eastAsia"/>
          <w:color w:val="auto"/>
          <w:highlight w:val="none"/>
        </w:rPr>
      </w:pPr>
    </w:p>
    <w:p w14:paraId="796AE274">
      <w:pPr>
        <w:outlineLvl w:val="9"/>
        <w:rPr>
          <w:rFonts w:hint="eastAsia" w:ascii="宋体" w:hAnsi="宋体"/>
          <w:color w:val="auto"/>
          <w:highlight w:val="none"/>
        </w:rPr>
      </w:pPr>
    </w:p>
    <w:tbl>
      <w:tblPr>
        <w:tblStyle w:val="27"/>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80"/>
        <w:gridCol w:w="1163"/>
      </w:tblGrid>
      <w:tr w14:paraId="68E7C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14:paraId="627174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14:paraId="733EE35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14:paraId="177C3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3A94109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9F3DBAD">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699CF24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22046A31">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0CB45B64">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0B2D1365">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562298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color w:val="auto"/>
                <w:szCs w:val="21"/>
                <w:highlight w:val="none"/>
              </w:rPr>
            </w:pPr>
            <w:r>
              <w:rPr>
                <w:rFonts w:hint="eastAsia" w:ascii="宋体" w:hAnsi="宋体"/>
                <w:b w:val="0"/>
                <w:bCs/>
                <w:color w:val="auto"/>
                <w:szCs w:val="21"/>
                <w:highlight w:val="none"/>
              </w:rPr>
              <w:t>分项最高限价（元）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FDD483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val="0"/>
                <w:bCs/>
                <w:color w:val="auto"/>
                <w:szCs w:val="21"/>
                <w:highlight w:val="none"/>
              </w:rPr>
            </w:pPr>
            <w:r>
              <w:rPr>
                <w:rFonts w:hint="eastAsia" w:ascii="宋体" w:hAnsi="宋体"/>
                <w:b w:val="0"/>
                <w:bCs/>
                <w:color w:val="auto"/>
                <w:sz w:val="21"/>
                <w:szCs w:val="21"/>
                <w:highlight w:val="none"/>
              </w:rPr>
              <w:t>中小企业划分标准所属行业名称（行业名称及划分见本章附件2）</w:t>
            </w:r>
          </w:p>
        </w:tc>
      </w:tr>
      <w:tr w14:paraId="5A3C9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76586F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0071406">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4BEAC0F7">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宾阳县横水水库标准化创建工程 </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6B55FB40">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val="0"/>
                <w:bCs w:val="0"/>
                <w:color w:val="auto"/>
                <w:szCs w:val="21"/>
                <w:highlight w:val="none"/>
              </w:rPr>
            </w:pPr>
            <w:r>
              <w:rPr>
                <w:rFonts w:hint="eastAsia" w:ascii="宋体" w:hAnsi="宋体"/>
                <w:b w:val="0"/>
                <w:bCs w:val="0"/>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3FA613B4">
            <w:pPr>
              <w:spacing w:line="48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14:paraId="652C12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color w:val="auto"/>
                <w:highlight w:val="none"/>
              </w:rPr>
              <w:t>横水水库位于宾阳县武陵镇六蒙村委横水新村北面，红水河系清水河支流六丁江上游的白花山山麓，坝址地理位置位东经108°49'36"</w:t>
            </w:r>
            <w:r>
              <w:rPr>
                <w:rFonts w:hint="eastAsia"/>
                <w:color w:val="auto"/>
                <w:highlight w:val="none"/>
                <w:lang w:eastAsia="zh-CN"/>
              </w:rPr>
              <w:t>，</w:t>
            </w:r>
            <w:r>
              <w:rPr>
                <w:rFonts w:hint="eastAsia"/>
                <w:color w:val="auto"/>
                <w:highlight w:val="none"/>
              </w:rPr>
              <w:t>北纬 23°05'00"</w:t>
            </w:r>
            <w:r>
              <w:rPr>
                <w:rFonts w:hint="eastAsia"/>
                <w:color w:val="auto"/>
                <w:highlight w:val="none"/>
                <w:lang w:eastAsia="zh-CN"/>
              </w:rPr>
              <w:t>，</w:t>
            </w:r>
            <w:r>
              <w:rPr>
                <w:rFonts w:hint="eastAsia"/>
                <w:color w:val="auto"/>
                <w:highlight w:val="none"/>
              </w:rPr>
              <w:t xml:space="preserve">距离宾阳县城约 30 公里。水库于 1976年9月开工，1979年7月竣工，坝址以上集雨面积9.35km²，注册登记总库容 394 万 </w:t>
            </w:r>
            <w:r>
              <w:rPr>
                <w:rFonts w:hint="eastAsia"/>
                <w:color w:val="auto"/>
                <w:highlight w:val="none"/>
                <w:lang w:val="en-US" w:eastAsia="zh-CN"/>
              </w:rPr>
              <w:t>m³</w:t>
            </w:r>
            <w:r>
              <w:rPr>
                <w:rFonts w:hint="eastAsia"/>
                <w:color w:val="auto"/>
                <w:highlight w:val="none"/>
              </w:rPr>
              <w:t xml:space="preserve">，是一座兼有配合灌溉、防洪、养殖的小(1)型水库。横水水库枢纽建筑物主要包括大坝、溢洪道、输水设施等。该水库属于蓄引水工程，没有直接灌溉效益，主要通过六丁引洪渠把水引至六佑水库作为桃源灌区的灌溉水源，年均调引水量 600万 </w:t>
            </w:r>
            <w:r>
              <w:rPr>
                <w:rFonts w:hint="eastAsia"/>
                <w:color w:val="auto"/>
                <w:highlight w:val="none"/>
                <w:lang w:val="en-US" w:eastAsia="zh-CN"/>
              </w:rPr>
              <w:t>m³。</w:t>
            </w:r>
          </w:p>
          <w:p w14:paraId="0C509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2.工程内容</w:t>
            </w:r>
            <w:r>
              <w:rPr>
                <w:rFonts w:hint="eastAsia" w:ascii="宋体" w:hAnsi="宋体" w:eastAsia="宋体" w:cs="宋体"/>
                <w:b/>
                <w:bCs/>
                <w:color w:val="auto"/>
                <w:szCs w:val="21"/>
                <w:highlight w:val="none"/>
              </w:rPr>
              <w:t>：</w:t>
            </w:r>
            <w:r>
              <w:rPr>
                <w:rFonts w:hint="eastAsia" w:ascii="宋体" w:hAnsi="宋体"/>
                <w:color w:val="auto"/>
                <w:szCs w:val="21"/>
                <w:highlight w:val="none"/>
                <w:lang w:eastAsia="zh-CN"/>
              </w:rPr>
              <w:t>生产业务用房、交通道路、供水供电、路灯照明、标识标牌、绿化美化、防护栏杆金属结构及其他设计内容</w:t>
            </w:r>
            <w:r>
              <w:rPr>
                <w:rFonts w:hint="eastAsia" w:ascii="宋体" w:hAnsi="宋体" w:eastAsia="宋体" w:cs="宋体"/>
                <w:color w:val="auto"/>
                <w:szCs w:val="21"/>
                <w:highlight w:val="none"/>
                <w:lang w:val="en-US" w:eastAsia="zh-CN"/>
              </w:rPr>
              <w:t>。</w:t>
            </w:r>
            <w:r>
              <w:rPr>
                <w:rFonts w:hint="eastAsia"/>
                <w:color w:val="auto"/>
                <w:highlight w:val="none"/>
              </w:rPr>
              <w:t>（具体详见施工图纸及工程量清单所包含的所有内容）</w:t>
            </w:r>
          </w:p>
          <w:p w14:paraId="1C2F2D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eastAsia="zh-CN"/>
              </w:rPr>
              <w:t>.工程建设地点的现场条件：</w:t>
            </w:r>
          </w:p>
          <w:p w14:paraId="3E088F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（1）现场自然条件：满足施工要求。</w:t>
            </w:r>
          </w:p>
          <w:p w14:paraId="5195ED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（2）现场施工条件：符合施工要求。</w:t>
            </w:r>
          </w:p>
          <w:p w14:paraId="0FD341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Times New Roman"/>
                <w:b/>
                <w:bCs/>
                <w:color w:val="auto"/>
                <w:kern w:val="0"/>
                <w:szCs w:val="21"/>
                <w:highlight w:val="none"/>
              </w:rPr>
              <w:t>人员最低配备要求</w:t>
            </w:r>
          </w:p>
          <w:p w14:paraId="592343C9">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14:paraId="1728C08B">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14:paraId="67A10A14">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（2）技术负责人：持有中级及以上技术职称，专业是水利水电工程类专业（专业以技术职称证书所填写专业为准）。</w:t>
            </w:r>
          </w:p>
          <w:p w14:paraId="42172029">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（3）质量管理员：持有省级或省级以上水行政主管部门或其授权部门（机构）颁发的质量检查员证书。</w:t>
            </w:r>
          </w:p>
          <w:p w14:paraId="719E9A48">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（4）安全管理员：持有省级或省级以上水行政主管部门或其授权部门（机构）颁发的 c 类安全生产考核合格证书。</w:t>
            </w:r>
          </w:p>
          <w:p w14:paraId="508CE4C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（5）施工员：须持有工程施工员岗位证书。</w:t>
            </w:r>
          </w:p>
          <w:p w14:paraId="74393BF3">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（6）材料员：须持有工程材料员岗位证书。</w:t>
            </w:r>
          </w:p>
          <w:p w14:paraId="75AD5AFA">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s="宋体"/>
                <w:b w:val="0"/>
                <w:bCs w:val="0"/>
                <w:color w:val="auto"/>
                <w:szCs w:val="21"/>
                <w:highlight w:val="none"/>
                <w:lang w:eastAsia="zh-CN"/>
              </w:rPr>
            </w:pPr>
            <w:r>
              <w:rPr>
                <w:rFonts w:hint="eastAsia" w:ascii="宋体" w:hAnsi="宋体"/>
                <w:color w:val="auto"/>
                <w:kern w:val="0"/>
                <w:szCs w:val="21"/>
                <w:highlight w:val="none"/>
                <w:lang w:val="en-US" w:eastAsia="zh-CN"/>
              </w:rPr>
              <w:t>上述（1）~（6）项人员应附相关证书的复印件，并提供上述人员[2024年7月至2024年9月]依法缴纳社会保障资金的缴费凭证复印件。</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E1BE4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786582.38</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60B6D4CB">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14:paraId="78A4B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5D4D363C">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57E0C72D">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 25 日内</w:t>
            </w:r>
            <w:r>
              <w:rPr>
                <w:rFonts w:hint="eastAsia" w:ascii="宋体" w:hAnsi="宋体" w:cs="Times New Roman"/>
                <w:color w:val="auto"/>
                <w:szCs w:val="21"/>
                <w:highlight w:val="none"/>
                <w:lang w:val="en-US" w:eastAsia="zh-CN"/>
              </w:rPr>
              <w:t>。</w:t>
            </w:r>
          </w:p>
          <w:p w14:paraId="244B5E87">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highlight w:val="none"/>
              </w:rPr>
              <w:t>合同履行期限</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90</w:t>
            </w:r>
            <w:r>
              <w:rPr>
                <w:rFonts w:hint="eastAsia" w:ascii="宋体" w:hAnsi="宋体" w:eastAsia="宋体" w:cs="宋体"/>
                <w:color w:val="auto"/>
                <w:kern w:val="0"/>
                <w:szCs w:val="21"/>
                <w:highlight w:val="none"/>
                <w:lang w:val="en-US" w:eastAsia="zh-CN"/>
              </w:rPr>
              <w:t>日历天</w:t>
            </w:r>
            <w:r>
              <w:rPr>
                <w:rFonts w:hint="eastAsia" w:ascii="宋体" w:hAnsi="宋体" w:eastAsia="宋体" w:cs="宋体"/>
                <w:color w:val="auto"/>
                <w:szCs w:val="21"/>
                <w:highlight w:val="none"/>
              </w:rPr>
              <w:t>。</w:t>
            </w:r>
          </w:p>
          <w:p w14:paraId="7D6B675A">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三</w:t>
            </w:r>
            <w:r>
              <w:rPr>
                <w:rFonts w:hint="eastAsia" w:ascii="宋体" w:hAnsi="宋体"/>
                <w:color w:val="auto"/>
                <w:szCs w:val="21"/>
                <w:highlight w:val="none"/>
              </w:rPr>
              <w:t>、开工时间：具体以采购人（监理）开工令为准。</w:t>
            </w:r>
          </w:p>
          <w:p w14:paraId="44368CEF">
            <w:pPr>
              <w:spacing w:line="360" w:lineRule="auto"/>
              <w:rPr>
                <w:rFonts w:hint="eastAsia" w:ascii="宋体" w:hAnsi="宋体"/>
                <w:color w:val="auto"/>
                <w:szCs w:val="21"/>
                <w:highlight w:val="none"/>
              </w:rPr>
            </w:pPr>
            <w:r>
              <w:rPr>
                <w:rFonts w:hint="eastAsia" w:ascii="宋体" w:hAnsi="宋体" w:eastAsia="宋体" w:cs="Times New Roman"/>
                <w:color w:val="auto"/>
                <w:szCs w:val="21"/>
                <w:highlight w:val="none"/>
              </w:rPr>
              <w:t>▲</w:t>
            </w:r>
            <w:r>
              <w:rPr>
                <w:rFonts w:hint="eastAsia" w:ascii="宋体" w:hAnsi="宋体"/>
                <w:color w:val="auto"/>
                <w:szCs w:val="21"/>
                <w:highlight w:val="none"/>
                <w:lang w:eastAsia="zh-CN"/>
              </w:rPr>
              <w:t>四</w:t>
            </w:r>
            <w:r>
              <w:rPr>
                <w:rFonts w:hint="eastAsia" w:ascii="宋体" w:hAnsi="宋体"/>
                <w:color w:val="auto"/>
                <w:szCs w:val="21"/>
                <w:highlight w:val="none"/>
              </w:rPr>
              <w:t>、工程质量要求：达到国家施工验收规范合格标准。</w:t>
            </w:r>
          </w:p>
          <w:p w14:paraId="0DB1CB00">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w:t>
            </w:r>
            <w:r>
              <w:rPr>
                <w:rFonts w:hint="eastAsia" w:ascii="宋体" w:hAnsi="宋体"/>
                <w:color w:val="auto"/>
                <w:highlight w:val="none"/>
                <w:lang w:eastAsia="zh-CN"/>
              </w:rPr>
              <w:t>五</w:t>
            </w:r>
            <w:r>
              <w:rPr>
                <w:rFonts w:hint="eastAsia" w:ascii="宋体" w:hAnsi="宋体"/>
                <w:color w:val="auto"/>
                <w:highlight w:val="none"/>
              </w:rPr>
              <w:t>、售后服务</w:t>
            </w:r>
            <w:r>
              <w:rPr>
                <w:rFonts w:hint="eastAsia" w:ascii="宋体" w:hAnsi="宋体" w:eastAsia="宋体" w:cs="Times New Roman"/>
                <w:color w:val="auto"/>
                <w:szCs w:val="21"/>
                <w:highlight w:val="none"/>
                <w:lang w:val="en-US" w:eastAsia="zh-CN"/>
              </w:rPr>
              <w:t>要求</w:t>
            </w:r>
            <w:r>
              <w:rPr>
                <w:rFonts w:hint="eastAsia" w:ascii="宋体" w:hAnsi="宋体"/>
                <w:color w:val="auto"/>
                <w:highlight w:val="none"/>
              </w:rPr>
              <w:t>：</w:t>
            </w:r>
          </w:p>
          <w:p w14:paraId="12586A0D">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1.处理问题响应时间：接到采购人处理问题通知后2小时内到达采购人指定现场。</w:t>
            </w:r>
          </w:p>
          <w:p w14:paraId="2BB344DC">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2.成交人如需更换项目管理人员，需向采购人书面申请，经采购人审批许可，替换的人员所具备的资质不得低于原人员的资质。</w:t>
            </w:r>
          </w:p>
          <w:p w14:paraId="7DE420D5">
            <w:pPr>
              <w:spacing w:line="360" w:lineRule="auto"/>
              <w:rPr>
                <w:rFonts w:hint="eastAsia" w:ascii="宋体" w:hAnsi="宋体"/>
                <w:color w:val="auto"/>
                <w:highlight w:val="none"/>
              </w:rPr>
            </w:pPr>
            <w:r>
              <w:rPr>
                <w:rFonts w:hint="eastAsia" w:ascii="宋体" w:hAnsi="宋体" w:eastAsia="宋体" w:cs="Times New Roman"/>
                <w:color w:val="auto"/>
                <w:szCs w:val="21"/>
                <w:highlight w:val="none"/>
              </w:rPr>
              <w:t>3.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r>
              <w:rPr>
                <w:rFonts w:hint="eastAsia" w:ascii="宋体" w:hAnsi="宋体"/>
                <w:color w:val="auto"/>
                <w:highlight w:val="none"/>
              </w:rPr>
              <w:t>。</w:t>
            </w:r>
          </w:p>
          <w:p w14:paraId="791CB1A2">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14:paraId="403F148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（1）工程预付款的总金额：</w:t>
            </w:r>
            <w:r>
              <w:rPr>
                <w:rFonts w:hint="eastAsia" w:ascii="宋体" w:hAnsi="宋体" w:cs="宋体"/>
                <w:color w:val="auto"/>
                <w:szCs w:val="21"/>
                <w:highlight w:val="none"/>
                <w:lang w:val="en-US" w:eastAsia="zh-CN"/>
              </w:rPr>
              <w:t>为签约合同价的20%</w:t>
            </w:r>
            <w:r>
              <w:rPr>
                <w:rFonts w:hint="eastAsia" w:ascii="宋体" w:hAnsi="宋体" w:eastAsia="宋体" w:cs="宋体"/>
                <w:color w:val="auto"/>
                <w:szCs w:val="21"/>
                <w:highlight w:val="none"/>
                <w:lang w:val="en-US" w:eastAsia="zh-CN"/>
              </w:rPr>
              <w:t>。</w:t>
            </w:r>
          </w:p>
          <w:p w14:paraId="65FAF897">
            <w:pPr>
              <w:pStyle w:val="52"/>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eastAsia="宋体"/>
                <w:color w:val="auto"/>
                <w:sz w:val="21"/>
                <w:szCs w:val="21"/>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color w:val="auto"/>
                <w:sz w:val="21"/>
                <w:szCs w:val="21"/>
                <w:highlight w:val="none"/>
              </w:rPr>
              <w:t>工程进度付款的支付比例</w:t>
            </w:r>
            <w:r>
              <w:rPr>
                <w:rFonts w:hint="eastAsia"/>
                <w:color w:val="auto"/>
                <w:sz w:val="21"/>
                <w:szCs w:val="21"/>
                <w:highlight w:val="none"/>
                <w:lang w:eastAsia="zh-CN"/>
              </w:rPr>
              <w:t>：</w:t>
            </w:r>
          </w:p>
          <w:p w14:paraId="7FB0B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i w:val="0"/>
                <w:iCs w:val="0"/>
                <w:color w:val="auto"/>
                <w:sz w:val="21"/>
                <w:szCs w:val="21"/>
                <w:highlight w:val="none"/>
              </w:rPr>
              <w:t>每个付款周期按实际完成工程量的</w:t>
            </w:r>
            <w:r>
              <w:rPr>
                <w:rFonts w:hint="eastAsia"/>
                <w:i w:val="0"/>
                <w:iCs w:val="0"/>
                <w:color w:val="auto"/>
                <w:sz w:val="21"/>
                <w:szCs w:val="21"/>
                <w:highlight w:val="none"/>
                <w:u w:val="single"/>
              </w:rPr>
              <w:t xml:space="preserve"> </w:t>
            </w:r>
            <w:r>
              <w:rPr>
                <w:rFonts w:hint="eastAsia"/>
                <w:i w:val="0"/>
                <w:iCs w:val="0"/>
                <w:color w:val="auto"/>
                <w:sz w:val="21"/>
                <w:szCs w:val="21"/>
                <w:highlight w:val="none"/>
                <w:u w:val="single"/>
                <w:lang w:val="en-US" w:eastAsia="zh-CN"/>
              </w:rPr>
              <w:t>85</w:t>
            </w:r>
            <w:r>
              <w:rPr>
                <w:rFonts w:hint="eastAsia"/>
                <w:i w:val="0"/>
                <w:iCs w:val="0"/>
                <w:color w:val="auto"/>
                <w:sz w:val="21"/>
                <w:szCs w:val="21"/>
                <w:highlight w:val="none"/>
              </w:rPr>
              <w:t>%支付工程进度款，</w:t>
            </w:r>
            <w:r>
              <w:rPr>
                <w:rFonts w:hint="eastAsia"/>
                <w:i w:val="0"/>
                <w:iCs w:val="0"/>
                <w:color w:val="auto"/>
                <w:sz w:val="21"/>
                <w:szCs w:val="21"/>
                <w:highlight w:val="none"/>
                <w:lang w:eastAsia="zh-CN"/>
              </w:rPr>
              <w:t>合同外工程支付限额为实际完成工程量的</w:t>
            </w:r>
            <w:r>
              <w:rPr>
                <w:rFonts w:hint="eastAsia"/>
                <w:i w:val="0"/>
                <w:iCs w:val="0"/>
                <w:color w:val="auto"/>
                <w:sz w:val="21"/>
                <w:szCs w:val="21"/>
                <w:highlight w:val="none"/>
                <w:lang w:val="en-US" w:eastAsia="zh-CN"/>
              </w:rPr>
              <w:t>80%。在工程完工验收合格，完成工程结算并通过财政投资评审单位审核扣除3%质量保证金后，工程款支付至结算总价的97%（含已支付的），从验收合格之日起一年质量保证期满后无工程质量问题（或有一些质量缺陷已整改处理完成达到合格等级）的，支付至结算总价的100%。承包人向发包人开具增值税发票后发包人才进行工程款支付。（注：工程款项支付时，需按宾阳县财政、税务部门的规定在项目所在地缴纳相关税费）</w:t>
            </w:r>
            <w:r>
              <w:rPr>
                <w:i w:val="0"/>
                <w:iCs w:val="0"/>
                <w:color w:val="auto"/>
                <w:sz w:val="21"/>
                <w:szCs w:val="21"/>
                <w:highlight w:val="none"/>
              </w:rPr>
              <w:t>。</w:t>
            </w:r>
          </w:p>
          <w:p w14:paraId="21016151">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14:paraId="082DDE9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本项目采用工程量清单报价方式。磋商报价不得高于最高限价，否则竞标无效；最后报价与首次报价相比有调整的，供应商提交的最后报价必须包含已标价的工程量清单（上传格式必须为PDF格式），供应商须提前做好相关准备并按时递交最终报价文件，否则报价无效</w:t>
            </w:r>
            <w:r>
              <w:rPr>
                <w:rFonts w:hint="eastAsia" w:ascii="宋体" w:hAnsi="宋体" w:eastAsia="宋体" w:cs="宋体"/>
                <w:b/>
                <w:bCs/>
                <w:color w:val="auto"/>
                <w:szCs w:val="21"/>
                <w:highlight w:val="none"/>
              </w:rPr>
              <w:t>。</w:t>
            </w:r>
          </w:p>
          <w:p w14:paraId="3A62435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14:paraId="1CB545C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14:paraId="09AE9A3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14:paraId="66F86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BD45467">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14:paraId="14D45484">
            <w:pPr>
              <w:tabs>
                <w:tab w:val="left" w:pos="180"/>
                <w:tab w:val="left" w:pos="1620"/>
              </w:tabs>
              <w:spacing w:line="400" w:lineRule="exact"/>
              <w:rPr>
                <w:rFonts w:hint="eastAsia"/>
                <w:color w:val="auto"/>
                <w:szCs w:val="21"/>
                <w:highlight w:val="none"/>
              </w:rPr>
            </w:pPr>
            <w:r>
              <w:rPr>
                <w:rFonts w:hint="eastAsia"/>
                <w:color w:val="auto"/>
                <w:szCs w:val="21"/>
                <w:highlight w:val="none"/>
              </w:rPr>
              <w:t>一、与本项目有关的设计图纸、技术规范、文件等附件资料及其获取方式（如有）</w:t>
            </w:r>
          </w:p>
          <w:p w14:paraId="2165E795">
            <w:pPr>
              <w:tabs>
                <w:tab w:val="left" w:pos="180"/>
                <w:tab w:val="left" w:pos="1620"/>
              </w:tabs>
              <w:spacing w:line="400" w:lineRule="exact"/>
              <w:rPr>
                <w:rFonts w:hint="eastAsia"/>
                <w:color w:val="auto"/>
                <w:szCs w:val="21"/>
                <w:highlight w:val="none"/>
              </w:rPr>
            </w:pPr>
            <w:r>
              <w:rPr>
                <w:rFonts w:hint="eastAsia"/>
                <w:color w:val="auto"/>
                <w:szCs w:val="21"/>
                <w:highlight w:val="none"/>
              </w:rPr>
              <w:t xml:space="preserve">文件或者资料名称：工程量清单、图纸           </w:t>
            </w:r>
          </w:p>
          <w:p w14:paraId="04E71193">
            <w:pPr>
              <w:tabs>
                <w:tab w:val="left" w:pos="180"/>
                <w:tab w:val="left" w:pos="1620"/>
              </w:tabs>
              <w:spacing w:line="400" w:lineRule="exact"/>
              <w:rPr>
                <w:rFonts w:hint="eastAsia"/>
                <w:color w:val="auto"/>
                <w:szCs w:val="21"/>
                <w:highlight w:val="none"/>
              </w:rPr>
            </w:pPr>
            <w:r>
              <w:rPr>
                <w:rFonts w:hint="eastAsia"/>
                <w:color w:val="auto"/>
                <w:szCs w:val="21"/>
                <w:highlight w:val="none"/>
              </w:rPr>
              <w:t>公布渠道或者获取方式：</w:t>
            </w:r>
            <w:r>
              <w:rPr>
                <w:rFonts w:hint="eastAsia"/>
                <w:color w:val="auto"/>
                <w:szCs w:val="21"/>
                <w:highlight w:val="none"/>
                <w:lang w:eastAsia="zh-CN"/>
              </w:rPr>
              <w:t>“广西政府采购云平台”</w:t>
            </w:r>
            <w:r>
              <w:rPr>
                <w:rFonts w:hint="eastAsia"/>
                <w:color w:val="auto"/>
                <w:szCs w:val="21"/>
                <w:highlight w:val="none"/>
              </w:rPr>
              <w:t xml:space="preserve">下载      </w:t>
            </w:r>
          </w:p>
          <w:p w14:paraId="088A4CF6">
            <w:pPr>
              <w:widowControl/>
              <w:shd w:val="clear" w:color="auto" w:fill="FFFFFF"/>
              <w:spacing w:line="400" w:lineRule="exact"/>
              <w:rPr>
                <w:rFonts w:hint="eastAsia"/>
                <w:color w:val="auto"/>
                <w:szCs w:val="21"/>
                <w:highlight w:val="none"/>
              </w:rPr>
            </w:pPr>
            <w:r>
              <w:rPr>
                <w:rFonts w:hint="eastAsia"/>
                <w:color w:val="auto"/>
                <w:szCs w:val="21"/>
                <w:highlight w:val="none"/>
                <w:lang w:eastAsia="zh-CN"/>
              </w:rPr>
              <w:t>二</w:t>
            </w:r>
            <w:r>
              <w:rPr>
                <w:rFonts w:hint="eastAsia"/>
                <w:color w:val="auto"/>
                <w:szCs w:val="21"/>
                <w:highlight w:val="none"/>
              </w:rPr>
              <w:t>、其他</w:t>
            </w:r>
          </w:p>
          <w:p w14:paraId="42EEFA2F">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1、是否进行演示：否</w:t>
            </w:r>
          </w:p>
          <w:p w14:paraId="5218FF2D">
            <w:pPr>
              <w:widowControl/>
              <w:shd w:val="clear" w:color="auto" w:fill="FFFFFF"/>
              <w:spacing w:line="400" w:lineRule="exact"/>
              <w:rPr>
                <w:rFonts w:hint="eastAsia" w:ascii="宋体" w:hAnsi="宋体" w:cs="宋体"/>
                <w:color w:val="auto"/>
                <w:szCs w:val="21"/>
                <w:highlight w:val="none"/>
              </w:rPr>
            </w:pPr>
            <w:r>
              <w:rPr>
                <w:rFonts w:hint="eastAsia" w:ascii="宋体" w:hAnsi="宋体" w:cs="宋体"/>
                <w:color w:val="auto"/>
                <w:szCs w:val="21"/>
                <w:highlight w:val="none"/>
              </w:rPr>
              <w:t>2、是否要求提供样品：否</w:t>
            </w:r>
          </w:p>
          <w:p w14:paraId="74815A7D">
            <w:pPr>
              <w:pStyle w:val="50"/>
              <w:numPr>
                <w:ilvl w:val="0"/>
                <w:numId w:val="0"/>
              </w:numPr>
              <w:ind w:left="0" w:leftChars="0" w:firstLine="0" w:firstLineChars="0"/>
              <w:rPr>
                <w:rFonts w:ascii="宋体" w:hAnsi="宋体"/>
                <w:color w:val="auto"/>
                <w:szCs w:val="21"/>
                <w:highlight w:val="none"/>
              </w:rPr>
            </w:pPr>
            <w:r>
              <w:rPr>
                <w:rFonts w:hint="eastAsia" w:ascii="宋体" w:hAnsi="宋体" w:cs="宋体"/>
                <w:color w:val="auto"/>
                <w:sz w:val="21"/>
                <w:szCs w:val="21"/>
                <w:highlight w:val="none"/>
              </w:rPr>
              <w:t>3、是否现场踏勘：否</w:t>
            </w:r>
          </w:p>
        </w:tc>
      </w:tr>
    </w:tbl>
    <w:p w14:paraId="63457FD8">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89CADA9">
      <w:pPr>
        <w:spacing w:line="428" w:lineRule="exact"/>
        <w:rPr>
          <w:rFonts w:ascii="Arial Unicode MS" w:hAnsi="Arial Unicode MS" w:eastAsia="Times New Roman" w:cs="Arial Unicode MS"/>
          <w:color w:val="auto"/>
          <w:sz w:val="17"/>
          <w:szCs w:val="17"/>
          <w:highlight w:val="none"/>
        </w:rPr>
      </w:pPr>
      <w:bookmarkStart w:id="42" w:name="_Toc17962"/>
      <w:bookmarkStart w:id="43" w:name="_Toc30087"/>
      <w:bookmarkStart w:id="44" w:name="_Toc23956"/>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14:paraId="26290F73">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7"/>
        <w:tblW w:w="9469" w:type="dxa"/>
        <w:tblInd w:w="93" w:type="dxa"/>
        <w:tblLayout w:type="fixed"/>
        <w:tblCellMar>
          <w:top w:w="0" w:type="dxa"/>
          <w:left w:w="108" w:type="dxa"/>
          <w:bottom w:w="0" w:type="dxa"/>
          <w:right w:w="108" w:type="dxa"/>
        </w:tblCellMar>
      </w:tblPr>
      <w:tblGrid>
        <w:gridCol w:w="641"/>
        <w:gridCol w:w="1116"/>
        <w:gridCol w:w="1516"/>
        <w:gridCol w:w="1612"/>
        <w:gridCol w:w="4584"/>
      </w:tblGrid>
      <w:tr w14:paraId="298E5FB1">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604369A1">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250A276C">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584" w:type="dxa"/>
            <w:tcBorders>
              <w:top w:val="single" w:color="000000" w:sz="8" w:space="0"/>
              <w:left w:val="nil"/>
              <w:bottom w:val="single" w:color="000000" w:sz="8" w:space="0"/>
              <w:right w:val="single" w:color="000000" w:sz="8" w:space="0"/>
            </w:tcBorders>
            <w:noWrap w:val="0"/>
            <w:vAlign w:val="center"/>
          </w:tcPr>
          <w:p w14:paraId="60A605AB">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14:paraId="1A81A0D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56DE30B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61D536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7CFFD5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46CCA8A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9DB29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6D4B124F">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93C78C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2CA1114">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84D9E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453B91A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F09A72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08F8A5B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BFE482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AC3190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5E7ECD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3198CC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3F301A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14:paraId="58FB648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F025FB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F8BCAB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42C6A58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5D4971A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584" w:type="dxa"/>
            <w:tcBorders>
              <w:top w:val="nil"/>
              <w:left w:val="nil"/>
              <w:bottom w:val="single" w:color="000000" w:sz="8" w:space="0"/>
              <w:right w:val="single" w:color="000000" w:sz="8" w:space="0"/>
            </w:tcBorders>
            <w:noWrap w:val="0"/>
            <w:vAlign w:val="center"/>
          </w:tcPr>
          <w:p w14:paraId="1F5CD8D1">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49DE50D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B988CA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64EBFE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1DCAD75">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4917F0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584" w:type="dxa"/>
            <w:tcBorders>
              <w:top w:val="nil"/>
              <w:left w:val="nil"/>
              <w:bottom w:val="single" w:color="000000" w:sz="8" w:space="0"/>
              <w:right w:val="single" w:color="000000" w:sz="8" w:space="0"/>
            </w:tcBorders>
            <w:noWrap w:val="0"/>
            <w:vAlign w:val="center"/>
          </w:tcPr>
          <w:p w14:paraId="754AA3A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10B3FFF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3CDA3B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4A9B0E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9F542A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BE688F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584" w:type="dxa"/>
            <w:tcBorders>
              <w:top w:val="nil"/>
              <w:left w:val="nil"/>
              <w:bottom w:val="single" w:color="000000" w:sz="8" w:space="0"/>
              <w:right w:val="single" w:color="000000" w:sz="8" w:space="0"/>
            </w:tcBorders>
            <w:noWrap w:val="0"/>
            <w:vAlign w:val="center"/>
          </w:tcPr>
          <w:p w14:paraId="3F53458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2BA7A2E9">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EA81880">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92A2FC8">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20DB41C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13B11F2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584" w:type="dxa"/>
            <w:tcBorders>
              <w:top w:val="nil"/>
              <w:left w:val="nil"/>
              <w:bottom w:val="single" w:color="000000" w:sz="8" w:space="0"/>
              <w:right w:val="single" w:color="000000" w:sz="8" w:space="0"/>
            </w:tcBorders>
            <w:noWrap w:val="0"/>
            <w:vAlign w:val="center"/>
          </w:tcPr>
          <w:p w14:paraId="702C9DB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14:paraId="09AC0D46">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3CF1B33">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C2CA26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142E705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1852FC6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584" w:type="dxa"/>
            <w:tcBorders>
              <w:top w:val="nil"/>
              <w:left w:val="nil"/>
              <w:bottom w:val="single" w:color="000000" w:sz="8" w:space="0"/>
              <w:right w:val="single" w:color="000000" w:sz="8" w:space="0"/>
            </w:tcBorders>
            <w:noWrap w:val="0"/>
            <w:vAlign w:val="center"/>
          </w:tcPr>
          <w:p w14:paraId="06819ED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14:paraId="173376A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0D57F4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14:paraId="33AE738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14:paraId="46F1EC7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599E986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12625C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14:paraId="2D734AB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4A0860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14:paraId="3C3F772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5D97A13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0AF146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112BF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14:paraId="600F0A4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5DBDB2E">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14:paraId="52AFF61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14:paraId="3F6FA4D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1612" w:type="dxa"/>
            <w:tcBorders>
              <w:top w:val="nil"/>
              <w:left w:val="nil"/>
              <w:bottom w:val="single" w:color="000000" w:sz="8" w:space="0"/>
              <w:right w:val="single" w:color="000000" w:sz="8" w:space="0"/>
            </w:tcBorders>
            <w:noWrap w:val="0"/>
            <w:vAlign w:val="center"/>
          </w:tcPr>
          <w:p w14:paraId="5BA4A58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CDDC1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14:paraId="7C3F88BD">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98AAC0F">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4FFDF0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D6EDD5A">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7AE0815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584" w:type="dxa"/>
            <w:tcBorders>
              <w:top w:val="nil"/>
              <w:left w:val="nil"/>
              <w:bottom w:val="single" w:color="000000" w:sz="8" w:space="0"/>
              <w:right w:val="single" w:color="000000" w:sz="8" w:space="0"/>
            </w:tcBorders>
            <w:noWrap w:val="0"/>
            <w:vAlign w:val="center"/>
          </w:tcPr>
          <w:p w14:paraId="5E8449C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14:paraId="2667D60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53AF7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7495EF4">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5A0D31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6FD42F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584" w:type="dxa"/>
            <w:tcBorders>
              <w:top w:val="nil"/>
              <w:left w:val="nil"/>
              <w:bottom w:val="single" w:color="000000" w:sz="8" w:space="0"/>
              <w:right w:val="single" w:color="000000" w:sz="8" w:space="0"/>
            </w:tcBorders>
            <w:noWrap w:val="0"/>
            <w:vAlign w:val="center"/>
          </w:tcPr>
          <w:p w14:paraId="4726999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14:paraId="0038C3B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CEAE264">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11A9818">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F07F72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43D813A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584" w:type="dxa"/>
            <w:tcBorders>
              <w:top w:val="nil"/>
              <w:left w:val="nil"/>
              <w:bottom w:val="single" w:color="000000" w:sz="8" w:space="0"/>
              <w:right w:val="single" w:color="000000" w:sz="8" w:space="0"/>
            </w:tcBorders>
            <w:noWrap w:val="0"/>
            <w:vAlign w:val="center"/>
          </w:tcPr>
          <w:p w14:paraId="6DF5944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14:paraId="5FB24DB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80C7C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6A4CCB1">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2DCB42C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1612" w:type="dxa"/>
            <w:tcBorders>
              <w:top w:val="nil"/>
              <w:left w:val="nil"/>
              <w:bottom w:val="single" w:color="000000" w:sz="8" w:space="0"/>
              <w:right w:val="single" w:color="000000" w:sz="8" w:space="0"/>
            </w:tcBorders>
            <w:noWrap w:val="0"/>
            <w:vAlign w:val="center"/>
          </w:tcPr>
          <w:p w14:paraId="1AC95A7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62E2B9A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17950436">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C4FF3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E3ED27F">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5F6812E">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37F97B0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584" w:type="dxa"/>
            <w:tcBorders>
              <w:top w:val="nil"/>
              <w:left w:val="nil"/>
              <w:bottom w:val="single" w:color="000000" w:sz="8" w:space="0"/>
              <w:right w:val="single" w:color="000000" w:sz="8" w:space="0"/>
            </w:tcBorders>
            <w:noWrap w:val="0"/>
            <w:vAlign w:val="center"/>
          </w:tcPr>
          <w:p w14:paraId="4B38000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14:paraId="523EB84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E3679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D758033">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6D8AB1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1612" w:type="dxa"/>
            <w:tcBorders>
              <w:top w:val="nil"/>
              <w:left w:val="nil"/>
              <w:bottom w:val="single" w:color="000000" w:sz="8" w:space="0"/>
              <w:right w:val="single" w:color="000000" w:sz="8" w:space="0"/>
            </w:tcBorders>
            <w:noWrap w:val="0"/>
            <w:vAlign w:val="center"/>
          </w:tcPr>
          <w:p w14:paraId="05DB0975">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584" w:type="dxa"/>
            <w:tcBorders>
              <w:top w:val="nil"/>
              <w:left w:val="nil"/>
              <w:bottom w:val="single" w:color="000000" w:sz="8" w:space="0"/>
              <w:right w:val="single" w:color="000000" w:sz="8" w:space="0"/>
            </w:tcBorders>
            <w:noWrap w:val="0"/>
            <w:vAlign w:val="center"/>
          </w:tcPr>
          <w:p w14:paraId="47A2DA1A">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14:paraId="691152F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6246BD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BAA2AE">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EEA448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304CA3C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584" w:type="dxa"/>
            <w:tcBorders>
              <w:top w:val="nil"/>
              <w:left w:val="nil"/>
              <w:bottom w:val="single" w:color="000000" w:sz="8" w:space="0"/>
              <w:right w:val="single" w:color="000000" w:sz="8" w:space="0"/>
            </w:tcBorders>
            <w:noWrap w:val="0"/>
            <w:vAlign w:val="center"/>
          </w:tcPr>
          <w:p w14:paraId="586EFDC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14:paraId="08B9AB7C">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E56FA5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14:paraId="6E63523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14:paraId="40D21C5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3CE61A1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E2E351D">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14:paraId="24932E7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748A7A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14:paraId="3CA4DE4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14:paraId="0F9FCE2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1612" w:type="dxa"/>
            <w:tcBorders>
              <w:top w:val="nil"/>
              <w:left w:val="nil"/>
              <w:bottom w:val="single" w:color="000000" w:sz="8" w:space="0"/>
              <w:right w:val="single" w:color="000000" w:sz="8" w:space="0"/>
            </w:tcBorders>
            <w:noWrap w:val="0"/>
            <w:vAlign w:val="center"/>
          </w:tcPr>
          <w:p w14:paraId="6A1FA39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148DD8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14:paraId="14E0BF6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1225C8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14:paraId="35ED078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14:paraId="20F2CAB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4B1319A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6F1366A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14:paraId="503AA0FE">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683F21A">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4341849">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47946333">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27C0008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164FA8D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14:paraId="7E2E06D8">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5871887">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6FCCB58">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6290C1F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49BF838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584" w:type="dxa"/>
            <w:tcBorders>
              <w:top w:val="nil"/>
              <w:left w:val="nil"/>
              <w:bottom w:val="single" w:color="000000" w:sz="8" w:space="0"/>
              <w:right w:val="single" w:color="000000" w:sz="8" w:space="0"/>
            </w:tcBorders>
            <w:noWrap w:val="0"/>
            <w:vAlign w:val="center"/>
          </w:tcPr>
          <w:p w14:paraId="6A4BFBB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14:paraId="3DFB97C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F1460A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860334B">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8735491">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DFAD88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584" w:type="dxa"/>
            <w:tcBorders>
              <w:top w:val="nil"/>
              <w:left w:val="nil"/>
              <w:bottom w:val="single" w:color="000000" w:sz="8" w:space="0"/>
              <w:right w:val="single" w:color="000000" w:sz="8" w:space="0"/>
            </w:tcBorders>
            <w:noWrap w:val="0"/>
            <w:vAlign w:val="center"/>
          </w:tcPr>
          <w:p w14:paraId="3B898AA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14:paraId="5DEF016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654A896">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68286C5">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E6CF9D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654F6AD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584" w:type="dxa"/>
            <w:tcBorders>
              <w:top w:val="nil"/>
              <w:left w:val="nil"/>
              <w:bottom w:val="single" w:color="000000" w:sz="8" w:space="0"/>
              <w:right w:val="single" w:color="000000" w:sz="8" w:space="0"/>
            </w:tcBorders>
            <w:noWrap w:val="0"/>
            <w:vAlign w:val="center"/>
          </w:tcPr>
          <w:p w14:paraId="0C5A89E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14:paraId="156F196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689A18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15629B6">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9A272A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05F2A57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2A34C4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14:paraId="4B7484A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D971A1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119C1C3">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87DDDE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1612" w:type="dxa"/>
            <w:tcBorders>
              <w:top w:val="nil"/>
              <w:left w:val="nil"/>
              <w:bottom w:val="single" w:color="000000" w:sz="8" w:space="0"/>
              <w:right w:val="single" w:color="000000" w:sz="8" w:space="0"/>
            </w:tcBorders>
            <w:noWrap w:val="0"/>
            <w:vAlign w:val="center"/>
          </w:tcPr>
          <w:p w14:paraId="4D7E931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584" w:type="dxa"/>
            <w:tcBorders>
              <w:top w:val="nil"/>
              <w:left w:val="nil"/>
              <w:bottom w:val="single" w:color="000000" w:sz="8" w:space="0"/>
              <w:right w:val="single" w:color="000000" w:sz="8" w:space="0"/>
            </w:tcBorders>
            <w:noWrap w:val="0"/>
            <w:vAlign w:val="center"/>
          </w:tcPr>
          <w:p w14:paraId="3CD086C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14:paraId="45FCD15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C35D84B">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09CFE62">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FA8C3C0">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4972E0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584" w:type="dxa"/>
            <w:tcBorders>
              <w:top w:val="nil"/>
              <w:left w:val="nil"/>
              <w:bottom w:val="single" w:color="000000" w:sz="8" w:space="0"/>
              <w:right w:val="single" w:color="000000" w:sz="8" w:space="0"/>
            </w:tcBorders>
            <w:noWrap w:val="0"/>
            <w:vAlign w:val="center"/>
          </w:tcPr>
          <w:p w14:paraId="5FD187A6">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14:paraId="19DA2AE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5A754E5">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802CA23">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775F233">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5C18EE72">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584" w:type="dxa"/>
            <w:tcBorders>
              <w:top w:val="nil"/>
              <w:left w:val="nil"/>
              <w:bottom w:val="single" w:color="000000" w:sz="8" w:space="0"/>
              <w:right w:val="single" w:color="000000" w:sz="8" w:space="0"/>
            </w:tcBorders>
            <w:noWrap w:val="0"/>
            <w:vAlign w:val="center"/>
          </w:tcPr>
          <w:p w14:paraId="3323874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14:paraId="19D7199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CA99B58">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9EF84D">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B68599B">
            <w:pPr>
              <w:widowControl/>
              <w:jc w:val="left"/>
              <w:rPr>
                <w:rFonts w:ascii="宋体" w:cs="宋体"/>
                <w:color w:val="auto"/>
                <w:kern w:val="0"/>
                <w:sz w:val="20"/>
                <w:szCs w:val="20"/>
                <w:highlight w:val="none"/>
              </w:rPr>
            </w:pPr>
          </w:p>
        </w:tc>
        <w:tc>
          <w:tcPr>
            <w:tcW w:w="1612" w:type="dxa"/>
            <w:tcBorders>
              <w:top w:val="nil"/>
              <w:left w:val="nil"/>
              <w:bottom w:val="single" w:color="000000" w:sz="8" w:space="0"/>
              <w:right w:val="single" w:color="000000" w:sz="8" w:space="0"/>
            </w:tcBorders>
            <w:noWrap w:val="0"/>
            <w:vAlign w:val="center"/>
          </w:tcPr>
          <w:p w14:paraId="1D7A45D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584" w:type="dxa"/>
            <w:tcBorders>
              <w:top w:val="nil"/>
              <w:left w:val="nil"/>
              <w:bottom w:val="single" w:color="000000" w:sz="8" w:space="0"/>
              <w:right w:val="single" w:color="000000" w:sz="8" w:space="0"/>
            </w:tcBorders>
            <w:noWrap w:val="0"/>
            <w:vAlign w:val="center"/>
          </w:tcPr>
          <w:p w14:paraId="22F9555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14:paraId="1CA07AF7">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EFD146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C644BE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14:paraId="3FA4E75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1612" w:type="dxa"/>
            <w:tcBorders>
              <w:top w:val="nil"/>
              <w:left w:val="nil"/>
              <w:bottom w:val="single" w:color="000000" w:sz="8" w:space="0"/>
              <w:right w:val="single" w:color="000000" w:sz="8" w:space="0"/>
            </w:tcBorders>
            <w:noWrap w:val="0"/>
            <w:vAlign w:val="center"/>
          </w:tcPr>
          <w:p w14:paraId="5AB801D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1E02985">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14:paraId="336EEF9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E942A09">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8091C8C">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4F1D0F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1612" w:type="dxa"/>
            <w:tcBorders>
              <w:top w:val="nil"/>
              <w:left w:val="nil"/>
              <w:bottom w:val="single" w:color="000000" w:sz="8" w:space="0"/>
              <w:right w:val="single" w:color="000000" w:sz="8" w:space="0"/>
            </w:tcBorders>
            <w:noWrap w:val="0"/>
            <w:vAlign w:val="center"/>
          </w:tcPr>
          <w:p w14:paraId="40C3246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521D667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14:paraId="49D6619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14B6C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C3EE40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01B9F225">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1612" w:type="dxa"/>
            <w:tcBorders>
              <w:top w:val="nil"/>
              <w:left w:val="nil"/>
              <w:bottom w:val="single" w:color="000000" w:sz="8" w:space="0"/>
              <w:right w:val="single" w:color="000000" w:sz="8" w:space="0"/>
            </w:tcBorders>
            <w:noWrap w:val="0"/>
            <w:vAlign w:val="center"/>
          </w:tcPr>
          <w:p w14:paraId="1F8F5CCC">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1FAF60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3F06669D">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040790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68AE56B">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B7DE9F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1612" w:type="dxa"/>
            <w:tcBorders>
              <w:top w:val="nil"/>
              <w:left w:val="nil"/>
              <w:bottom w:val="single" w:color="000000" w:sz="8" w:space="0"/>
              <w:right w:val="single" w:color="000000" w:sz="8" w:space="0"/>
            </w:tcBorders>
            <w:noWrap w:val="0"/>
            <w:vAlign w:val="center"/>
          </w:tcPr>
          <w:p w14:paraId="659101F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31B523FC">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14:paraId="739782D3">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663E46F4">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14:paraId="0974F84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14:paraId="5203187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1612" w:type="dxa"/>
            <w:tcBorders>
              <w:top w:val="nil"/>
              <w:left w:val="nil"/>
              <w:bottom w:val="single" w:color="000000" w:sz="8" w:space="0"/>
              <w:right w:val="single" w:color="000000" w:sz="8" w:space="0"/>
            </w:tcBorders>
            <w:noWrap w:val="0"/>
            <w:vAlign w:val="center"/>
          </w:tcPr>
          <w:p w14:paraId="2801FB9D">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088D0E4F">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14:paraId="36900409">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6D9F49C7">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14:paraId="16BF477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14:paraId="7A440276">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1612" w:type="dxa"/>
            <w:tcBorders>
              <w:top w:val="nil"/>
              <w:left w:val="nil"/>
              <w:bottom w:val="single" w:color="000000" w:sz="8" w:space="0"/>
              <w:right w:val="single" w:color="000000" w:sz="8" w:space="0"/>
            </w:tcBorders>
            <w:noWrap w:val="0"/>
            <w:vAlign w:val="center"/>
          </w:tcPr>
          <w:p w14:paraId="6D2BE5B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584" w:type="dxa"/>
            <w:tcBorders>
              <w:top w:val="nil"/>
              <w:left w:val="nil"/>
              <w:bottom w:val="single" w:color="000000" w:sz="8" w:space="0"/>
              <w:right w:val="single" w:color="000000" w:sz="8" w:space="0"/>
            </w:tcBorders>
            <w:noWrap w:val="0"/>
            <w:vAlign w:val="center"/>
          </w:tcPr>
          <w:p w14:paraId="2D1CC4FB">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14:paraId="309637E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559F020">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14:paraId="3F3A8642">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14:paraId="7A82EC4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1612" w:type="dxa"/>
            <w:tcBorders>
              <w:top w:val="nil"/>
              <w:left w:val="nil"/>
              <w:bottom w:val="single" w:color="000000" w:sz="8" w:space="0"/>
              <w:right w:val="single" w:color="000000" w:sz="8" w:space="0"/>
            </w:tcBorders>
            <w:noWrap w:val="0"/>
            <w:vAlign w:val="center"/>
          </w:tcPr>
          <w:p w14:paraId="0B668ABF">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A79D412">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14:paraId="1FD5B04C">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5D4887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EABE41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14:paraId="3A65C167">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1612" w:type="dxa"/>
            <w:tcBorders>
              <w:top w:val="nil"/>
              <w:left w:val="nil"/>
              <w:bottom w:val="single" w:color="000000" w:sz="8" w:space="0"/>
              <w:right w:val="single" w:color="000000" w:sz="8" w:space="0"/>
            </w:tcBorders>
            <w:noWrap w:val="0"/>
            <w:vAlign w:val="center"/>
          </w:tcPr>
          <w:p w14:paraId="2353D690">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CEC1E10">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14:paraId="0B97286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FD73F0D">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892A8E5">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4054B3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1612" w:type="dxa"/>
            <w:tcBorders>
              <w:top w:val="nil"/>
              <w:left w:val="nil"/>
              <w:bottom w:val="single" w:color="000000" w:sz="8" w:space="0"/>
              <w:right w:val="single" w:color="000000" w:sz="8" w:space="0"/>
            </w:tcBorders>
            <w:noWrap w:val="0"/>
            <w:vAlign w:val="center"/>
          </w:tcPr>
          <w:p w14:paraId="6B55A52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6379D28">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14:paraId="45E9862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4C9515A">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2FE31F7">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14:paraId="77868629">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1612" w:type="dxa"/>
            <w:tcBorders>
              <w:top w:val="nil"/>
              <w:left w:val="nil"/>
              <w:bottom w:val="single" w:color="000000" w:sz="8" w:space="0"/>
              <w:right w:val="single" w:color="000000" w:sz="8" w:space="0"/>
            </w:tcBorders>
            <w:noWrap w:val="0"/>
            <w:vAlign w:val="center"/>
          </w:tcPr>
          <w:p w14:paraId="6875354E">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A4EF93E">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14:paraId="293CB1F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950FAFB">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14:paraId="30494228">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14:paraId="64BC9593">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77E7EDB">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2D8876D7">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14:paraId="6B134C0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59B44A1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14:paraId="7D0554A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5543BA66">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0020BF6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7FC345F9">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14:paraId="65E8251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681AC01">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14:paraId="0FE93F88">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14:paraId="2F0D7CF1">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1612" w:type="dxa"/>
            <w:tcBorders>
              <w:top w:val="nil"/>
              <w:left w:val="nil"/>
              <w:bottom w:val="single" w:color="000000" w:sz="8" w:space="0"/>
              <w:right w:val="single" w:color="000000" w:sz="8" w:space="0"/>
            </w:tcBorders>
            <w:noWrap w:val="0"/>
            <w:vAlign w:val="center"/>
          </w:tcPr>
          <w:p w14:paraId="107E8014">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584" w:type="dxa"/>
            <w:tcBorders>
              <w:top w:val="nil"/>
              <w:left w:val="nil"/>
              <w:bottom w:val="single" w:color="000000" w:sz="8" w:space="0"/>
              <w:right w:val="single" w:color="000000" w:sz="8" w:space="0"/>
            </w:tcBorders>
            <w:noWrap w:val="0"/>
            <w:vAlign w:val="center"/>
          </w:tcPr>
          <w:p w14:paraId="4B694D33">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14:paraId="39E600A4">
      <w:pPr>
        <w:pStyle w:val="1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46B0FFE5">
      <w:pPr>
        <w:pStyle w:val="17"/>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14:paraId="5734678F">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7"/>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14:paraId="3888E677">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B050BEA">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14:paraId="019ED9E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AA6642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14:paraId="1D6DB692">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14:paraId="53B32A90">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E99CCD8">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0BF9491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E3195B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14:paraId="71F367A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1F227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68F1EF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08A91DD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02D2717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1E8514A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D0CC2E">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14:paraId="4AC973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47D99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8675C8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640D76A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51DA24E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1E3262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84F474C">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7F9AF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B2BA09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EE7634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0A7B30C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2760F4B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617CCE6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5FB3CEC">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14:paraId="3F94CE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5053D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A42240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6000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56E0CA2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6000</w:t>
            </w:r>
          </w:p>
        </w:tc>
        <w:tc>
          <w:tcPr>
            <w:tcW w:w="1134" w:type="dxa"/>
            <w:tcBorders>
              <w:top w:val="nil"/>
              <w:left w:val="nil"/>
              <w:bottom w:val="single" w:color="auto" w:sz="4" w:space="0"/>
              <w:right w:val="single" w:color="auto" w:sz="4" w:space="0"/>
            </w:tcBorders>
            <w:noWrap w:val="0"/>
            <w:vAlign w:val="center"/>
          </w:tcPr>
          <w:p w14:paraId="51CF833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4E2A25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D641E96">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AD0397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150D5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D67CAF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80000</w:t>
            </w:r>
          </w:p>
        </w:tc>
        <w:tc>
          <w:tcPr>
            <w:tcW w:w="1709" w:type="dxa"/>
            <w:tcBorders>
              <w:top w:val="nil"/>
              <w:left w:val="nil"/>
              <w:bottom w:val="single" w:color="auto" w:sz="4" w:space="0"/>
              <w:right w:val="single" w:color="auto" w:sz="4" w:space="0"/>
            </w:tcBorders>
            <w:noWrap w:val="0"/>
            <w:vAlign w:val="center"/>
          </w:tcPr>
          <w:p w14:paraId="6D96BB0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4189ADC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r>
      <w:tr w14:paraId="16EB769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DE5ED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14:paraId="7345D50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F408D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3D1053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44B239A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c>
          <w:tcPr>
            <w:tcW w:w="1134" w:type="dxa"/>
            <w:tcBorders>
              <w:top w:val="nil"/>
              <w:left w:val="nil"/>
              <w:bottom w:val="single" w:color="auto" w:sz="4" w:space="0"/>
              <w:right w:val="single" w:color="auto" w:sz="4" w:space="0"/>
            </w:tcBorders>
            <w:noWrap w:val="0"/>
            <w:vAlign w:val="center"/>
          </w:tcPr>
          <w:p w14:paraId="46D91D6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w:t>
            </w:r>
          </w:p>
        </w:tc>
      </w:tr>
      <w:tr w14:paraId="3FB0A08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5E26D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E5ECE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8F3E3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D27101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40000</w:t>
            </w:r>
          </w:p>
        </w:tc>
        <w:tc>
          <w:tcPr>
            <w:tcW w:w="1709" w:type="dxa"/>
            <w:tcBorders>
              <w:top w:val="nil"/>
              <w:left w:val="nil"/>
              <w:bottom w:val="single" w:color="auto" w:sz="4" w:space="0"/>
              <w:right w:val="single" w:color="auto" w:sz="4" w:space="0"/>
            </w:tcBorders>
            <w:noWrap w:val="0"/>
            <w:vAlign w:val="center"/>
          </w:tcPr>
          <w:p w14:paraId="29B73C1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22A3E79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r>
      <w:tr w14:paraId="01ADD5C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1E813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14:paraId="3C1F238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6E34A6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D1464B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24E60F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c>
          <w:tcPr>
            <w:tcW w:w="1134" w:type="dxa"/>
            <w:tcBorders>
              <w:top w:val="nil"/>
              <w:left w:val="nil"/>
              <w:bottom w:val="single" w:color="auto" w:sz="4" w:space="0"/>
              <w:right w:val="single" w:color="auto" w:sz="4" w:space="0"/>
            </w:tcBorders>
            <w:noWrap w:val="0"/>
            <w:vAlign w:val="center"/>
          </w:tcPr>
          <w:p w14:paraId="369DCA4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3A481B8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253B14">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C32908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9A0DB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57C021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w:t>
            </w:r>
          </w:p>
        </w:tc>
        <w:tc>
          <w:tcPr>
            <w:tcW w:w="1709" w:type="dxa"/>
            <w:tcBorders>
              <w:top w:val="nil"/>
              <w:left w:val="nil"/>
              <w:bottom w:val="single" w:color="auto" w:sz="4" w:space="0"/>
              <w:right w:val="single" w:color="auto" w:sz="4" w:space="0"/>
            </w:tcBorders>
            <w:noWrap w:val="0"/>
            <w:vAlign w:val="center"/>
          </w:tcPr>
          <w:p w14:paraId="189A670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c>
          <w:tcPr>
            <w:tcW w:w="1134" w:type="dxa"/>
            <w:tcBorders>
              <w:top w:val="nil"/>
              <w:left w:val="nil"/>
              <w:bottom w:val="single" w:color="auto" w:sz="4" w:space="0"/>
              <w:right w:val="single" w:color="auto" w:sz="4" w:space="0"/>
            </w:tcBorders>
            <w:noWrap w:val="0"/>
            <w:vAlign w:val="center"/>
          </w:tcPr>
          <w:p w14:paraId="00B4423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1736543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99F31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14:paraId="259554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27FCF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9F64FD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82C354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70E326E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48DFB8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8F2444">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1AB4AA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1C4B5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E53BA7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76F3B12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w:t>
            </w:r>
          </w:p>
        </w:tc>
        <w:tc>
          <w:tcPr>
            <w:tcW w:w="1134" w:type="dxa"/>
            <w:tcBorders>
              <w:top w:val="nil"/>
              <w:left w:val="nil"/>
              <w:bottom w:val="single" w:color="auto" w:sz="4" w:space="0"/>
              <w:right w:val="single" w:color="auto" w:sz="4" w:space="0"/>
            </w:tcBorders>
            <w:noWrap w:val="0"/>
            <w:vAlign w:val="center"/>
          </w:tcPr>
          <w:p w14:paraId="0A55336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r>
      <w:tr w14:paraId="74FFCB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C45DB5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14:paraId="203175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E3FC66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43E172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w:t>
            </w:r>
          </w:p>
        </w:tc>
        <w:tc>
          <w:tcPr>
            <w:tcW w:w="1709" w:type="dxa"/>
            <w:tcBorders>
              <w:top w:val="nil"/>
              <w:left w:val="nil"/>
              <w:bottom w:val="single" w:color="auto" w:sz="4" w:space="0"/>
              <w:right w:val="single" w:color="auto" w:sz="4" w:space="0"/>
            </w:tcBorders>
            <w:noWrap w:val="0"/>
            <w:vAlign w:val="center"/>
          </w:tcPr>
          <w:p w14:paraId="51ECC97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E089F8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5CC759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A469B3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3A91E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164BB1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2E20853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53C61FE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15CA9D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0F4EE7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CDD1A4">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14:paraId="405D04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825B1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6A3276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0829930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7B7F6A1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w:t>
            </w:r>
          </w:p>
        </w:tc>
      </w:tr>
      <w:tr w14:paraId="2906E83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BDDA2A9">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E0DDB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73015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3068BFE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30000</w:t>
            </w:r>
          </w:p>
        </w:tc>
        <w:tc>
          <w:tcPr>
            <w:tcW w:w="1709" w:type="dxa"/>
            <w:tcBorders>
              <w:top w:val="nil"/>
              <w:left w:val="nil"/>
              <w:bottom w:val="single" w:color="auto" w:sz="4" w:space="0"/>
              <w:right w:val="single" w:color="auto" w:sz="4" w:space="0"/>
            </w:tcBorders>
            <w:noWrap w:val="0"/>
            <w:vAlign w:val="center"/>
          </w:tcPr>
          <w:p w14:paraId="759E59D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7306462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98FA56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EF3B9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14:paraId="02E700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DEA08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B0A729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6BCD3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6D2B741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6A41623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9EDB38">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7734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807EB3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34C447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034F4CF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01A81B0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BF105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44EA09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14:paraId="4F5C4D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720A90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BAE0A4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280510D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6B9E86C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0675266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84BA3D">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0A7DE3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15E239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119F7A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50C18DC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134" w:type="dxa"/>
            <w:tcBorders>
              <w:top w:val="nil"/>
              <w:left w:val="nil"/>
              <w:bottom w:val="single" w:color="auto" w:sz="4" w:space="0"/>
              <w:right w:val="single" w:color="auto" w:sz="4" w:space="0"/>
            </w:tcBorders>
            <w:noWrap w:val="0"/>
            <w:vAlign w:val="center"/>
          </w:tcPr>
          <w:p w14:paraId="0CD065F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3EF104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F5C0BF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14:paraId="3C7C12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96196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690E702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c>
          <w:tcPr>
            <w:tcW w:w="1709" w:type="dxa"/>
            <w:tcBorders>
              <w:top w:val="nil"/>
              <w:left w:val="nil"/>
              <w:bottom w:val="single" w:color="auto" w:sz="4" w:space="0"/>
              <w:right w:val="single" w:color="auto" w:sz="4" w:space="0"/>
            </w:tcBorders>
            <w:noWrap w:val="0"/>
            <w:vAlign w:val="center"/>
          </w:tcPr>
          <w:p w14:paraId="7606DF9D">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29C74E71">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06277E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4C84CF">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0614A6F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40A98F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86DD68F">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100000</w:t>
            </w:r>
          </w:p>
        </w:tc>
        <w:tc>
          <w:tcPr>
            <w:tcW w:w="1709" w:type="dxa"/>
            <w:tcBorders>
              <w:top w:val="nil"/>
              <w:left w:val="nil"/>
              <w:bottom w:val="single" w:color="auto" w:sz="4" w:space="0"/>
              <w:right w:val="single" w:color="auto" w:sz="4" w:space="0"/>
            </w:tcBorders>
            <w:noWrap w:val="0"/>
            <w:vAlign w:val="center"/>
          </w:tcPr>
          <w:p w14:paraId="539FD9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35CC006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7077F64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35C00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14:paraId="0068C22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D11B7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7BBBA7D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747FF5A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5CF2687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FB3841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555F2FB">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37FEF36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28FFA2E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7C9AAB8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05BBE6DA">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08A9473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w:t>
            </w:r>
          </w:p>
        </w:tc>
      </w:tr>
      <w:tr w14:paraId="124D589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E1DFA3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14:paraId="461093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14AD0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61ADA620">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200000</w:t>
            </w:r>
          </w:p>
        </w:tc>
        <w:tc>
          <w:tcPr>
            <w:tcW w:w="1709" w:type="dxa"/>
            <w:tcBorders>
              <w:top w:val="nil"/>
              <w:left w:val="nil"/>
              <w:bottom w:val="single" w:color="auto" w:sz="4" w:space="0"/>
              <w:right w:val="single" w:color="auto" w:sz="4" w:space="0"/>
            </w:tcBorders>
            <w:noWrap w:val="0"/>
            <w:vAlign w:val="center"/>
          </w:tcPr>
          <w:p w14:paraId="0CBBCAF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05CD08A9">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2A2067F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D4FF7A">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66C7BA9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1C95F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08D606C">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10000</w:t>
            </w:r>
          </w:p>
        </w:tc>
        <w:tc>
          <w:tcPr>
            <w:tcW w:w="1709" w:type="dxa"/>
            <w:tcBorders>
              <w:top w:val="nil"/>
              <w:left w:val="nil"/>
              <w:bottom w:val="single" w:color="auto" w:sz="4" w:space="0"/>
              <w:right w:val="single" w:color="auto" w:sz="4" w:space="0"/>
            </w:tcBorders>
            <w:noWrap w:val="0"/>
            <w:vAlign w:val="center"/>
          </w:tcPr>
          <w:p w14:paraId="31E00E1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2000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134" w:type="dxa"/>
            <w:tcBorders>
              <w:top w:val="nil"/>
              <w:left w:val="nil"/>
              <w:bottom w:val="single" w:color="auto" w:sz="4" w:space="0"/>
              <w:right w:val="single" w:color="auto" w:sz="4" w:space="0"/>
            </w:tcBorders>
            <w:noWrap w:val="0"/>
            <w:vAlign w:val="center"/>
          </w:tcPr>
          <w:p w14:paraId="53410EA3">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2000</w:t>
            </w:r>
          </w:p>
        </w:tc>
      </w:tr>
      <w:tr w14:paraId="03D213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06FD9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14:paraId="3CA30E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416DA8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59D9641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300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709" w:type="dxa"/>
            <w:tcBorders>
              <w:top w:val="nil"/>
              <w:left w:val="nil"/>
              <w:bottom w:val="single" w:color="auto" w:sz="4" w:space="0"/>
              <w:right w:val="single" w:color="auto" w:sz="4" w:space="0"/>
            </w:tcBorders>
            <w:noWrap w:val="0"/>
            <w:vAlign w:val="center"/>
          </w:tcPr>
          <w:p w14:paraId="161E3EA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134" w:type="dxa"/>
            <w:tcBorders>
              <w:top w:val="nil"/>
              <w:left w:val="nil"/>
              <w:bottom w:val="single" w:color="auto" w:sz="4" w:space="0"/>
              <w:right w:val="single" w:color="auto" w:sz="4" w:space="0"/>
            </w:tcBorders>
            <w:noWrap w:val="0"/>
            <w:vAlign w:val="center"/>
          </w:tcPr>
          <w:p w14:paraId="7021142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09DCE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6ECC62F">
            <w:pPr>
              <w:widowControl/>
              <w:jc w:val="left"/>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21EBFD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77B2FF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563C6AE4">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5000</w:t>
            </w:r>
          </w:p>
        </w:tc>
        <w:tc>
          <w:tcPr>
            <w:tcW w:w="1709" w:type="dxa"/>
            <w:tcBorders>
              <w:top w:val="nil"/>
              <w:left w:val="nil"/>
              <w:bottom w:val="single" w:color="auto" w:sz="4" w:space="0"/>
              <w:right w:val="single" w:color="auto" w:sz="4" w:space="0"/>
            </w:tcBorders>
            <w:noWrap w:val="0"/>
            <w:vAlign w:val="center"/>
          </w:tcPr>
          <w:p w14:paraId="2D913106">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500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1000</w:t>
            </w:r>
          </w:p>
        </w:tc>
        <w:tc>
          <w:tcPr>
            <w:tcW w:w="1134" w:type="dxa"/>
            <w:tcBorders>
              <w:top w:val="nil"/>
              <w:left w:val="nil"/>
              <w:bottom w:val="single" w:color="auto" w:sz="4" w:space="0"/>
              <w:right w:val="single" w:color="auto" w:sz="4" w:space="0"/>
            </w:tcBorders>
            <w:noWrap w:val="0"/>
            <w:vAlign w:val="center"/>
          </w:tcPr>
          <w:p w14:paraId="25C8A6E7">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500</w:t>
            </w:r>
          </w:p>
        </w:tc>
      </w:tr>
      <w:tr w14:paraId="39ECCE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412FC7F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14:paraId="4B6771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3987A3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0786FF7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2979483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E642E7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r w14:paraId="7290EE0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1170A7">
            <w:pPr>
              <w:widowControl/>
              <w:jc w:val="center"/>
              <w:rPr>
                <w:rFonts w:ascii="仿宋_GB2312" w:hAnsi="仿宋" w:eastAsia="仿宋_GB2312" w:cs="宋体"/>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14:paraId="45D54C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54543CC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14:paraId="00F20948">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8000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120000</w:t>
            </w:r>
          </w:p>
        </w:tc>
        <w:tc>
          <w:tcPr>
            <w:tcW w:w="1709" w:type="dxa"/>
            <w:tcBorders>
              <w:top w:val="nil"/>
              <w:left w:val="nil"/>
              <w:bottom w:val="single" w:color="auto" w:sz="4" w:space="0"/>
              <w:right w:val="single" w:color="auto" w:sz="4" w:space="0"/>
            </w:tcBorders>
            <w:noWrap w:val="0"/>
            <w:vAlign w:val="center"/>
          </w:tcPr>
          <w:p w14:paraId="7C0F0B15">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Z</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8000</w:t>
            </w:r>
          </w:p>
        </w:tc>
        <w:tc>
          <w:tcPr>
            <w:tcW w:w="1134" w:type="dxa"/>
            <w:tcBorders>
              <w:top w:val="nil"/>
              <w:left w:val="nil"/>
              <w:bottom w:val="single" w:color="auto" w:sz="4" w:space="0"/>
              <w:right w:val="single" w:color="auto" w:sz="4" w:space="0"/>
            </w:tcBorders>
            <w:noWrap w:val="0"/>
            <w:vAlign w:val="center"/>
          </w:tcPr>
          <w:p w14:paraId="43EF8A3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Y</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r>
      <w:tr w14:paraId="63E75C0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14:paraId="478A101F">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14:paraId="5959E8D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p>
        </w:tc>
        <w:tc>
          <w:tcPr>
            <w:tcW w:w="851" w:type="dxa"/>
            <w:tcBorders>
              <w:top w:val="nil"/>
              <w:left w:val="nil"/>
              <w:bottom w:val="single" w:color="auto" w:sz="4" w:space="0"/>
              <w:right w:val="single" w:color="auto" w:sz="4" w:space="0"/>
            </w:tcBorders>
            <w:noWrap w:val="0"/>
            <w:vAlign w:val="center"/>
          </w:tcPr>
          <w:p w14:paraId="0B72D8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14:paraId="193323D2">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300</w:t>
            </w:r>
          </w:p>
        </w:tc>
        <w:tc>
          <w:tcPr>
            <w:tcW w:w="1709" w:type="dxa"/>
            <w:tcBorders>
              <w:top w:val="nil"/>
              <w:left w:val="nil"/>
              <w:bottom w:val="single" w:color="auto" w:sz="4" w:space="0"/>
              <w:right w:val="single" w:color="auto" w:sz="4" w:space="0"/>
            </w:tcBorders>
            <w:noWrap w:val="0"/>
            <w:vAlign w:val="center"/>
          </w:tcPr>
          <w:p w14:paraId="3E2317CE">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10</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100</w:t>
            </w:r>
          </w:p>
        </w:tc>
        <w:tc>
          <w:tcPr>
            <w:tcW w:w="1134" w:type="dxa"/>
            <w:tcBorders>
              <w:top w:val="nil"/>
              <w:left w:val="nil"/>
              <w:bottom w:val="single" w:color="auto" w:sz="4" w:space="0"/>
              <w:right w:val="single" w:color="auto" w:sz="4" w:space="0"/>
            </w:tcBorders>
            <w:noWrap w:val="0"/>
            <w:vAlign w:val="center"/>
          </w:tcPr>
          <w:p w14:paraId="4712B90B">
            <w:pPr>
              <w:widowControl/>
              <w:jc w:val="left"/>
              <w:rPr>
                <w:rFonts w:ascii="仿宋_GB2312" w:hAnsi="仿宋" w:eastAsia="仿宋_GB2312" w:cs="宋体"/>
                <w:color w:val="auto"/>
                <w:kern w:val="0"/>
                <w:sz w:val="18"/>
                <w:szCs w:val="18"/>
                <w:highlight w:val="none"/>
              </w:rPr>
            </w:pPr>
            <w:r>
              <w:rPr>
                <w:rFonts w:ascii="仿宋_GB2312" w:hAnsi="仿宋" w:eastAsia="仿宋_GB2312" w:cs="宋体"/>
                <w:color w:val="auto"/>
                <w:kern w:val="0"/>
                <w:sz w:val="18"/>
                <w:szCs w:val="18"/>
                <w:highlight w:val="none"/>
              </w:rPr>
              <w:t>X</w:t>
            </w:r>
            <w:r>
              <w:rPr>
                <w:rFonts w:hint="eastAsia" w:ascii="仿宋_GB2312" w:hAnsi="仿宋" w:eastAsia="仿宋_GB2312" w:cs="宋体"/>
                <w:color w:val="auto"/>
                <w:kern w:val="0"/>
                <w:sz w:val="18"/>
                <w:szCs w:val="18"/>
                <w:highlight w:val="none"/>
              </w:rPr>
              <w:t>＜</w:t>
            </w:r>
            <w:r>
              <w:rPr>
                <w:rFonts w:ascii="仿宋_GB2312" w:hAnsi="仿宋" w:eastAsia="仿宋_GB2312" w:cs="宋体"/>
                <w:color w:val="auto"/>
                <w:kern w:val="0"/>
                <w:sz w:val="18"/>
                <w:szCs w:val="18"/>
                <w:highlight w:val="none"/>
              </w:rPr>
              <w:t>10</w:t>
            </w:r>
          </w:p>
        </w:tc>
      </w:tr>
    </w:tbl>
    <w:p w14:paraId="4AF49AC1">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14:paraId="497A07BA">
      <w:pPr>
        <w:pStyle w:val="3"/>
        <w:spacing w:line="360" w:lineRule="auto"/>
        <w:jc w:val="center"/>
        <w:rPr>
          <w:rFonts w:hint="eastAsia" w:ascii="宋体" w:hAnsi="宋体" w:eastAsia="宋体" w:cs="宋体"/>
          <w:b/>
          <w:bCs/>
          <w:color w:val="auto"/>
          <w:highlight w:val="none"/>
        </w:rPr>
      </w:pPr>
      <w:bookmarkStart w:id="45" w:name="_Toc680"/>
      <w:bookmarkStart w:id="46" w:name="_Toc14404"/>
      <w:bookmarkStart w:id="47" w:name="_Toc13594"/>
      <w:r>
        <w:rPr>
          <w:rFonts w:hint="eastAsia" w:ascii="宋体" w:hAnsi="宋体" w:eastAsia="宋体" w:cs="宋体"/>
          <w:b/>
          <w:bCs/>
          <w:color w:val="auto"/>
          <w:highlight w:val="none"/>
        </w:rPr>
        <w:t>第三章 供应商须知</w:t>
      </w:r>
      <w:bookmarkEnd w:id="42"/>
      <w:bookmarkEnd w:id="43"/>
      <w:bookmarkEnd w:id="44"/>
      <w:bookmarkEnd w:id="45"/>
      <w:bookmarkEnd w:id="46"/>
      <w:bookmarkEnd w:id="47"/>
    </w:p>
    <w:p w14:paraId="2C675B67">
      <w:pPr>
        <w:pStyle w:val="4"/>
        <w:spacing w:line="360" w:lineRule="auto"/>
        <w:jc w:val="center"/>
        <w:rPr>
          <w:rFonts w:hint="eastAsia" w:ascii="宋体" w:hAnsi="宋体" w:eastAsia="宋体" w:cs="宋体"/>
          <w:b w:val="0"/>
          <w:color w:val="auto"/>
          <w:highlight w:val="none"/>
        </w:rPr>
      </w:pPr>
      <w:bookmarkStart w:id="48" w:name="_Toc1315"/>
      <w:bookmarkStart w:id="49" w:name="_Toc23940"/>
      <w:bookmarkStart w:id="50" w:name="_Toc2403"/>
      <w:bookmarkStart w:id="51" w:name="_Toc23393"/>
      <w:bookmarkStart w:id="52" w:name="_Toc24946"/>
      <w:bookmarkStart w:id="53"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48"/>
      <w:bookmarkEnd w:id="49"/>
      <w:bookmarkEnd w:id="50"/>
      <w:bookmarkEnd w:id="51"/>
      <w:bookmarkEnd w:id="52"/>
      <w:bookmarkEnd w:id="53"/>
    </w:p>
    <w:tbl>
      <w:tblPr>
        <w:tblStyle w:val="27"/>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14:paraId="3604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14:paraId="2844591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14:paraId="46DDA20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14:paraId="6DCD409D">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0DF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4F03448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14:paraId="100408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14:paraId="73AA56E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19B50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C9693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14:paraId="4948754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14:paraId="6CBD322E">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14:paraId="61919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35E7F7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14:paraId="437D29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14:paraId="22333A6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1953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DEF24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14:paraId="204CAE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14:paraId="74BF4112">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14:paraId="01584648">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567FD7CF">
            <w:pPr>
              <w:pStyle w:val="11"/>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6393647E">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w:t>
            </w:r>
            <w:r>
              <w:rPr>
                <w:rFonts w:hint="eastAsia" w:asciiTheme="minorEastAsia" w:hAnsiTheme="minorEastAsia" w:eastAsiaTheme="minorEastAsia"/>
                <w:color w:val="auto"/>
                <w:kern w:val="2"/>
                <w:sz w:val="21"/>
                <w:szCs w:val="21"/>
                <w:highlight w:val="none"/>
                <w:u w:val="single"/>
              </w:rPr>
              <w:t xml:space="preserve"> </w:t>
            </w:r>
            <w:r>
              <w:rPr>
                <w:rFonts w:hint="eastAsia" w:asciiTheme="minorEastAsia" w:hAnsiTheme="minorEastAsia" w:eastAsiaTheme="minorEastAsia"/>
                <w:color w:val="auto"/>
                <w:kern w:val="2"/>
                <w:sz w:val="21"/>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14:paraId="0BD3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101721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14:paraId="2264E21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14:paraId="3827563C">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21C86D1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w:t>
            </w:r>
            <w:r>
              <w:rPr>
                <w:rFonts w:hint="eastAsia" w:ascii="宋体" w:hAnsi="宋体" w:eastAsia="宋体" w:cs="宋体"/>
                <w:color w:val="auto"/>
                <w:szCs w:val="21"/>
                <w:highlight w:val="none"/>
              </w:rPr>
              <w:t>依法缴纳税收的凭据复印件；</w:t>
            </w:r>
            <w:r>
              <w:rPr>
                <w:rFonts w:hint="eastAsia" w:ascii="宋体" w:hAnsi="宋体" w:cs="宋体"/>
                <w:color w:val="auto"/>
                <w:szCs w:val="21"/>
                <w:highlight w:val="none"/>
              </w:rPr>
              <w:t>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A64F15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w:t>
            </w:r>
            <w:r>
              <w:rPr>
                <w:rFonts w:hint="eastAsia" w:ascii="宋体" w:hAnsi="宋体" w:eastAsia="宋体" w:cs="宋体"/>
                <w:color w:val="auto"/>
                <w:szCs w:val="21"/>
                <w:highlight w:val="none"/>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65D1987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u w:val="single"/>
                <w:lang w:val="en-US" w:eastAsia="zh-CN"/>
              </w:rPr>
              <w:t>2023年</w:t>
            </w:r>
            <w:r>
              <w:rPr>
                <w:rFonts w:hint="eastAsia" w:asciiTheme="minorEastAsia" w:hAnsiTheme="minorEastAsia" w:eastAsiaTheme="minorEastAsia"/>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2E60497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7D77722">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05B414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5B033E">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w:t>
            </w:r>
            <w:r>
              <w:rPr>
                <w:rFonts w:hint="eastAsia" w:ascii="宋体" w:hAnsi="宋体" w:eastAsia="宋体" w:cs="宋体"/>
                <w:color w:val="auto"/>
                <w:szCs w:val="21"/>
                <w:highlight w:val="none"/>
              </w:rPr>
              <w:t>须具备独立的法人资格，具有水利水电工程施工总承包叁级或叁级以上资质；具有省级及以上建设行政主管部门颁发的安全生产许可证。在人员、设备、资金等方面具备相应的施工能力。</w:t>
            </w:r>
            <w:r>
              <w:rPr>
                <w:rFonts w:hint="eastAsia" w:ascii="宋体" w:hAnsi="宋体" w:cs="宋体"/>
                <w:color w:val="auto"/>
                <w:szCs w:val="21"/>
                <w:highlight w:val="none"/>
                <w:lang w:eastAsia="zh-CN"/>
              </w:rPr>
              <w:t>（2）拟派项目经理须具备水利水电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14:paraId="41A1E0C5">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7B4B2BC6">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F2B47CE">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5748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399C21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1B7820F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14:paraId="051CA99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243D4A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555B2A3">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26D1CB6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3C8C3D8">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2A68523A">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.建设工程项目管理承诺书；</w:t>
            </w:r>
            <w:r>
              <w:rPr>
                <w:rFonts w:hint="eastAsia" w:ascii="宋体" w:hAnsi="宋体" w:eastAsia="宋体" w:cs="宋体"/>
                <w:b/>
                <w:color w:val="auto"/>
                <w:szCs w:val="21"/>
                <w:highlight w:val="none"/>
              </w:rPr>
              <w:t>（必须提供，否则响应文件按无效响应处理）</w:t>
            </w:r>
          </w:p>
          <w:p w14:paraId="2F9AE68D">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供应商类似业绩的证明文件；</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0D7B0B0D">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17C92549">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595E2E70">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557E52F4">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2AFEE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58554AC9">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C94A2EC">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14:paraId="26A2354B">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1.技术需求偏离表；（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793D84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D8897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8F5452">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项目经理简历表；（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C96411C">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951AFA1">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536B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80A12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14:paraId="3A8D23F9">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14:paraId="1EB0A6BD">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02ED3AB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23E81D10">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54D4E9">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tc>
      </w:tr>
      <w:tr w14:paraId="53BC5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0F743A5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14:paraId="1DFFD0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14:paraId="3DE4543E">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1E1704D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F95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66129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14:paraId="3D526E8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14:paraId="29E936BA">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14:paraId="26371DB1">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14:paraId="09905626">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14:paraId="43B8F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104736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14:paraId="13C074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14:paraId="7FCC0491">
            <w:pPr>
              <w:pStyle w:val="10"/>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rPr>
              <w:t>自</w:t>
            </w:r>
            <w:r>
              <w:rPr>
                <w:rFonts w:hint="eastAsia" w:cs="宋体" w:asciiTheme="minorEastAsia" w:hAnsiTheme="minorEastAsia" w:eastAsiaTheme="minorEastAsia"/>
                <w:color w:val="auto"/>
                <w:kern w:val="2"/>
                <w:sz w:val="21"/>
                <w:szCs w:val="21"/>
                <w:highlight w:val="none"/>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lang w:val="en-US" w:eastAsia="zh-CN"/>
              </w:rPr>
              <w:t>9</w:t>
            </w:r>
            <w:r>
              <w:rPr>
                <w:rFonts w:hint="eastAsia" w:ascii="宋体" w:hAnsi="宋体" w:eastAsia="宋体" w:cs="宋体"/>
                <w:color w:val="auto"/>
                <w:kern w:val="2"/>
                <w:sz w:val="21"/>
                <w:szCs w:val="21"/>
                <w:highlight w:val="none"/>
                <w:u w:val="single"/>
              </w:rPr>
              <w:t xml:space="preserve">0 </w:t>
            </w:r>
            <w:r>
              <w:rPr>
                <w:rFonts w:hint="eastAsia" w:ascii="宋体" w:hAnsi="宋体" w:eastAsia="宋体" w:cs="宋体"/>
                <w:color w:val="auto"/>
                <w:kern w:val="2"/>
                <w:sz w:val="21"/>
                <w:szCs w:val="21"/>
                <w:highlight w:val="none"/>
              </w:rPr>
              <w:t>日。</w:t>
            </w:r>
          </w:p>
        </w:tc>
      </w:tr>
      <w:tr w14:paraId="38A93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3EA0780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14:paraId="54E05E1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14:paraId="135108E7">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19F65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903" w:type="dxa"/>
            <w:vMerge w:val="restart"/>
            <w:noWrap w:val="0"/>
            <w:vAlign w:val="center"/>
          </w:tcPr>
          <w:p w14:paraId="7F88EF3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14:paraId="7B0F68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14:paraId="602DB29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622BB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14:paraId="00BB2CFF">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A3EAB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14:paraId="0CE7085C">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464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1183F5F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14:paraId="31D6529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14:paraId="49F914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1430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14:paraId="43C10A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14:paraId="630703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14:paraId="78C526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307E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14:paraId="7943C29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14:paraId="794C30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14:paraId="5CBB012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675A705A">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032BB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4CEE4FA3">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7D1B07C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14:paraId="7C4D21EC">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7DEDFBA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14:paraId="3257C6FF">
            <w:pPr>
              <w:pStyle w:val="11"/>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18140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A6CE4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14:paraId="71D8DE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14:paraId="5397FF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☑提交履约担保</w:t>
            </w:r>
          </w:p>
          <w:p w14:paraId="7CB7827C">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履约担保的形式：☑履约保证金；☑履约保函。</w:t>
            </w:r>
          </w:p>
          <w:p w14:paraId="025EC4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ascii="宋体" w:hAnsi="宋体"/>
                <w:color w:val="auto"/>
                <w:kern w:val="0"/>
                <w:sz w:val="21"/>
                <w:szCs w:val="21"/>
                <w:highlight w:val="none"/>
              </w:rPr>
              <w:t>本项目的履约担保额为中标合同金额的</w:t>
            </w:r>
            <w:r>
              <w:rPr>
                <w:rFonts w:hint="eastAsia" w:ascii="宋体" w:hAnsi="宋体"/>
                <w:color w:val="auto"/>
                <w:kern w:val="0"/>
                <w:sz w:val="21"/>
                <w:szCs w:val="21"/>
                <w:highlight w:val="none"/>
                <w:lang w:val="en-US" w:eastAsia="zh-CN"/>
              </w:rPr>
              <w:t>2</w:t>
            </w:r>
            <w:r>
              <w:rPr>
                <w:rFonts w:hint="eastAsia" w:ascii="宋体" w:hAnsi="宋体"/>
                <w:color w:val="auto"/>
                <w:kern w:val="0"/>
                <w:sz w:val="21"/>
                <w:szCs w:val="21"/>
                <w:highlight w:val="none"/>
              </w:rPr>
              <w:t>%</w:t>
            </w:r>
            <w:r>
              <w:rPr>
                <w:rFonts w:ascii="宋体" w:hAnsi="宋体"/>
                <w:color w:val="auto"/>
                <w:kern w:val="0"/>
                <w:sz w:val="21"/>
                <w:szCs w:val="21"/>
                <w:highlight w:val="none"/>
              </w:rPr>
              <w:t>,保证金应从投标人银行基本账户转出，履约保函应由投标人基本账户所在银行开具。履约担保在合同工程完工证书颁发后无息退还给承包人。</w:t>
            </w:r>
          </w:p>
        </w:tc>
      </w:tr>
      <w:tr w14:paraId="3B55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119DF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14:paraId="02F2E9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14:paraId="6385CE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1ADA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14:paraId="1617712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14:paraId="2490AFA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14:paraId="646BD32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8000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1458ECFF">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46902A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14:paraId="12B2183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767C66A1">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0771-3132669</w:t>
            </w:r>
          </w:p>
          <w:p w14:paraId="3D168655">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通讯地址：南宁市青秀区佛子岭路18号德利国际·东盟文化广场B1栋十五层1508、1509号办公室</w:t>
            </w:r>
          </w:p>
          <w:p w14:paraId="5A83EA7A">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宾阳县水利工程建设服务站</w:t>
            </w:r>
            <w:r>
              <w:rPr>
                <w:rFonts w:hint="eastAsia" w:ascii="宋体" w:hAnsi="宋体" w:eastAsia="宋体" w:cs="宋体"/>
                <w:color w:val="auto"/>
                <w:szCs w:val="21"/>
                <w:highlight w:val="none"/>
              </w:rPr>
              <w:t>；</w:t>
            </w:r>
          </w:p>
          <w:p w14:paraId="382253B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联系电话：0771-8252307</w:t>
            </w:r>
            <w:r>
              <w:rPr>
                <w:rFonts w:hint="eastAsia" w:ascii="宋体" w:hAnsi="宋体" w:cs="宋体"/>
                <w:color w:val="auto"/>
                <w:szCs w:val="21"/>
                <w:highlight w:val="none"/>
                <w:lang w:val="en-US" w:eastAsia="zh-CN"/>
              </w:rPr>
              <w:t xml:space="preserve"> </w:t>
            </w:r>
          </w:p>
          <w:p w14:paraId="02BCBCED">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广西南宁市宾阳县宾州镇枫江路240号</w:t>
            </w:r>
          </w:p>
        </w:tc>
      </w:tr>
      <w:tr w14:paraId="6D0F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14:paraId="262F5982">
            <w:pPr>
              <w:spacing w:line="360" w:lineRule="auto"/>
              <w:jc w:val="center"/>
              <w:rPr>
                <w:rFonts w:hint="eastAsia" w:ascii="宋体" w:hAnsi="宋体" w:eastAsia="宋体" w:cs="宋体"/>
                <w:color w:val="auto"/>
                <w:szCs w:val="21"/>
                <w:highlight w:val="none"/>
              </w:rPr>
            </w:pPr>
          </w:p>
        </w:tc>
        <w:tc>
          <w:tcPr>
            <w:tcW w:w="2244" w:type="dxa"/>
            <w:noWrap w:val="0"/>
            <w:vAlign w:val="center"/>
          </w:tcPr>
          <w:p w14:paraId="1E90FA2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14:paraId="614EACE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7A7F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58B16D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14:paraId="0D560D0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14:paraId="29A8635A">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2AC95C31">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14:paraId="62847CB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名称：宾阳县财政局政府采购监督管理股</w:t>
            </w:r>
          </w:p>
          <w:p w14:paraId="360CFA4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地址：宾阳县宾州镇财政路133号</w:t>
            </w:r>
          </w:p>
          <w:p w14:paraId="224363BB">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lang w:eastAsia="zh-CN"/>
              </w:rPr>
              <w:t>联系电话：0771-8231525</w:t>
            </w:r>
          </w:p>
        </w:tc>
      </w:tr>
      <w:tr w14:paraId="2068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659C8AF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14:paraId="49746FA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14:paraId="0D7D33B2">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14:paraId="04EE4024">
            <w:pPr>
              <w:pStyle w:val="17"/>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14:paraId="1E6742D6">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14:paraId="72484D41">
            <w:pPr>
              <w:pStyle w:val="17"/>
              <w:snapToGrid w:val="0"/>
              <w:spacing w:line="360" w:lineRule="auto"/>
              <w:rPr>
                <w:rFonts w:hAnsi="宋体" w:eastAsia="Times New Roman" w:cs="宋体"/>
                <w:color w:val="auto"/>
                <w:sz w:val="21"/>
                <w:szCs w:val="21"/>
                <w:highlight w:val="none"/>
              </w:rPr>
            </w:pPr>
            <w:r>
              <w:rPr>
                <w:rFonts w:hint="eastAsia" w:hAnsi="宋体" w:eastAsia="宋体" w:cs="宋体"/>
                <w:color w:val="auto"/>
                <w:sz w:val="21"/>
                <w:szCs w:val="21"/>
                <w:highlight w:val="none"/>
                <w:lang w:eastAsia="zh-CN"/>
              </w:rPr>
              <w:t>☑</w:t>
            </w:r>
            <w:r>
              <w:rPr>
                <w:rFonts w:hAnsi="宋体" w:eastAsia="Times New Roman" w:cs="宋体"/>
                <w:color w:val="auto"/>
                <w:sz w:val="21"/>
                <w:szCs w:val="21"/>
                <w:highlight w:val="none"/>
              </w:rPr>
              <w:t>采购人支付。</w:t>
            </w:r>
          </w:p>
          <w:p w14:paraId="74B460A2">
            <w:pPr>
              <w:pStyle w:val="17"/>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采购代理费收取标准：以项目中标金额为计费基数，依据国家发展计划委员会计价格[2002]1980号《招标代理服务费管理暂行办法》工程类收费标准及发改价格[2011]534号文的工程类规定计取。</w:t>
            </w:r>
          </w:p>
          <w:p w14:paraId="1438BD52">
            <w:pPr>
              <w:pStyle w:val="17"/>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14:paraId="4BA09BDD">
            <w:pPr>
              <w:pStyle w:val="17"/>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广西星木工程咨询有限公司</w:t>
            </w:r>
            <w:r>
              <w:rPr>
                <w:rFonts w:hint="eastAsia" w:ascii="宋体" w:hAnsi="宋体" w:eastAsia="Times New Roman" w:cs="宋体"/>
                <w:color w:val="auto"/>
                <w:sz w:val="21"/>
                <w:szCs w:val="21"/>
                <w:highlight w:val="none"/>
                <w:lang w:val="en-US" w:eastAsia="zh-CN"/>
              </w:rPr>
              <w:t xml:space="preserve">      </w:t>
            </w:r>
          </w:p>
          <w:p w14:paraId="46A316F2">
            <w:pPr>
              <w:pStyle w:val="17"/>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 xml:space="preserve">开户银行：桂林银行股份有限公司南宁桃源支行 </w:t>
            </w:r>
          </w:p>
          <w:p w14:paraId="46E51408">
            <w:pPr>
              <w:pStyle w:val="17"/>
              <w:snapToGrid w:val="0"/>
              <w:spacing w:line="360" w:lineRule="auto"/>
              <w:rPr>
                <w:rFonts w:hint="default" w:ascii="宋体" w:hAnsi="宋体" w:eastAsia="宋体" w:cs="宋体"/>
                <w:color w:val="auto"/>
                <w:sz w:val="21"/>
                <w:highlight w:val="none"/>
                <w:lang w:val="en-US" w:eastAsia="zh-CN"/>
              </w:rPr>
            </w:pPr>
            <w:r>
              <w:rPr>
                <w:rFonts w:hint="eastAsia" w:ascii="宋体" w:hAnsi="宋体" w:eastAsia="Times New Roman" w:cs="宋体"/>
                <w:color w:val="auto"/>
                <w:sz w:val="21"/>
                <w:szCs w:val="21"/>
                <w:highlight w:val="none"/>
                <w:lang w:val="en-US" w:eastAsia="zh-CN"/>
              </w:rPr>
              <w:t>银行账号：</w:t>
            </w:r>
            <w:r>
              <w:rPr>
                <w:rFonts w:hint="eastAsia" w:hAnsi="宋体" w:eastAsia="Times New Roman" w:cs="宋体"/>
                <w:color w:val="auto"/>
                <w:sz w:val="21"/>
                <w:szCs w:val="21"/>
                <w:highlight w:val="none"/>
                <w:lang w:val="en-US" w:eastAsia="zh-CN"/>
              </w:rPr>
              <w:t>660000019017100018</w:t>
            </w:r>
          </w:p>
        </w:tc>
      </w:tr>
      <w:tr w14:paraId="6EE3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2B29C08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14:paraId="7CB7E10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14:paraId="59B31AC8">
            <w:pPr>
              <w:pStyle w:val="17"/>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3D056E7D">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73A4BEA5">
            <w:pPr>
              <w:pStyle w:val="17"/>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项目采购全流程电子化电子开评标规程执行项目采购活动，代理机构在</w:t>
            </w:r>
            <w:r>
              <w:rPr>
                <w:rFonts w:hint="eastAsia" w:hAnsi="宋体" w:cs="宋体"/>
                <w:b/>
                <w:bCs/>
                <w:color w:val="auto"/>
                <w:sz w:val="21"/>
                <w:highlight w:val="none"/>
                <w:lang w:val="en-US" w:eastAsia="zh-CN"/>
              </w:rPr>
              <w:t>“广西政府采购云平台”</w:t>
            </w:r>
            <w:r>
              <w:rPr>
                <w:rFonts w:hint="eastAsia" w:ascii="宋体" w:hAnsi="宋体" w:eastAsia="宋体" w:cs="宋体"/>
                <w:b/>
                <w:bCs/>
                <w:color w:val="auto"/>
                <w:sz w:val="21"/>
                <w:highlight w:val="none"/>
                <w:lang w:val="en-US" w:eastAsia="zh-CN"/>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9CC1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14:paraId="775896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14:paraId="1F7A2EE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14:paraId="17D8A10D">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DCD6950">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063DEE1">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2E695F9">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14:paraId="29AAA881">
            <w:pPr>
              <w:pStyle w:val="17"/>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14:paraId="12C606C7">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54" w:name="_Toc28698"/>
      <w:bookmarkStart w:id="55" w:name="_Toc3460"/>
      <w:bookmarkStart w:id="56" w:name="_Toc31001"/>
      <w:bookmarkStart w:id="57" w:name="_Toc18606"/>
      <w:bookmarkStart w:id="58" w:name="_Toc11716"/>
      <w:bookmarkStart w:id="59" w:name="_Toc11935"/>
      <w:r>
        <w:rPr>
          <w:rFonts w:hint="eastAsia" w:ascii="宋体" w:hAnsi="宋体" w:eastAsia="宋体" w:cs="宋体"/>
          <w:b w:val="0"/>
          <w:color w:val="auto"/>
          <w:highlight w:val="none"/>
        </w:rPr>
        <w:t>第二节 供应商须知正文</w:t>
      </w:r>
      <w:bookmarkEnd w:id="54"/>
      <w:bookmarkEnd w:id="55"/>
      <w:bookmarkEnd w:id="56"/>
      <w:bookmarkEnd w:id="57"/>
      <w:bookmarkEnd w:id="58"/>
      <w:bookmarkEnd w:id="59"/>
    </w:p>
    <w:p w14:paraId="6AC23D07">
      <w:pPr>
        <w:pStyle w:val="5"/>
        <w:spacing w:before="0" w:after="0" w:line="360" w:lineRule="auto"/>
        <w:rPr>
          <w:rFonts w:hint="eastAsia" w:ascii="宋体" w:hAnsi="宋体" w:eastAsia="宋体" w:cs="宋体"/>
          <w:b/>
          <w:bCs w:val="0"/>
          <w:color w:val="auto"/>
          <w:highlight w:val="none"/>
        </w:rPr>
      </w:pPr>
      <w:bookmarkStart w:id="60" w:name="_Toc4242"/>
      <w:bookmarkStart w:id="61" w:name="_Toc5632"/>
      <w:bookmarkStart w:id="62" w:name="_Toc6602"/>
      <w:bookmarkStart w:id="63" w:name="_Toc26491"/>
      <w:bookmarkStart w:id="64" w:name="_Toc4039"/>
      <w:r>
        <w:rPr>
          <w:rFonts w:hint="eastAsia" w:ascii="宋体" w:hAnsi="宋体" w:eastAsia="宋体" w:cs="宋体"/>
          <w:b/>
          <w:bCs w:val="0"/>
          <w:color w:val="auto"/>
          <w:highlight w:val="none"/>
        </w:rPr>
        <w:t>一、总则</w:t>
      </w:r>
      <w:bookmarkEnd w:id="60"/>
      <w:bookmarkEnd w:id="61"/>
      <w:bookmarkEnd w:id="62"/>
      <w:bookmarkEnd w:id="63"/>
      <w:bookmarkEnd w:id="64"/>
    </w:p>
    <w:p w14:paraId="666788E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6AC2D2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1C6C4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067F049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1F6F5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B66128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53980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755E7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color w:val="auto"/>
          <w:szCs w:val="21"/>
          <w:highlight w:val="none"/>
        </w:rPr>
        <w:t>“工程”是指除货物和服务以外的其他政府采购对象</w:t>
      </w:r>
      <w:r>
        <w:rPr>
          <w:rFonts w:hint="eastAsia" w:ascii="宋体" w:hAnsi="宋体" w:eastAsia="宋体" w:cs="宋体"/>
          <w:color w:val="auto"/>
          <w:szCs w:val="21"/>
          <w:highlight w:val="none"/>
        </w:rPr>
        <w:t>。</w:t>
      </w:r>
    </w:p>
    <w:p w14:paraId="1699B7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1F7BE8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E924A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3BFB8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2D0006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135D63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302CEB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25383E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1448F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3090A89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CF301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DFE5D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7D60B3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14:paraId="501F35B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742D34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F6AE4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40E0842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14:paraId="0BA8F7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5A9BD3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0F2C9D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14:paraId="4E12DD1D">
      <w:pPr>
        <w:spacing w:line="360" w:lineRule="auto"/>
        <w:ind w:firstLine="482" w:firstLineChars="200"/>
        <w:rPr>
          <w:rFonts w:hint="eastAsia" w:ascii="宋体" w:hAnsi="宋体" w:eastAsia="宋体" w:cs="宋体"/>
          <w:b/>
          <w:bCs/>
          <w:color w:val="auto"/>
          <w:sz w:val="24"/>
          <w:highlight w:val="none"/>
        </w:rPr>
      </w:pPr>
      <w:bookmarkStart w:id="65" w:name="_Toc254970673"/>
      <w:bookmarkStart w:id="66" w:name="_Toc254970532"/>
      <w:r>
        <w:rPr>
          <w:rFonts w:hint="eastAsia" w:ascii="宋体" w:hAnsi="宋体" w:eastAsia="宋体" w:cs="宋体"/>
          <w:b/>
          <w:bCs/>
          <w:color w:val="auto"/>
          <w:sz w:val="24"/>
          <w:highlight w:val="none"/>
        </w:rPr>
        <w:t>7.特别说明</w:t>
      </w:r>
      <w:bookmarkEnd w:id="65"/>
      <w:bookmarkEnd w:id="66"/>
    </w:p>
    <w:p w14:paraId="1AB5C3FD">
      <w:pPr>
        <w:spacing w:line="360" w:lineRule="auto"/>
        <w:ind w:firstLine="420" w:firstLineChars="200"/>
        <w:rPr>
          <w:rFonts w:hint="eastAsia" w:ascii="宋体" w:hAnsi="宋体" w:eastAsia="宋体" w:cs="宋体"/>
          <w:color w:val="auto"/>
          <w:szCs w:val="21"/>
          <w:highlight w:val="none"/>
        </w:rPr>
      </w:pPr>
      <w:bookmarkStart w:id="67" w:name="_8.1提供相同品牌产品且通过资格审查、符合性审查的不同投标人参加同一合"/>
      <w:bookmarkEnd w:id="67"/>
      <w:r>
        <w:rPr>
          <w:rFonts w:hint="eastAsia" w:ascii="宋体" w:hAnsi="宋体" w:eastAsia="宋体" w:cs="宋体"/>
          <w:color w:val="auto"/>
          <w:szCs w:val="21"/>
          <w:highlight w:val="none"/>
        </w:rPr>
        <w:t>7.1</w:t>
      </w:r>
      <w:bookmarkStart w:id="68"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68"/>
    <w:p w14:paraId="320163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6735D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338D0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67938E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17FE23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5C10E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96449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444E2E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2E729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4B082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C0E9C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293043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6D55FC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071089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1B0BA7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153F6A87">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7BE33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124031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A1C39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306D5E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2DD169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33F71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0436B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4AE30D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0797523C">
      <w:pPr>
        <w:bidi w:val="0"/>
        <w:spacing w:line="360" w:lineRule="auto"/>
        <w:rPr>
          <w:rFonts w:hint="eastAsia" w:ascii="宋体" w:hAnsi="宋体" w:eastAsia="宋体" w:cs="宋体"/>
          <w:color w:val="auto"/>
          <w:highlight w:val="none"/>
        </w:rPr>
      </w:pPr>
      <w:bookmarkStart w:id="69" w:name="_Toc254970675"/>
      <w:bookmarkStart w:id="70" w:name="_Toc254970534"/>
    </w:p>
    <w:p w14:paraId="4176A61D">
      <w:pPr>
        <w:pStyle w:val="5"/>
        <w:spacing w:before="0" w:after="0" w:line="360" w:lineRule="auto"/>
        <w:rPr>
          <w:rFonts w:hint="eastAsia" w:ascii="宋体" w:hAnsi="宋体" w:eastAsia="宋体" w:cs="宋体"/>
          <w:b/>
          <w:bCs w:val="0"/>
          <w:color w:val="auto"/>
          <w:highlight w:val="none"/>
        </w:rPr>
      </w:pPr>
      <w:bookmarkStart w:id="71" w:name="_Toc6695"/>
      <w:bookmarkStart w:id="72" w:name="_Toc25818"/>
      <w:bookmarkStart w:id="73" w:name="_Toc22797"/>
      <w:bookmarkStart w:id="74" w:name="_Toc29382"/>
      <w:bookmarkStart w:id="75" w:name="_Toc16003"/>
      <w:r>
        <w:rPr>
          <w:rFonts w:hint="eastAsia" w:ascii="宋体" w:hAnsi="宋体" w:eastAsia="宋体" w:cs="宋体"/>
          <w:b/>
          <w:bCs w:val="0"/>
          <w:color w:val="auto"/>
          <w:highlight w:val="none"/>
        </w:rPr>
        <w:t>二、磋商文件</w:t>
      </w:r>
      <w:bookmarkEnd w:id="69"/>
      <w:bookmarkEnd w:id="70"/>
      <w:bookmarkEnd w:id="71"/>
      <w:bookmarkEnd w:id="72"/>
      <w:bookmarkEnd w:id="73"/>
      <w:bookmarkEnd w:id="74"/>
      <w:bookmarkEnd w:id="75"/>
    </w:p>
    <w:p w14:paraId="266E8E4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5565F8B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697C683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4DB34BA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538E97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7559B30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60D8AE6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35173F80">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14:paraId="1B8FAECD">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14:paraId="0208E9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14:paraId="46C12F7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2487E1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8FA41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33AA5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F195C4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B8DA4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176C95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14:paraId="321B63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7E6033C">
      <w:pPr>
        <w:spacing w:line="360" w:lineRule="auto"/>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14:paraId="6C778770">
      <w:pPr>
        <w:pStyle w:val="13"/>
        <w:spacing w:line="360" w:lineRule="auto"/>
        <w:rPr>
          <w:rFonts w:hint="eastAsia" w:ascii="宋体" w:hAnsi="宋体" w:eastAsia="宋体" w:cs="宋体"/>
          <w:color w:val="auto"/>
          <w:highlight w:val="none"/>
        </w:rPr>
      </w:pPr>
    </w:p>
    <w:p w14:paraId="1F14F1BD">
      <w:pPr>
        <w:pStyle w:val="5"/>
        <w:spacing w:before="0" w:after="0" w:line="360" w:lineRule="auto"/>
        <w:rPr>
          <w:rFonts w:hint="eastAsia" w:ascii="宋体" w:hAnsi="宋体" w:eastAsia="宋体" w:cs="宋体"/>
          <w:b/>
          <w:bCs w:val="0"/>
          <w:color w:val="auto"/>
          <w:highlight w:val="none"/>
        </w:rPr>
      </w:pPr>
      <w:bookmarkStart w:id="76" w:name="_Toc2622"/>
      <w:bookmarkStart w:id="77" w:name="_Toc30454"/>
      <w:bookmarkStart w:id="78" w:name="_Toc19295"/>
      <w:bookmarkStart w:id="79" w:name="_Toc30069"/>
      <w:bookmarkStart w:id="80" w:name="_Toc18572"/>
      <w:r>
        <w:rPr>
          <w:rFonts w:hint="eastAsia" w:ascii="宋体" w:hAnsi="宋体" w:eastAsia="宋体" w:cs="宋体"/>
          <w:b/>
          <w:bCs w:val="0"/>
          <w:color w:val="auto"/>
          <w:highlight w:val="none"/>
        </w:rPr>
        <w:t>三、响应文件的编制</w:t>
      </w:r>
      <w:bookmarkEnd w:id="76"/>
      <w:bookmarkEnd w:id="77"/>
      <w:bookmarkEnd w:id="78"/>
      <w:bookmarkEnd w:id="79"/>
      <w:bookmarkEnd w:id="80"/>
    </w:p>
    <w:p w14:paraId="7B2522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7CE3A2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2BD562D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53DAA2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602EB577">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070591A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4D4183DD">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22F10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0F4F6E8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26A332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4E1EB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06371F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E8E95E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14BB21B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02E62BF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075EA9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28DDFE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784BD5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06676C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07F139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115999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0D621A69">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81"/>
    <w:p w14:paraId="440A3C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327CEB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D10E8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61245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0A7290C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27F78C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59C73DA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701F74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60FE95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01BA4F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82"/>
      <w:r>
        <w:rPr>
          <w:rFonts w:hint="eastAsia" w:ascii="宋体" w:hAnsi="宋体" w:eastAsia="宋体" w:cs="宋体"/>
          <w:color w:val="auto"/>
          <w:szCs w:val="21"/>
          <w:highlight w:val="none"/>
        </w:rPr>
        <w:t>，否则其响应文件按无效响应处理。骑缝盖公章不视为在规定位置盖章。</w:t>
      </w:r>
    </w:p>
    <w:p w14:paraId="268B43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0FF5BA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0377B1F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7A07DF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32A88151">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14:paraId="793B780F">
      <w:pPr>
        <w:pStyle w:val="17"/>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7121358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76B0D8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FA71B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B2329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2A2FE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B5340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0A4C541F">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7267F4E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368FC8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358FC00">
      <w:pPr>
        <w:spacing w:line="360" w:lineRule="auto"/>
        <w:ind w:firstLine="482" w:firstLineChars="200"/>
        <w:rPr>
          <w:rFonts w:hint="eastAsia" w:ascii="宋体" w:hAnsi="宋体" w:eastAsia="宋体" w:cs="宋体"/>
          <w:b/>
          <w:bCs/>
          <w:color w:val="auto"/>
          <w:sz w:val="24"/>
          <w:highlight w:val="none"/>
        </w:rPr>
      </w:pPr>
      <w:bookmarkStart w:id="83" w:name="_Hlk45702405"/>
      <w:r>
        <w:rPr>
          <w:rFonts w:hint="eastAsia" w:ascii="宋体" w:hAnsi="宋体" w:eastAsia="宋体" w:cs="宋体"/>
          <w:b/>
          <w:bCs/>
          <w:color w:val="auto"/>
          <w:sz w:val="24"/>
          <w:highlight w:val="none"/>
        </w:rPr>
        <w:t>22. 首次响应文件的退回</w:t>
      </w:r>
    </w:p>
    <w:p w14:paraId="62D1FB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AE9915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2FB6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83"/>
    </w:p>
    <w:p w14:paraId="62B84A43">
      <w:pPr>
        <w:pStyle w:val="13"/>
        <w:spacing w:line="360" w:lineRule="auto"/>
        <w:rPr>
          <w:rFonts w:hint="eastAsia" w:ascii="宋体" w:hAnsi="宋体" w:eastAsia="宋体" w:cs="宋体"/>
          <w:color w:val="auto"/>
          <w:highlight w:val="none"/>
        </w:rPr>
      </w:pPr>
    </w:p>
    <w:p w14:paraId="5659AEB3">
      <w:pPr>
        <w:pStyle w:val="5"/>
        <w:spacing w:before="0" w:after="0" w:line="360" w:lineRule="auto"/>
        <w:rPr>
          <w:rFonts w:hint="eastAsia" w:ascii="宋体" w:hAnsi="宋体" w:eastAsia="宋体" w:cs="宋体"/>
          <w:b/>
          <w:bCs w:val="0"/>
          <w:color w:val="auto"/>
          <w:highlight w:val="none"/>
        </w:rPr>
      </w:pPr>
      <w:bookmarkStart w:id="84" w:name="_Toc25351"/>
      <w:bookmarkStart w:id="85" w:name="_Toc27120"/>
      <w:bookmarkStart w:id="86" w:name="_Toc12235"/>
      <w:bookmarkStart w:id="87" w:name="_Toc30168"/>
      <w:bookmarkStart w:id="88" w:name="_Toc21487"/>
      <w:r>
        <w:rPr>
          <w:rFonts w:hint="eastAsia" w:ascii="宋体" w:hAnsi="宋体" w:eastAsia="宋体" w:cs="宋体"/>
          <w:b/>
          <w:bCs w:val="0"/>
          <w:color w:val="auto"/>
          <w:highlight w:val="none"/>
        </w:rPr>
        <w:t>四、评审及磋商</w:t>
      </w:r>
      <w:bookmarkEnd w:id="84"/>
      <w:bookmarkEnd w:id="85"/>
      <w:bookmarkEnd w:id="86"/>
      <w:bookmarkEnd w:id="87"/>
      <w:bookmarkEnd w:id="88"/>
    </w:p>
    <w:p w14:paraId="2F5782B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0159B4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12CC7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6F428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76E0D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5E5E6644">
      <w:pPr>
        <w:pStyle w:val="17"/>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52445047">
      <w:pPr>
        <w:pStyle w:val="17"/>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w:t>
      </w:r>
      <w:r>
        <w:rPr>
          <w:rFonts w:hint="eastAsia" w:hAnsi="宋体" w:cs="宋体"/>
          <w:b/>
          <w:color w:val="auto"/>
          <w:sz w:val="21"/>
          <w:highlight w:val="none"/>
          <w:lang w:eastAsia="zh-CN"/>
        </w:rPr>
        <w:t>“广西政府采购云平台”</w:t>
      </w:r>
      <w:r>
        <w:rPr>
          <w:rFonts w:hint="eastAsia" w:ascii="宋体" w:hAnsi="宋体" w:eastAsia="宋体" w:cs="宋体"/>
          <w:b/>
          <w:color w:val="auto"/>
          <w:sz w:val="21"/>
          <w:highlight w:val="none"/>
        </w:rPr>
        <w:t>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14:paraId="0F62C874">
      <w:pPr>
        <w:pStyle w:val="17"/>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14:paraId="08E071A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63767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4D8E6A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14879C9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55090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29481A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4E00D0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63E330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0B342D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14:paraId="152BE4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3493DA3">
      <w:pPr>
        <w:pStyle w:val="13"/>
        <w:spacing w:line="360" w:lineRule="auto"/>
        <w:rPr>
          <w:rFonts w:hint="eastAsia" w:ascii="宋体" w:hAnsi="宋体" w:eastAsia="宋体" w:cs="宋体"/>
          <w:color w:val="auto"/>
          <w:highlight w:val="none"/>
        </w:rPr>
      </w:pPr>
    </w:p>
    <w:p w14:paraId="7F8D5C81">
      <w:pPr>
        <w:pStyle w:val="5"/>
        <w:spacing w:before="0" w:after="0" w:line="360" w:lineRule="auto"/>
        <w:rPr>
          <w:rFonts w:hint="eastAsia" w:ascii="宋体" w:hAnsi="宋体" w:eastAsia="宋体" w:cs="宋体"/>
          <w:b/>
          <w:bCs w:val="0"/>
          <w:color w:val="auto"/>
          <w:highlight w:val="none"/>
        </w:rPr>
      </w:pPr>
      <w:bookmarkStart w:id="89" w:name="_Toc24541"/>
      <w:bookmarkStart w:id="90" w:name="_Toc18614"/>
      <w:bookmarkStart w:id="91" w:name="_Toc26245"/>
      <w:bookmarkStart w:id="92" w:name="_Toc24055"/>
      <w:bookmarkStart w:id="93" w:name="_Toc15815"/>
      <w:r>
        <w:rPr>
          <w:rFonts w:hint="eastAsia" w:ascii="宋体" w:hAnsi="宋体" w:eastAsia="宋体" w:cs="宋体"/>
          <w:b/>
          <w:bCs w:val="0"/>
          <w:color w:val="auto"/>
          <w:highlight w:val="none"/>
        </w:rPr>
        <w:t>五、成交及合同</w:t>
      </w:r>
      <w:bookmarkEnd w:id="89"/>
      <w:bookmarkEnd w:id="90"/>
      <w:bookmarkEnd w:id="91"/>
      <w:bookmarkEnd w:id="92"/>
      <w:bookmarkEnd w:id="93"/>
    </w:p>
    <w:p w14:paraId="71AD4AD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13BA2B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73E6B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7A5CA1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28843F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321D4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6A6943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4BDEF42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99D4D8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6D02B72C">
      <w:pPr>
        <w:pStyle w:val="33"/>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6934F4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5FA338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1A57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75E130AE">
      <w:pPr>
        <w:pStyle w:val="33"/>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49FD2C5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8AFFC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8592F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299D44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1CF93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14:paraId="77979CE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14:paraId="7F13088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14:paraId="03D6A4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14:paraId="320547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C146D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5B055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5C1A9D0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3A933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BDC84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2FFF69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558B42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6BBBD7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221902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CF721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3B58EC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323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959D3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94" w:name="_Toc80205930"/>
    </w:p>
    <w:p w14:paraId="478172F4">
      <w:pPr>
        <w:pStyle w:val="13"/>
        <w:spacing w:line="360" w:lineRule="auto"/>
        <w:rPr>
          <w:rFonts w:hint="eastAsia" w:ascii="宋体" w:hAnsi="宋体" w:eastAsia="宋体" w:cs="宋体"/>
          <w:color w:val="auto"/>
          <w:highlight w:val="none"/>
        </w:rPr>
      </w:pPr>
    </w:p>
    <w:p w14:paraId="07F8D907">
      <w:pPr>
        <w:pStyle w:val="5"/>
        <w:spacing w:before="0" w:after="0" w:line="360" w:lineRule="auto"/>
        <w:rPr>
          <w:rFonts w:hint="eastAsia" w:ascii="宋体" w:hAnsi="宋体" w:eastAsia="宋体" w:cs="宋体"/>
          <w:b/>
          <w:bCs w:val="0"/>
          <w:color w:val="auto"/>
          <w:highlight w:val="none"/>
        </w:rPr>
      </w:pPr>
      <w:bookmarkStart w:id="95" w:name="_Toc7926"/>
      <w:bookmarkStart w:id="96" w:name="_Toc11545"/>
      <w:bookmarkStart w:id="97" w:name="_Toc12020"/>
      <w:bookmarkStart w:id="98" w:name="_Toc14574"/>
      <w:bookmarkStart w:id="99" w:name="_Toc15338"/>
      <w:r>
        <w:rPr>
          <w:rFonts w:hint="eastAsia" w:ascii="宋体" w:hAnsi="宋体" w:eastAsia="宋体" w:cs="宋体"/>
          <w:b/>
          <w:bCs w:val="0"/>
          <w:color w:val="auto"/>
          <w:highlight w:val="none"/>
        </w:rPr>
        <w:t>六、验收</w:t>
      </w:r>
      <w:bookmarkEnd w:id="94"/>
      <w:bookmarkEnd w:id="95"/>
      <w:bookmarkEnd w:id="96"/>
      <w:bookmarkEnd w:id="97"/>
      <w:bookmarkEnd w:id="98"/>
      <w:bookmarkEnd w:id="99"/>
    </w:p>
    <w:p w14:paraId="3D0203A3">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3BC73AA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131181">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2471BA85">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0588DB">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4D4FE3B">
      <w:pPr>
        <w:pStyle w:val="13"/>
        <w:spacing w:line="360" w:lineRule="auto"/>
        <w:rPr>
          <w:rFonts w:hint="eastAsia" w:ascii="宋体" w:hAnsi="宋体" w:eastAsia="宋体" w:cs="宋体"/>
          <w:color w:val="auto"/>
          <w:highlight w:val="none"/>
        </w:rPr>
      </w:pPr>
    </w:p>
    <w:p w14:paraId="5D47559E">
      <w:pPr>
        <w:pStyle w:val="5"/>
        <w:spacing w:before="0" w:after="0" w:line="360" w:lineRule="auto"/>
        <w:rPr>
          <w:rFonts w:hint="eastAsia" w:ascii="宋体" w:hAnsi="宋体" w:eastAsia="宋体" w:cs="宋体"/>
          <w:b/>
          <w:bCs w:val="0"/>
          <w:color w:val="auto"/>
          <w:highlight w:val="none"/>
        </w:rPr>
      </w:pPr>
      <w:bookmarkStart w:id="100" w:name="_Toc14544"/>
      <w:bookmarkStart w:id="101" w:name="_Toc12694"/>
      <w:bookmarkStart w:id="102" w:name="_Toc29251"/>
      <w:bookmarkStart w:id="103" w:name="_Toc28745"/>
      <w:bookmarkStart w:id="104" w:name="_Toc3779"/>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100"/>
      <w:bookmarkEnd w:id="101"/>
      <w:bookmarkEnd w:id="102"/>
      <w:bookmarkEnd w:id="103"/>
      <w:bookmarkEnd w:id="104"/>
    </w:p>
    <w:p w14:paraId="7B6D106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67BF0232">
      <w:pPr>
        <w:tabs>
          <w:tab w:val="left" w:pos="2835"/>
        </w:tabs>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2333E7F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AE2D65C">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3D03F3D4">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35E55F3B">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w:t>
      </w:r>
      <w:r>
        <w:rPr>
          <w:rFonts w:hint="eastAsia" w:hAnsi="宋体" w:cs="宋体"/>
          <w:color w:val="auto"/>
          <w:sz w:val="21"/>
          <w:highlight w:val="none"/>
          <w:lang w:eastAsia="zh-CN"/>
        </w:rPr>
        <w:t>民法典</w:t>
      </w:r>
      <w:r>
        <w:rPr>
          <w:rFonts w:hint="eastAsia" w:ascii="宋体" w:hAnsi="宋体" w:eastAsia="宋体" w:cs="宋体"/>
          <w:color w:val="auto"/>
          <w:sz w:val="21"/>
          <w:highlight w:val="none"/>
        </w:rPr>
        <w:t>》订立劳动合同的从业人员，不对其中涉及的货物的制造商和工程承建商作出要求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361759C5">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14:paraId="419EDC07">
      <w:pPr>
        <w:pStyle w:val="17"/>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2914C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14:paraId="215F0445">
      <w:pPr>
        <w:pStyle w:val="17"/>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47546CDE">
      <w:pPr>
        <w:pStyle w:val="17"/>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hint="eastAsia" w:hAnsi="宋体"/>
          <w:color w:val="auto"/>
          <w:sz w:val="21"/>
          <w:highlight w:val="none"/>
        </w:rPr>
        <w:t>http://www.nnggzy.org.cn）“交易信息-政府采购-政府采购信用融资”中融资银行和南宁市企业融资货物中心专栏信息申请政府采购信用融资。</w:t>
      </w:r>
      <w:r>
        <w:rPr>
          <w:rStyle w:val="31"/>
          <w:rFonts w:hint="eastAsia" w:hAnsi="宋体"/>
          <w:color w:val="auto"/>
          <w:sz w:val="21"/>
          <w:highlight w:val="none"/>
        </w:rPr>
        <w:fldChar w:fldCharType="end"/>
      </w:r>
    </w:p>
    <w:p w14:paraId="0D820E8A">
      <w:pPr>
        <w:pStyle w:val="17"/>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14:paraId="5630D38C">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72A169F8">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0123273F">
      <w:pPr>
        <w:pStyle w:val="17"/>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14:paraId="5AC6968F">
      <w:pPr>
        <w:pStyle w:val="17"/>
        <w:numPr>
          <w:ilvl w:val="0"/>
          <w:numId w:val="0"/>
        </w:numPr>
        <w:spacing w:line="360" w:lineRule="auto"/>
        <w:ind w:firstLine="0" w:firstLineChars="0"/>
        <w:textAlignment w:val="center"/>
        <w:rPr>
          <w:rFonts w:hint="eastAsia" w:ascii="宋体" w:hAnsi="宋体" w:eastAsia="宋体" w:cs="宋体"/>
          <w:color w:val="auto"/>
          <w:highlight w:val="none"/>
        </w:rPr>
      </w:pPr>
    </w:p>
    <w:p w14:paraId="666E8049">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111B60F8">
      <w:pPr>
        <w:pStyle w:val="3"/>
        <w:spacing w:line="360" w:lineRule="auto"/>
        <w:jc w:val="center"/>
        <w:rPr>
          <w:rFonts w:hint="eastAsia" w:ascii="宋体" w:hAnsi="宋体" w:eastAsia="宋体" w:cs="宋体"/>
          <w:b/>
          <w:bCs/>
          <w:color w:val="auto"/>
          <w:highlight w:val="none"/>
        </w:rPr>
      </w:pPr>
      <w:bookmarkStart w:id="105" w:name="_Toc22508"/>
      <w:bookmarkStart w:id="106" w:name="_Toc18270"/>
      <w:bookmarkStart w:id="107" w:name="_Toc23637"/>
      <w:bookmarkStart w:id="108" w:name="_Toc14829"/>
      <w:bookmarkStart w:id="109" w:name="_Toc16334"/>
      <w:bookmarkStart w:id="110" w:name="_Toc15760"/>
      <w:r>
        <w:rPr>
          <w:rFonts w:hint="eastAsia" w:ascii="宋体" w:hAnsi="宋体" w:eastAsia="宋体" w:cs="宋体"/>
          <w:b/>
          <w:bCs/>
          <w:color w:val="auto"/>
          <w:highlight w:val="none"/>
        </w:rPr>
        <w:t>第四章  评审程序、评审方法和评审标准</w:t>
      </w:r>
      <w:bookmarkEnd w:id="105"/>
      <w:bookmarkEnd w:id="106"/>
      <w:bookmarkEnd w:id="107"/>
      <w:bookmarkEnd w:id="108"/>
      <w:bookmarkEnd w:id="109"/>
      <w:bookmarkEnd w:id="110"/>
    </w:p>
    <w:p w14:paraId="171D94E7">
      <w:pPr>
        <w:pStyle w:val="4"/>
        <w:spacing w:line="360" w:lineRule="auto"/>
        <w:jc w:val="center"/>
        <w:rPr>
          <w:rFonts w:hint="eastAsia" w:ascii="宋体" w:hAnsi="宋体" w:eastAsia="宋体" w:cs="宋体"/>
          <w:b w:val="0"/>
          <w:color w:val="auto"/>
          <w:highlight w:val="none"/>
        </w:rPr>
      </w:pPr>
      <w:bookmarkStart w:id="111" w:name="_Toc21500"/>
      <w:bookmarkStart w:id="112" w:name="_Toc2012"/>
      <w:bookmarkStart w:id="113" w:name="_Toc8295"/>
      <w:bookmarkStart w:id="114" w:name="_Toc19232"/>
      <w:bookmarkStart w:id="115" w:name="_Toc23306"/>
      <w:bookmarkStart w:id="116" w:name="_Toc22688"/>
      <w:r>
        <w:rPr>
          <w:rFonts w:hint="eastAsia" w:ascii="宋体" w:hAnsi="宋体" w:eastAsia="宋体" w:cs="宋体"/>
          <w:b w:val="0"/>
          <w:color w:val="auto"/>
          <w:highlight w:val="none"/>
        </w:rPr>
        <w:t>第一节 评审程序和评审方法</w:t>
      </w:r>
      <w:bookmarkEnd w:id="111"/>
      <w:bookmarkEnd w:id="112"/>
      <w:bookmarkEnd w:id="113"/>
      <w:bookmarkEnd w:id="114"/>
      <w:bookmarkEnd w:id="115"/>
      <w:bookmarkEnd w:id="116"/>
    </w:p>
    <w:p w14:paraId="5C995C6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61FF54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7DAACF4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22B23EB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6CF52D2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3C316CBD">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31"/>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31"/>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47DFE2A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5176BC7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000971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FE7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D8D6F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625AE97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30A7A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0F20D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40689D64">
      <w:pPr>
        <w:spacing w:line="360" w:lineRule="auto"/>
        <w:ind w:firstLine="420" w:firstLineChars="200"/>
        <w:rPr>
          <w:rFonts w:hint="eastAsia" w:ascii="宋体" w:hAnsi="宋体" w:eastAsia="宋体" w:cs="宋体"/>
          <w:color w:val="auto"/>
          <w:szCs w:val="21"/>
          <w:highlight w:val="none"/>
        </w:rPr>
      </w:pPr>
      <w:bookmarkStart w:id="117"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7"/>
    </w:p>
    <w:p w14:paraId="15E85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54A18A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4866C6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CF647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5CC5AC">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4A364065">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09A217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4B91B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2D1CD3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54A9D7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88D54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AC8E1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40F542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215959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A9FB3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1083B2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0F95A2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7E45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7B3B7F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10865B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6BC1AD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8CA39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7ADD57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1E8083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14:paraId="250FD4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16A2BB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74F6D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618FA7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180F0A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6A1947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A71B7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774D7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2096EA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50AD6B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439CB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05081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14:paraId="30BB0A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BE7A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81C8E3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5C4D7DF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CCDD2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6AE38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3DD827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9EA12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0B6E8E81">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4C7659B1">
      <w:pPr>
        <w:pStyle w:val="33"/>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7C7B7D18">
      <w:pPr>
        <w:pStyle w:val="33"/>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5FFCD552">
      <w:pPr>
        <w:pStyle w:val="33"/>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09D042F1">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1080FA01">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697AEA06">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40F0C3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63215A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525DC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64DF7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1644E0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334F3E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55AA7E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3F1A2C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A87D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430E23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7D4C3A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5816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174C27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367331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28C85D64">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012BB0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30BF73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96AC2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6F27C0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1EDA43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78E7FB6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03B97D4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2D14CF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A5CAEBA">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14:paraId="43E56FD7">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14:paraId="56C5D45F">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64F8B27C">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14:paraId="73F73E2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7"/>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730"/>
        <w:gridCol w:w="840"/>
      </w:tblGrid>
      <w:tr w14:paraId="42A2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693" w:type="dxa"/>
            <w:noWrap w:val="0"/>
            <w:vAlign w:val="center"/>
          </w:tcPr>
          <w:p w14:paraId="37941BC6">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1163" w:type="dxa"/>
            <w:noWrap w:val="0"/>
            <w:vAlign w:val="center"/>
          </w:tcPr>
          <w:p w14:paraId="4456575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w:t>
            </w:r>
          </w:p>
        </w:tc>
        <w:tc>
          <w:tcPr>
            <w:tcW w:w="6730" w:type="dxa"/>
            <w:noWrap w:val="0"/>
            <w:vAlign w:val="center"/>
          </w:tcPr>
          <w:p w14:paraId="550902F3">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评审因素具体内容</w:t>
            </w:r>
          </w:p>
        </w:tc>
        <w:tc>
          <w:tcPr>
            <w:tcW w:w="840" w:type="dxa"/>
            <w:noWrap w:val="0"/>
            <w:vAlign w:val="center"/>
          </w:tcPr>
          <w:p w14:paraId="308F5461">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分值</w:t>
            </w:r>
          </w:p>
        </w:tc>
      </w:tr>
      <w:tr w14:paraId="60A6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14:paraId="5D63C195">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163" w:type="dxa"/>
            <w:noWrap w:val="0"/>
            <w:vAlign w:val="center"/>
          </w:tcPr>
          <w:p w14:paraId="704745F9">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价格分</w:t>
            </w:r>
          </w:p>
        </w:tc>
        <w:tc>
          <w:tcPr>
            <w:tcW w:w="6730" w:type="dxa"/>
            <w:noWrap w:val="0"/>
            <w:vAlign w:val="top"/>
          </w:tcPr>
          <w:p w14:paraId="190A2CED">
            <w:pPr>
              <w:pStyle w:val="51"/>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以进入综合评分环节的最低的</w:t>
            </w:r>
            <w:r>
              <w:rPr>
                <w:rFonts w:hint="eastAsia" w:cs="宋体"/>
                <w:color w:val="auto"/>
                <w:kern w:val="0"/>
                <w:sz w:val="21"/>
                <w:szCs w:val="21"/>
                <w:highlight w:val="none"/>
                <w:lang w:val="en-US" w:eastAsia="zh-CN" w:bidi="ar-SA"/>
              </w:rPr>
              <w:t>磋商</w:t>
            </w:r>
            <w:r>
              <w:rPr>
                <w:rFonts w:hint="eastAsia" w:ascii="宋体" w:hAnsi="宋体" w:eastAsia="宋体" w:cs="宋体"/>
                <w:color w:val="auto"/>
                <w:kern w:val="0"/>
                <w:sz w:val="21"/>
                <w:szCs w:val="21"/>
                <w:highlight w:val="none"/>
                <w:lang w:val="en-US" w:eastAsia="zh-CN" w:bidi="ar-SA"/>
              </w:rPr>
              <w:t>报价为基准价，基准价报价得分为1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2ACA2BC5">
            <w:pPr>
              <w:pStyle w:val="51"/>
              <w:numPr>
                <w:ilvl w:val="0"/>
                <w:numId w:val="2"/>
              </w:numPr>
              <w:spacing w:before="33" w:line="408"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价格分计算公式</w:t>
            </w:r>
            <w:r>
              <w:rPr>
                <w:rFonts w:hint="eastAsia"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价格分=基准价/某</w:t>
            </w:r>
            <w:r>
              <w:rPr>
                <w:rFonts w:hint="eastAsia"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评标报价金额×1</w:t>
            </w:r>
            <w:r>
              <w:rPr>
                <w:rFonts w:hint="eastAsia"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14:paraId="68CEC196">
            <w:pPr>
              <w:pStyle w:val="51"/>
              <w:numPr>
                <w:ilvl w:val="0"/>
                <w:numId w:val="2"/>
              </w:numPr>
              <w:spacing w:before="33" w:line="408" w:lineRule="exact"/>
              <w:rPr>
                <w:rFonts w:hint="eastAsia" w:ascii="宋体" w:hAnsi="宋体" w:cs="宋体"/>
                <w:b w:val="0"/>
                <w:bCs/>
                <w:color w:val="auto"/>
                <w:sz w:val="21"/>
                <w:szCs w:val="21"/>
                <w:highlight w:val="none"/>
              </w:rPr>
            </w:pPr>
            <w:r>
              <w:rPr>
                <w:rFonts w:hint="eastAsia" w:ascii="宋体" w:hAnsi="宋体" w:eastAsia="宋体" w:cs="宋体"/>
                <w:color w:val="auto"/>
                <w:kern w:val="0"/>
                <w:sz w:val="21"/>
                <w:szCs w:val="21"/>
                <w:highlight w:val="none"/>
                <w:lang w:val="en-US" w:eastAsia="zh-CN" w:bidi="ar-SA"/>
              </w:rPr>
              <w:t>本项目为专门面向中</w:t>
            </w:r>
            <w:r>
              <w:rPr>
                <w:rFonts w:hint="eastAsia" w:cs="宋体"/>
                <w:color w:val="auto"/>
                <w:kern w:val="0"/>
                <w:sz w:val="21"/>
                <w:szCs w:val="21"/>
                <w:highlight w:val="none"/>
                <w:lang w:val="en-US" w:eastAsia="zh-CN" w:bidi="ar-SA"/>
              </w:rPr>
              <w:t>小</w:t>
            </w:r>
            <w:r>
              <w:rPr>
                <w:rFonts w:hint="eastAsia" w:ascii="宋体" w:hAnsi="宋体" w:eastAsia="宋体" w:cs="宋体"/>
                <w:color w:val="auto"/>
                <w:kern w:val="0"/>
                <w:sz w:val="21"/>
                <w:szCs w:val="21"/>
                <w:highlight w:val="none"/>
                <w:lang w:val="en-US" w:eastAsia="zh-CN" w:bidi="ar-SA"/>
              </w:rPr>
              <w:t>企业采购项目，所有供应商不再享受价格扣除。</w:t>
            </w:r>
          </w:p>
        </w:tc>
        <w:tc>
          <w:tcPr>
            <w:tcW w:w="840" w:type="dxa"/>
            <w:noWrap w:val="0"/>
            <w:vAlign w:val="center"/>
          </w:tcPr>
          <w:p w14:paraId="1EF5948E">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分</w:t>
            </w:r>
          </w:p>
        </w:tc>
      </w:tr>
      <w:tr w14:paraId="1C9F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5BF43FCB">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w:t>
            </w:r>
          </w:p>
        </w:tc>
        <w:tc>
          <w:tcPr>
            <w:tcW w:w="1163" w:type="dxa"/>
            <w:noWrap w:val="0"/>
            <w:vAlign w:val="center"/>
          </w:tcPr>
          <w:p w14:paraId="640E309C">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技术分</w:t>
            </w:r>
          </w:p>
        </w:tc>
        <w:tc>
          <w:tcPr>
            <w:tcW w:w="6730" w:type="dxa"/>
            <w:noWrap w:val="0"/>
            <w:vAlign w:val="center"/>
          </w:tcPr>
          <w:p w14:paraId="530D5227">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840" w:type="dxa"/>
            <w:noWrap w:val="0"/>
            <w:vAlign w:val="top"/>
          </w:tcPr>
          <w:p w14:paraId="5DC06A05">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lang w:val="en-US" w:eastAsia="zh-CN"/>
              </w:rPr>
              <w:t>85</w:t>
            </w:r>
            <w:r>
              <w:rPr>
                <w:rFonts w:hint="eastAsia" w:ascii="宋体" w:hAnsi="宋体" w:cs="宋体"/>
                <w:b/>
                <w:color w:val="auto"/>
                <w:kern w:val="0"/>
                <w:sz w:val="21"/>
                <w:szCs w:val="21"/>
                <w:highlight w:val="none"/>
              </w:rPr>
              <w:t>分</w:t>
            </w:r>
          </w:p>
        </w:tc>
      </w:tr>
      <w:tr w14:paraId="219E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75870E43">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63" w:type="dxa"/>
            <w:noWrap w:val="0"/>
            <w:vAlign w:val="center"/>
          </w:tcPr>
          <w:p w14:paraId="1B513333">
            <w:pPr>
              <w:adjustRightInd w:val="0"/>
              <w:spacing w:line="400" w:lineRule="exact"/>
              <w:jc w:val="center"/>
              <w:textAlignment w:val="baseline"/>
              <w:rPr>
                <w:rFonts w:hint="eastAsia" w:ascii="宋体" w:hAnsi="宋体" w:cs="宋体"/>
                <w:b w:val="0"/>
                <w:bCs/>
                <w:color w:val="auto"/>
                <w:kern w:val="0"/>
                <w:sz w:val="21"/>
                <w:szCs w:val="21"/>
                <w:highlight w:val="none"/>
              </w:rPr>
            </w:pPr>
            <w:r>
              <w:rPr>
                <w:rFonts w:hint="eastAsia" w:ascii="宋体" w:hAnsi="宋体" w:cs="宋体"/>
                <w:bCs/>
                <w:color w:val="auto"/>
                <w:kern w:val="0"/>
                <w:szCs w:val="21"/>
                <w:highlight w:val="none"/>
              </w:rPr>
              <w:t>施工方案与技术措施</w:t>
            </w:r>
          </w:p>
        </w:tc>
        <w:tc>
          <w:tcPr>
            <w:tcW w:w="6730" w:type="dxa"/>
            <w:noWrap w:val="0"/>
            <w:vAlign w:val="center"/>
          </w:tcPr>
          <w:p w14:paraId="5A6BCEB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：对项目的施工总体条件有全面认识，施工段划分呼应总体表述，划分清晰、合理、切合本工程实际，施工方法合理，技术措施具体、先进、有效。</w:t>
            </w:r>
          </w:p>
          <w:p w14:paraId="1DB7755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10分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：对项目的施工总体条件有认识，施工段划分可行、切合实际可行，施工方法简单合理，施工技术措施具体，但不详细、不清晰。</w:t>
            </w:r>
          </w:p>
          <w:p w14:paraId="4ACB2C36">
            <w:pPr>
              <w:spacing w:line="360" w:lineRule="auto"/>
              <w:ind w:firstLine="420" w:firstLineChars="200"/>
              <w:rPr>
                <w:rFonts w:hint="eastAsia" w:ascii="宋体" w:hAnsi="宋体" w:eastAsia="宋体" w:cs="宋体"/>
                <w:bCs/>
                <w:color w:val="auto"/>
                <w:kern w:val="2"/>
                <w:sz w:val="21"/>
                <w:szCs w:val="21"/>
                <w:highlight w:val="none"/>
              </w:rPr>
            </w:pPr>
            <w:r>
              <w:rPr>
                <w:rFonts w:hint="eastAsia" w:ascii="宋体" w:hAnsi="宋体" w:cs="宋体"/>
                <w:bCs/>
                <w:color w:val="auto"/>
                <w:highlight w:val="none"/>
                <w:lang w:val="en-US" w:eastAsia="zh-CN"/>
              </w:rPr>
              <w:t>一档</w:t>
            </w:r>
            <w:r>
              <w:rPr>
                <w:rFonts w:hint="eastAsia" w:ascii="宋体" w:hAnsi="宋体" w:cs="宋体"/>
                <w:bCs/>
                <w:color w:val="auto"/>
                <w:highlight w:val="none"/>
                <w:lang w:eastAsia="zh-CN"/>
              </w:rPr>
              <w:t>（</w:t>
            </w:r>
            <w:r>
              <w:rPr>
                <w:rFonts w:hint="eastAsia" w:ascii="宋体" w:hAnsi="宋体" w:cs="宋体"/>
                <w:bCs/>
                <w:color w:val="auto"/>
                <w:highlight w:val="none"/>
                <w:lang w:val="en-US" w:eastAsia="zh-CN"/>
              </w:rPr>
              <w:t>5分</w:t>
            </w:r>
            <w:r>
              <w:rPr>
                <w:rFonts w:hint="eastAsia" w:ascii="宋体" w:hAnsi="宋体" w:cs="宋体"/>
                <w:bCs/>
                <w:color w:val="auto"/>
                <w:highlight w:val="none"/>
                <w:lang w:eastAsia="zh-CN"/>
              </w:rPr>
              <w:t>）</w:t>
            </w:r>
            <w:r>
              <w:rPr>
                <w:rFonts w:hint="eastAsia" w:ascii="宋体" w:hAnsi="宋体" w:cs="宋体"/>
                <w:bCs/>
                <w:color w:val="auto"/>
                <w:highlight w:val="none"/>
              </w:rPr>
              <w:t>：对项目的施工总体条件简单的认识，施工段划分一般、基本切合实际，施工方法一般，施工技术措施不够具体。</w:t>
            </w:r>
          </w:p>
        </w:tc>
        <w:tc>
          <w:tcPr>
            <w:tcW w:w="840" w:type="dxa"/>
            <w:noWrap w:val="0"/>
            <w:vAlign w:val="center"/>
          </w:tcPr>
          <w:p w14:paraId="48F396DB">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Cs w:val="21"/>
                <w:highlight w:val="none"/>
                <w:lang w:val="en-US" w:eastAsia="zh-CN"/>
              </w:rPr>
              <w:t>15分</w:t>
            </w:r>
          </w:p>
        </w:tc>
      </w:tr>
      <w:tr w14:paraId="2574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3" w:type="dxa"/>
            <w:noWrap w:val="0"/>
            <w:vAlign w:val="center"/>
          </w:tcPr>
          <w:p w14:paraId="6F994FDE">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14:paraId="66A09E14">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质量管理体系与措施</w:t>
            </w:r>
          </w:p>
        </w:tc>
        <w:tc>
          <w:tcPr>
            <w:tcW w:w="6730" w:type="dxa"/>
            <w:noWrap w:val="0"/>
            <w:vAlign w:val="center"/>
          </w:tcPr>
          <w:p w14:paraId="45BAB49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三档（15分）：质量目标明确，质量管控体系健全（包括组织结构、人员分工、施工现场质量控制的措施和手段、原材料质量检测、单元工程验收和质量评定、质量控制奖罚机制等）质量事件（缺陷、事故）应急措施得当、可行。 </w:t>
            </w:r>
          </w:p>
          <w:p w14:paraId="2F0CB591">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质量目标较明确，质量管控体系基本健全（包括组织结构、人员分工、施工现场质量控制的措施和手段、原材料质量检测、单元工程验收和质量评定、质量控制奖罚机制等）质量事件（缺陷、事故）应急措施基本得当、可行。 </w:t>
            </w:r>
          </w:p>
          <w:p w14:paraId="4BD2811C">
            <w:pPr>
              <w:spacing w:line="360" w:lineRule="auto"/>
              <w:ind w:firstLine="420" w:firstLineChars="200"/>
              <w:rPr>
                <w:color w:val="auto"/>
                <w:sz w:val="21"/>
                <w:szCs w:val="21"/>
                <w:highlight w:val="none"/>
              </w:rPr>
            </w:pPr>
            <w:r>
              <w:rPr>
                <w:rFonts w:hint="eastAsia" w:ascii="宋体" w:hAnsi="宋体" w:cs="宋体"/>
                <w:bCs/>
                <w:color w:val="auto"/>
                <w:highlight w:val="none"/>
                <w:lang w:val="en-US" w:eastAsia="zh-CN"/>
              </w:rPr>
              <w:t xml:space="preserve">一档（5分）：质量目标不明确，质量管控体系基本或不健全（包括组织结构、人员分工、施工现场质量控制的措施和手段、原材料质量检测、单元工程验收和质量评定、质量控制奖罚机制等）质量事件（缺陷、事故）应急措施一般。 </w:t>
            </w:r>
          </w:p>
        </w:tc>
        <w:tc>
          <w:tcPr>
            <w:tcW w:w="840" w:type="dxa"/>
            <w:noWrap w:val="0"/>
            <w:vAlign w:val="center"/>
          </w:tcPr>
          <w:p w14:paraId="4FD63814">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p w14:paraId="45F6197B">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14:paraId="2F9A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3" w:type="dxa"/>
            <w:noWrap w:val="0"/>
            <w:vAlign w:val="center"/>
          </w:tcPr>
          <w:p w14:paraId="0C36E2A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14:paraId="5AED5722">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安全管理体系与措施</w:t>
            </w:r>
          </w:p>
        </w:tc>
        <w:tc>
          <w:tcPr>
            <w:tcW w:w="6730" w:type="dxa"/>
            <w:noWrap w:val="0"/>
            <w:vAlign w:val="center"/>
          </w:tcPr>
          <w:p w14:paraId="13ECC649">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三档（15分）：有专门的安全管理人员和制度，且人员配备合理，制度健全，各道工序安全技术措施针对性强，确保工程质量的技术组织措施符合实际且满足有关安全技术标准要求。现场防火、应急救援、社会治安安全措施得力。</w:t>
            </w:r>
          </w:p>
          <w:p w14:paraId="2793B59F">
            <w:pPr>
              <w:spacing w:line="360" w:lineRule="auto"/>
              <w:ind w:firstLine="420" w:firstLineChars="200"/>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 xml:space="preserve">二档（10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14:paraId="621CC54D">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一档（5分）：有专门的安全管理人员和制度，人员配备不合理，制度不健全，各道工序安全技术措施针无对性，不满足有关安全技术标准要求。现场防火、应急救援、社会治安安全措施不得力。 </w:t>
            </w:r>
          </w:p>
        </w:tc>
        <w:tc>
          <w:tcPr>
            <w:tcW w:w="840" w:type="dxa"/>
            <w:noWrap w:val="0"/>
            <w:vAlign w:val="center"/>
          </w:tcPr>
          <w:p w14:paraId="7939C9D1">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3ADF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6906D9B1">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14:paraId="2DA5BB96">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环境保护管理体系与措施</w:t>
            </w:r>
          </w:p>
        </w:tc>
        <w:tc>
          <w:tcPr>
            <w:tcW w:w="6730" w:type="dxa"/>
            <w:noWrap w:val="0"/>
            <w:vAlign w:val="center"/>
          </w:tcPr>
          <w:p w14:paraId="563634D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（10分）：环境保护目标明确，环境保护管理体系健全，预防和控制（包括大气、水、噪声、固体废物、人群等环保工程）具有针对性、内容全面、可行。 </w:t>
            </w:r>
          </w:p>
          <w:p w14:paraId="33DB3DC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二档（6分）：环境保护目标较明确，环境保护管理体系较健全，预防和控制（包括大气、水、噪声、固体废物、人群等环保工程）具较有针对性，内容较全面、可行。 </w:t>
            </w:r>
          </w:p>
          <w:p w14:paraId="42513266">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color w:val="auto"/>
                <w:highlight w:val="none"/>
                <w:lang w:val="en-US" w:eastAsia="zh-CN"/>
              </w:rPr>
              <w:t xml:space="preserve">一档（3分）：环境保护目标基本或不明确，环境保护管理体系基本健全，预防和控制（包括大气、水、噪声、固体废物、人群等环保工程）针对性一般，内容一般。 </w:t>
            </w:r>
          </w:p>
        </w:tc>
        <w:tc>
          <w:tcPr>
            <w:tcW w:w="840" w:type="dxa"/>
            <w:noWrap w:val="0"/>
            <w:vAlign w:val="center"/>
          </w:tcPr>
          <w:p w14:paraId="72BC89AD">
            <w:pPr>
              <w:pStyle w:val="17"/>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color w:val="auto"/>
                <w:kern w:val="2"/>
                <w:sz w:val="21"/>
                <w:szCs w:val="21"/>
                <w:highlight w:val="none"/>
              </w:rPr>
            </w:pPr>
            <w:r>
              <w:rPr>
                <w:rFonts w:hint="eastAsia" w:hAnsi="宋体" w:cs="Courier New"/>
                <w:bCs/>
                <w:color w:val="auto"/>
                <w:kern w:val="2"/>
                <w:sz w:val="21"/>
                <w:szCs w:val="21"/>
                <w:highlight w:val="none"/>
                <w:lang w:val="en-US" w:eastAsia="zh-CN"/>
              </w:rPr>
              <w:t>10</w:t>
            </w:r>
            <w:r>
              <w:rPr>
                <w:rFonts w:hint="eastAsia" w:ascii="宋体" w:hAnsi="宋体" w:eastAsia="宋体" w:cs="Courier New"/>
                <w:bCs/>
                <w:color w:val="auto"/>
                <w:kern w:val="2"/>
                <w:sz w:val="21"/>
                <w:szCs w:val="21"/>
                <w:highlight w:val="none"/>
              </w:rPr>
              <w:t>分</w:t>
            </w:r>
          </w:p>
          <w:p w14:paraId="62E66B0B">
            <w:pPr>
              <w:pStyle w:val="43"/>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14:paraId="1ABE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0878DF1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14:paraId="06D69CA4">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工程进度计划与措施</w:t>
            </w:r>
          </w:p>
        </w:tc>
        <w:tc>
          <w:tcPr>
            <w:tcW w:w="6730" w:type="dxa"/>
            <w:noWrap w:val="0"/>
            <w:vAlign w:val="center"/>
          </w:tcPr>
          <w:p w14:paraId="52C9CCE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 xml:space="preserve">（15分）：施工总体进度计划得当，进度计划网络图清晰合理，完全满足招标文件要求，施工强度分析可靠，各关键节点的工期切实可行，控制性项目安排得当，保证工期的措施科学，工程进度补救措施可行，完全能保证在项目要求的总工期内完成。 </w:t>
            </w:r>
          </w:p>
          <w:p w14:paraId="484C59F0">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 xml:space="preserve">二档（10分）：施工总体进度计划较得当，进度计划网络图较清晰合理，较满足招标文件要求，施工强度分析较可靠，各关键节点的工期较切实可行，控制性项目安排较得当，保证工期的措施较科学，工程进度补救措施基本可行，基本能保证在项目要求的总工期内完成。 </w:t>
            </w:r>
          </w:p>
          <w:p w14:paraId="2561338C">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highlight w:val="none"/>
                <w:lang w:val="en-US" w:eastAsia="zh-CN"/>
              </w:rPr>
              <w:t xml:space="preserve">一档（5分）：施工总体进度计划基本得当，进度计划网络图基本清晰合理，基本满足招标文件要求，施工强度分析一般，各关键点的工期基本切实可行，控制性项目安排基本得当，保证工期的措施一般，工程进度补救措施一般，基本能保证在项目要求的总工期内完成。 </w:t>
            </w:r>
          </w:p>
        </w:tc>
        <w:tc>
          <w:tcPr>
            <w:tcW w:w="840" w:type="dxa"/>
            <w:noWrap w:val="0"/>
            <w:vAlign w:val="center"/>
          </w:tcPr>
          <w:p w14:paraId="525CF0F6">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1BCB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14:paraId="5C37E516">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14:paraId="3724705C">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color w:val="auto"/>
                <w:kern w:val="0"/>
                <w:szCs w:val="21"/>
                <w:highlight w:val="none"/>
              </w:rPr>
              <w:t>资源配置计划</w:t>
            </w:r>
          </w:p>
        </w:tc>
        <w:tc>
          <w:tcPr>
            <w:tcW w:w="6730" w:type="dxa"/>
            <w:noWrap w:val="0"/>
            <w:vAlign w:val="center"/>
          </w:tcPr>
          <w:p w14:paraId="21D2FD04">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三</w:t>
            </w:r>
            <w:r>
              <w:rPr>
                <w:rFonts w:hint="eastAsia" w:ascii="宋体" w:hAnsi="宋体" w:cs="宋体"/>
                <w:bCs/>
                <w:color w:val="auto"/>
                <w:highlight w:val="none"/>
              </w:rPr>
              <w:t>档</w:t>
            </w:r>
            <w:r>
              <w:rPr>
                <w:rFonts w:hint="eastAsia" w:ascii="宋体" w:hAnsi="宋体" w:cs="宋体"/>
                <w:bCs/>
                <w:color w:val="auto"/>
                <w:highlight w:val="none"/>
                <w:lang w:val="en-US" w:eastAsia="zh-CN"/>
              </w:rPr>
              <w:t>（15分）：</w:t>
            </w:r>
            <w:r>
              <w:rPr>
                <w:rFonts w:hint="eastAsia" w:ascii="宋体" w:hAnsi="宋体" w:cs="宋体"/>
                <w:bCs/>
                <w:color w:val="auto"/>
                <w:highlight w:val="none"/>
              </w:rPr>
              <w:t>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14:paraId="15C80FFE">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lang w:val="en-US" w:eastAsia="zh-CN"/>
              </w:rPr>
              <w:t>二档（10分）</w:t>
            </w:r>
            <w:r>
              <w:rPr>
                <w:rFonts w:hint="eastAsia" w:ascii="宋体" w:hAnsi="宋体" w:cs="宋体"/>
                <w:bCs/>
                <w:color w:val="auto"/>
                <w:highlight w:val="none"/>
              </w:rPr>
              <w:t>：各类施工及试验设备的配备类型、进场时间与施工组织设计相符，设备数量合理、类型齐全，满足施工需要。各类人员配备专业、进场时间与施工组织设计相符，人员数量、专业技能满足施工要求；</w:t>
            </w:r>
          </w:p>
          <w:p w14:paraId="65646A9E">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color w:val="auto"/>
                <w:highlight w:val="none"/>
                <w:lang w:val="en-US" w:eastAsia="zh-CN"/>
              </w:rPr>
              <w:t>一档（5分）</w:t>
            </w:r>
            <w:r>
              <w:rPr>
                <w:rFonts w:hint="eastAsia" w:ascii="宋体" w:hAnsi="宋体" w:cs="宋体"/>
                <w:bCs/>
                <w:color w:val="auto"/>
                <w:highlight w:val="none"/>
              </w:rPr>
              <w:t>：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tc>
        <w:tc>
          <w:tcPr>
            <w:tcW w:w="840" w:type="dxa"/>
            <w:noWrap w:val="0"/>
            <w:vAlign w:val="center"/>
          </w:tcPr>
          <w:p w14:paraId="3A8B2781">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color w:val="auto"/>
                <w:kern w:val="2"/>
                <w:sz w:val="21"/>
                <w:szCs w:val="21"/>
                <w:highlight w:val="none"/>
                <w:lang w:val="en-US" w:eastAsia="zh-CN"/>
              </w:rPr>
              <w:t>1</w:t>
            </w:r>
            <w:r>
              <w:rPr>
                <w:rFonts w:hint="eastAsia" w:ascii="宋体" w:hAnsi="宋体" w:cs="Courier New"/>
                <w:bCs/>
                <w:color w:val="auto"/>
                <w:kern w:val="2"/>
                <w:sz w:val="21"/>
                <w:szCs w:val="21"/>
                <w:highlight w:val="none"/>
                <w:lang w:val="en-US" w:eastAsia="zh-CN"/>
              </w:rPr>
              <w:t>5</w:t>
            </w:r>
            <w:r>
              <w:rPr>
                <w:rFonts w:hint="eastAsia" w:ascii="宋体" w:hAnsi="宋体" w:eastAsia="宋体" w:cs="Courier New"/>
                <w:bCs/>
                <w:color w:val="auto"/>
                <w:kern w:val="2"/>
                <w:sz w:val="21"/>
                <w:szCs w:val="21"/>
                <w:highlight w:val="none"/>
              </w:rPr>
              <w:t>分</w:t>
            </w:r>
          </w:p>
        </w:tc>
      </w:tr>
      <w:tr w14:paraId="22F8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14:paraId="09175C7F">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w:t>
            </w:r>
          </w:p>
        </w:tc>
        <w:tc>
          <w:tcPr>
            <w:tcW w:w="1163" w:type="dxa"/>
            <w:noWrap w:val="0"/>
            <w:vAlign w:val="center"/>
          </w:tcPr>
          <w:p w14:paraId="08872187">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商务分</w:t>
            </w:r>
          </w:p>
        </w:tc>
        <w:tc>
          <w:tcPr>
            <w:tcW w:w="6730" w:type="dxa"/>
            <w:noWrap w:val="0"/>
            <w:vAlign w:val="center"/>
          </w:tcPr>
          <w:p w14:paraId="5C18D73C">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 w:val="21"/>
                <w:szCs w:val="21"/>
                <w:highlight w:val="none"/>
              </w:rPr>
            </w:pPr>
            <w:r>
              <w:rPr>
                <w:rFonts w:hint="eastAsia" w:ascii="宋体" w:hAnsi="宋体" w:eastAsia="宋体" w:cs="Tahoma"/>
                <w:b/>
                <w:bCs/>
                <w:color w:val="auto"/>
                <w:kern w:val="0"/>
                <w:sz w:val="21"/>
                <w:szCs w:val="21"/>
                <w:highlight w:val="none"/>
              </w:rPr>
              <w:t>评审因素</w:t>
            </w:r>
          </w:p>
        </w:tc>
        <w:tc>
          <w:tcPr>
            <w:tcW w:w="840" w:type="dxa"/>
            <w:noWrap w:val="0"/>
            <w:vAlign w:val="center"/>
          </w:tcPr>
          <w:p w14:paraId="7E23F31D">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5</w:t>
            </w:r>
            <w:r>
              <w:rPr>
                <w:rFonts w:hint="eastAsia" w:ascii="宋体" w:hAnsi="宋体" w:cs="宋体"/>
                <w:b/>
                <w:bCs/>
                <w:color w:val="auto"/>
                <w:kern w:val="0"/>
                <w:sz w:val="21"/>
                <w:szCs w:val="21"/>
                <w:highlight w:val="none"/>
              </w:rPr>
              <w:t>分</w:t>
            </w:r>
          </w:p>
        </w:tc>
      </w:tr>
      <w:tr w14:paraId="2F2B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14:paraId="504A0454">
            <w:pPr>
              <w:keepNext w:val="0"/>
              <w:keepLines w:val="0"/>
              <w:pageBreakBefore w:val="0"/>
              <w:kinsoku/>
              <w:wordWrap/>
              <w:overflowPunct/>
              <w:topLinePunct w:val="0"/>
              <w:bidi w:val="0"/>
              <w:spacing w:line="400" w:lineRule="exac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3.1</w:t>
            </w:r>
          </w:p>
        </w:tc>
        <w:tc>
          <w:tcPr>
            <w:tcW w:w="1163" w:type="dxa"/>
            <w:noWrap w:val="0"/>
            <w:vAlign w:val="center"/>
          </w:tcPr>
          <w:p w14:paraId="7FBBDBCC">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eastAsia="宋体" w:cs="宋体"/>
                <w:bCs/>
                <w:color w:val="auto"/>
                <w:sz w:val="21"/>
                <w:szCs w:val="21"/>
                <w:highlight w:val="none"/>
                <w:lang w:val="en-US" w:eastAsia="zh-CN"/>
              </w:rPr>
              <w:t>业绩分</w:t>
            </w:r>
          </w:p>
        </w:tc>
        <w:tc>
          <w:tcPr>
            <w:tcW w:w="6730" w:type="dxa"/>
            <w:noWrap w:val="0"/>
            <w:vAlign w:val="center"/>
          </w:tcPr>
          <w:p w14:paraId="199945E8">
            <w:pPr>
              <w:keepNext w:val="0"/>
              <w:keepLines w:val="0"/>
              <w:pageBreakBefore w:val="0"/>
              <w:kinsoku/>
              <w:wordWrap/>
              <w:overflowPunct/>
              <w:topLinePunct w:val="0"/>
              <w:bidi w:val="0"/>
              <w:snapToGrid w:val="0"/>
              <w:spacing w:line="400" w:lineRule="exact"/>
              <w:jc w:val="left"/>
              <w:textAlignment w:val="auto"/>
              <w:rPr>
                <w:rFonts w:ascii="宋体" w:hAnsi="宋体" w:cs="宋体"/>
                <w:bCs/>
                <w:color w:val="auto"/>
                <w:kern w:val="0"/>
                <w:sz w:val="21"/>
                <w:szCs w:val="21"/>
                <w:highlight w:val="none"/>
              </w:rPr>
            </w:pPr>
            <w:r>
              <w:rPr>
                <w:rFonts w:hint="eastAsia" w:ascii="宋体" w:hAnsi="宋体"/>
                <w:bCs/>
                <w:color w:val="auto"/>
                <w:szCs w:val="21"/>
                <w:highlight w:val="none"/>
              </w:rPr>
              <w:t>供应商2021年</w:t>
            </w:r>
            <w:r>
              <w:rPr>
                <w:rFonts w:hint="eastAsia" w:ascii="宋体" w:hAnsi="宋体"/>
                <w:bCs/>
                <w:color w:val="auto"/>
                <w:szCs w:val="21"/>
                <w:highlight w:val="none"/>
                <w:lang w:val="en-US" w:eastAsia="zh-CN"/>
              </w:rPr>
              <w:t>1</w:t>
            </w:r>
            <w:r>
              <w:rPr>
                <w:rFonts w:hint="eastAsia" w:ascii="宋体" w:hAnsi="宋体"/>
                <w:bCs/>
                <w:color w:val="auto"/>
                <w:szCs w:val="21"/>
                <w:highlight w:val="none"/>
              </w:rPr>
              <w:t>月1日至</w:t>
            </w:r>
            <w:r>
              <w:rPr>
                <w:rFonts w:hint="eastAsia" w:ascii="宋体" w:hAnsi="宋体"/>
                <w:bCs/>
                <w:color w:val="auto"/>
                <w:szCs w:val="21"/>
                <w:highlight w:val="none"/>
                <w:lang w:eastAsia="zh-CN"/>
              </w:rPr>
              <w:t>响应</w:t>
            </w:r>
            <w:r>
              <w:rPr>
                <w:rFonts w:hint="eastAsia" w:ascii="宋体" w:hAnsi="宋体"/>
                <w:bCs/>
                <w:color w:val="auto"/>
                <w:szCs w:val="21"/>
                <w:highlight w:val="none"/>
              </w:rPr>
              <w:t>截止之日止（时间以工程完工验收鉴定书或工程竣工验收鉴定书时间为准）完成过水利工程施工项目业绩的，每一项得</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分，此项满分</w:t>
            </w:r>
            <w:r>
              <w:rPr>
                <w:rFonts w:hint="eastAsia" w:ascii="宋体" w:hAnsi="宋体"/>
                <w:bCs/>
                <w:color w:val="auto"/>
                <w:szCs w:val="21"/>
                <w:highlight w:val="none"/>
                <w:lang w:val="en-US" w:eastAsia="zh-CN"/>
              </w:rPr>
              <w:t>5</w:t>
            </w:r>
            <w:r>
              <w:rPr>
                <w:rFonts w:hint="eastAsia" w:ascii="宋体" w:hAnsi="宋体"/>
                <w:bCs/>
                <w:color w:val="auto"/>
                <w:szCs w:val="21"/>
                <w:highlight w:val="none"/>
              </w:rPr>
              <w:t>分。（业绩证明材料</w:t>
            </w:r>
            <w:r>
              <w:rPr>
                <w:rFonts w:hint="eastAsia" w:ascii="宋体" w:hAnsi="Courier New"/>
                <w:color w:val="auto"/>
                <w:szCs w:val="21"/>
                <w:highlight w:val="none"/>
              </w:rPr>
              <w:t>须</w:t>
            </w:r>
            <w:r>
              <w:rPr>
                <w:rFonts w:hint="eastAsia" w:ascii="宋体" w:hAnsi="宋体"/>
                <w:bCs/>
                <w:color w:val="auto"/>
                <w:szCs w:val="21"/>
                <w:highlight w:val="none"/>
              </w:rPr>
              <w:t>提供中标通知书或合同协议书、工程完工验收鉴定书或工程竣工验收鉴定书的复印件，否则该项不予计分）</w:t>
            </w:r>
          </w:p>
        </w:tc>
        <w:tc>
          <w:tcPr>
            <w:tcW w:w="840" w:type="dxa"/>
            <w:noWrap w:val="0"/>
            <w:vAlign w:val="center"/>
          </w:tcPr>
          <w:p w14:paraId="6A456512">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分</w:t>
            </w:r>
          </w:p>
        </w:tc>
      </w:tr>
    </w:tbl>
    <w:p w14:paraId="3CAD7B97">
      <w:pPr>
        <w:spacing w:line="360" w:lineRule="auto"/>
        <w:rPr>
          <w:rFonts w:hint="eastAsia" w:ascii="宋体" w:hAnsi="宋体" w:eastAsia="宋体" w:cs="宋体"/>
          <w:color w:val="auto"/>
          <w:highlight w:val="none"/>
        </w:rPr>
      </w:pPr>
    </w:p>
    <w:p w14:paraId="3EEEB6B5">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6F3737BD">
      <w:pPr>
        <w:spacing w:line="360" w:lineRule="auto"/>
        <w:ind w:firstLine="420" w:firstLineChars="200"/>
        <w:rPr>
          <w:rFonts w:hint="eastAsia" w:ascii="宋体" w:hAnsi="宋体" w:eastAsia="宋体" w:cs="宋体"/>
          <w:color w:val="auto"/>
          <w:highlight w:val="none"/>
        </w:rPr>
      </w:pPr>
      <w:bookmarkStart w:id="118"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14:paraId="4D277D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12C68C7D">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620EF597">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119" w:name="_Toc22098"/>
      <w:bookmarkStart w:id="120" w:name="_Toc18798"/>
      <w:bookmarkStart w:id="121" w:name="_Toc6406"/>
      <w:bookmarkStart w:id="122" w:name="_Toc16046"/>
      <w:bookmarkStart w:id="123" w:name="_Toc498"/>
      <w:bookmarkStart w:id="124" w:name="_Toc25481"/>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118"/>
      <w:bookmarkEnd w:id="119"/>
      <w:bookmarkEnd w:id="120"/>
      <w:bookmarkEnd w:id="121"/>
      <w:bookmarkEnd w:id="122"/>
      <w:bookmarkEnd w:id="123"/>
      <w:bookmarkEnd w:id="124"/>
    </w:p>
    <w:p w14:paraId="5E2D45E8">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AB186DE">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14:paraId="39950E63">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7A6CE0CF">
      <w:pPr>
        <w:pStyle w:val="33"/>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4422AB38">
      <w:pPr>
        <w:pStyle w:val="4"/>
        <w:spacing w:before="0" w:after="0" w:line="360" w:lineRule="auto"/>
        <w:ind w:firstLine="640" w:firstLineChars="200"/>
        <w:jc w:val="center"/>
        <w:rPr>
          <w:rFonts w:hint="eastAsia" w:ascii="宋体" w:hAnsi="宋体" w:eastAsia="宋体" w:cs="宋体"/>
          <w:b w:val="0"/>
          <w:color w:val="auto"/>
          <w:highlight w:val="none"/>
        </w:rPr>
      </w:pPr>
      <w:bookmarkStart w:id="125" w:name="_Toc7265"/>
      <w:bookmarkStart w:id="126" w:name="_Toc80205936"/>
      <w:bookmarkStart w:id="127" w:name="_Toc13101"/>
      <w:bookmarkStart w:id="128" w:name="_Toc30628"/>
      <w:bookmarkStart w:id="129" w:name="_Toc9233"/>
      <w:bookmarkStart w:id="130" w:name="_Toc3713"/>
      <w:bookmarkStart w:id="131" w:name="_Toc384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125"/>
      <w:bookmarkEnd w:id="126"/>
      <w:bookmarkEnd w:id="127"/>
      <w:bookmarkEnd w:id="128"/>
      <w:bookmarkEnd w:id="129"/>
      <w:bookmarkEnd w:id="130"/>
      <w:bookmarkEnd w:id="131"/>
    </w:p>
    <w:p w14:paraId="51EF6265">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5EE1F650">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8CDA097">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7BF29D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1C3764B">
      <w:pPr>
        <w:spacing w:line="360" w:lineRule="auto"/>
        <w:ind w:firstLine="420" w:firstLineChars="200"/>
        <w:rPr>
          <w:rFonts w:hint="eastAsia" w:ascii="宋体" w:hAnsi="宋体" w:eastAsia="宋体" w:cs="宋体"/>
          <w:color w:val="auto"/>
          <w:highlight w:val="none"/>
        </w:rPr>
      </w:pPr>
    </w:p>
    <w:p w14:paraId="7A6D7230">
      <w:pPr>
        <w:spacing w:line="360" w:lineRule="auto"/>
        <w:ind w:firstLine="420" w:firstLineChars="200"/>
        <w:rPr>
          <w:rFonts w:hint="eastAsia" w:ascii="宋体" w:hAnsi="宋体" w:eastAsia="宋体" w:cs="宋体"/>
          <w:color w:val="auto"/>
          <w:highlight w:val="none"/>
        </w:rPr>
      </w:pPr>
    </w:p>
    <w:p w14:paraId="767212D7">
      <w:pPr>
        <w:spacing w:line="360" w:lineRule="auto"/>
        <w:rPr>
          <w:rFonts w:hint="eastAsia" w:ascii="宋体" w:hAnsi="宋体" w:eastAsia="宋体" w:cs="宋体"/>
          <w:color w:val="auto"/>
          <w:highlight w:val="none"/>
        </w:rPr>
      </w:pPr>
    </w:p>
    <w:p w14:paraId="2F64951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7B6E5E">
      <w:pPr>
        <w:pStyle w:val="13"/>
        <w:spacing w:line="360" w:lineRule="auto"/>
        <w:rPr>
          <w:rFonts w:hint="eastAsia" w:ascii="宋体" w:hAnsi="宋体" w:eastAsia="宋体" w:cs="宋体"/>
          <w:color w:val="auto"/>
          <w:highlight w:val="none"/>
        </w:rPr>
      </w:pPr>
    </w:p>
    <w:p w14:paraId="1673F5E0">
      <w:pPr>
        <w:pStyle w:val="13"/>
        <w:spacing w:line="360" w:lineRule="auto"/>
        <w:rPr>
          <w:rFonts w:hint="eastAsia" w:ascii="宋体" w:hAnsi="宋体" w:eastAsia="宋体" w:cs="宋体"/>
          <w:color w:val="auto"/>
          <w:highlight w:val="none"/>
        </w:rPr>
      </w:pPr>
    </w:p>
    <w:p w14:paraId="24914455">
      <w:pPr>
        <w:pStyle w:val="13"/>
        <w:spacing w:line="360" w:lineRule="auto"/>
        <w:rPr>
          <w:rFonts w:hint="eastAsia" w:ascii="宋体" w:hAnsi="宋体" w:eastAsia="宋体" w:cs="宋体"/>
          <w:color w:val="auto"/>
          <w:highlight w:val="none"/>
        </w:rPr>
      </w:pPr>
    </w:p>
    <w:p w14:paraId="2CA84E7D">
      <w:pPr>
        <w:pStyle w:val="13"/>
        <w:spacing w:line="360" w:lineRule="auto"/>
        <w:rPr>
          <w:rFonts w:hint="eastAsia" w:ascii="宋体" w:hAnsi="宋体" w:eastAsia="宋体" w:cs="宋体"/>
          <w:color w:val="auto"/>
          <w:highlight w:val="none"/>
        </w:rPr>
      </w:pPr>
    </w:p>
    <w:p w14:paraId="4685F310">
      <w:pPr>
        <w:pStyle w:val="13"/>
        <w:spacing w:line="360" w:lineRule="auto"/>
        <w:rPr>
          <w:rFonts w:hint="eastAsia" w:ascii="宋体" w:hAnsi="宋体" w:eastAsia="宋体" w:cs="宋体"/>
          <w:color w:val="auto"/>
          <w:highlight w:val="none"/>
        </w:rPr>
      </w:pPr>
    </w:p>
    <w:p w14:paraId="4B31C1F6">
      <w:pPr>
        <w:pStyle w:val="13"/>
        <w:spacing w:line="360" w:lineRule="auto"/>
        <w:rPr>
          <w:rFonts w:hint="eastAsia" w:ascii="宋体" w:hAnsi="宋体" w:eastAsia="宋体" w:cs="宋体"/>
          <w:color w:val="auto"/>
          <w:highlight w:val="none"/>
        </w:rPr>
      </w:pPr>
    </w:p>
    <w:p w14:paraId="5D231B46">
      <w:pPr>
        <w:pStyle w:val="13"/>
        <w:spacing w:line="360" w:lineRule="auto"/>
        <w:rPr>
          <w:rFonts w:hint="eastAsia" w:ascii="宋体" w:hAnsi="宋体" w:eastAsia="宋体" w:cs="宋体"/>
          <w:color w:val="auto"/>
          <w:highlight w:val="none"/>
        </w:rPr>
      </w:pPr>
    </w:p>
    <w:p w14:paraId="544A9296">
      <w:pPr>
        <w:pStyle w:val="13"/>
        <w:spacing w:line="360" w:lineRule="auto"/>
        <w:rPr>
          <w:rFonts w:hint="eastAsia" w:ascii="宋体" w:hAnsi="宋体" w:eastAsia="宋体" w:cs="宋体"/>
          <w:color w:val="auto"/>
          <w:highlight w:val="none"/>
        </w:rPr>
      </w:pPr>
    </w:p>
    <w:p w14:paraId="21E0BAD6">
      <w:pPr>
        <w:pStyle w:val="13"/>
        <w:spacing w:line="360" w:lineRule="auto"/>
        <w:rPr>
          <w:rFonts w:hint="eastAsia" w:ascii="宋体" w:hAnsi="宋体" w:eastAsia="宋体" w:cs="宋体"/>
          <w:color w:val="auto"/>
          <w:highlight w:val="none"/>
        </w:rPr>
      </w:pPr>
    </w:p>
    <w:p w14:paraId="733B661F">
      <w:pPr>
        <w:pStyle w:val="13"/>
        <w:spacing w:line="360" w:lineRule="auto"/>
        <w:rPr>
          <w:rFonts w:hint="eastAsia" w:ascii="宋体" w:hAnsi="宋体" w:eastAsia="宋体" w:cs="宋体"/>
          <w:color w:val="auto"/>
          <w:highlight w:val="none"/>
        </w:rPr>
      </w:pPr>
    </w:p>
    <w:p w14:paraId="7A455248">
      <w:pPr>
        <w:pStyle w:val="13"/>
        <w:spacing w:line="360" w:lineRule="auto"/>
        <w:rPr>
          <w:rFonts w:hint="eastAsia" w:ascii="宋体" w:hAnsi="宋体" w:eastAsia="宋体" w:cs="宋体"/>
          <w:color w:val="auto"/>
          <w:highlight w:val="none"/>
        </w:rPr>
      </w:pPr>
    </w:p>
    <w:p w14:paraId="4A3CA5DB">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32" w:name="_Toc11732"/>
      <w:bookmarkStart w:id="133" w:name="_Toc16991"/>
      <w:bookmarkStart w:id="134" w:name="_Toc29932"/>
      <w:bookmarkStart w:id="135" w:name="_Toc8541"/>
      <w:bookmarkStart w:id="136" w:name="_Toc22349"/>
      <w:bookmarkStart w:id="137" w:name="_Toc12700"/>
      <w:r>
        <w:rPr>
          <w:rFonts w:hint="eastAsia" w:ascii="宋体" w:hAnsi="宋体" w:eastAsia="宋体" w:cs="宋体"/>
          <w:b/>
          <w:bCs/>
          <w:color w:val="auto"/>
          <w:highlight w:val="none"/>
        </w:rPr>
        <w:t>第五章 响应文件格式</w:t>
      </w:r>
      <w:bookmarkEnd w:id="132"/>
      <w:bookmarkEnd w:id="133"/>
      <w:bookmarkEnd w:id="134"/>
      <w:bookmarkEnd w:id="135"/>
      <w:bookmarkEnd w:id="136"/>
      <w:bookmarkEnd w:id="137"/>
    </w:p>
    <w:p w14:paraId="5FA1DDC2">
      <w:pPr>
        <w:pStyle w:val="4"/>
        <w:spacing w:line="360" w:lineRule="auto"/>
        <w:jc w:val="center"/>
        <w:rPr>
          <w:rFonts w:hint="eastAsia" w:ascii="宋体" w:hAnsi="宋体" w:eastAsia="宋体" w:cs="宋体"/>
          <w:b w:val="0"/>
          <w:color w:val="auto"/>
          <w:highlight w:val="none"/>
          <w:lang w:val="en-US" w:eastAsia="zh-CN"/>
        </w:rPr>
      </w:pPr>
      <w:bookmarkStart w:id="138" w:name="_Toc80205938"/>
      <w:bookmarkStart w:id="139" w:name="_Toc9368"/>
      <w:bookmarkStart w:id="140" w:name="_Toc26547"/>
      <w:bookmarkStart w:id="141" w:name="_Toc3747"/>
      <w:bookmarkStart w:id="142" w:name="_Toc3361"/>
      <w:bookmarkStart w:id="143" w:name="_Toc7703"/>
      <w:bookmarkStart w:id="144" w:name="_Toc16580"/>
      <w:r>
        <w:rPr>
          <w:rFonts w:hint="eastAsia" w:ascii="宋体" w:hAnsi="宋体" w:eastAsia="宋体" w:cs="宋体"/>
          <w:b w:val="0"/>
          <w:color w:val="auto"/>
          <w:highlight w:val="none"/>
          <w:lang w:val="en-US" w:eastAsia="zh-CN"/>
        </w:rPr>
        <w:t>第一节 封面格式</w:t>
      </w:r>
      <w:bookmarkEnd w:id="138"/>
      <w:bookmarkEnd w:id="139"/>
      <w:bookmarkEnd w:id="140"/>
      <w:bookmarkEnd w:id="141"/>
      <w:bookmarkEnd w:id="142"/>
      <w:bookmarkEnd w:id="143"/>
      <w:bookmarkEnd w:id="144"/>
    </w:p>
    <w:p w14:paraId="439D29DF">
      <w:pPr>
        <w:snapToGrid w:val="0"/>
        <w:spacing w:before="120" w:beforeLines="50" w:after="50" w:line="360" w:lineRule="auto"/>
        <w:rPr>
          <w:rFonts w:hint="eastAsia" w:ascii="宋体" w:hAnsi="宋体" w:eastAsia="宋体" w:cs="宋体"/>
          <w:color w:val="auto"/>
          <w:sz w:val="24"/>
          <w:szCs w:val="20"/>
          <w:highlight w:val="none"/>
        </w:rPr>
      </w:pPr>
    </w:p>
    <w:p w14:paraId="1343D794">
      <w:pPr>
        <w:snapToGrid w:val="0"/>
        <w:spacing w:before="120" w:beforeLines="50" w:after="50" w:line="360" w:lineRule="auto"/>
        <w:jc w:val="center"/>
        <w:rPr>
          <w:rFonts w:hint="eastAsia" w:ascii="宋体" w:hAnsi="宋体" w:eastAsia="宋体" w:cs="宋体"/>
          <w:bCs/>
          <w:color w:val="auto"/>
          <w:sz w:val="24"/>
          <w:szCs w:val="20"/>
          <w:highlight w:val="none"/>
        </w:rPr>
      </w:pPr>
    </w:p>
    <w:p w14:paraId="4E4C855E">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64D168B4">
      <w:pPr>
        <w:snapToGrid w:val="0"/>
        <w:spacing w:before="120" w:beforeLines="50" w:after="50" w:line="360" w:lineRule="auto"/>
        <w:jc w:val="center"/>
        <w:rPr>
          <w:rFonts w:hint="eastAsia" w:ascii="宋体" w:hAnsi="宋体" w:eastAsia="宋体" w:cs="宋体"/>
          <w:bCs/>
          <w:color w:val="auto"/>
          <w:sz w:val="44"/>
          <w:szCs w:val="44"/>
          <w:highlight w:val="none"/>
        </w:rPr>
      </w:pPr>
    </w:p>
    <w:p w14:paraId="341F9A8A">
      <w:pPr>
        <w:snapToGrid w:val="0"/>
        <w:spacing w:before="120" w:beforeLines="50" w:after="50" w:line="360" w:lineRule="auto"/>
        <w:rPr>
          <w:rFonts w:hint="eastAsia" w:ascii="宋体" w:hAnsi="宋体" w:eastAsia="宋体" w:cs="宋体"/>
          <w:bCs/>
          <w:color w:val="auto"/>
          <w:sz w:val="32"/>
          <w:szCs w:val="32"/>
          <w:highlight w:val="none"/>
        </w:rPr>
      </w:pPr>
    </w:p>
    <w:p w14:paraId="482A4580">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宾阳县横水水库标准化创建工程</w:t>
      </w:r>
    </w:p>
    <w:p w14:paraId="775C0079">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4185EC47">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NNZC2024-C2-260291-GXXM</w:t>
      </w:r>
    </w:p>
    <w:p w14:paraId="6A0EAB80">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14:paraId="7A5B141C">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7A6E8B78">
      <w:pPr>
        <w:snapToGrid w:val="0"/>
        <w:spacing w:before="120" w:beforeLines="50" w:after="50" w:line="360" w:lineRule="auto"/>
        <w:rPr>
          <w:rFonts w:hint="eastAsia" w:ascii="宋体" w:hAnsi="宋体" w:eastAsia="宋体" w:cs="宋体"/>
          <w:bCs/>
          <w:color w:val="auto"/>
          <w:sz w:val="32"/>
          <w:szCs w:val="32"/>
          <w:highlight w:val="none"/>
        </w:rPr>
      </w:pPr>
    </w:p>
    <w:p w14:paraId="5376ACB4">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5BEA6F0">
      <w:pPr>
        <w:snapToGrid w:val="0"/>
        <w:spacing w:before="120" w:beforeLines="50" w:after="50" w:line="360" w:lineRule="auto"/>
        <w:rPr>
          <w:rFonts w:hint="eastAsia" w:ascii="宋体" w:hAnsi="宋体" w:eastAsia="宋体" w:cs="宋体"/>
          <w:bCs/>
          <w:color w:val="auto"/>
          <w:sz w:val="32"/>
          <w:szCs w:val="32"/>
          <w:highlight w:val="none"/>
        </w:rPr>
      </w:pPr>
    </w:p>
    <w:p w14:paraId="696EAC18">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041BD852">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14:paraId="005DC8CE">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54F8C33">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00903B92">
      <w:pPr>
        <w:pStyle w:val="4"/>
        <w:spacing w:line="360" w:lineRule="auto"/>
        <w:jc w:val="center"/>
        <w:rPr>
          <w:rFonts w:hint="eastAsia" w:ascii="宋体" w:hAnsi="宋体" w:eastAsia="宋体" w:cs="宋体"/>
          <w:bCs w:val="0"/>
          <w:color w:val="auto"/>
          <w:highlight w:val="none"/>
        </w:rPr>
      </w:pPr>
      <w:bookmarkStart w:id="145" w:name="_Toc80205939"/>
      <w:bookmarkStart w:id="146" w:name="_Toc25717"/>
      <w:bookmarkStart w:id="147" w:name="_Toc1270"/>
      <w:bookmarkStart w:id="148" w:name="_Toc30309"/>
      <w:bookmarkStart w:id="149" w:name="_Toc21695"/>
      <w:bookmarkStart w:id="150" w:name="_Toc1031"/>
      <w:bookmarkStart w:id="151" w:name="_Toc25039"/>
      <w:r>
        <w:rPr>
          <w:rFonts w:hint="eastAsia" w:ascii="宋体" w:hAnsi="宋体" w:eastAsia="宋体" w:cs="宋体"/>
          <w:bCs w:val="0"/>
          <w:color w:val="auto"/>
          <w:highlight w:val="none"/>
        </w:rPr>
        <w:t>第二节 资格证明文件格式</w:t>
      </w:r>
      <w:bookmarkEnd w:id="145"/>
      <w:bookmarkEnd w:id="146"/>
      <w:bookmarkEnd w:id="147"/>
      <w:bookmarkEnd w:id="148"/>
      <w:bookmarkEnd w:id="149"/>
      <w:bookmarkEnd w:id="150"/>
      <w:bookmarkEnd w:id="151"/>
    </w:p>
    <w:p w14:paraId="42A8FDA7">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6DE00101">
      <w:pPr>
        <w:snapToGrid w:val="0"/>
        <w:spacing w:before="120" w:beforeLines="50" w:after="50" w:line="360" w:lineRule="auto"/>
        <w:rPr>
          <w:rFonts w:hint="eastAsia" w:ascii="宋体" w:hAnsi="宋体" w:eastAsia="宋体" w:cs="宋体"/>
          <w:color w:val="auto"/>
          <w:sz w:val="24"/>
          <w:szCs w:val="20"/>
          <w:highlight w:val="none"/>
        </w:rPr>
      </w:pPr>
    </w:p>
    <w:p w14:paraId="41B8E497">
      <w:pPr>
        <w:snapToGrid w:val="0"/>
        <w:spacing w:before="120" w:beforeLines="50" w:after="50" w:line="360" w:lineRule="auto"/>
        <w:rPr>
          <w:rFonts w:hint="eastAsia" w:ascii="宋体" w:hAnsi="宋体" w:eastAsia="宋体" w:cs="宋体"/>
          <w:color w:val="auto"/>
          <w:sz w:val="24"/>
          <w:szCs w:val="20"/>
          <w:highlight w:val="none"/>
        </w:rPr>
      </w:pPr>
    </w:p>
    <w:p w14:paraId="6A047FA4">
      <w:pPr>
        <w:snapToGrid w:val="0"/>
        <w:spacing w:before="120" w:beforeLines="50" w:after="50" w:line="360" w:lineRule="auto"/>
        <w:jc w:val="center"/>
        <w:rPr>
          <w:rFonts w:hint="eastAsia" w:ascii="宋体" w:hAnsi="宋体" w:eastAsia="宋体" w:cs="宋体"/>
          <w:bCs/>
          <w:color w:val="auto"/>
          <w:sz w:val="24"/>
          <w:szCs w:val="20"/>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505CE0DF">
      <w:pPr>
        <w:snapToGrid w:val="0"/>
        <w:spacing w:before="120" w:beforeLines="50" w:after="50" w:line="360" w:lineRule="auto"/>
        <w:rPr>
          <w:rFonts w:hint="eastAsia" w:ascii="宋体" w:hAnsi="宋体" w:eastAsia="宋体" w:cs="宋体"/>
          <w:bCs/>
          <w:color w:val="auto"/>
          <w:sz w:val="24"/>
          <w:szCs w:val="20"/>
          <w:highlight w:val="none"/>
        </w:rPr>
      </w:pPr>
    </w:p>
    <w:p w14:paraId="491AD202">
      <w:pPr>
        <w:snapToGrid w:val="0"/>
        <w:spacing w:before="120" w:beforeLines="50" w:after="50" w:line="360" w:lineRule="auto"/>
        <w:rPr>
          <w:rFonts w:hint="eastAsia" w:ascii="宋体" w:hAnsi="宋体" w:eastAsia="宋体" w:cs="宋体"/>
          <w:bCs/>
          <w:color w:val="auto"/>
          <w:sz w:val="24"/>
          <w:szCs w:val="20"/>
          <w:highlight w:val="none"/>
        </w:rPr>
      </w:pPr>
    </w:p>
    <w:p w14:paraId="77C4A1F9">
      <w:pPr>
        <w:snapToGrid w:val="0"/>
        <w:spacing w:before="120" w:beforeLines="50" w:after="50" w:line="360" w:lineRule="auto"/>
        <w:rPr>
          <w:rFonts w:hint="eastAsia" w:ascii="宋体" w:hAnsi="宋体" w:eastAsia="宋体" w:cs="宋体"/>
          <w:bCs/>
          <w:color w:val="auto"/>
          <w:sz w:val="24"/>
          <w:szCs w:val="20"/>
          <w:highlight w:val="none"/>
        </w:rPr>
      </w:pPr>
    </w:p>
    <w:p w14:paraId="6CA1FFA1">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宾阳县横水水库标准化创建工程</w:t>
      </w:r>
    </w:p>
    <w:p w14:paraId="173E8C3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E23FE32">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NNZC2024-C2-260291-GXXM</w:t>
      </w:r>
    </w:p>
    <w:p w14:paraId="2BD45EA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A95BDCA">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430629E">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0842467E">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7CD5977C">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14:paraId="42510C30">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4BD9829">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14:paraId="3B02D3E2">
      <w:pPr>
        <w:snapToGrid w:val="0"/>
        <w:spacing w:line="360" w:lineRule="auto"/>
        <w:rPr>
          <w:rFonts w:hint="eastAsia" w:ascii="宋体" w:hAnsi="宋体" w:eastAsia="宋体" w:cs="宋体"/>
          <w:color w:val="auto"/>
          <w:kern w:val="0"/>
          <w:sz w:val="24"/>
          <w:highlight w:val="none"/>
        </w:rPr>
      </w:pPr>
    </w:p>
    <w:p w14:paraId="19B8351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或事业法人登记证或其他工商等登记证明材料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复印件（供应商为自然人的，须提供</w:t>
      </w:r>
      <w:r>
        <w:rPr>
          <w:rFonts w:hint="eastAsia" w:ascii="仿宋" w:hAnsi="仿宋" w:eastAsia="仿宋" w:cs="仿宋"/>
          <w:color w:val="auto"/>
          <w:kern w:val="0"/>
          <w:sz w:val="24"/>
          <w:highlight w:val="none"/>
        </w:rPr>
        <w:t>自然人的身份证明</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4B97778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二、符合参与政府采购活动的资格条件依法缴纳税收、社会保障资金等方面的材料………………………………………………………………………………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（页码）</w:t>
      </w:r>
    </w:p>
    <w:p w14:paraId="4937207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三、财务状况报告方面的材料…………………………………………………（页码）</w:t>
      </w:r>
    </w:p>
    <w:p w14:paraId="62775AA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四、供应商直接控股股东信息</w:t>
      </w:r>
      <w:r>
        <w:rPr>
          <w:rFonts w:hint="eastAsia" w:ascii="仿宋" w:hAnsi="仿宋" w:eastAsia="仿宋" w:cs="仿宋"/>
          <w:color w:val="auto"/>
          <w:kern w:val="0"/>
          <w:sz w:val="24"/>
          <w:highlight w:val="none"/>
        </w:rPr>
        <w:t>…………………………………………………（页码）</w:t>
      </w:r>
    </w:p>
    <w:p w14:paraId="3077E89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五、供应商直接关联关系信息表</w:t>
      </w:r>
      <w:r>
        <w:rPr>
          <w:rFonts w:hint="eastAsia" w:ascii="仿宋" w:hAnsi="仿宋" w:eastAsia="仿宋" w:cs="仿宋"/>
          <w:color w:val="auto"/>
          <w:kern w:val="0"/>
          <w:sz w:val="24"/>
          <w:highlight w:val="none"/>
        </w:rPr>
        <w:t>………………………………………………（页码）</w:t>
      </w:r>
    </w:p>
    <w:p w14:paraId="7601C4E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六、资格声明函…………………………………………………………………（页码）</w:t>
      </w:r>
    </w:p>
    <w:p w14:paraId="5884A9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七</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中小</w:t>
      </w:r>
      <w:r>
        <w:rPr>
          <w:rFonts w:hint="eastAsia" w:ascii="仿宋" w:hAnsi="仿宋" w:eastAsia="仿宋" w:cs="仿宋"/>
          <w:color w:val="auto"/>
          <w:sz w:val="24"/>
          <w:szCs w:val="24"/>
          <w:highlight w:val="none"/>
        </w:rPr>
        <w:t>企业声明函或残疾人福利性单位声明函或供应商属于监狱企业的证明材料</w:t>
      </w:r>
      <w:r>
        <w:rPr>
          <w:rFonts w:hint="eastAsia" w:ascii="仿宋" w:hAnsi="仿宋" w:eastAsia="仿宋" w:cs="仿宋"/>
          <w:color w:val="auto"/>
          <w:kern w:val="0"/>
          <w:sz w:val="24"/>
          <w:highlight w:val="none"/>
        </w:rPr>
        <w:t>………………………………………………（页码）</w:t>
      </w:r>
    </w:p>
    <w:p w14:paraId="34AA387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、符合特定资格条件（如有）的有关证明材料（复印件）</w:t>
      </w:r>
      <w:r>
        <w:rPr>
          <w:rFonts w:hint="eastAsia" w:ascii="仿宋" w:hAnsi="仿宋" w:eastAsia="仿宋" w:cs="仿宋"/>
          <w:color w:val="auto"/>
          <w:kern w:val="0"/>
          <w:sz w:val="24"/>
          <w:highlight w:val="none"/>
        </w:rPr>
        <w:t>………………（页码）</w:t>
      </w:r>
    </w:p>
    <w:p w14:paraId="48CD11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九</w:t>
      </w:r>
      <w:r>
        <w:rPr>
          <w:rFonts w:hint="eastAsia" w:ascii="仿宋" w:hAnsi="仿宋" w:eastAsia="仿宋" w:cs="仿宋"/>
          <w:color w:val="auto"/>
          <w:sz w:val="24"/>
          <w:highlight w:val="none"/>
        </w:rPr>
        <w:t>、除磋商文件规定必须提供以外，供应商认为需要提供的其他证明材料。</w:t>
      </w:r>
      <w:r>
        <w:rPr>
          <w:rFonts w:hint="eastAsia" w:ascii="仿宋" w:hAnsi="仿宋" w:eastAsia="仿宋" w:cs="仿宋"/>
          <w:color w:val="auto"/>
          <w:kern w:val="0"/>
          <w:sz w:val="24"/>
          <w:highlight w:val="none"/>
        </w:rPr>
        <w:t>…</w:t>
      </w:r>
    </w:p>
    <w:p w14:paraId="704B9FA1">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……………………………………………………………………………………（页码）</w:t>
      </w:r>
    </w:p>
    <w:p w14:paraId="0E99AF30">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注：以上目录是编制供应商响应文件的基本格式要求，各供应商可根据自身情况进一步细化。</w:t>
      </w:r>
    </w:p>
    <w:p w14:paraId="5123B1D4">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093F936">
      <w:pPr>
        <w:spacing w:line="360" w:lineRule="auto"/>
        <w:rPr>
          <w:rFonts w:hint="eastAsia" w:ascii="宋体" w:hAnsi="宋体" w:eastAsia="宋体" w:cs="宋体"/>
          <w:color w:val="auto"/>
          <w:szCs w:val="21"/>
          <w:highlight w:val="none"/>
        </w:rPr>
      </w:pPr>
    </w:p>
    <w:p w14:paraId="49DDE6F8">
      <w:pPr>
        <w:spacing w:line="360" w:lineRule="auto"/>
        <w:rPr>
          <w:rFonts w:hint="eastAsia" w:ascii="宋体" w:hAnsi="宋体" w:eastAsia="宋体" w:cs="宋体"/>
          <w:color w:val="auto"/>
          <w:szCs w:val="21"/>
          <w:highlight w:val="none"/>
        </w:rPr>
      </w:pPr>
    </w:p>
    <w:p w14:paraId="72E05178">
      <w:pPr>
        <w:spacing w:line="360" w:lineRule="auto"/>
        <w:rPr>
          <w:rFonts w:hint="eastAsia" w:ascii="宋体" w:hAnsi="宋体" w:eastAsia="宋体" w:cs="宋体"/>
          <w:color w:val="auto"/>
          <w:szCs w:val="21"/>
          <w:highlight w:val="none"/>
        </w:rPr>
      </w:pPr>
    </w:p>
    <w:p w14:paraId="1CD46E2F">
      <w:pPr>
        <w:spacing w:line="360" w:lineRule="auto"/>
        <w:rPr>
          <w:rFonts w:hint="eastAsia" w:ascii="宋体" w:hAnsi="宋体" w:eastAsia="宋体" w:cs="宋体"/>
          <w:color w:val="auto"/>
          <w:szCs w:val="21"/>
          <w:highlight w:val="none"/>
        </w:rPr>
      </w:pPr>
    </w:p>
    <w:p w14:paraId="149D7D6C">
      <w:pPr>
        <w:spacing w:line="360" w:lineRule="auto"/>
        <w:rPr>
          <w:rFonts w:hint="eastAsia" w:ascii="宋体" w:hAnsi="宋体" w:eastAsia="宋体" w:cs="宋体"/>
          <w:color w:val="auto"/>
          <w:szCs w:val="21"/>
          <w:highlight w:val="none"/>
        </w:rPr>
      </w:pPr>
    </w:p>
    <w:p w14:paraId="276E1A1A">
      <w:pPr>
        <w:spacing w:line="360" w:lineRule="auto"/>
        <w:rPr>
          <w:rFonts w:hint="eastAsia" w:ascii="宋体" w:hAnsi="宋体" w:eastAsia="宋体" w:cs="宋体"/>
          <w:color w:val="auto"/>
          <w:szCs w:val="21"/>
          <w:highlight w:val="none"/>
        </w:rPr>
      </w:pPr>
    </w:p>
    <w:p w14:paraId="63EAFC94">
      <w:pPr>
        <w:spacing w:line="360" w:lineRule="auto"/>
        <w:rPr>
          <w:rFonts w:hint="eastAsia" w:ascii="宋体" w:hAnsi="宋体" w:eastAsia="宋体" w:cs="宋体"/>
          <w:color w:val="auto"/>
          <w:szCs w:val="21"/>
          <w:highlight w:val="none"/>
        </w:rPr>
      </w:pPr>
    </w:p>
    <w:p w14:paraId="2829855C">
      <w:pPr>
        <w:spacing w:line="360" w:lineRule="auto"/>
        <w:rPr>
          <w:rFonts w:hint="eastAsia" w:ascii="宋体" w:hAnsi="宋体" w:eastAsia="宋体" w:cs="宋体"/>
          <w:color w:val="auto"/>
          <w:szCs w:val="21"/>
          <w:highlight w:val="none"/>
        </w:rPr>
      </w:pPr>
    </w:p>
    <w:p w14:paraId="23BAAAF3">
      <w:pPr>
        <w:spacing w:line="360" w:lineRule="auto"/>
        <w:rPr>
          <w:rFonts w:hint="eastAsia" w:ascii="宋体" w:hAnsi="宋体" w:eastAsia="宋体" w:cs="宋体"/>
          <w:color w:val="auto"/>
          <w:szCs w:val="21"/>
          <w:highlight w:val="none"/>
        </w:rPr>
      </w:pPr>
    </w:p>
    <w:p w14:paraId="42C515DD">
      <w:pPr>
        <w:pStyle w:val="17"/>
        <w:spacing w:line="360" w:lineRule="auto"/>
        <w:ind w:firstLine="400" w:firstLineChars="200"/>
        <w:rPr>
          <w:rFonts w:hint="eastAsia" w:ascii="仿宋" w:hAnsi="仿宋" w:eastAsia="仿宋" w:cs="仿宋"/>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仿宋" w:hAnsi="仿宋" w:eastAsia="仿宋" w:cs="仿宋"/>
          <w:color w:val="auto"/>
          <w:highlight w:val="none"/>
        </w:rPr>
        <w:t xml:space="preserve"> </w:t>
      </w:r>
      <w:r>
        <w:rPr>
          <w:rFonts w:hint="eastAsia" w:ascii="仿宋" w:hAnsi="仿宋" w:eastAsia="仿宋" w:cs="仿宋"/>
          <w:b/>
          <w:color w:val="auto"/>
          <w:sz w:val="30"/>
          <w:szCs w:val="30"/>
          <w:highlight w:val="none"/>
        </w:rPr>
        <w:t>一、营业执照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或事业法人登记证或其他工商等登记证明材料</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复印件（</w:t>
      </w:r>
      <w:r>
        <w:rPr>
          <w:rFonts w:hint="eastAsia" w:ascii="仿宋" w:hAnsi="仿宋" w:eastAsia="仿宋" w:cs="仿宋"/>
          <w:b/>
          <w:color w:val="auto"/>
          <w:sz w:val="30"/>
          <w:szCs w:val="30"/>
          <w:highlight w:val="none"/>
          <w:lang w:eastAsia="zh-CN"/>
        </w:rPr>
        <w:t>供应商</w:t>
      </w:r>
      <w:r>
        <w:rPr>
          <w:rFonts w:hint="eastAsia" w:ascii="仿宋" w:hAnsi="仿宋" w:eastAsia="仿宋" w:cs="仿宋"/>
          <w:b/>
          <w:color w:val="auto"/>
          <w:sz w:val="30"/>
          <w:szCs w:val="30"/>
          <w:highlight w:val="none"/>
        </w:rPr>
        <w:t>为自然人的，提供自然人的身份证明）</w:t>
      </w:r>
    </w:p>
    <w:p w14:paraId="2C019161">
      <w:pPr>
        <w:pStyle w:val="17"/>
        <w:spacing w:line="360" w:lineRule="auto"/>
        <w:ind w:firstLine="602" w:firstLineChars="200"/>
        <w:rPr>
          <w:rFonts w:hint="eastAsia" w:ascii="仿宋" w:hAnsi="仿宋" w:eastAsia="仿宋" w:cs="仿宋"/>
          <w:b/>
          <w:color w:val="auto"/>
          <w:sz w:val="30"/>
          <w:szCs w:val="30"/>
          <w:highlight w:val="none"/>
        </w:rPr>
      </w:pPr>
    </w:p>
    <w:p w14:paraId="4CC936A7">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F9B410C">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A7FD608">
      <w:pPr>
        <w:snapToGrid w:val="0"/>
        <w:spacing w:before="120" w:beforeLines="50" w:after="50" w:line="360" w:lineRule="auto"/>
        <w:rPr>
          <w:rFonts w:hint="eastAsia" w:ascii="仿宋" w:hAnsi="仿宋" w:eastAsia="仿宋" w:cs="仿宋"/>
          <w:color w:val="auto"/>
          <w:sz w:val="24"/>
          <w:szCs w:val="20"/>
          <w:highlight w:val="none"/>
        </w:rPr>
      </w:pPr>
    </w:p>
    <w:p w14:paraId="07270E68">
      <w:pPr>
        <w:pStyle w:val="17"/>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符合参与政府采购活动的资格条件依法缴纳税收、社会保障资金等方面的材料</w:t>
      </w:r>
    </w:p>
    <w:p w14:paraId="0F1976AA">
      <w:pPr>
        <w:spacing w:line="360" w:lineRule="auto"/>
        <w:rPr>
          <w:rFonts w:hint="eastAsia" w:ascii="仿宋" w:hAnsi="仿宋" w:eastAsia="仿宋" w:cs="仿宋"/>
          <w:color w:val="auto"/>
          <w:szCs w:val="21"/>
          <w:highlight w:val="none"/>
        </w:rPr>
      </w:pPr>
    </w:p>
    <w:p w14:paraId="5EF4A067">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A880C6C">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237A3DE6">
      <w:pPr>
        <w:spacing w:line="360" w:lineRule="auto"/>
        <w:rPr>
          <w:rFonts w:hint="eastAsia" w:ascii="仿宋" w:hAnsi="仿宋" w:eastAsia="仿宋" w:cs="仿宋"/>
          <w:color w:val="auto"/>
          <w:szCs w:val="21"/>
          <w:highlight w:val="none"/>
        </w:rPr>
      </w:pPr>
    </w:p>
    <w:p w14:paraId="5727D453">
      <w:pPr>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三、财务状况报告方面的材料</w:t>
      </w:r>
    </w:p>
    <w:p w14:paraId="4B85EFD7">
      <w:pPr>
        <w:spacing w:line="360" w:lineRule="auto"/>
        <w:rPr>
          <w:rFonts w:hint="eastAsia" w:ascii="仿宋" w:hAnsi="仿宋" w:eastAsia="仿宋" w:cs="仿宋"/>
          <w:color w:val="auto"/>
          <w:szCs w:val="21"/>
          <w:highlight w:val="none"/>
        </w:rPr>
      </w:pPr>
    </w:p>
    <w:p w14:paraId="4B2D8422">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71BBE67">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682573CF">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1570D61B">
      <w:pPr>
        <w:snapToGrid w:val="0"/>
        <w:spacing w:before="120" w:beforeLines="50" w:after="50" w:line="360" w:lineRule="auto"/>
        <w:jc w:val="center"/>
        <w:rPr>
          <w:rFonts w:hint="eastAsia" w:ascii="仿宋" w:hAnsi="仿宋" w:eastAsia="仿宋" w:cs="仿宋"/>
          <w:b/>
          <w:color w:val="auto"/>
          <w:sz w:val="24"/>
          <w:highlight w:val="none"/>
        </w:rPr>
      </w:pPr>
    </w:p>
    <w:p w14:paraId="4F0E2B8E">
      <w:pPr>
        <w:spacing w:line="360" w:lineRule="auto"/>
        <w:ind w:firstLine="596" w:firstLineChars="198"/>
        <w:contextualSpacing/>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09ED402">
      <w:pPr>
        <w:spacing w:line="360" w:lineRule="auto"/>
        <w:ind w:firstLine="596" w:firstLineChars="198"/>
        <w:contextualSpacing/>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四、供应商直接控股股东信息</w:t>
      </w:r>
    </w:p>
    <w:p w14:paraId="364A8F58">
      <w:pPr>
        <w:spacing w:line="360" w:lineRule="auto"/>
        <w:contextualSpacing/>
        <w:jc w:val="center"/>
        <w:rPr>
          <w:rFonts w:hint="eastAsia" w:ascii="仿宋" w:hAnsi="仿宋" w:eastAsia="仿宋" w:cs="仿宋"/>
          <w:b/>
          <w:color w:val="auto"/>
          <w:sz w:val="24"/>
          <w:highlight w:val="none"/>
        </w:rPr>
      </w:pPr>
    </w:p>
    <w:tbl>
      <w:tblPr>
        <w:tblStyle w:val="27"/>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F756D5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F75B2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89DF5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736CE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295869">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1032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3102501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490FE9">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0CBE01">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0B12C4">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0B2553">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03B020">
            <w:pPr>
              <w:widowControl/>
              <w:spacing w:line="360" w:lineRule="auto"/>
              <w:contextualSpacing/>
              <w:jc w:val="center"/>
              <w:rPr>
                <w:rFonts w:hint="eastAsia" w:ascii="仿宋" w:hAnsi="仿宋" w:eastAsia="仿宋" w:cs="仿宋"/>
                <w:color w:val="auto"/>
                <w:kern w:val="0"/>
                <w:sz w:val="24"/>
                <w:highlight w:val="none"/>
              </w:rPr>
            </w:pPr>
          </w:p>
        </w:tc>
      </w:tr>
      <w:tr w14:paraId="72E4980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EEB4AB">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36D6B2">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DD8742">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427871">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50B8B1">
            <w:pPr>
              <w:widowControl/>
              <w:spacing w:line="360" w:lineRule="auto"/>
              <w:contextualSpacing/>
              <w:jc w:val="center"/>
              <w:rPr>
                <w:rFonts w:hint="eastAsia" w:ascii="仿宋" w:hAnsi="仿宋" w:eastAsia="仿宋" w:cs="仿宋"/>
                <w:color w:val="auto"/>
                <w:kern w:val="0"/>
                <w:sz w:val="24"/>
                <w:highlight w:val="none"/>
              </w:rPr>
            </w:pPr>
          </w:p>
        </w:tc>
      </w:tr>
      <w:tr w14:paraId="505CC3B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2D1D28">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4A6A06">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C1BA91">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32B419">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38EB71">
            <w:pPr>
              <w:widowControl/>
              <w:spacing w:line="360" w:lineRule="auto"/>
              <w:contextualSpacing/>
              <w:jc w:val="center"/>
              <w:rPr>
                <w:rFonts w:hint="eastAsia" w:ascii="仿宋" w:hAnsi="仿宋" w:eastAsia="仿宋" w:cs="仿宋"/>
                <w:color w:val="auto"/>
                <w:kern w:val="0"/>
                <w:sz w:val="24"/>
                <w:highlight w:val="none"/>
              </w:rPr>
            </w:pPr>
          </w:p>
        </w:tc>
      </w:tr>
      <w:tr w14:paraId="59A102D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64E69">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D2A4A">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C1166A">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7485B3">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F7F966">
            <w:pPr>
              <w:widowControl/>
              <w:spacing w:line="360" w:lineRule="auto"/>
              <w:contextualSpacing/>
              <w:jc w:val="center"/>
              <w:rPr>
                <w:rFonts w:hint="eastAsia" w:ascii="仿宋" w:hAnsi="仿宋" w:eastAsia="仿宋" w:cs="仿宋"/>
                <w:color w:val="auto"/>
                <w:kern w:val="0"/>
                <w:sz w:val="24"/>
                <w:highlight w:val="none"/>
              </w:rPr>
            </w:pPr>
          </w:p>
        </w:tc>
      </w:tr>
    </w:tbl>
    <w:p w14:paraId="3B757B57">
      <w:pPr>
        <w:spacing w:line="360" w:lineRule="auto"/>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B74CFE8">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39614A1">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2.本表所指的控股关系仅限于直接控股关系，不包括间接的控股关系。公司实际控制人与公司之间的关系不属于本表所指的直接控股关系。</w:t>
      </w:r>
    </w:p>
    <w:p w14:paraId="43B9A24B">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3.供应商不存在直接控股股东的，则填“无”。</w:t>
      </w:r>
    </w:p>
    <w:p w14:paraId="413DA046">
      <w:pPr>
        <w:snapToGrid w:val="0"/>
        <w:spacing w:line="360" w:lineRule="auto"/>
        <w:jc w:val="left"/>
        <w:rPr>
          <w:rFonts w:hint="eastAsia" w:ascii="仿宋" w:hAnsi="仿宋" w:eastAsia="仿宋" w:cs="仿宋"/>
          <w:color w:val="auto"/>
          <w:sz w:val="24"/>
          <w:highlight w:val="none"/>
        </w:rPr>
      </w:pPr>
    </w:p>
    <w:p w14:paraId="570268E7">
      <w:pPr>
        <w:snapToGrid w:val="0"/>
        <w:spacing w:line="360" w:lineRule="auto"/>
        <w:jc w:val="left"/>
        <w:rPr>
          <w:rFonts w:hint="eastAsia" w:ascii="仿宋" w:hAnsi="仿宋" w:eastAsia="仿宋" w:cs="仿宋"/>
          <w:color w:val="auto"/>
          <w:sz w:val="24"/>
          <w:highlight w:val="none"/>
        </w:rPr>
      </w:pPr>
    </w:p>
    <w:p w14:paraId="3AD8D84E">
      <w:pPr>
        <w:snapToGrid w:val="0"/>
        <w:spacing w:line="360" w:lineRule="auto"/>
        <w:jc w:val="left"/>
        <w:rPr>
          <w:rFonts w:hint="eastAsia" w:ascii="仿宋" w:hAnsi="仿宋" w:eastAsia="仿宋" w:cs="仿宋"/>
          <w:color w:val="auto"/>
          <w:sz w:val="24"/>
          <w:highlight w:val="none"/>
        </w:rPr>
      </w:pPr>
    </w:p>
    <w:p w14:paraId="686B4BB0">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36B9C76">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9112E5E">
      <w:pPr>
        <w:snapToGrid w:val="0"/>
        <w:spacing w:line="360" w:lineRule="auto"/>
        <w:rPr>
          <w:rFonts w:hint="eastAsia" w:ascii="仿宋" w:hAnsi="仿宋" w:eastAsia="仿宋" w:cs="仿宋"/>
          <w:b/>
          <w:color w:val="auto"/>
          <w:kern w:val="0"/>
          <w:sz w:val="30"/>
          <w:szCs w:val="30"/>
          <w:highlight w:val="none"/>
        </w:rPr>
      </w:pPr>
    </w:p>
    <w:p w14:paraId="5F36AEFB">
      <w:pPr>
        <w:snapToGrid w:val="0"/>
        <w:spacing w:line="360" w:lineRule="auto"/>
        <w:ind w:firstLine="596" w:firstLineChars="198"/>
        <w:rPr>
          <w:rFonts w:hint="eastAsia" w:ascii="仿宋" w:hAnsi="仿宋" w:eastAsia="仿宋" w:cs="仿宋"/>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47F2625D">
      <w:pPr>
        <w:snapToGrid w:val="0"/>
        <w:spacing w:line="360" w:lineRule="auto"/>
        <w:ind w:firstLine="596" w:firstLineChars="198"/>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t>五、供应商直接管理关系信息表</w:t>
      </w:r>
    </w:p>
    <w:p w14:paraId="43104BE7">
      <w:pPr>
        <w:snapToGrid w:val="0"/>
        <w:spacing w:line="360" w:lineRule="auto"/>
        <w:jc w:val="center"/>
        <w:rPr>
          <w:rFonts w:hint="eastAsia" w:ascii="仿宋" w:hAnsi="仿宋" w:eastAsia="仿宋" w:cs="仿宋"/>
          <w:b/>
          <w:color w:val="auto"/>
          <w:sz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6AB9B4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79668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8D752">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F96A87">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3F4D9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556642B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9B295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A64AE">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215FEA">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0CBA6E">
            <w:pPr>
              <w:widowControl/>
              <w:spacing w:line="360" w:lineRule="auto"/>
              <w:contextualSpacing/>
              <w:jc w:val="center"/>
              <w:rPr>
                <w:rFonts w:hint="eastAsia" w:ascii="仿宋" w:hAnsi="仿宋" w:eastAsia="仿宋" w:cs="仿宋"/>
                <w:color w:val="auto"/>
                <w:kern w:val="0"/>
                <w:sz w:val="24"/>
                <w:highlight w:val="none"/>
              </w:rPr>
            </w:pPr>
          </w:p>
        </w:tc>
      </w:tr>
      <w:tr w14:paraId="208CA61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E779F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97E3AA">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E7ECDC">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955836">
            <w:pPr>
              <w:widowControl/>
              <w:spacing w:line="360" w:lineRule="auto"/>
              <w:contextualSpacing/>
              <w:jc w:val="center"/>
              <w:rPr>
                <w:rFonts w:hint="eastAsia" w:ascii="仿宋" w:hAnsi="仿宋" w:eastAsia="仿宋" w:cs="仿宋"/>
                <w:color w:val="auto"/>
                <w:kern w:val="0"/>
                <w:sz w:val="24"/>
                <w:highlight w:val="none"/>
              </w:rPr>
            </w:pPr>
          </w:p>
        </w:tc>
      </w:tr>
      <w:tr w14:paraId="1195D15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4B76DA">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1201FC">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6EDDF6">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F56775">
            <w:pPr>
              <w:widowControl/>
              <w:spacing w:line="360" w:lineRule="auto"/>
              <w:contextualSpacing/>
              <w:jc w:val="center"/>
              <w:rPr>
                <w:rFonts w:hint="eastAsia" w:ascii="仿宋" w:hAnsi="仿宋" w:eastAsia="仿宋" w:cs="仿宋"/>
                <w:color w:val="auto"/>
                <w:kern w:val="0"/>
                <w:sz w:val="24"/>
                <w:highlight w:val="none"/>
              </w:rPr>
            </w:pPr>
          </w:p>
        </w:tc>
      </w:tr>
      <w:tr w14:paraId="6BD7B21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BB9122">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33D376">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7752FD">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193E2C">
            <w:pPr>
              <w:widowControl/>
              <w:spacing w:line="360" w:lineRule="auto"/>
              <w:contextualSpacing/>
              <w:jc w:val="center"/>
              <w:rPr>
                <w:rFonts w:hint="eastAsia" w:ascii="仿宋" w:hAnsi="仿宋" w:eastAsia="仿宋" w:cs="仿宋"/>
                <w:color w:val="auto"/>
                <w:kern w:val="0"/>
                <w:sz w:val="24"/>
                <w:highlight w:val="none"/>
              </w:rPr>
            </w:pPr>
          </w:p>
        </w:tc>
      </w:tr>
    </w:tbl>
    <w:p w14:paraId="0904EB09">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w:t>
      </w:r>
    </w:p>
    <w:p w14:paraId="1F0FA572">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1.管理关系：是指不具有出资持股关系的其他单位之间存在的管理与被管理关系，如一些上下级关系的事业单位和团体组织。</w:t>
      </w:r>
    </w:p>
    <w:p w14:paraId="083A370C">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2.本表所指的管理关系仅限于直接管理关系，不包括间接的管理关系。</w:t>
      </w:r>
    </w:p>
    <w:p w14:paraId="31EE3267">
      <w:pPr>
        <w:spacing w:line="360" w:lineRule="auto"/>
        <w:ind w:firstLine="480" w:firstLineChars="200"/>
        <w:contextualSpacing/>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3.供应商不存在直接管理关系的，则填“无”。</w:t>
      </w:r>
    </w:p>
    <w:p w14:paraId="5CF49162">
      <w:pPr>
        <w:spacing w:line="360" w:lineRule="auto"/>
        <w:contextualSpacing/>
        <w:jc w:val="left"/>
        <w:rPr>
          <w:rFonts w:hint="eastAsia" w:ascii="仿宋" w:hAnsi="仿宋" w:eastAsia="仿宋" w:cs="仿宋"/>
          <w:color w:val="auto"/>
          <w:sz w:val="24"/>
          <w:highlight w:val="none"/>
        </w:rPr>
      </w:pPr>
    </w:p>
    <w:p w14:paraId="008409C5">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23B9A2E0">
      <w:pPr>
        <w:autoSpaceDE w:val="0"/>
        <w:autoSpaceDN w:val="0"/>
        <w:spacing w:line="360" w:lineRule="auto"/>
        <w:ind w:firstLine="6120" w:firstLineChars="255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5753AA1A">
      <w:pPr>
        <w:spacing w:line="360" w:lineRule="auto"/>
        <w:ind w:right="480" w:firstLine="240" w:firstLineChars="100"/>
        <w:contextualSpacing/>
        <w:jc w:val="center"/>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p>
    <w:p w14:paraId="623935D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color w:val="auto"/>
          <w:kern w:val="0"/>
          <w:sz w:val="30"/>
          <w:szCs w:val="30"/>
          <w:highlight w:val="none"/>
        </w:rPr>
        <w:t>六、资格声明函</w:t>
      </w:r>
    </w:p>
    <w:p w14:paraId="51B7AEAA">
      <w:pPr>
        <w:spacing w:line="360" w:lineRule="auto"/>
        <w:jc w:val="center"/>
        <w:rPr>
          <w:rFonts w:hint="eastAsia" w:ascii="仿宋" w:hAnsi="仿宋" w:eastAsia="仿宋" w:cs="仿宋"/>
          <w:b/>
          <w:color w:val="auto"/>
          <w:sz w:val="32"/>
          <w:szCs w:val="32"/>
          <w:highlight w:val="none"/>
        </w:rPr>
      </w:pPr>
    </w:p>
    <w:p w14:paraId="289ED1C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资格声明函</w:t>
      </w:r>
    </w:p>
    <w:p w14:paraId="6C3DAF2A">
      <w:pPr>
        <w:spacing w:line="360" w:lineRule="auto"/>
        <w:jc w:val="center"/>
        <w:rPr>
          <w:rFonts w:hint="eastAsia" w:ascii="仿宋" w:hAnsi="仿宋" w:eastAsia="仿宋" w:cs="仿宋"/>
          <w:color w:val="auto"/>
          <w:sz w:val="24"/>
          <w:szCs w:val="20"/>
          <w:highlight w:val="none"/>
        </w:rPr>
      </w:pPr>
    </w:p>
    <w:p w14:paraId="2EDD0CE4">
      <w:pPr>
        <w:spacing w:line="36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（采购代理机构名称）</w:t>
      </w:r>
      <w:r>
        <w:rPr>
          <w:rFonts w:hint="eastAsia" w:ascii="仿宋" w:hAnsi="仿宋" w:eastAsia="仿宋" w:cs="仿宋"/>
          <w:color w:val="auto"/>
          <w:sz w:val="24"/>
          <w:highlight w:val="none"/>
        </w:rPr>
        <w:t>：</w:t>
      </w:r>
    </w:p>
    <w:p w14:paraId="4800A6B3">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系中华人民共和国合法供应商，经营地址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05D036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我方愿意参加贵方组织的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宾阳县横水水库标准化创建工程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项目的竞标，为便于贵方公正、择优</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确定成交供应商及其竞标产品和服务，我方就本次竞标有关事项郑重声明如下：</w:t>
      </w:r>
    </w:p>
    <w:p w14:paraId="48C9122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1.我方向贵方提交的所有响应文件、资料都是准确的和真实的。</w:t>
      </w:r>
    </w:p>
    <w:p w14:paraId="5977ED1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7EAA932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3.在此，我方宣布同意如下：</w:t>
      </w:r>
    </w:p>
    <w:p w14:paraId="09E3B4C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（1）将按磋商文件的约定履行合同责任和义务；</w:t>
      </w:r>
    </w:p>
    <w:p w14:paraId="2E916865">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（2）已详细审查全部磋商文件，包括澄清或者更正公告（如有）；</w:t>
      </w:r>
    </w:p>
    <w:p w14:paraId="421A431C">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（3）同意提供按照贵方可能要求的与谈判有关的一切数据或者资料；</w:t>
      </w:r>
    </w:p>
    <w:p w14:paraId="36E9ACC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（4）响应磋商文件规定的竞标有效期。</w:t>
      </w:r>
    </w:p>
    <w:p w14:paraId="13BEFB82">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4.我方承诺符合《中华人民共和国政府采购法》第二十二条规定：</w:t>
      </w:r>
    </w:p>
    <w:p w14:paraId="713E7F6A">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702E301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1A0CDD71">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F9A5E39">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4CC63B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1D642B6">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11E6738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23AEBE">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56D1157">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内容中</w:t>
      </w:r>
      <w:r>
        <w:rPr>
          <w:rFonts w:hint="eastAsia" w:ascii="仿宋" w:hAnsi="仿宋" w:eastAsia="仿宋" w:cs="仿宋"/>
          <w:color w:val="auto"/>
          <w:sz w:val="24"/>
          <w:highlight w:val="none"/>
        </w:rPr>
        <w:t>未</w:t>
      </w:r>
      <w:r>
        <w:rPr>
          <w:rFonts w:hint="eastAsia" w:ascii="仿宋" w:hAnsi="仿宋" w:eastAsia="仿宋" w:cs="仿宋"/>
          <w:color w:val="auto"/>
          <w:kern w:val="0"/>
          <w:sz w:val="24"/>
          <w:highlight w:val="none"/>
        </w:rPr>
        <w:t>涉及商业秘密；</w:t>
      </w:r>
    </w:p>
    <w:p w14:paraId="72250E7D">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□我方本次响应文件</w:t>
      </w:r>
      <w:r>
        <w:rPr>
          <w:rFonts w:hint="eastAsia" w:ascii="仿宋" w:hAnsi="仿宋" w:eastAsia="仿宋" w:cs="仿宋"/>
          <w:color w:val="auto"/>
          <w:kern w:val="0"/>
          <w:sz w:val="24"/>
          <w:highlight w:val="none"/>
        </w:rPr>
        <w:t>涉及商业秘密的内容有：</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12B4707">
      <w:pPr>
        <w:pStyle w:val="17"/>
        <w:spacing w:line="360" w:lineRule="auto"/>
        <w:ind w:firstLine="480" w:firstLineChars="200"/>
        <w:contextualSpacing/>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7.与本</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有关的一切正式往来信函请寄：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邮政编号：</w:t>
      </w:r>
      <w:r>
        <w:rPr>
          <w:rFonts w:hint="eastAsia" w:ascii="仿宋" w:hAnsi="仿宋" w:eastAsia="仿宋" w:cs="仿宋"/>
          <w:color w:val="auto"/>
          <w:sz w:val="24"/>
          <w:szCs w:val="24"/>
          <w:highlight w:val="none"/>
          <w:u w:val="single"/>
        </w:rPr>
        <w:t xml:space="preserve">        </w:t>
      </w:r>
    </w:p>
    <w:p w14:paraId="5A1CAC8E">
      <w:pPr>
        <w:pStyle w:val="17"/>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BC57CAA">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帐号：</w:t>
      </w:r>
      <w:r>
        <w:rPr>
          <w:rFonts w:hint="eastAsia" w:ascii="仿宋" w:hAnsi="仿宋" w:eastAsia="仿宋" w:cs="仿宋"/>
          <w:color w:val="auto"/>
          <w:sz w:val="24"/>
          <w:highlight w:val="none"/>
          <w:u w:val="single"/>
        </w:rPr>
        <w:t xml:space="preserve">                               </w:t>
      </w:r>
    </w:p>
    <w:p w14:paraId="63B0A7A0">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8.以上事项如有虚假或者隐瞒，我方愿意承担一切后果，并不再寻求任何旨在减轻或者免除法律责任的辩解。</w:t>
      </w:r>
    </w:p>
    <w:p w14:paraId="3476B538">
      <w:pPr>
        <w:pStyle w:val="15"/>
        <w:tabs>
          <w:tab w:val="left" w:pos="939"/>
        </w:tabs>
        <w:spacing w:line="360" w:lineRule="auto"/>
        <w:ind w:left="141" w:leftChars="67"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0F83C9CE">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注：如为联合体竞标，盖章处须加盖联合体各方公章并由联合体各方法定代表人签署，否则其响应文件按无效响应处理。</w:t>
      </w:r>
    </w:p>
    <w:p w14:paraId="6DED9D11">
      <w:pPr>
        <w:pStyle w:val="15"/>
        <w:tabs>
          <w:tab w:val="left" w:pos="939"/>
        </w:tabs>
        <w:spacing w:line="360" w:lineRule="auto"/>
        <w:ind w:left="0" w:leftChars="0" w:firstLine="480" w:firstLineChars="200"/>
        <w:rPr>
          <w:rFonts w:hint="eastAsia" w:ascii="仿宋" w:hAnsi="仿宋" w:eastAsia="仿宋" w:cs="仿宋"/>
          <w:color w:val="auto"/>
          <w:sz w:val="24"/>
          <w:highlight w:val="none"/>
        </w:rPr>
      </w:pPr>
    </w:p>
    <w:p w14:paraId="667DEF62">
      <w:pPr>
        <w:autoSpaceDE w:val="0"/>
        <w:autoSpaceDN w:val="0"/>
        <w:spacing w:line="360" w:lineRule="auto"/>
        <w:ind w:left="4365" w:leftChars="1850" w:hanging="480" w:hanging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7F26328">
      <w:pPr>
        <w:autoSpaceDE w:val="0"/>
        <w:autoSpaceDN w:val="0"/>
        <w:spacing w:line="360" w:lineRule="auto"/>
        <w:ind w:firstLine="6120" w:firstLineChars="2550"/>
        <w:rPr>
          <w:rFonts w:hint="eastAsia" w:ascii="仿宋" w:hAnsi="仿宋" w:eastAsia="仿宋" w:cs="仿宋"/>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仿宋" w:hAnsi="仿宋" w:eastAsia="仿宋" w:cs="仿宋"/>
          <w:color w:val="auto"/>
          <w:kern w:val="0"/>
          <w:sz w:val="24"/>
          <w:highlight w:val="none"/>
          <w:lang w:val="zh-CN"/>
        </w:rPr>
        <w:t>日期：  年  月   日</w:t>
      </w:r>
    </w:p>
    <w:p w14:paraId="16ADABFE">
      <w:pPr>
        <w:pStyle w:val="17"/>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、中小企业声明函或残疾人福利性单位声明函或供应商属于监狱企业的证明材料</w:t>
      </w:r>
    </w:p>
    <w:p w14:paraId="0FD1AFB8">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14:paraId="25E52C25">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宾阳县水利工程建设服务站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宾阳县横水水库标准化创建工程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14:paraId="321024A2">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14:paraId="2C1881D8">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14:paraId="4BEA94DB">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14:paraId="306C40E0">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14:paraId="05A86D9E">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14:paraId="7B5AA87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C0A85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D6441F">
      <w:pPr>
        <w:pStyle w:val="17"/>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14:paraId="4BD1DF15">
      <w:pPr>
        <w:pStyle w:val="13"/>
        <w:spacing w:after="0" w:line="360" w:lineRule="auto"/>
        <w:ind w:left="3960" w:right="1808"/>
        <w:contextualSpacing/>
        <w:rPr>
          <w:rFonts w:hint="eastAsia" w:ascii="宋体" w:hAnsi="宋体" w:eastAsia="宋体" w:cs="宋体"/>
          <w:color w:val="auto"/>
          <w:highlight w:val="none"/>
        </w:rPr>
      </w:pPr>
    </w:p>
    <w:p w14:paraId="65034AA8">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62E5208">
      <w:pPr>
        <w:pStyle w:val="8"/>
        <w:overflowPunct w:val="0"/>
        <w:spacing w:line="360" w:lineRule="auto"/>
        <w:ind w:firstLine="0"/>
        <w:jc w:val="left"/>
        <w:rPr>
          <w:rFonts w:hint="eastAsia" w:ascii="仿宋" w:hAnsi="仿宋" w:eastAsia="仿宋" w:cs="仿宋"/>
          <w:b/>
          <w:color w:val="auto"/>
          <w:sz w:val="30"/>
          <w:szCs w:val="30"/>
          <w:highlight w:val="none"/>
        </w:rPr>
      </w:pPr>
    </w:p>
    <w:p w14:paraId="535B94A4">
      <w:pPr>
        <w:pStyle w:val="8"/>
        <w:overflowPunct w:val="0"/>
        <w:spacing w:line="360" w:lineRule="auto"/>
        <w:ind w:firstLine="0"/>
        <w:jc w:val="left"/>
        <w:rPr>
          <w:rFonts w:hint="eastAsia" w:ascii="仿宋" w:hAnsi="仿宋" w:eastAsia="仿宋" w:cs="仿宋"/>
          <w:b/>
          <w:color w:val="auto"/>
          <w:sz w:val="30"/>
          <w:szCs w:val="30"/>
          <w:highlight w:val="none"/>
        </w:rPr>
      </w:pPr>
    </w:p>
    <w:p w14:paraId="75D930F8">
      <w:pPr>
        <w:pStyle w:val="8"/>
        <w:overflowPunct w:val="0"/>
        <w:spacing w:line="360" w:lineRule="auto"/>
        <w:ind w:firstLine="0"/>
        <w:jc w:val="left"/>
        <w:rPr>
          <w:rFonts w:hint="eastAsia" w:ascii="仿宋" w:hAnsi="仿宋" w:eastAsia="仿宋" w:cs="仿宋"/>
          <w:b/>
          <w:color w:val="auto"/>
          <w:sz w:val="30"/>
          <w:szCs w:val="30"/>
          <w:highlight w:val="none"/>
        </w:rPr>
      </w:pPr>
    </w:p>
    <w:p w14:paraId="0EB77125">
      <w:pPr>
        <w:pStyle w:val="8"/>
        <w:overflowPunct w:val="0"/>
        <w:spacing w:line="360" w:lineRule="auto"/>
        <w:ind w:firstLine="0"/>
        <w:jc w:val="left"/>
        <w:rPr>
          <w:rFonts w:hint="eastAsia" w:ascii="仿宋" w:hAnsi="仿宋" w:eastAsia="仿宋" w:cs="仿宋"/>
          <w:b/>
          <w:color w:val="auto"/>
          <w:sz w:val="30"/>
          <w:szCs w:val="30"/>
          <w:highlight w:val="none"/>
        </w:rPr>
      </w:pPr>
    </w:p>
    <w:p w14:paraId="53274119">
      <w:pPr>
        <w:spacing w:line="360" w:lineRule="auto"/>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07BB172A">
      <w:pPr>
        <w:spacing w:line="360" w:lineRule="auto"/>
        <w:rPr>
          <w:rFonts w:hint="eastAsia" w:ascii="宋体" w:hAnsi="宋体" w:cs="宋体"/>
          <w:color w:val="auto"/>
          <w:sz w:val="32"/>
          <w:szCs w:val="32"/>
          <w:highlight w:val="none"/>
        </w:rPr>
      </w:pPr>
    </w:p>
    <w:p w14:paraId="7383416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1F76617">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79CB9C4">
      <w:pPr>
        <w:spacing w:line="360" w:lineRule="auto"/>
        <w:contextualSpacing/>
        <w:rPr>
          <w:rFonts w:hint="eastAsia" w:ascii="宋体" w:hAnsi="宋体" w:cs="宋体"/>
          <w:color w:val="auto"/>
          <w:sz w:val="24"/>
          <w:highlight w:val="none"/>
        </w:rPr>
      </w:pPr>
    </w:p>
    <w:p w14:paraId="0D1D6986">
      <w:pPr>
        <w:spacing w:line="360" w:lineRule="auto"/>
        <w:contextualSpacing/>
        <w:rPr>
          <w:rFonts w:hint="eastAsia" w:ascii="宋体" w:hAnsi="宋体" w:cs="宋体"/>
          <w:color w:val="auto"/>
          <w:sz w:val="24"/>
          <w:highlight w:val="none"/>
        </w:rPr>
      </w:pPr>
    </w:p>
    <w:p w14:paraId="0636BBD8">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75BBD8DC">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3BAA5321">
      <w:pPr>
        <w:spacing w:line="360" w:lineRule="auto"/>
        <w:contextualSpacing/>
        <w:rPr>
          <w:rFonts w:hint="eastAsia" w:ascii="宋体" w:hAnsi="宋体" w:cs="宋体"/>
          <w:color w:val="auto"/>
          <w:sz w:val="24"/>
          <w:highlight w:val="none"/>
        </w:rPr>
      </w:pPr>
    </w:p>
    <w:p w14:paraId="37F625AB">
      <w:pPr>
        <w:spacing w:line="360" w:lineRule="auto"/>
        <w:contextualSpacing/>
        <w:rPr>
          <w:rFonts w:hint="eastAsia" w:ascii="宋体" w:hAnsi="宋体" w:cs="宋体"/>
          <w:color w:val="auto"/>
          <w:sz w:val="24"/>
          <w:highlight w:val="none"/>
        </w:rPr>
      </w:pPr>
    </w:p>
    <w:p w14:paraId="34593163">
      <w:pPr>
        <w:spacing w:line="360" w:lineRule="auto"/>
        <w:contextualSpacing/>
        <w:rPr>
          <w:rFonts w:hint="eastAsia" w:ascii="宋体" w:hAnsi="宋体" w:cs="宋体"/>
          <w:color w:val="auto"/>
          <w:sz w:val="24"/>
          <w:highlight w:val="none"/>
        </w:rPr>
      </w:pPr>
    </w:p>
    <w:p w14:paraId="393A17F3">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63F7249">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18C70141">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1869F14E">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C419B57">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66752731">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46F613CA">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D5D5106">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39DDBE3B">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794E5604">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A899698">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28FA7232">
      <w:pPr>
        <w:pStyle w:val="8"/>
        <w:overflowPunct w:val="0"/>
        <w:spacing w:line="360" w:lineRule="auto"/>
        <w:ind w:firstLine="0"/>
        <w:jc w:val="left"/>
        <w:rPr>
          <w:rFonts w:hint="eastAsia" w:ascii="仿宋" w:hAnsi="仿宋" w:eastAsia="仿宋" w:cs="仿宋"/>
          <w:b/>
          <w:color w:val="auto"/>
          <w:sz w:val="30"/>
          <w:szCs w:val="30"/>
          <w:highlight w:val="none"/>
          <w:lang w:val="en-US" w:eastAsia="zh-CN"/>
        </w:rPr>
      </w:pPr>
    </w:p>
    <w:p w14:paraId="1704C94E">
      <w:pPr>
        <w:pStyle w:val="8"/>
        <w:overflowPunct w:val="0"/>
        <w:spacing w:line="360" w:lineRule="auto"/>
        <w:ind w:firstLine="0"/>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符合特定资格</w:t>
      </w:r>
      <w:r>
        <w:rPr>
          <w:rFonts w:hint="eastAsia" w:ascii="仿宋" w:hAnsi="仿宋" w:eastAsia="仿宋" w:cs="仿宋"/>
          <w:b/>
          <w:color w:val="auto"/>
          <w:sz w:val="30"/>
          <w:szCs w:val="30"/>
          <w:highlight w:val="none"/>
          <w:lang w:eastAsia="zh-CN"/>
        </w:rPr>
        <w:t>要求和特定</w:t>
      </w:r>
      <w:r>
        <w:rPr>
          <w:rFonts w:hint="eastAsia" w:ascii="仿宋" w:hAnsi="仿宋" w:eastAsia="仿宋" w:cs="仿宋"/>
          <w:b/>
          <w:color w:val="auto"/>
          <w:sz w:val="30"/>
          <w:szCs w:val="30"/>
          <w:highlight w:val="none"/>
        </w:rPr>
        <w:t>条件（如果项目要求）的有关证明材料（复印件）</w:t>
      </w:r>
    </w:p>
    <w:p w14:paraId="39F185DC">
      <w:pPr>
        <w:snapToGrid w:val="0"/>
        <w:spacing w:line="360" w:lineRule="auto"/>
        <w:ind w:firstLine="602" w:firstLineChars="200"/>
        <w:rPr>
          <w:rFonts w:hint="eastAsia" w:ascii="仿宋" w:hAnsi="仿宋" w:eastAsia="仿宋" w:cs="仿宋"/>
          <w:b/>
          <w:color w:val="auto"/>
          <w:sz w:val="30"/>
          <w:szCs w:val="30"/>
          <w:highlight w:val="none"/>
        </w:rPr>
      </w:pPr>
    </w:p>
    <w:p w14:paraId="1D72B4E9">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C2C29AE">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AD858E6">
      <w:pPr>
        <w:pStyle w:val="13"/>
        <w:rPr>
          <w:rFonts w:hint="eastAsia" w:ascii="仿宋" w:hAnsi="仿宋" w:eastAsia="仿宋" w:cs="仿宋"/>
          <w:color w:val="auto"/>
          <w:kern w:val="0"/>
          <w:sz w:val="24"/>
          <w:highlight w:val="none"/>
          <w:lang w:val="zh-CN"/>
        </w:rPr>
      </w:pPr>
    </w:p>
    <w:p w14:paraId="4AF242E6">
      <w:pPr>
        <w:rPr>
          <w:rFonts w:hint="eastAsia" w:ascii="仿宋" w:hAnsi="仿宋" w:eastAsia="仿宋" w:cs="仿宋"/>
          <w:color w:val="auto"/>
          <w:kern w:val="0"/>
          <w:sz w:val="24"/>
          <w:highlight w:val="none"/>
          <w:lang w:val="zh-CN"/>
        </w:rPr>
      </w:pPr>
    </w:p>
    <w:p w14:paraId="4AC6F5FD">
      <w:pPr>
        <w:pStyle w:val="13"/>
        <w:rPr>
          <w:rFonts w:hint="eastAsia" w:ascii="仿宋" w:hAnsi="仿宋" w:eastAsia="仿宋" w:cs="仿宋"/>
          <w:color w:val="auto"/>
          <w:kern w:val="0"/>
          <w:sz w:val="24"/>
          <w:highlight w:val="none"/>
          <w:lang w:val="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、除磋商文件规定必须提供以外，供应商认为需要提供的其他证明材料</w:t>
      </w:r>
    </w:p>
    <w:p w14:paraId="485A3879">
      <w:pPr>
        <w:rPr>
          <w:rFonts w:hint="eastAsia" w:ascii="仿宋" w:hAnsi="仿宋" w:eastAsia="仿宋" w:cs="仿宋"/>
          <w:color w:val="auto"/>
          <w:kern w:val="0"/>
          <w:sz w:val="24"/>
          <w:highlight w:val="none"/>
          <w:lang w:val="zh-CN"/>
        </w:rPr>
      </w:pPr>
    </w:p>
    <w:p w14:paraId="58992955">
      <w:pPr>
        <w:pStyle w:val="13"/>
        <w:rPr>
          <w:rFonts w:hint="eastAsia" w:ascii="仿宋" w:hAnsi="仿宋" w:eastAsia="仿宋" w:cs="仿宋"/>
          <w:color w:val="auto"/>
          <w:highlight w:val="none"/>
          <w:lang w:val="zh-CN"/>
        </w:rPr>
      </w:pPr>
    </w:p>
    <w:p w14:paraId="700F7C4E">
      <w:pPr>
        <w:rPr>
          <w:rFonts w:hint="eastAsia" w:ascii="仿宋" w:hAnsi="仿宋" w:eastAsia="仿宋" w:cs="仿宋"/>
          <w:color w:val="auto"/>
          <w:highlight w:val="none"/>
          <w:lang w:val="zh-CN"/>
        </w:rPr>
      </w:pPr>
    </w:p>
    <w:p w14:paraId="5194A514">
      <w:pPr>
        <w:pStyle w:val="13"/>
        <w:rPr>
          <w:rFonts w:hint="eastAsia" w:ascii="仿宋" w:hAnsi="仿宋" w:eastAsia="仿宋" w:cs="仿宋"/>
          <w:color w:val="auto"/>
          <w:highlight w:val="none"/>
          <w:lang w:val="zh-CN"/>
        </w:rPr>
      </w:pPr>
    </w:p>
    <w:p w14:paraId="514E7C7D">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B8ED65B">
      <w:pPr>
        <w:autoSpaceDE w:val="0"/>
        <w:autoSpaceDN w:val="0"/>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9BA3C21">
      <w:pPr>
        <w:rPr>
          <w:rFonts w:hint="eastAsia"/>
          <w:color w:val="auto"/>
          <w:highlight w:val="none"/>
          <w:lang w:val="zh-CN"/>
        </w:rPr>
      </w:pPr>
    </w:p>
    <w:p w14:paraId="161C0691">
      <w:pPr>
        <w:pStyle w:val="13"/>
        <w:rPr>
          <w:rFonts w:hint="eastAsia"/>
          <w:color w:val="auto"/>
          <w:highlight w:val="none"/>
          <w:lang w:val="zh-CN"/>
        </w:rPr>
      </w:pPr>
    </w:p>
    <w:p w14:paraId="6C786511">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79F5A8C">
      <w:pPr>
        <w:pStyle w:val="4"/>
        <w:spacing w:line="360" w:lineRule="auto"/>
        <w:jc w:val="center"/>
        <w:rPr>
          <w:rFonts w:hint="eastAsia" w:ascii="宋体" w:hAnsi="宋体" w:eastAsia="宋体" w:cs="宋体"/>
          <w:b w:val="0"/>
          <w:color w:val="auto"/>
          <w:highlight w:val="none"/>
        </w:rPr>
      </w:pPr>
      <w:bookmarkStart w:id="152" w:name="_Toc22872"/>
      <w:bookmarkStart w:id="153" w:name="_Toc1171"/>
      <w:bookmarkStart w:id="154" w:name="_Toc14159"/>
      <w:bookmarkStart w:id="155" w:name="_Toc7889"/>
      <w:bookmarkStart w:id="156" w:name="_Toc80205940"/>
      <w:bookmarkStart w:id="157" w:name="_Toc8220"/>
      <w:bookmarkStart w:id="158"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52"/>
      <w:bookmarkEnd w:id="153"/>
      <w:bookmarkEnd w:id="154"/>
      <w:bookmarkEnd w:id="155"/>
      <w:bookmarkEnd w:id="156"/>
      <w:bookmarkEnd w:id="157"/>
      <w:bookmarkEnd w:id="158"/>
    </w:p>
    <w:p w14:paraId="456DFC71">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6F01463">
      <w:pPr>
        <w:snapToGrid w:val="0"/>
        <w:spacing w:before="120" w:beforeLines="50" w:after="50" w:line="360" w:lineRule="auto"/>
        <w:rPr>
          <w:rFonts w:hint="eastAsia" w:ascii="宋体" w:hAnsi="宋体" w:eastAsia="宋体" w:cs="宋体"/>
          <w:color w:val="auto"/>
          <w:sz w:val="24"/>
          <w:szCs w:val="20"/>
          <w:highlight w:val="none"/>
        </w:rPr>
      </w:pPr>
    </w:p>
    <w:p w14:paraId="1CD9821C">
      <w:pPr>
        <w:snapToGrid w:val="0"/>
        <w:spacing w:before="120" w:beforeLines="50" w:after="50" w:line="360" w:lineRule="auto"/>
        <w:rPr>
          <w:rFonts w:hint="eastAsia" w:ascii="宋体" w:hAnsi="宋体" w:eastAsia="宋体" w:cs="宋体"/>
          <w:color w:val="auto"/>
          <w:sz w:val="24"/>
          <w:szCs w:val="20"/>
          <w:highlight w:val="none"/>
        </w:rPr>
      </w:pPr>
    </w:p>
    <w:p w14:paraId="69654666">
      <w:pPr>
        <w:snapToGrid w:val="0"/>
        <w:spacing w:before="120" w:beforeLines="50" w:after="50" w:line="360" w:lineRule="auto"/>
        <w:rPr>
          <w:rFonts w:hint="eastAsia" w:ascii="宋体" w:hAnsi="宋体" w:eastAsia="宋体" w:cs="宋体"/>
          <w:color w:val="auto"/>
          <w:sz w:val="24"/>
          <w:szCs w:val="20"/>
          <w:highlight w:val="none"/>
        </w:rPr>
      </w:pPr>
    </w:p>
    <w:p w14:paraId="610FB7C8">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5D716368">
      <w:pPr>
        <w:snapToGrid w:val="0"/>
        <w:spacing w:before="120" w:beforeLines="50" w:after="50" w:line="360" w:lineRule="auto"/>
        <w:rPr>
          <w:rFonts w:hint="eastAsia" w:ascii="宋体" w:hAnsi="宋体" w:eastAsia="宋体" w:cs="宋体"/>
          <w:bCs/>
          <w:color w:val="auto"/>
          <w:sz w:val="24"/>
          <w:szCs w:val="20"/>
          <w:highlight w:val="none"/>
        </w:rPr>
      </w:pPr>
    </w:p>
    <w:p w14:paraId="07539688">
      <w:pPr>
        <w:snapToGrid w:val="0"/>
        <w:spacing w:before="120" w:beforeLines="50" w:after="50" w:line="360" w:lineRule="auto"/>
        <w:rPr>
          <w:rFonts w:hint="eastAsia" w:ascii="宋体" w:hAnsi="宋体" w:eastAsia="宋体" w:cs="宋体"/>
          <w:bCs/>
          <w:color w:val="auto"/>
          <w:sz w:val="24"/>
          <w:szCs w:val="20"/>
          <w:highlight w:val="none"/>
        </w:rPr>
      </w:pPr>
    </w:p>
    <w:p w14:paraId="72215538">
      <w:pPr>
        <w:snapToGrid w:val="0"/>
        <w:spacing w:before="120" w:beforeLines="50" w:after="50" w:line="360" w:lineRule="auto"/>
        <w:rPr>
          <w:rFonts w:hint="eastAsia" w:ascii="宋体" w:hAnsi="宋体" w:eastAsia="宋体" w:cs="宋体"/>
          <w:bCs/>
          <w:color w:val="auto"/>
          <w:sz w:val="24"/>
          <w:szCs w:val="20"/>
          <w:highlight w:val="none"/>
        </w:rPr>
      </w:pPr>
    </w:p>
    <w:p w14:paraId="59E31C6B">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宾阳县横水水库标准化创建工程</w:t>
      </w:r>
    </w:p>
    <w:p w14:paraId="5BA1D684">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19A2C649">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NNZC2024-C2-260291-GXXM</w:t>
      </w:r>
    </w:p>
    <w:p w14:paraId="5D34F6B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8F09876">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9D73A31">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4A376337">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5B649108">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61B24695">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B3CE9F2">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0DDA205">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4C9F2D4">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商务技术文件目录</w:t>
      </w:r>
    </w:p>
    <w:p w14:paraId="072C5B09">
      <w:pPr>
        <w:spacing w:line="360" w:lineRule="auto"/>
        <w:jc w:val="center"/>
        <w:rPr>
          <w:rFonts w:hint="eastAsia" w:ascii="宋体" w:hAnsi="宋体" w:eastAsia="宋体" w:cs="宋体"/>
          <w:b/>
          <w:color w:val="auto"/>
          <w:kern w:val="0"/>
          <w:sz w:val="28"/>
          <w:szCs w:val="28"/>
          <w:highlight w:val="none"/>
        </w:rPr>
      </w:pPr>
    </w:p>
    <w:p w14:paraId="060AF551">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一、无串通竞标行为的承诺函……………………………………………………（页码）</w:t>
      </w:r>
    </w:p>
    <w:p w14:paraId="22B320C3">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二、法定代表人身份证明书及法定代表人有效身份证正反面复印件…………（页码）</w:t>
      </w:r>
    </w:p>
    <w:p w14:paraId="6EDA8786">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三、法定代表人授权委托书及委托代理人有效身份证正反面复印件（如有委托时）……………………………（页码）</w:t>
      </w:r>
    </w:p>
    <w:p w14:paraId="3ED20981">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val="zh-CN"/>
        </w:rPr>
        <w:t>商务条款偏离表………………………………</w:t>
      </w:r>
      <w:r>
        <w:rPr>
          <w:rFonts w:hint="eastAsia" w:ascii="仿宋" w:hAnsi="仿宋" w:eastAsia="仿宋" w:cs="仿宋"/>
          <w:color w:val="auto"/>
          <w:highlight w:val="none"/>
        </w:rPr>
        <w:t>………………………………（页码）</w:t>
      </w:r>
    </w:p>
    <w:p w14:paraId="35A935F1">
      <w:pPr>
        <w:pStyle w:val="34"/>
        <w:spacing w:line="360" w:lineRule="auto"/>
        <w:rPr>
          <w:rFonts w:hint="eastAsia" w:ascii="仿宋" w:hAnsi="仿宋" w:eastAsia="仿宋" w:cs="仿宋"/>
          <w:color w:val="auto"/>
          <w:highlight w:val="none"/>
        </w:rPr>
      </w:pPr>
      <w:bookmarkStart w:id="159" w:name="OLE_LINK7"/>
      <w:bookmarkStart w:id="160" w:name="OLE_LINK6"/>
      <w:bookmarkStart w:id="161" w:name="OLE_LINK5"/>
      <w:r>
        <w:rPr>
          <w:rFonts w:hint="eastAsia" w:ascii="仿宋" w:hAnsi="仿宋" w:eastAsia="仿宋" w:cs="仿宋"/>
          <w:color w:val="auto"/>
          <w:highlight w:val="none"/>
        </w:rPr>
        <w:t>五、竞标人情况介绍</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42D49DC">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六、建设工程项目管理承诺书</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7CE593D">
      <w:pPr>
        <w:pStyle w:val="34"/>
        <w:spacing w:line="360" w:lineRule="auto"/>
        <w:rPr>
          <w:rFonts w:hint="eastAsia" w:ascii="仿宋" w:hAnsi="仿宋" w:eastAsia="仿宋" w:cs="仿宋"/>
          <w:color w:val="auto"/>
          <w:highlight w:val="none"/>
        </w:rPr>
      </w:pPr>
      <w:r>
        <w:rPr>
          <w:rFonts w:hint="eastAsia" w:ascii="仿宋" w:eastAsia="仿宋" w:cs="仿宋"/>
          <w:color w:val="auto"/>
          <w:highlight w:val="none"/>
          <w:lang w:val="en-US" w:eastAsia="zh-CN"/>
        </w:rPr>
        <w:t>七</w:t>
      </w:r>
      <w:r>
        <w:rPr>
          <w:rFonts w:hint="eastAsia" w:ascii="仿宋" w:hAnsi="仿宋" w:eastAsia="仿宋" w:cs="仿宋"/>
          <w:color w:val="auto"/>
          <w:highlight w:val="none"/>
        </w:rPr>
        <w:t>、供应商类似业绩的证明文件</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53185620">
      <w:pPr>
        <w:pStyle w:val="34"/>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八</w:t>
      </w:r>
      <w:r>
        <w:rPr>
          <w:rFonts w:hint="eastAsia" w:ascii="仿宋" w:hAnsi="仿宋" w:eastAsia="仿宋" w:cs="仿宋"/>
          <w:color w:val="auto"/>
          <w:highlight w:val="none"/>
          <w:lang w:val="en-US" w:eastAsia="zh-CN"/>
        </w:rPr>
        <w:t>、供应商认为需要提供的其他有关资料</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（页码）</w:t>
      </w:r>
      <w:bookmarkEnd w:id="159"/>
      <w:bookmarkEnd w:id="160"/>
    </w:p>
    <w:bookmarkEnd w:id="161"/>
    <w:p w14:paraId="4E8DCC9F">
      <w:pPr>
        <w:pStyle w:val="34"/>
        <w:spacing w:line="360" w:lineRule="auto"/>
        <w:ind w:left="0"/>
        <w:rPr>
          <w:rFonts w:hint="eastAsia" w:ascii="仿宋" w:hAnsi="仿宋" w:eastAsia="仿宋" w:cs="仿宋"/>
          <w:color w:val="auto"/>
          <w:highlight w:val="none"/>
          <w:lang w:val="en-US" w:eastAsia="zh-CN"/>
        </w:rPr>
      </w:pPr>
      <w:r>
        <w:rPr>
          <w:rFonts w:hint="eastAsia" w:ascii="仿宋" w:eastAsia="仿宋" w:cs="仿宋"/>
          <w:color w:val="auto"/>
          <w:highlight w:val="none"/>
          <w:lang w:val="en-US" w:eastAsia="zh-CN"/>
        </w:rPr>
        <w:t>九</w:t>
      </w:r>
      <w:r>
        <w:rPr>
          <w:rFonts w:hint="eastAsia" w:ascii="仿宋" w:hAnsi="仿宋" w:eastAsia="仿宋" w:cs="仿宋"/>
          <w:color w:val="auto"/>
          <w:highlight w:val="none"/>
          <w:lang w:val="en-US" w:eastAsia="zh-CN"/>
        </w:rPr>
        <w:t>、技术需求偏离表</w:t>
      </w: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27B99578">
      <w:pPr>
        <w:pStyle w:val="34"/>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十、施工组织设计…………………………………………………………</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（页码）</w:t>
      </w:r>
    </w:p>
    <w:p w14:paraId="6C0D8A49">
      <w:pPr>
        <w:pStyle w:val="34"/>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十一、项目管理机构配备情况表…………………………………………………（页码）</w:t>
      </w:r>
    </w:p>
    <w:p w14:paraId="4B40B9E2">
      <w:pPr>
        <w:pStyle w:val="34"/>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二</w:t>
      </w:r>
      <w:r>
        <w:rPr>
          <w:rFonts w:hint="eastAsia" w:ascii="仿宋" w:hAnsi="仿宋" w:eastAsia="仿宋" w:cs="仿宋"/>
          <w:color w:val="auto"/>
          <w:highlight w:val="none"/>
          <w:lang w:val="en-US" w:eastAsia="zh-CN"/>
        </w:rPr>
        <w:t>、项目经理简历表……………………………………………………………（页码）</w:t>
      </w:r>
    </w:p>
    <w:p w14:paraId="4B0F1CD4">
      <w:pPr>
        <w:pStyle w:val="34"/>
        <w:spacing w:line="360" w:lineRule="auto"/>
        <w:ind w:lef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十</w:t>
      </w:r>
      <w:r>
        <w:rPr>
          <w:rFonts w:hint="eastAsia" w:ascii="仿宋" w:eastAsia="仿宋" w:cs="仿宋"/>
          <w:color w:val="auto"/>
          <w:highlight w:val="none"/>
          <w:lang w:val="en-US" w:eastAsia="zh-CN"/>
        </w:rPr>
        <w:t>三</w:t>
      </w:r>
      <w:r>
        <w:rPr>
          <w:rFonts w:hint="eastAsia" w:ascii="仿宋" w:hAnsi="仿宋" w:eastAsia="仿宋" w:cs="仿宋"/>
          <w:color w:val="auto"/>
          <w:highlight w:val="none"/>
          <w:lang w:val="en-US" w:eastAsia="zh-CN"/>
        </w:rPr>
        <w:t>、供应商认为需要提供的其他有关资料……………………………………（页码）</w:t>
      </w:r>
    </w:p>
    <w:p w14:paraId="2E341B72">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0299EBB1">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一、无串通竞标行为的承诺函</w:t>
      </w:r>
    </w:p>
    <w:p w14:paraId="5415113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14:paraId="2B33C7E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34DAC77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19D795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4423E99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0251B8C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055A6CC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EE1A5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628C472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0C06D3A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251A5D8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2AE00FB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36D9A0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BD1979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1CA71F0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5B0254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18F565E9">
      <w:pPr>
        <w:spacing w:line="360" w:lineRule="auto"/>
        <w:ind w:firstLine="480" w:firstLineChars="200"/>
        <w:contextualSpacing/>
        <w:rPr>
          <w:rFonts w:hint="eastAsia" w:ascii="宋体" w:hAnsi="宋体" w:eastAsia="宋体" w:cs="宋体"/>
          <w:color w:val="auto"/>
          <w:sz w:val="24"/>
          <w:highlight w:val="none"/>
        </w:rPr>
      </w:pPr>
    </w:p>
    <w:p w14:paraId="6C5FDEBE">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2CADE2E4">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F96012F">
      <w:pPr>
        <w:spacing w:line="360" w:lineRule="auto"/>
        <w:ind w:left="237" w:leftChars="113" w:firstLine="5860" w:firstLineChars="2442"/>
        <w:jc w:val="left"/>
        <w:rPr>
          <w:rFonts w:hint="eastAsia" w:ascii="仿宋" w:hAnsi="仿宋" w:eastAsia="仿宋" w:cs="仿宋"/>
          <w:bCs/>
          <w:color w:val="auto"/>
          <w:sz w:val="44"/>
          <w:szCs w:val="44"/>
          <w:highlight w:val="none"/>
        </w:rPr>
      </w:pPr>
      <w:r>
        <w:rPr>
          <w:rFonts w:hint="eastAsia" w:ascii="仿宋" w:hAnsi="仿宋" w:eastAsia="仿宋" w:cs="仿宋"/>
          <w:color w:val="auto"/>
          <w:kern w:val="0"/>
          <w:sz w:val="24"/>
          <w:highlight w:val="none"/>
          <w:lang w:val="zh-CN"/>
        </w:rPr>
        <w:t xml:space="preserve">日期：  年  月   日  </w:t>
      </w:r>
      <w:r>
        <w:rPr>
          <w:rFonts w:hint="eastAsia" w:ascii="宋体" w:hAnsi="宋体" w:eastAsia="宋体" w:cs="宋体"/>
          <w:color w:val="auto"/>
          <w:kern w:val="0"/>
          <w:sz w:val="24"/>
          <w:highlight w:val="none"/>
          <w:lang w:val="zh-CN"/>
        </w:rPr>
        <w:t xml:space="preserve"> </w:t>
      </w:r>
      <w:r>
        <w:rPr>
          <w:rFonts w:hint="eastAsia" w:ascii="宋体" w:hAnsi="宋体" w:eastAsia="宋体" w:cs="宋体"/>
          <w:b/>
          <w:bCs/>
          <w:color w:val="auto"/>
          <w:sz w:val="32"/>
          <w:szCs w:val="32"/>
          <w:highlight w:val="none"/>
        </w:rPr>
        <w:br w:type="page"/>
      </w:r>
      <w:r>
        <w:rPr>
          <w:rFonts w:hint="eastAsia" w:ascii="仿宋" w:hAnsi="仿宋" w:eastAsia="仿宋" w:cs="仿宋"/>
          <w:b/>
          <w:color w:val="auto"/>
          <w:sz w:val="30"/>
          <w:szCs w:val="30"/>
          <w:highlight w:val="none"/>
        </w:rPr>
        <w:t>二、法定代表人身份证明及法定代表人有效身份证正反面复印件</w:t>
      </w:r>
    </w:p>
    <w:p w14:paraId="107F5DCD">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14:paraId="034D377E">
      <w:pPr>
        <w:spacing w:line="360" w:lineRule="auto"/>
        <w:ind w:left="540"/>
        <w:contextualSpacing/>
        <w:rPr>
          <w:rFonts w:hint="eastAsia" w:ascii="宋体" w:hAnsi="宋体" w:eastAsia="宋体" w:cs="宋体"/>
          <w:color w:val="auto"/>
          <w:sz w:val="32"/>
          <w:szCs w:val="32"/>
          <w:highlight w:val="none"/>
        </w:rPr>
      </w:pPr>
    </w:p>
    <w:p w14:paraId="5E75769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6028DF08">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8E59C14">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6FA1DA29">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5B95AF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397363C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1CCF19A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90DB97E">
      <w:pPr>
        <w:spacing w:line="360" w:lineRule="auto"/>
        <w:ind w:left="540"/>
        <w:contextualSpacing/>
        <w:rPr>
          <w:rFonts w:hint="eastAsia" w:ascii="宋体" w:hAnsi="宋体" w:eastAsia="宋体" w:cs="宋体"/>
          <w:color w:val="auto"/>
          <w:sz w:val="24"/>
          <w:highlight w:val="none"/>
        </w:rPr>
      </w:pPr>
    </w:p>
    <w:p w14:paraId="152AA952">
      <w:pPr>
        <w:spacing w:line="360" w:lineRule="auto"/>
        <w:ind w:left="540"/>
        <w:contextualSpacing/>
        <w:rPr>
          <w:rFonts w:hint="eastAsia" w:ascii="宋体" w:hAnsi="宋体" w:eastAsia="宋体" w:cs="宋体"/>
          <w:color w:val="auto"/>
          <w:sz w:val="24"/>
          <w:highlight w:val="none"/>
        </w:rPr>
      </w:pPr>
    </w:p>
    <w:p w14:paraId="3621E372">
      <w:pPr>
        <w:spacing w:line="360" w:lineRule="auto"/>
        <w:ind w:left="540"/>
        <w:contextualSpacing/>
        <w:rPr>
          <w:rFonts w:hint="eastAsia" w:ascii="宋体" w:hAnsi="宋体" w:eastAsia="宋体" w:cs="宋体"/>
          <w:color w:val="auto"/>
          <w:sz w:val="24"/>
          <w:highlight w:val="none"/>
        </w:rPr>
      </w:pPr>
    </w:p>
    <w:p w14:paraId="4A06FA2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E16E2DC">
      <w:pPr>
        <w:spacing w:line="360" w:lineRule="auto"/>
        <w:ind w:left="540"/>
        <w:contextualSpacing/>
        <w:rPr>
          <w:rFonts w:hint="eastAsia" w:ascii="宋体" w:hAnsi="宋体" w:eastAsia="宋体" w:cs="宋体"/>
          <w:color w:val="auto"/>
          <w:sz w:val="24"/>
          <w:highlight w:val="none"/>
        </w:rPr>
      </w:pPr>
    </w:p>
    <w:p w14:paraId="46E5C3BD">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1AA8B7F">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72421239">
      <w:pPr>
        <w:spacing w:line="360" w:lineRule="auto"/>
        <w:contextualSpacing/>
        <w:jc w:val="left"/>
        <w:rPr>
          <w:rFonts w:hint="eastAsia" w:ascii="宋体" w:hAnsi="宋体" w:eastAsia="宋体" w:cs="宋体"/>
          <w:color w:val="auto"/>
          <w:sz w:val="24"/>
          <w:highlight w:val="none"/>
        </w:rPr>
      </w:pPr>
    </w:p>
    <w:p w14:paraId="327D2920">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2A338C64">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7"/>
        <w:tblpPr w:leftFromText="180" w:rightFromText="180" w:vertAnchor="text" w:horzAnchor="margin" w:tblpY="1169"/>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14:paraId="0B53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14:paraId="48EC8CAF">
            <w:pPr>
              <w:spacing w:line="360" w:lineRule="auto"/>
              <w:rPr>
                <w:rFonts w:hint="eastAsia" w:ascii="宋体" w:hAnsi="宋体" w:eastAsia="宋体" w:cs="宋体"/>
                <w:b/>
                <w:color w:val="auto"/>
                <w:sz w:val="24"/>
                <w:highlight w:val="none"/>
              </w:rPr>
            </w:pPr>
          </w:p>
          <w:p w14:paraId="7C9E263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14:paraId="2481AC06">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7B9625A1">
      <w:pPr>
        <w:adjustRightInd w:val="0"/>
        <w:snapToGrid w:val="0"/>
        <w:spacing w:line="360" w:lineRule="auto"/>
        <w:jc w:val="left"/>
        <w:rPr>
          <w:rFonts w:hint="eastAsia" w:ascii="宋体" w:hAnsi="宋体" w:eastAsia="宋体" w:cs="宋体"/>
          <w:b/>
          <w:color w:val="auto"/>
          <w:szCs w:val="21"/>
          <w:highlight w:val="none"/>
        </w:rPr>
      </w:pPr>
    </w:p>
    <w:p w14:paraId="75791599">
      <w:pPr>
        <w:spacing w:line="360" w:lineRule="auto"/>
        <w:ind w:firstLine="880"/>
        <w:jc w:val="left"/>
        <w:rPr>
          <w:rFonts w:hint="eastAsia" w:ascii="仿宋" w:hAnsi="仿宋" w:eastAsia="仿宋" w:cs="仿宋"/>
          <w:bCs/>
          <w:color w:val="auto"/>
          <w:sz w:val="44"/>
          <w:szCs w:val="44"/>
          <w:highlight w:val="none"/>
        </w:rPr>
      </w:pPr>
      <w:r>
        <w:rPr>
          <w:rFonts w:hint="eastAsia" w:ascii="宋体" w:hAnsi="宋体" w:eastAsia="宋体" w:cs="宋体"/>
          <w:color w:val="auto"/>
          <w:sz w:val="44"/>
          <w:szCs w:val="44"/>
          <w:highlight w:val="none"/>
        </w:rPr>
        <w:br w:type="page"/>
      </w:r>
      <w:r>
        <w:rPr>
          <w:rFonts w:hint="eastAsia" w:ascii="仿宋" w:hAnsi="仿宋" w:eastAsia="仿宋" w:cs="仿宋"/>
          <w:b/>
          <w:color w:val="auto"/>
          <w:sz w:val="30"/>
          <w:szCs w:val="30"/>
          <w:highlight w:val="none"/>
        </w:rPr>
        <w:t>三、法定代表人授权委托书及委托代理人有效身份证正反面复印件</w:t>
      </w:r>
    </w:p>
    <w:p w14:paraId="39781219">
      <w:pPr>
        <w:spacing w:line="360" w:lineRule="auto"/>
        <w:jc w:val="center"/>
        <w:rPr>
          <w:rFonts w:hint="eastAsia" w:ascii="宋体" w:hAnsi="宋体" w:eastAsia="宋体" w:cs="宋体"/>
          <w:color w:val="auto"/>
          <w:sz w:val="44"/>
          <w:szCs w:val="44"/>
          <w:highlight w:val="none"/>
        </w:rPr>
      </w:pPr>
    </w:p>
    <w:p w14:paraId="5B2E55EE">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14:paraId="2951BF7D">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4AC42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244F95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783552D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277D9F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A17556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16C5DB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61035148">
      <w:pPr>
        <w:spacing w:line="360" w:lineRule="auto"/>
        <w:rPr>
          <w:rFonts w:hint="eastAsia" w:ascii="宋体" w:hAnsi="宋体" w:eastAsia="宋体" w:cs="宋体"/>
          <w:color w:val="auto"/>
          <w:sz w:val="24"/>
          <w:highlight w:val="none"/>
        </w:rPr>
      </w:pPr>
    </w:p>
    <w:p w14:paraId="6C8E11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14:paraId="64C3E6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39809694">
      <w:pPr>
        <w:spacing w:line="360" w:lineRule="auto"/>
        <w:rPr>
          <w:rFonts w:hint="eastAsia" w:ascii="仿宋" w:hAnsi="仿宋" w:eastAsia="仿宋" w:cs="仿宋"/>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rPr>
        <w:t>供应商名称（电子签章）：</w:t>
      </w:r>
    </w:p>
    <w:p w14:paraId="39FA01E9">
      <w:pPr>
        <w:spacing w:line="360" w:lineRule="auto"/>
        <w:contextualSpacing/>
        <w:jc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 xml:space="preserve">                                                   日期：  年  月   日</w:t>
      </w:r>
    </w:p>
    <w:p w14:paraId="107EAAA1">
      <w:pPr>
        <w:spacing w:line="360" w:lineRule="auto"/>
        <w:rPr>
          <w:rFonts w:hint="eastAsia" w:ascii="宋体" w:hAnsi="宋体" w:eastAsia="宋体" w:cs="宋体"/>
          <w:color w:val="auto"/>
          <w:sz w:val="24"/>
          <w:highlight w:val="none"/>
        </w:rPr>
      </w:pPr>
    </w:p>
    <w:p w14:paraId="36AB3B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55CBEAC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0DC0D">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142AFDBA">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14:paraId="48F17F97">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14:paraId="16AE8736">
      <w:pPr>
        <w:spacing w:line="360" w:lineRule="auto"/>
        <w:jc w:val="center"/>
        <w:rPr>
          <w:rFonts w:hint="eastAsia" w:ascii="宋体" w:hAnsi="宋体" w:eastAsia="宋体" w:cs="宋体"/>
          <w:color w:val="auto"/>
          <w:sz w:val="32"/>
          <w:szCs w:val="32"/>
          <w:highlight w:val="none"/>
        </w:rPr>
      </w:pPr>
    </w:p>
    <w:p w14:paraId="2D5ABD6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569C05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14:paraId="42D627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E09B0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7B4C80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D820280">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14:paraId="0BE8951C">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14:paraId="1FFA12B2">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ECFD22E">
      <w:pPr>
        <w:spacing w:line="360" w:lineRule="auto"/>
        <w:rPr>
          <w:rFonts w:hint="eastAsia" w:ascii="宋体" w:hAnsi="宋体" w:eastAsia="宋体" w:cs="宋体"/>
          <w:color w:val="auto"/>
          <w:sz w:val="24"/>
          <w:highlight w:val="none"/>
        </w:rPr>
      </w:pPr>
    </w:p>
    <w:p w14:paraId="162F586D">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14:paraId="6ACD5B3D">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19E34CE">
      <w:pPr>
        <w:spacing w:line="360" w:lineRule="auto"/>
        <w:rPr>
          <w:rFonts w:hint="eastAsia" w:ascii="宋体" w:hAnsi="宋体" w:eastAsia="宋体" w:cs="宋体"/>
          <w:color w:val="auto"/>
          <w:sz w:val="24"/>
          <w:highlight w:val="none"/>
        </w:rPr>
      </w:pPr>
    </w:p>
    <w:p w14:paraId="79C6E6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44E16E2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615F472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EEA4E81">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仿宋" w:hAnsi="仿宋" w:eastAsia="仿宋" w:cs="仿宋"/>
          <w:b/>
          <w:color w:val="auto"/>
          <w:sz w:val="30"/>
          <w:szCs w:val="30"/>
          <w:highlight w:val="none"/>
        </w:rPr>
        <w:t>四、商务条款偏离表</w:t>
      </w:r>
    </w:p>
    <w:p w14:paraId="68EE3041">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14:paraId="77871EC4">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NNZC2024-C2-260291-GXXM</w:t>
      </w:r>
      <w:r>
        <w:rPr>
          <w:rFonts w:hint="eastAsia" w:ascii="宋体" w:hAnsi="宋体" w:eastAsia="宋体" w:cs="宋体"/>
          <w:color w:val="auto"/>
          <w:sz w:val="24"/>
          <w:highlight w:val="none"/>
          <w:u w:val="single"/>
        </w:rPr>
        <w:t xml:space="preserve"> </w:t>
      </w:r>
    </w:p>
    <w:p w14:paraId="7DDB957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宾阳县横水水库标准化创建工程</w:t>
      </w:r>
      <w:r>
        <w:rPr>
          <w:rFonts w:hint="eastAsia" w:ascii="宋体" w:hAnsi="宋体" w:eastAsia="宋体" w:cs="宋体"/>
          <w:color w:val="auto"/>
          <w:sz w:val="24"/>
          <w:highlight w:val="none"/>
          <w:u w:val="single"/>
        </w:rPr>
        <w:t xml:space="preserve"> </w:t>
      </w:r>
    </w:p>
    <w:p w14:paraId="099003FC">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14:paraId="144F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763779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E9419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14:paraId="1945BE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14:paraId="18098F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689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38CB65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6E3CE2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EE081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19E9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CA56D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59B903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A7DA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313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46AA7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6AD649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7F6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6B7FF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63756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B4EB4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BA97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39922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7C70E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4054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263B0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BD2E5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2BE91B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14:paraId="236E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8C85A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CE1EE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2047E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000D7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2AD43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14:paraId="0C35E2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24D7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70FDF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F16D4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14:paraId="2AB4AF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14:paraId="0A55BF81">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32F9088">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14:paraId="17701369">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14:paraId="48E4C3E7">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14:paraId="01879269">
      <w:pPr>
        <w:pStyle w:val="17"/>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42DBD5E">
      <w:pPr>
        <w:pStyle w:val="17"/>
        <w:spacing w:line="360" w:lineRule="auto"/>
        <w:contextualSpacing/>
        <w:rPr>
          <w:rFonts w:hint="eastAsia" w:ascii="宋体" w:hAnsi="宋体" w:eastAsia="宋体" w:cs="宋体"/>
          <w:color w:val="auto"/>
          <w:sz w:val="24"/>
          <w:highlight w:val="none"/>
          <w:lang w:eastAsia="zh-CN"/>
        </w:rPr>
      </w:pPr>
    </w:p>
    <w:p w14:paraId="3A3DB0D9">
      <w:pPr>
        <w:spacing w:line="36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供应商名称（电子签章）：</w:t>
      </w:r>
    </w:p>
    <w:p w14:paraId="2D207E51">
      <w:pPr>
        <w:spacing w:line="360" w:lineRule="auto"/>
        <w:contextualSpacing/>
        <w:jc w:val="center"/>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15612DD">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五、竞标人情况介绍</w:t>
      </w:r>
    </w:p>
    <w:p w14:paraId="7449F6C5">
      <w:pPr>
        <w:snapToGrid w:val="0"/>
        <w:spacing w:line="360" w:lineRule="auto"/>
        <w:ind w:firstLine="602" w:firstLineChars="200"/>
        <w:rPr>
          <w:rFonts w:hint="eastAsia" w:ascii="宋体" w:hAnsi="宋体" w:eastAsia="宋体" w:cs="宋体"/>
          <w:b/>
          <w:color w:val="auto"/>
          <w:sz w:val="30"/>
          <w:szCs w:val="30"/>
          <w:highlight w:val="none"/>
        </w:rPr>
      </w:pPr>
    </w:p>
    <w:p w14:paraId="76C6EEA7">
      <w:pPr>
        <w:pStyle w:val="13"/>
        <w:spacing w:line="360" w:lineRule="auto"/>
        <w:rPr>
          <w:rFonts w:hint="eastAsia" w:ascii="宋体" w:hAnsi="宋体" w:eastAsia="宋体" w:cs="宋体"/>
          <w:b/>
          <w:color w:val="auto"/>
          <w:sz w:val="30"/>
          <w:szCs w:val="30"/>
          <w:highlight w:val="none"/>
        </w:rPr>
      </w:pPr>
    </w:p>
    <w:p w14:paraId="35E106FC">
      <w:pPr>
        <w:pStyle w:val="13"/>
        <w:spacing w:line="360" w:lineRule="auto"/>
        <w:rPr>
          <w:rFonts w:hint="eastAsia" w:ascii="仿宋" w:hAnsi="仿宋" w:eastAsia="仿宋" w:cs="仿宋"/>
          <w:b/>
          <w:color w:val="auto"/>
          <w:sz w:val="30"/>
          <w:szCs w:val="30"/>
          <w:highlight w:val="none"/>
        </w:rPr>
      </w:pPr>
    </w:p>
    <w:p w14:paraId="2B1A3910">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46DF2A2C">
      <w:pPr>
        <w:spacing w:line="360" w:lineRule="auto"/>
        <w:ind w:left="0" w:leftChars="0" w:firstLine="6098" w:firstLineChars="2541"/>
        <w:contextualSpacing/>
        <w:jc w:val="both"/>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02CFA214">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7FA8BE8A">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14:paraId="1C4DB3A2">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ED80531">
      <w:pPr>
        <w:tabs>
          <w:tab w:val="left" w:pos="826"/>
        </w:tabs>
        <w:snapToGrid w:val="0"/>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lang w:eastAsia="zh-CN"/>
        </w:rPr>
        <w:t>、建设工程项目管理承诺书</w:t>
      </w:r>
    </w:p>
    <w:p w14:paraId="3F5F6CB4">
      <w:pPr>
        <w:jc w:val="center"/>
        <w:rPr>
          <w:rFonts w:ascii="宋体" w:hAnsi="宋体" w:eastAsia="宋体" w:cs="宋体"/>
          <w:color w:val="auto"/>
          <w:sz w:val="24"/>
          <w:szCs w:val="24"/>
          <w:highlight w:val="none"/>
        </w:rPr>
      </w:pPr>
      <w:r>
        <w:rPr>
          <w:rFonts w:ascii="宋体" w:hAnsi="宋体" w:eastAsia="宋体" w:cs="宋体"/>
          <w:color w:val="auto"/>
          <w:sz w:val="32"/>
          <w:szCs w:val="32"/>
          <w:highlight w:val="none"/>
        </w:rPr>
        <w:t>建设工程项目管理承诺书</w:t>
      </w:r>
    </w:p>
    <w:p w14:paraId="6CF0FB8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4"/>
          <w:szCs w:val="24"/>
          <w:highlight w:val="none"/>
        </w:rPr>
      </w:pPr>
    </w:p>
    <w:p w14:paraId="30B3C6C2">
      <w:pPr>
        <w:pStyle w:val="35"/>
        <w:spacing w:line="480" w:lineRule="auto"/>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致</w:t>
      </w:r>
      <w:r>
        <w:rPr>
          <w:rStyle w:val="29"/>
          <w:rFonts w:hint="eastAsia" w:ascii="宋体" w:hAnsi="宋体" w:eastAsia="宋体" w:cs="宋体"/>
          <w:color w:val="auto"/>
          <w:szCs w:val="21"/>
          <w:highlight w:val="none"/>
          <w:u w:val="single"/>
        </w:rPr>
        <w:t xml:space="preserve">                        </w:t>
      </w:r>
      <w:r>
        <w:rPr>
          <w:rStyle w:val="29"/>
          <w:rFonts w:hint="eastAsia" w:ascii="宋体" w:hAnsi="宋体" w:eastAsia="宋体" w:cs="宋体"/>
          <w:color w:val="auto"/>
          <w:szCs w:val="21"/>
          <w:highlight w:val="none"/>
        </w:rPr>
        <w:t>（</w:t>
      </w:r>
      <w:r>
        <w:rPr>
          <w:rStyle w:val="29"/>
          <w:rFonts w:hint="eastAsia" w:ascii="宋体" w:hAnsi="宋体" w:eastAsia="宋体" w:cs="宋体"/>
          <w:color w:val="auto"/>
          <w:szCs w:val="21"/>
          <w:highlight w:val="none"/>
          <w:lang w:eastAsia="zh-CN"/>
        </w:rPr>
        <w:t>采购人</w:t>
      </w:r>
      <w:r>
        <w:rPr>
          <w:rStyle w:val="29"/>
          <w:rFonts w:hint="eastAsia" w:ascii="宋体" w:hAnsi="宋体" w:eastAsia="宋体" w:cs="宋体"/>
          <w:color w:val="auto"/>
          <w:szCs w:val="21"/>
          <w:highlight w:val="none"/>
        </w:rPr>
        <w:t>名称）：</w:t>
      </w:r>
    </w:p>
    <w:p w14:paraId="5157D7B2">
      <w:pPr>
        <w:pStyle w:val="35"/>
        <w:spacing w:line="520" w:lineRule="exact"/>
        <w:ind w:left="-10" w:firstLine="455" w:firstLineChars="217"/>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作为参与</w:t>
      </w:r>
      <w:r>
        <w:rPr>
          <w:rStyle w:val="29"/>
          <w:rFonts w:hint="eastAsia" w:ascii="宋体" w:hAnsi="宋体" w:eastAsia="宋体" w:cs="宋体"/>
          <w:color w:val="auto"/>
          <w:szCs w:val="21"/>
          <w:highlight w:val="none"/>
          <w:u w:val="single"/>
        </w:rPr>
        <w:t xml:space="preserve">                  </w:t>
      </w:r>
      <w:r>
        <w:rPr>
          <w:rStyle w:val="29"/>
          <w:rFonts w:hint="eastAsia" w:ascii="宋体" w:hAnsi="宋体" w:eastAsia="宋体" w:cs="宋体"/>
          <w:color w:val="auto"/>
          <w:szCs w:val="21"/>
          <w:highlight w:val="none"/>
        </w:rPr>
        <w:t>（工程名称）项目的投标方，根据国家、自治区相关文件规定，我方在此向招标人承诺：</w:t>
      </w:r>
    </w:p>
    <w:p w14:paraId="4CDA4106">
      <w:pPr>
        <w:pStyle w:val="35"/>
        <w:spacing w:line="520" w:lineRule="exact"/>
        <w:ind w:left="-10" w:firstLine="455" w:firstLineChars="217"/>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1、一旦中标，我方保证按照政府相关部门的规定，在中标后7个工作日内，按照《保障农民工工资支付条例》规定及广西壮族自治区有关规定开设农民工工资专用账户，并按</w:t>
      </w:r>
      <w:r>
        <w:rPr>
          <w:rStyle w:val="29"/>
          <w:rFonts w:hint="eastAsia" w:ascii="宋体" w:hAnsi="宋体" w:eastAsia="宋体" w:cs="宋体"/>
          <w:color w:val="auto"/>
          <w:szCs w:val="21"/>
          <w:highlight w:val="none"/>
          <w:u w:val="single"/>
        </w:rPr>
        <w:t>要求</w:t>
      </w:r>
      <w:r>
        <w:rPr>
          <w:rStyle w:val="29"/>
          <w:rFonts w:hint="eastAsia" w:ascii="宋体" w:hAnsi="宋体" w:eastAsia="宋体" w:cs="宋体"/>
          <w:color w:val="auto"/>
          <w:szCs w:val="21"/>
          <w:highlight w:val="none"/>
        </w:rPr>
        <w:t>比例将农民工工资保证金存入帐户，专项用于支付本工程提供劳动的农民工被拖欠的工资。按照与农民工依法约定的工资支付周期和具体支付日期支付工资，保证每月至少向农民工足额支付一次工资。</w:t>
      </w:r>
    </w:p>
    <w:p w14:paraId="655DDFA8">
      <w:pPr>
        <w:pStyle w:val="35"/>
        <w:spacing w:line="520" w:lineRule="exact"/>
        <w:ind w:left="-10" w:firstLine="455" w:firstLineChars="217"/>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204DA18F">
      <w:pPr>
        <w:pStyle w:val="35"/>
        <w:spacing w:line="520" w:lineRule="exact"/>
        <w:ind w:left="-2" w:leftChars="-1" w:firstLine="449" w:firstLineChars="214"/>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C4AAD3A">
      <w:pPr>
        <w:pStyle w:val="35"/>
        <w:spacing w:line="520" w:lineRule="exact"/>
        <w:ind w:left="-10" w:firstLine="455" w:firstLineChars="217"/>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4726647">
      <w:pPr>
        <w:pStyle w:val="35"/>
        <w:spacing w:line="520" w:lineRule="exact"/>
        <w:ind w:left="-10" w:firstLine="455" w:firstLineChars="217"/>
        <w:jc w:val="left"/>
        <w:rPr>
          <w:rStyle w:val="29"/>
          <w:rFonts w:hint="eastAsia" w:ascii="宋体" w:hAnsi="宋体" w:eastAsia="宋体" w:cs="宋体"/>
          <w:color w:val="auto"/>
          <w:szCs w:val="21"/>
          <w:highlight w:val="none"/>
        </w:rPr>
      </w:pPr>
      <w:r>
        <w:rPr>
          <w:rStyle w:val="29"/>
          <w:rFonts w:hint="eastAsia" w:ascii="宋体" w:hAnsi="宋体" w:eastAsia="宋体" w:cs="宋体"/>
          <w:color w:val="auto"/>
          <w:szCs w:val="21"/>
          <w:highlight w:val="none"/>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2100B278">
      <w:pPr>
        <w:pStyle w:val="35"/>
        <w:spacing w:line="520" w:lineRule="exact"/>
        <w:ind w:left="-10" w:firstLine="455" w:firstLineChars="217"/>
        <w:jc w:val="left"/>
        <w:rPr>
          <w:rStyle w:val="29"/>
          <w:rFonts w:hint="eastAsia" w:ascii="宋体" w:hAnsi="宋体" w:eastAsia="宋体" w:cs="宋体"/>
          <w:color w:val="auto"/>
          <w:szCs w:val="21"/>
          <w:highlight w:val="none"/>
        </w:rPr>
      </w:pPr>
    </w:p>
    <w:p w14:paraId="76E7BEE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492686">
      <w:pPr>
        <w:snapToGrid w:val="0"/>
        <w:spacing w:before="120" w:beforeLines="50" w:after="50" w:line="360" w:lineRule="auto"/>
        <w:ind w:firstLine="6000" w:firstLineChars="2500"/>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  年  月   日</w:t>
      </w:r>
    </w:p>
    <w:p w14:paraId="3BD09EC3">
      <w:pPr>
        <w:pStyle w:val="49"/>
        <w:spacing w:line="420" w:lineRule="exact"/>
        <w:ind w:firstLine="4800" w:firstLineChars="2000"/>
        <w:rPr>
          <w:rFonts w:hint="eastAsia" w:ascii="宋体" w:hAnsi="宋体" w:cs="Arial"/>
          <w:color w:val="auto"/>
          <w:sz w:val="24"/>
          <w:szCs w:val="24"/>
          <w:highlight w:val="none"/>
        </w:rPr>
      </w:pPr>
    </w:p>
    <w:p w14:paraId="03BF8EEB">
      <w:pPr>
        <w:tabs>
          <w:tab w:val="left" w:pos="826"/>
        </w:tabs>
        <w:snapToGrid w:val="0"/>
        <w:ind w:firstLine="602" w:firstLineChars="200"/>
        <w:rPr>
          <w:rFonts w:hint="eastAsia" w:ascii="仿宋" w:hAnsi="仿宋" w:eastAsia="仿宋" w:cs="仿宋"/>
          <w:b/>
          <w:color w:val="auto"/>
          <w:sz w:val="30"/>
          <w:szCs w:val="30"/>
          <w:highlight w:val="none"/>
          <w:lang w:eastAsia="zh-CN"/>
        </w:rPr>
      </w:pPr>
    </w:p>
    <w:p w14:paraId="5AD52644">
      <w:pPr>
        <w:tabs>
          <w:tab w:val="left" w:pos="826"/>
        </w:tabs>
        <w:snapToGrid w:val="0"/>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供应商类似业绩的证明文件</w:t>
      </w:r>
    </w:p>
    <w:p w14:paraId="37136DF2">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14:paraId="44B09767">
      <w:pPr>
        <w:pStyle w:val="13"/>
        <w:rPr>
          <w:color w:val="auto"/>
          <w:highlight w:val="none"/>
        </w:rPr>
      </w:pPr>
    </w:p>
    <w:tbl>
      <w:tblPr>
        <w:tblStyle w:val="27"/>
        <w:tblW w:w="7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14:paraId="29F8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E8D8F4A">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FBB09FD">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29E004B">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14:paraId="239690AD">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F6362FE">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CB42D21">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14:paraId="6B7E52E3">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14:paraId="3667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4666F6A">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08BF0BB">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E526375">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C05A624">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013522B">
            <w:pPr>
              <w:jc w:val="center"/>
              <w:rPr>
                <w:rFonts w:ascii="宋体" w:hAnsi="宋体"/>
                <w:color w:val="auto"/>
                <w:sz w:val="24"/>
                <w:szCs w:val="24"/>
                <w:highlight w:val="none"/>
              </w:rPr>
            </w:pPr>
          </w:p>
        </w:tc>
      </w:tr>
      <w:tr w14:paraId="0607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9143D36">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20D7019">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3533E4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6B40BDE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6D3971E">
            <w:pPr>
              <w:jc w:val="center"/>
              <w:rPr>
                <w:rFonts w:ascii="宋体" w:hAnsi="宋体"/>
                <w:color w:val="auto"/>
                <w:sz w:val="24"/>
                <w:szCs w:val="24"/>
                <w:highlight w:val="none"/>
              </w:rPr>
            </w:pPr>
          </w:p>
        </w:tc>
      </w:tr>
      <w:tr w14:paraId="2F79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5D22D43">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C7B5BCE">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5F5D27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BA05EB6">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7B44156">
            <w:pPr>
              <w:jc w:val="center"/>
              <w:rPr>
                <w:rFonts w:ascii="宋体" w:hAnsi="宋体"/>
                <w:color w:val="auto"/>
                <w:sz w:val="24"/>
                <w:szCs w:val="24"/>
                <w:highlight w:val="none"/>
              </w:rPr>
            </w:pPr>
          </w:p>
        </w:tc>
      </w:tr>
      <w:tr w14:paraId="0660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A2A1C0D">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E1FE155">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C18C223">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70FB4E7D">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061821">
            <w:pPr>
              <w:jc w:val="center"/>
              <w:rPr>
                <w:rFonts w:ascii="宋体" w:hAnsi="宋体"/>
                <w:color w:val="auto"/>
                <w:sz w:val="24"/>
                <w:szCs w:val="24"/>
                <w:highlight w:val="none"/>
              </w:rPr>
            </w:pPr>
          </w:p>
        </w:tc>
      </w:tr>
      <w:tr w14:paraId="2F81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9B135FF">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4382487">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AF529B9">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ECE05C3">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41EF938">
            <w:pPr>
              <w:jc w:val="center"/>
              <w:rPr>
                <w:rFonts w:ascii="宋体" w:hAnsi="宋体"/>
                <w:color w:val="auto"/>
                <w:sz w:val="24"/>
                <w:szCs w:val="24"/>
                <w:highlight w:val="none"/>
              </w:rPr>
            </w:pPr>
          </w:p>
        </w:tc>
      </w:tr>
      <w:tr w14:paraId="02A0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5613871">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1D431FB">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CED7306">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0D1F22F">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8BF50A7">
            <w:pPr>
              <w:jc w:val="center"/>
              <w:rPr>
                <w:rFonts w:ascii="宋体" w:hAnsi="宋体"/>
                <w:color w:val="auto"/>
                <w:sz w:val="24"/>
                <w:szCs w:val="24"/>
                <w:highlight w:val="none"/>
              </w:rPr>
            </w:pPr>
          </w:p>
        </w:tc>
      </w:tr>
      <w:tr w14:paraId="1601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FDF1029">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6B04DF1">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EF9BE1F">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22F59ED6">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ABAEE32">
            <w:pPr>
              <w:jc w:val="center"/>
              <w:rPr>
                <w:rFonts w:ascii="宋体" w:hAnsi="宋体"/>
                <w:color w:val="auto"/>
                <w:sz w:val="24"/>
                <w:szCs w:val="24"/>
                <w:highlight w:val="none"/>
              </w:rPr>
            </w:pPr>
          </w:p>
        </w:tc>
      </w:tr>
    </w:tbl>
    <w:p w14:paraId="7383AA86">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14:paraId="614AB5D4">
      <w:pPr>
        <w:ind w:firstLine="720" w:firstLineChars="300"/>
        <w:rPr>
          <w:rFonts w:ascii="宋体" w:hAnsi="宋体"/>
          <w:color w:val="auto"/>
          <w:sz w:val="24"/>
          <w:szCs w:val="24"/>
          <w:highlight w:val="none"/>
        </w:rPr>
      </w:pPr>
      <w:bookmarkStart w:id="162"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color w:val="auto"/>
          <w:sz w:val="24"/>
          <w:szCs w:val="24"/>
          <w:highlight w:val="none"/>
        </w:rPr>
        <w:t>附以上类似工程的</w:t>
      </w:r>
      <w:r>
        <w:rPr>
          <w:rFonts w:hint="eastAsia" w:ascii="宋体" w:hAnsi="宋体" w:eastAsia="宋体" w:cs="Tahoma"/>
          <w:color w:val="auto"/>
          <w:kern w:val="0"/>
          <w:sz w:val="24"/>
          <w:szCs w:val="24"/>
          <w:highlight w:val="none"/>
          <w:lang w:val="en-US" w:eastAsia="zh-CN"/>
        </w:rPr>
        <w:t>中标（</w:t>
      </w:r>
      <w:r>
        <w:rPr>
          <w:rFonts w:ascii="宋体" w:hAnsi="宋体" w:eastAsia="宋体" w:cs="Tahoma"/>
          <w:color w:val="auto"/>
          <w:kern w:val="0"/>
          <w:sz w:val="24"/>
          <w:szCs w:val="24"/>
          <w:highlight w:val="none"/>
        </w:rPr>
        <w:t>成交</w:t>
      </w:r>
      <w:r>
        <w:rPr>
          <w:rFonts w:hint="eastAsia" w:ascii="宋体" w:hAnsi="宋体" w:eastAsia="宋体" w:cs="Tahoma"/>
          <w:color w:val="auto"/>
          <w:kern w:val="0"/>
          <w:sz w:val="24"/>
          <w:szCs w:val="24"/>
          <w:highlight w:val="none"/>
          <w:lang w:eastAsia="zh-CN"/>
        </w:rPr>
        <w:t>）</w:t>
      </w:r>
      <w:r>
        <w:rPr>
          <w:rFonts w:hint="eastAsia" w:ascii="宋体" w:hAnsi="宋体" w:eastAsia="宋体" w:cs="楷体_GB2312"/>
          <w:color w:val="auto"/>
          <w:sz w:val="24"/>
          <w:szCs w:val="24"/>
          <w:highlight w:val="none"/>
        </w:rPr>
        <w:t>通知书或工程合同</w:t>
      </w:r>
      <w:r>
        <w:rPr>
          <w:rFonts w:hint="eastAsia" w:ascii="宋体" w:hAnsi="宋体" w:cs="楷体_GB2312"/>
          <w:color w:val="auto"/>
          <w:sz w:val="24"/>
          <w:szCs w:val="24"/>
          <w:highlight w:val="none"/>
        </w:rPr>
        <w:t>。</w:t>
      </w:r>
    </w:p>
    <w:bookmarkEnd w:id="162"/>
    <w:p w14:paraId="74685BC1">
      <w:pPr>
        <w:jc w:val="center"/>
        <w:rPr>
          <w:rFonts w:ascii="宋体" w:hAnsi="宋体"/>
          <w:color w:val="auto"/>
          <w:sz w:val="24"/>
          <w:szCs w:val="24"/>
          <w:highlight w:val="none"/>
        </w:rPr>
      </w:pPr>
    </w:p>
    <w:p w14:paraId="45FA3F03">
      <w:pPr>
        <w:widowControl/>
        <w:tabs>
          <w:tab w:val="center" w:pos="4153"/>
          <w:tab w:val="right" w:pos="8306"/>
        </w:tabs>
        <w:snapToGrid w:val="0"/>
        <w:jc w:val="left"/>
        <w:rPr>
          <w:rFonts w:ascii="宋体" w:hAnsi="宋体"/>
          <w:color w:val="auto"/>
          <w:kern w:val="0"/>
          <w:sz w:val="24"/>
          <w:szCs w:val="24"/>
          <w:highlight w:val="none"/>
        </w:rPr>
      </w:pPr>
    </w:p>
    <w:p w14:paraId="779F3EFC">
      <w:pPr>
        <w:widowControl/>
        <w:tabs>
          <w:tab w:val="center" w:pos="4153"/>
          <w:tab w:val="right" w:pos="8306"/>
        </w:tabs>
        <w:snapToGrid w:val="0"/>
        <w:jc w:val="left"/>
        <w:rPr>
          <w:rFonts w:ascii="宋体" w:hAnsi="宋体"/>
          <w:color w:val="auto"/>
          <w:kern w:val="0"/>
          <w:sz w:val="24"/>
          <w:szCs w:val="24"/>
          <w:highlight w:val="none"/>
        </w:rPr>
      </w:pPr>
    </w:p>
    <w:p w14:paraId="3AC87C7C">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277F1687">
      <w:pPr>
        <w:snapToGrid w:val="0"/>
        <w:spacing w:before="120" w:beforeLines="50" w:after="50" w:line="360" w:lineRule="auto"/>
        <w:ind w:firstLine="6720" w:firstLineChars="28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031CB12E">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2121A97">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C69B7E4">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53D75140">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143AEB4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71FA1969">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14:paraId="32B7ACC0">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14:paraId="671B4000">
      <w:pPr>
        <w:pStyle w:val="23"/>
        <w:snapToGrid w:val="0"/>
        <w:spacing w:line="360" w:lineRule="auto"/>
        <w:ind w:left="480" w:hanging="480"/>
        <w:rPr>
          <w:rFonts w:hint="eastAsia" w:ascii="宋体" w:hAnsi="宋体" w:eastAsia="宋体" w:cs="宋体"/>
          <w:color w:val="auto"/>
          <w:sz w:val="24"/>
          <w:highlight w:val="none"/>
        </w:rPr>
      </w:pPr>
    </w:p>
    <w:p w14:paraId="6CECD2B2">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、供应商认为需要提供的其他有关资料</w:t>
      </w:r>
    </w:p>
    <w:p w14:paraId="2E7B24E2">
      <w:pPr>
        <w:jc w:val="center"/>
        <w:rPr>
          <w:rFonts w:hint="eastAsia" w:ascii="仿宋" w:hAnsi="仿宋" w:eastAsia="仿宋" w:cs="仿宋"/>
          <w:b/>
          <w:color w:val="auto"/>
          <w:sz w:val="30"/>
          <w:szCs w:val="30"/>
          <w:highlight w:val="none"/>
        </w:rPr>
      </w:pPr>
    </w:p>
    <w:p w14:paraId="5C5BEAB3">
      <w:pPr>
        <w:jc w:val="center"/>
        <w:rPr>
          <w:rFonts w:hint="eastAsia" w:ascii="仿宋" w:hAnsi="仿宋" w:eastAsia="仿宋" w:cs="仿宋"/>
          <w:b/>
          <w:color w:val="auto"/>
          <w:sz w:val="30"/>
          <w:szCs w:val="30"/>
          <w:highlight w:val="none"/>
        </w:rPr>
      </w:pPr>
    </w:p>
    <w:p w14:paraId="0EEE6377">
      <w:pPr>
        <w:jc w:val="center"/>
        <w:rPr>
          <w:rFonts w:hint="eastAsia" w:ascii="仿宋" w:hAnsi="仿宋" w:eastAsia="仿宋" w:cs="仿宋"/>
          <w:b/>
          <w:color w:val="auto"/>
          <w:sz w:val="30"/>
          <w:szCs w:val="30"/>
          <w:highlight w:val="none"/>
        </w:rPr>
      </w:pPr>
    </w:p>
    <w:p w14:paraId="33ADD224">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46899C5D">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  年  月   日</w:t>
      </w:r>
    </w:p>
    <w:p w14:paraId="771EFC3D">
      <w:pPr>
        <w:jc w:val="center"/>
        <w:rPr>
          <w:rFonts w:hint="eastAsia" w:ascii="宋体" w:hAnsi="宋体" w:cs="宋体"/>
          <w:b/>
          <w:color w:val="auto"/>
          <w:sz w:val="30"/>
          <w:szCs w:val="30"/>
          <w:highlight w:val="none"/>
        </w:rPr>
      </w:pPr>
    </w:p>
    <w:p w14:paraId="6895A8C8">
      <w:pPr>
        <w:jc w:val="center"/>
        <w:rPr>
          <w:rFonts w:hint="eastAsia" w:ascii="宋体" w:hAnsi="宋体" w:cs="宋体"/>
          <w:b/>
          <w:color w:val="auto"/>
          <w:sz w:val="30"/>
          <w:szCs w:val="30"/>
          <w:highlight w:val="none"/>
        </w:rPr>
      </w:pPr>
    </w:p>
    <w:p w14:paraId="30ACE8A4">
      <w:pPr>
        <w:jc w:val="center"/>
        <w:rPr>
          <w:rFonts w:hint="eastAsia" w:ascii="宋体" w:hAnsi="宋体" w:cs="宋体"/>
          <w:b/>
          <w:color w:val="auto"/>
          <w:sz w:val="30"/>
          <w:szCs w:val="30"/>
          <w:highlight w:val="none"/>
        </w:rPr>
      </w:pPr>
    </w:p>
    <w:p w14:paraId="646C22DC">
      <w:pPr>
        <w:jc w:val="center"/>
        <w:rPr>
          <w:rFonts w:hint="eastAsia" w:ascii="宋体" w:hAnsi="宋体" w:cs="宋体"/>
          <w:b/>
          <w:color w:val="auto"/>
          <w:sz w:val="30"/>
          <w:szCs w:val="30"/>
          <w:highlight w:val="none"/>
        </w:rPr>
      </w:pPr>
    </w:p>
    <w:p w14:paraId="15B951F7">
      <w:pPr>
        <w:pStyle w:val="42"/>
        <w:rPr>
          <w:rFonts w:hint="eastAsia" w:ascii="宋体" w:hAnsi="宋体" w:cs="宋体"/>
          <w:b/>
          <w:color w:val="auto"/>
          <w:sz w:val="30"/>
          <w:szCs w:val="30"/>
          <w:highlight w:val="none"/>
        </w:rPr>
      </w:pPr>
    </w:p>
    <w:p w14:paraId="5C8A6446">
      <w:pPr>
        <w:pStyle w:val="42"/>
        <w:rPr>
          <w:rFonts w:hint="eastAsia" w:ascii="宋体" w:hAnsi="宋体" w:cs="宋体"/>
          <w:b/>
          <w:color w:val="auto"/>
          <w:sz w:val="30"/>
          <w:szCs w:val="30"/>
          <w:highlight w:val="none"/>
        </w:rPr>
      </w:pPr>
    </w:p>
    <w:p w14:paraId="1153339D">
      <w:pPr>
        <w:pStyle w:val="42"/>
        <w:rPr>
          <w:rFonts w:hint="eastAsia" w:ascii="宋体" w:hAnsi="宋体" w:cs="宋体"/>
          <w:b/>
          <w:color w:val="auto"/>
          <w:sz w:val="30"/>
          <w:szCs w:val="30"/>
          <w:highlight w:val="none"/>
        </w:rPr>
      </w:pPr>
    </w:p>
    <w:p w14:paraId="5B107095">
      <w:pPr>
        <w:pStyle w:val="42"/>
        <w:rPr>
          <w:rFonts w:hint="eastAsia" w:ascii="宋体" w:hAnsi="宋体" w:cs="宋体"/>
          <w:b/>
          <w:color w:val="auto"/>
          <w:sz w:val="30"/>
          <w:szCs w:val="30"/>
          <w:highlight w:val="none"/>
        </w:rPr>
      </w:pPr>
    </w:p>
    <w:p w14:paraId="4B372173">
      <w:pPr>
        <w:pStyle w:val="42"/>
        <w:rPr>
          <w:rFonts w:hint="eastAsia" w:ascii="宋体" w:hAnsi="宋体" w:cs="宋体"/>
          <w:b/>
          <w:color w:val="auto"/>
          <w:sz w:val="30"/>
          <w:szCs w:val="30"/>
          <w:highlight w:val="none"/>
        </w:rPr>
      </w:pPr>
    </w:p>
    <w:p w14:paraId="117F245D">
      <w:pPr>
        <w:pStyle w:val="42"/>
        <w:rPr>
          <w:rFonts w:hint="eastAsia" w:ascii="宋体" w:hAnsi="宋体" w:cs="宋体"/>
          <w:b/>
          <w:color w:val="auto"/>
          <w:sz w:val="30"/>
          <w:szCs w:val="30"/>
          <w:highlight w:val="none"/>
        </w:rPr>
      </w:pPr>
    </w:p>
    <w:p w14:paraId="010DAA28">
      <w:pPr>
        <w:pStyle w:val="42"/>
        <w:rPr>
          <w:rFonts w:hint="eastAsia" w:ascii="宋体" w:hAnsi="宋体" w:cs="宋体"/>
          <w:b/>
          <w:color w:val="auto"/>
          <w:sz w:val="30"/>
          <w:szCs w:val="30"/>
          <w:highlight w:val="none"/>
        </w:rPr>
      </w:pPr>
    </w:p>
    <w:p w14:paraId="6DD3C1FA">
      <w:pPr>
        <w:pStyle w:val="42"/>
        <w:rPr>
          <w:rFonts w:hint="eastAsia" w:ascii="宋体" w:hAnsi="宋体" w:cs="宋体"/>
          <w:b/>
          <w:color w:val="auto"/>
          <w:sz w:val="30"/>
          <w:szCs w:val="30"/>
          <w:highlight w:val="none"/>
        </w:rPr>
      </w:pPr>
    </w:p>
    <w:p w14:paraId="55F0A306">
      <w:pPr>
        <w:pStyle w:val="42"/>
        <w:rPr>
          <w:rFonts w:hint="eastAsia" w:ascii="宋体" w:hAnsi="宋体" w:cs="宋体"/>
          <w:b/>
          <w:color w:val="auto"/>
          <w:sz w:val="30"/>
          <w:szCs w:val="30"/>
          <w:highlight w:val="none"/>
        </w:rPr>
      </w:pPr>
    </w:p>
    <w:p w14:paraId="1D5979D6">
      <w:pPr>
        <w:pStyle w:val="42"/>
        <w:rPr>
          <w:rFonts w:hint="eastAsia" w:ascii="宋体" w:hAnsi="宋体" w:cs="宋体"/>
          <w:b/>
          <w:color w:val="auto"/>
          <w:sz w:val="30"/>
          <w:szCs w:val="30"/>
          <w:highlight w:val="none"/>
        </w:rPr>
      </w:pPr>
    </w:p>
    <w:p w14:paraId="3E33BFC1">
      <w:pPr>
        <w:pStyle w:val="42"/>
        <w:rPr>
          <w:rFonts w:hint="eastAsia" w:ascii="宋体" w:hAnsi="宋体" w:cs="宋体"/>
          <w:b/>
          <w:color w:val="auto"/>
          <w:sz w:val="30"/>
          <w:szCs w:val="30"/>
          <w:highlight w:val="none"/>
        </w:rPr>
      </w:pPr>
    </w:p>
    <w:p w14:paraId="39D1E6EC">
      <w:pPr>
        <w:pStyle w:val="42"/>
        <w:rPr>
          <w:rFonts w:hint="eastAsia" w:ascii="宋体" w:hAnsi="宋体" w:cs="宋体"/>
          <w:b/>
          <w:color w:val="auto"/>
          <w:sz w:val="30"/>
          <w:szCs w:val="30"/>
          <w:highlight w:val="none"/>
        </w:rPr>
      </w:pPr>
    </w:p>
    <w:p w14:paraId="76B2FF1E">
      <w:pPr>
        <w:pStyle w:val="42"/>
        <w:rPr>
          <w:rFonts w:hint="eastAsia" w:ascii="宋体" w:hAnsi="宋体" w:cs="宋体"/>
          <w:b/>
          <w:color w:val="auto"/>
          <w:sz w:val="30"/>
          <w:szCs w:val="30"/>
          <w:highlight w:val="none"/>
        </w:rPr>
      </w:pPr>
    </w:p>
    <w:p w14:paraId="0880B8C3">
      <w:pPr>
        <w:pStyle w:val="42"/>
        <w:rPr>
          <w:rFonts w:hint="eastAsia" w:ascii="宋体" w:hAnsi="宋体" w:cs="宋体"/>
          <w:b/>
          <w:color w:val="auto"/>
          <w:sz w:val="30"/>
          <w:szCs w:val="30"/>
          <w:highlight w:val="none"/>
        </w:rPr>
      </w:pPr>
    </w:p>
    <w:p w14:paraId="114467AF">
      <w:pPr>
        <w:pStyle w:val="42"/>
        <w:rPr>
          <w:rFonts w:hint="eastAsia" w:ascii="宋体" w:hAnsi="宋体" w:cs="宋体"/>
          <w:b/>
          <w:color w:val="auto"/>
          <w:sz w:val="30"/>
          <w:szCs w:val="30"/>
          <w:highlight w:val="none"/>
        </w:rPr>
      </w:pPr>
    </w:p>
    <w:p w14:paraId="6D5F9B6F">
      <w:pPr>
        <w:pStyle w:val="42"/>
        <w:rPr>
          <w:rFonts w:hint="eastAsia" w:ascii="宋体" w:hAnsi="宋体" w:cs="宋体"/>
          <w:b/>
          <w:color w:val="auto"/>
          <w:sz w:val="30"/>
          <w:szCs w:val="30"/>
          <w:highlight w:val="none"/>
        </w:rPr>
      </w:pPr>
    </w:p>
    <w:p w14:paraId="6C0295E1">
      <w:pPr>
        <w:pStyle w:val="42"/>
        <w:rPr>
          <w:rFonts w:hint="eastAsia" w:ascii="宋体" w:hAnsi="宋体" w:cs="宋体"/>
          <w:b/>
          <w:color w:val="auto"/>
          <w:sz w:val="30"/>
          <w:szCs w:val="30"/>
          <w:highlight w:val="none"/>
        </w:rPr>
      </w:pPr>
    </w:p>
    <w:p w14:paraId="1A44206A">
      <w:pPr>
        <w:pStyle w:val="42"/>
        <w:rPr>
          <w:rFonts w:hint="eastAsia" w:ascii="宋体" w:hAnsi="宋体" w:cs="宋体"/>
          <w:b/>
          <w:color w:val="auto"/>
          <w:sz w:val="30"/>
          <w:szCs w:val="30"/>
          <w:highlight w:val="none"/>
        </w:rPr>
      </w:pPr>
    </w:p>
    <w:p w14:paraId="659B4E75">
      <w:pPr>
        <w:pStyle w:val="42"/>
        <w:rPr>
          <w:rFonts w:hint="eastAsia" w:ascii="宋体" w:hAnsi="宋体" w:cs="宋体"/>
          <w:b/>
          <w:color w:val="auto"/>
          <w:sz w:val="30"/>
          <w:szCs w:val="30"/>
          <w:highlight w:val="none"/>
        </w:rPr>
      </w:pPr>
    </w:p>
    <w:p w14:paraId="7C74A985">
      <w:pPr>
        <w:pStyle w:val="42"/>
        <w:rPr>
          <w:rFonts w:hint="eastAsia" w:ascii="宋体" w:hAnsi="宋体" w:cs="宋体"/>
          <w:b/>
          <w:color w:val="auto"/>
          <w:sz w:val="30"/>
          <w:szCs w:val="30"/>
          <w:highlight w:val="none"/>
        </w:rPr>
      </w:pPr>
    </w:p>
    <w:p w14:paraId="7F1B35E6">
      <w:pPr>
        <w:pStyle w:val="42"/>
        <w:rPr>
          <w:rFonts w:hint="eastAsia" w:ascii="宋体" w:hAnsi="宋体" w:cs="宋体"/>
          <w:b/>
          <w:color w:val="auto"/>
          <w:sz w:val="30"/>
          <w:szCs w:val="30"/>
          <w:highlight w:val="none"/>
        </w:rPr>
      </w:pPr>
    </w:p>
    <w:p w14:paraId="331D3EDE">
      <w:pPr>
        <w:pStyle w:val="42"/>
        <w:rPr>
          <w:rFonts w:hint="eastAsia" w:ascii="宋体" w:hAnsi="宋体" w:cs="宋体"/>
          <w:b/>
          <w:color w:val="auto"/>
          <w:sz w:val="30"/>
          <w:szCs w:val="30"/>
          <w:highlight w:val="none"/>
        </w:rPr>
      </w:pPr>
    </w:p>
    <w:p w14:paraId="4F993632">
      <w:pPr>
        <w:pStyle w:val="42"/>
        <w:rPr>
          <w:rFonts w:hint="eastAsia" w:ascii="宋体" w:hAnsi="宋体" w:cs="宋体"/>
          <w:b/>
          <w:color w:val="auto"/>
          <w:sz w:val="30"/>
          <w:szCs w:val="30"/>
          <w:highlight w:val="none"/>
        </w:rPr>
      </w:pPr>
    </w:p>
    <w:p w14:paraId="7DFD5B6C">
      <w:pPr>
        <w:jc w:val="both"/>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lang w:eastAsia="zh-CN"/>
        </w:rPr>
        <w:t>、技术需求偏离表</w:t>
      </w:r>
    </w:p>
    <w:p w14:paraId="02462CFB">
      <w:pPr>
        <w:jc w:val="center"/>
        <w:rPr>
          <w:rFonts w:hint="eastAsia" w:ascii="宋体" w:hAnsi="宋体" w:cs="宋体"/>
          <w:b/>
          <w:color w:val="auto"/>
          <w:sz w:val="30"/>
          <w:szCs w:val="30"/>
          <w:highlight w:val="none"/>
          <w:lang w:eastAsia="zh-CN"/>
        </w:rPr>
      </w:pPr>
    </w:p>
    <w:p w14:paraId="051EAEE0">
      <w:pPr>
        <w:spacing w:line="360" w:lineRule="auto"/>
        <w:jc w:val="center"/>
        <w:rPr>
          <w:rFonts w:hint="eastAsia" w:ascii="宋体" w:hAnsi="宋体" w:eastAsia="宋体" w:cs="宋体"/>
          <w:bCs/>
          <w:color w:val="auto"/>
          <w:sz w:val="36"/>
          <w:szCs w:val="36"/>
          <w:highlight w:val="none"/>
        </w:rPr>
      </w:pPr>
      <w:r>
        <w:rPr>
          <w:rFonts w:hint="eastAsia" w:ascii="方正小标宋简体" w:hAnsi="方正小标宋简体" w:eastAsia="方正小标宋简体" w:cs="方正小标宋简体"/>
          <w:bCs/>
          <w:color w:val="auto"/>
          <w:sz w:val="44"/>
          <w:szCs w:val="44"/>
          <w:highlight w:val="none"/>
          <w:lang w:eastAsia="zh-CN"/>
        </w:rPr>
        <w:t>技术</w:t>
      </w:r>
      <w:r>
        <w:rPr>
          <w:rFonts w:hint="eastAsia" w:ascii="方正小标宋简体" w:hAnsi="方正小标宋简体" w:eastAsia="方正小标宋简体" w:cs="方正小标宋简体"/>
          <w:bCs/>
          <w:color w:val="auto"/>
          <w:sz w:val="44"/>
          <w:szCs w:val="44"/>
          <w:highlight w:val="none"/>
        </w:rPr>
        <w:t>需求偏离表</w:t>
      </w:r>
    </w:p>
    <w:p w14:paraId="3B948538">
      <w:pPr>
        <w:pStyle w:val="12"/>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7"/>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14:paraId="0B08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CD174C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14:paraId="4D60F663">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14:paraId="0B7A1174">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14:paraId="489231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39A0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14:paraId="018E6CE9">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14:paraId="6FF8EDAB">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A891862">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EA596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D3B950A">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08AC76B">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5CFD3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14:paraId="435D21C3">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14:paraId="120B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5E39E1C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2BC381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66778D7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674C5B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A01ABC8">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824513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4C4537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64A3C8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2172EB9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CDD983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F7DD49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4CF489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0AC54715">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A47D1BA">
            <w:pPr>
              <w:pageBreakBefore w:val="0"/>
              <w:kinsoku/>
              <w:overflowPunct/>
              <w:topLinePunct w:val="0"/>
              <w:bidi w:val="0"/>
              <w:spacing w:line="360" w:lineRule="auto"/>
              <w:rPr>
                <w:rFonts w:hint="eastAsia" w:ascii="宋体" w:hAnsi="宋体" w:eastAsia="宋体" w:cs="宋体"/>
                <w:color w:val="auto"/>
                <w:szCs w:val="21"/>
                <w:highlight w:val="none"/>
              </w:rPr>
            </w:pPr>
          </w:p>
        </w:tc>
      </w:tr>
      <w:tr w14:paraId="4A6B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694C5D9D">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2FFECDB4">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6A9C0C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3435CD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3EEAE33">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7F4575C">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84A937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4305B8E">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4F557256">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3EFED2A">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C72E89F">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8A6581">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3A1B807">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3BF9D220">
            <w:pPr>
              <w:pageBreakBefore w:val="0"/>
              <w:kinsoku/>
              <w:overflowPunct/>
              <w:topLinePunct w:val="0"/>
              <w:bidi w:val="0"/>
              <w:spacing w:line="360" w:lineRule="auto"/>
              <w:rPr>
                <w:rFonts w:hint="eastAsia" w:ascii="宋体" w:hAnsi="宋体" w:eastAsia="宋体" w:cs="宋体"/>
                <w:color w:val="auto"/>
                <w:szCs w:val="21"/>
                <w:highlight w:val="none"/>
              </w:rPr>
            </w:pPr>
          </w:p>
        </w:tc>
      </w:tr>
      <w:tr w14:paraId="0BEE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14:paraId="177A40E2">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7AC30C60">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CB778C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9BD728D">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25CB9CF">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155BF006">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38661F4">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5A7F5BA">
            <w:pPr>
              <w:pageBreakBefore w:val="0"/>
              <w:kinsoku/>
              <w:overflowPunct/>
              <w:topLinePunct w:val="0"/>
              <w:bidi w:val="0"/>
              <w:spacing w:line="360" w:lineRule="auto"/>
              <w:rPr>
                <w:rFonts w:hint="eastAsia" w:ascii="宋体" w:hAnsi="宋体" w:eastAsia="宋体" w:cs="宋体"/>
                <w:color w:val="auto"/>
                <w:szCs w:val="21"/>
                <w:highlight w:val="none"/>
              </w:rPr>
            </w:pPr>
          </w:p>
        </w:tc>
      </w:tr>
    </w:tbl>
    <w:p w14:paraId="688B9770">
      <w:pPr>
        <w:pStyle w:val="12"/>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14:paraId="5D6D8F4F">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062757E6">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14:paraId="5AF3B62E">
      <w:pPr>
        <w:pStyle w:val="14"/>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14:paraId="2741B5DC">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14:paraId="28EF07D5">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02DF49D">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14:paraId="6F962809">
      <w:pPr>
        <w:pageBreakBefore w:val="0"/>
        <w:kinsoku/>
        <w:overflowPunct/>
        <w:topLinePunct w:val="0"/>
        <w:autoSpaceDE w:val="0"/>
        <w:autoSpaceDN w:val="0"/>
        <w:bidi w:val="0"/>
        <w:spacing w:line="360" w:lineRule="auto"/>
        <w:ind w:left="4334" w:leftChars="2064" w:firstLine="720" w:firstLineChars="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06FB10C7">
      <w:pPr>
        <w:pageBreakBefore w:val="0"/>
        <w:kinsoku/>
        <w:overflowPunct/>
        <w:topLinePunct w:val="0"/>
        <w:autoSpaceDE w:val="0"/>
        <w:autoSpaceDN w:val="0"/>
        <w:bidi w:val="0"/>
        <w:spacing w:line="360" w:lineRule="auto"/>
        <w:ind w:firstLine="7440" w:firstLineChars="31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BF202D3">
      <w:pPr>
        <w:jc w:val="center"/>
        <w:rPr>
          <w:rFonts w:hint="eastAsia" w:ascii="宋体" w:hAnsi="宋体" w:cs="宋体"/>
          <w:b/>
          <w:color w:val="auto"/>
          <w:sz w:val="30"/>
          <w:szCs w:val="30"/>
          <w:highlight w:val="none"/>
          <w:lang w:eastAsia="zh-CN"/>
        </w:rPr>
      </w:pPr>
      <w:r>
        <w:rPr>
          <w:rFonts w:hint="eastAsia" w:ascii="仿宋" w:hAnsi="仿宋" w:eastAsia="仿宋" w:cs="仿宋"/>
          <w:b/>
          <w:color w:val="auto"/>
          <w:sz w:val="30"/>
          <w:szCs w:val="30"/>
          <w:highlight w:val="none"/>
          <w:lang w:val="en-US" w:eastAsia="zh-CN"/>
        </w:rPr>
        <w:t>十</w:t>
      </w:r>
      <w:r>
        <w:rPr>
          <w:rFonts w:hint="eastAsia" w:ascii="仿宋" w:hAnsi="仿宋" w:eastAsia="仿宋" w:cs="仿宋"/>
          <w:b/>
          <w:color w:val="auto"/>
          <w:sz w:val="30"/>
          <w:szCs w:val="30"/>
          <w:highlight w:val="none"/>
          <w:lang w:eastAsia="zh-CN"/>
        </w:rPr>
        <w:t>、施工组织设计</w:t>
      </w:r>
    </w:p>
    <w:p w14:paraId="145D05E1">
      <w:pPr>
        <w:autoSpaceDE w:val="0"/>
        <w:autoSpaceDN w:val="0"/>
        <w:spacing w:line="360" w:lineRule="auto"/>
        <w:jc w:val="center"/>
        <w:outlineLvl w:val="9"/>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（格式自拟</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由供应商根据采购需求及采购文件要求编制）</w:t>
      </w:r>
    </w:p>
    <w:p w14:paraId="676A4A30">
      <w:pPr>
        <w:spacing w:line="500" w:lineRule="exact"/>
        <w:rPr>
          <w:rFonts w:ascii="宋体" w:hAnsi="宋体" w:cs="仿宋_GB2312"/>
          <w:color w:val="auto"/>
          <w:sz w:val="32"/>
          <w:szCs w:val="32"/>
          <w:highlight w:val="none"/>
        </w:rPr>
      </w:pPr>
    </w:p>
    <w:p w14:paraId="26054B4B">
      <w:pPr>
        <w:pStyle w:val="50"/>
        <w:rPr>
          <w:color w:val="auto"/>
          <w:highlight w:val="none"/>
        </w:rPr>
      </w:pPr>
    </w:p>
    <w:p w14:paraId="218024AD">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893CE64">
      <w:pPr>
        <w:autoSpaceDE w:val="0"/>
        <w:autoSpaceDN w:val="0"/>
        <w:spacing w:line="360" w:lineRule="auto"/>
        <w:ind w:firstLine="6480" w:firstLineChars="27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lang w:val="zh-CN"/>
        </w:rPr>
        <w:t>日期：  年  月   日</w:t>
      </w:r>
    </w:p>
    <w:p w14:paraId="71590AB1">
      <w:pPr>
        <w:jc w:val="center"/>
        <w:rPr>
          <w:rFonts w:hint="eastAsia" w:ascii="宋体" w:hAnsi="宋体" w:cs="宋体"/>
          <w:b/>
          <w:color w:val="auto"/>
          <w:sz w:val="30"/>
          <w:szCs w:val="30"/>
          <w:highlight w:val="none"/>
          <w:lang w:eastAsia="zh-CN"/>
        </w:rPr>
      </w:pPr>
    </w:p>
    <w:p w14:paraId="5F24B20B">
      <w:pPr>
        <w:jc w:val="center"/>
        <w:rPr>
          <w:rFonts w:hint="eastAsia" w:ascii="宋体" w:hAnsi="宋体" w:cs="宋体"/>
          <w:b/>
          <w:color w:val="auto"/>
          <w:sz w:val="30"/>
          <w:szCs w:val="30"/>
          <w:highlight w:val="none"/>
          <w:lang w:eastAsia="zh-CN"/>
        </w:rPr>
      </w:pPr>
    </w:p>
    <w:p w14:paraId="5D10124F">
      <w:pPr>
        <w:jc w:val="center"/>
        <w:rPr>
          <w:rFonts w:hint="eastAsia" w:ascii="宋体" w:hAnsi="宋体" w:cs="宋体"/>
          <w:b/>
          <w:color w:val="auto"/>
          <w:sz w:val="30"/>
          <w:szCs w:val="30"/>
          <w:highlight w:val="none"/>
          <w:lang w:eastAsia="zh-CN"/>
        </w:rPr>
      </w:pPr>
    </w:p>
    <w:p w14:paraId="7990A5FB">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r>
        <w:rPr>
          <w:rFonts w:hint="eastAsia" w:ascii="仿宋" w:hAnsi="仿宋" w:eastAsia="仿宋" w:cs="仿宋"/>
          <w:b/>
          <w:color w:val="auto"/>
          <w:sz w:val="28"/>
          <w:szCs w:val="28"/>
          <w:highlight w:val="none"/>
          <w:lang w:val="en-US" w:eastAsia="zh-CN"/>
        </w:rPr>
        <w:t>十一</w:t>
      </w:r>
      <w:r>
        <w:rPr>
          <w:rFonts w:hint="eastAsia" w:ascii="仿宋" w:hAnsi="仿宋" w:eastAsia="仿宋" w:cs="仿宋"/>
          <w:b/>
          <w:color w:val="auto"/>
          <w:sz w:val="28"/>
          <w:szCs w:val="28"/>
          <w:highlight w:val="none"/>
        </w:rPr>
        <w:t>、项目管理机构配备情况表</w:t>
      </w:r>
    </w:p>
    <w:p w14:paraId="5D852C9D">
      <w:pPr>
        <w:widowControl/>
        <w:rPr>
          <w:rFonts w:hint="eastAsia" w:ascii="宋体" w:hAnsi="宋体" w:cs="宋体"/>
          <w:color w:val="auto"/>
          <w:szCs w:val="21"/>
          <w:highlight w:val="none"/>
          <w:u w:val="single"/>
        </w:rPr>
      </w:pPr>
    </w:p>
    <w:p w14:paraId="7F859DF3">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：宾阳县横水水库标准化创建工程</w:t>
      </w:r>
    </w:p>
    <w:p w14:paraId="4AC2A730">
      <w:pPr>
        <w:widowControl/>
        <w:ind w:firstLine="210" w:firstLineChars="100"/>
        <w:rPr>
          <w:rFonts w:hint="eastAsia" w:ascii="宋体" w:hAnsi="宋体" w:cs="宋体"/>
          <w:color w:val="auto"/>
          <w:szCs w:val="21"/>
          <w:highlight w:val="none"/>
          <w:u w:val="single"/>
          <w:lang w:val="en-US" w:eastAsia="zh-CN"/>
        </w:rPr>
      </w:pPr>
    </w:p>
    <w:p w14:paraId="42E17FB2">
      <w:pPr>
        <w:widowControl/>
        <w:ind w:firstLine="210" w:firstLineChars="100"/>
        <w:rPr>
          <w:rFonts w:hint="default"/>
          <w:color w:val="auto"/>
          <w:highlight w:val="none"/>
          <w:lang w:val="en-US" w:eastAsia="zh-CN"/>
        </w:rPr>
      </w:pPr>
      <w:r>
        <w:rPr>
          <w:rFonts w:hint="eastAsia" w:ascii="宋体" w:hAnsi="宋体" w:cs="宋体"/>
          <w:color w:val="auto"/>
          <w:szCs w:val="21"/>
          <w:highlight w:val="none"/>
          <w:u w:val="single"/>
          <w:lang w:val="en-US" w:eastAsia="zh-CN"/>
        </w:rPr>
        <w:t xml:space="preserve"> 项目编号：NNZC2024-C2-260291-GXXM</w:t>
      </w:r>
    </w:p>
    <w:tbl>
      <w:tblPr>
        <w:tblStyle w:val="2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14:paraId="654B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4" w:type="dxa"/>
            <w:vMerge w:val="restart"/>
            <w:tcBorders>
              <w:top w:val="single" w:color="auto" w:sz="4" w:space="0"/>
              <w:left w:val="single" w:color="auto" w:sz="4" w:space="0"/>
              <w:bottom w:val="single" w:color="auto" w:sz="4" w:space="0"/>
              <w:right w:val="single" w:color="auto" w:sz="4" w:space="0"/>
            </w:tcBorders>
            <w:noWrap w:val="0"/>
            <w:vAlign w:val="center"/>
          </w:tcPr>
          <w:p w14:paraId="2C50869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30" w:type="dxa"/>
            <w:vMerge w:val="restart"/>
            <w:tcBorders>
              <w:top w:val="single" w:color="auto" w:sz="4" w:space="0"/>
              <w:left w:val="single" w:color="auto" w:sz="4" w:space="0"/>
              <w:bottom w:val="single" w:color="auto" w:sz="4" w:space="0"/>
              <w:right w:val="single" w:color="auto" w:sz="4" w:space="0"/>
            </w:tcBorders>
            <w:noWrap w:val="0"/>
            <w:vAlign w:val="center"/>
          </w:tcPr>
          <w:p w14:paraId="5A7AB2B7">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姓名</w:t>
            </w:r>
          </w:p>
        </w:tc>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64A9A531">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职称</w:t>
            </w:r>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14:paraId="3ACA314F">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执业或职业资格证明</w:t>
            </w:r>
          </w:p>
        </w:tc>
        <w:tc>
          <w:tcPr>
            <w:tcW w:w="2127" w:type="dxa"/>
            <w:gridSpan w:val="2"/>
            <w:tcBorders>
              <w:top w:val="single" w:color="auto" w:sz="4" w:space="0"/>
              <w:left w:val="single" w:color="auto" w:sz="4" w:space="0"/>
              <w:bottom w:val="single" w:color="auto" w:sz="4" w:space="0"/>
              <w:right w:val="single" w:color="auto" w:sz="4" w:space="0"/>
            </w:tcBorders>
            <w:noWrap w:val="0"/>
            <w:vAlign w:val="center"/>
          </w:tcPr>
          <w:p w14:paraId="01AFDED5">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承担完工工程情况</w:t>
            </w:r>
          </w:p>
        </w:tc>
      </w:tr>
      <w:tr w14:paraId="3DB2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4" w:type="dxa"/>
            <w:vMerge w:val="continue"/>
            <w:tcBorders>
              <w:top w:val="single" w:color="auto" w:sz="4" w:space="0"/>
              <w:left w:val="single" w:color="auto" w:sz="4" w:space="0"/>
              <w:bottom w:val="single" w:color="auto" w:sz="4" w:space="0"/>
              <w:right w:val="single" w:color="auto" w:sz="4" w:space="0"/>
            </w:tcBorders>
            <w:noWrap w:val="0"/>
            <w:vAlign w:val="center"/>
          </w:tcPr>
          <w:p w14:paraId="1161D203">
            <w:pPr>
              <w:rPr>
                <w:rFonts w:ascii="宋体" w:hAnsi="宋体"/>
                <w:color w:val="auto"/>
                <w:szCs w:val="21"/>
                <w:highlight w:val="none"/>
              </w:rPr>
            </w:pPr>
          </w:p>
        </w:tc>
        <w:tc>
          <w:tcPr>
            <w:tcW w:w="830" w:type="dxa"/>
            <w:vMerge w:val="continue"/>
            <w:tcBorders>
              <w:top w:val="single" w:color="auto" w:sz="4" w:space="0"/>
              <w:left w:val="single" w:color="auto" w:sz="4" w:space="0"/>
              <w:bottom w:val="single" w:color="auto" w:sz="4" w:space="0"/>
              <w:right w:val="single" w:color="auto" w:sz="4" w:space="0"/>
            </w:tcBorders>
            <w:noWrap w:val="0"/>
            <w:vAlign w:val="center"/>
          </w:tcPr>
          <w:p w14:paraId="0325DE80">
            <w:pPr>
              <w:rPr>
                <w:rFonts w:ascii="宋体" w:hAnsi="宋体"/>
                <w:color w:val="auto"/>
                <w:szCs w:val="21"/>
                <w:highlight w:val="none"/>
              </w:rPr>
            </w:pPr>
          </w:p>
        </w:tc>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7104C8F9">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1FE4D3">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证书名称</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A01AA0">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级别</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13269D4">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证号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44E5A9">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专业</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F707D25">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项目数</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925FB9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主要项目</w:t>
            </w:r>
          </w:p>
          <w:p w14:paraId="0B8FB79A">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p>
        </w:tc>
      </w:tr>
      <w:tr w14:paraId="01DC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7B71451B">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6B119C08">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786DCF1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0AA947">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64B537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13DEC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FB6E003">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3BBF4B5">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E5E8BC9">
            <w:pPr>
              <w:ind w:left="223" w:hanging="222" w:hangingChars="106"/>
              <w:jc w:val="center"/>
              <w:rPr>
                <w:rFonts w:ascii="宋体" w:hAnsi="宋体"/>
                <w:color w:val="auto"/>
                <w:szCs w:val="21"/>
                <w:highlight w:val="none"/>
              </w:rPr>
            </w:pPr>
          </w:p>
        </w:tc>
      </w:tr>
      <w:tr w14:paraId="0166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30B81C38">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337E895">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6AC47B7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33C60CF">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F06874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263610">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CECC8F">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A337505">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7735A54">
            <w:pPr>
              <w:ind w:left="223" w:hanging="222" w:hangingChars="106"/>
              <w:jc w:val="center"/>
              <w:rPr>
                <w:rFonts w:ascii="宋体" w:hAnsi="宋体"/>
                <w:color w:val="auto"/>
                <w:szCs w:val="21"/>
                <w:highlight w:val="none"/>
              </w:rPr>
            </w:pPr>
          </w:p>
        </w:tc>
      </w:tr>
      <w:tr w14:paraId="1996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340273F2">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3F732886">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29F39E84">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92A8209">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CE932B">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D813BCC">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BD048F5">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0845F2C">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3C660C2">
            <w:pPr>
              <w:ind w:left="223" w:hanging="222" w:hangingChars="106"/>
              <w:jc w:val="center"/>
              <w:rPr>
                <w:rFonts w:ascii="宋体" w:hAnsi="宋体"/>
                <w:color w:val="auto"/>
                <w:szCs w:val="21"/>
                <w:highlight w:val="none"/>
              </w:rPr>
            </w:pPr>
          </w:p>
        </w:tc>
      </w:tr>
      <w:tr w14:paraId="4DEB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4" w:type="dxa"/>
            <w:tcBorders>
              <w:top w:val="single" w:color="auto" w:sz="4" w:space="0"/>
              <w:left w:val="single" w:color="auto" w:sz="4" w:space="0"/>
              <w:bottom w:val="single" w:color="auto" w:sz="4" w:space="0"/>
              <w:right w:val="single" w:color="auto" w:sz="4" w:space="0"/>
            </w:tcBorders>
            <w:noWrap w:val="0"/>
            <w:vAlign w:val="center"/>
          </w:tcPr>
          <w:p w14:paraId="063799E5">
            <w:pPr>
              <w:ind w:left="223" w:hanging="222" w:hangingChars="106"/>
              <w:jc w:val="center"/>
              <w:rPr>
                <w:rFonts w:ascii="宋体" w:hAnsi="宋体"/>
                <w:color w:val="auto"/>
                <w:szCs w:val="21"/>
                <w:highlight w:val="none"/>
              </w:rPr>
            </w:pPr>
          </w:p>
        </w:tc>
        <w:tc>
          <w:tcPr>
            <w:tcW w:w="830" w:type="dxa"/>
            <w:tcBorders>
              <w:top w:val="single" w:color="auto" w:sz="4" w:space="0"/>
              <w:left w:val="single" w:color="auto" w:sz="4" w:space="0"/>
              <w:bottom w:val="single" w:color="auto" w:sz="4" w:space="0"/>
              <w:right w:val="single" w:color="auto" w:sz="4" w:space="0"/>
            </w:tcBorders>
            <w:noWrap w:val="0"/>
            <w:vAlign w:val="center"/>
          </w:tcPr>
          <w:p w14:paraId="129F2F6C">
            <w:pPr>
              <w:ind w:left="223" w:hanging="222" w:hangingChars="106"/>
              <w:jc w:val="center"/>
              <w:rPr>
                <w:rFonts w:ascii="宋体" w:hAnsi="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1F6EB141">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D6A45ED">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E46E5B6">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9CFB60A">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838C04B">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CEFEF21">
            <w:pPr>
              <w:ind w:left="223" w:hanging="222" w:hangingChars="106"/>
              <w:jc w:val="center"/>
              <w:rPr>
                <w:rFonts w:ascii="宋体" w:hAnsi="宋体"/>
                <w:color w:val="auto"/>
                <w:szCs w:val="21"/>
                <w:highlight w:val="none"/>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14:paraId="1F45C87A">
            <w:pPr>
              <w:ind w:left="223" w:hanging="222" w:hangingChars="106"/>
              <w:jc w:val="center"/>
              <w:rPr>
                <w:rFonts w:ascii="宋体" w:hAnsi="宋体"/>
                <w:color w:val="auto"/>
                <w:szCs w:val="21"/>
                <w:highlight w:val="none"/>
              </w:rPr>
            </w:pPr>
          </w:p>
        </w:tc>
      </w:tr>
    </w:tbl>
    <w:p w14:paraId="0E0D6A10">
      <w:pPr>
        <w:jc w:val="center"/>
        <w:rPr>
          <w:rFonts w:ascii="宋体" w:hAnsi="宋体"/>
          <w:b/>
          <w:color w:val="auto"/>
          <w:szCs w:val="21"/>
          <w:highlight w:val="none"/>
        </w:rPr>
      </w:pPr>
    </w:p>
    <w:p w14:paraId="57830715">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14:paraId="20704967">
      <w:pPr>
        <w:spacing w:line="440" w:lineRule="exact"/>
        <w:jc w:val="center"/>
        <w:rPr>
          <w:rFonts w:ascii="宋体" w:hAnsi="宋体"/>
          <w:b/>
          <w:color w:val="auto"/>
          <w:szCs w:val="21"/>
          <w:highlight w:val="none"/>
        </w:rPr>
      </w:pPr>
    </w:p>
    <w:p w14:paraId="05D9A065">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3B84674A">
      <w:pPr>
        <w:pStyle w:val="13"/>
        <w:snapToGrid w:val="0"/>
        <w:spacing w:line="360" w:lineRule="auto"/>
        <w:ind w:left="480" w:firstLine="6960" w:firstLineChars="2900"/>
        <w:rPr>
          <w:rFonts w:hint="eastAsia" w:ascii="仿宋" w:hAnsi="仿宋" w:eastAsia="仿宋" w:cs="仿宋"/>
          <w:b/>
          <w:color w:val="auto"/>
          <w:sz w:val="24"/>
          <w:szCs w:val="24"/>
          <w:highlight w:val="none"/>
          <w:lang w:val="en-US"/>
        </w:rPr>
      </w:pPr>
      <w:r>
        <w:rPr>
          <w:rFonts w:hint="eastAsia" w:ascii="仿宋" w:hAnsi="仿宋" w:eastAsia="仿宋" w:cs="仿宋"/>
          <w:color w:val="auto"/>
          <w:kern w:val="0"/>
          <w:sz w:val="24"/>
          <w:szCs w:val="24"/>
          <w:highlight w:val="none"/>
          <w:lang w:val="zh-CN"/>
        </w:rPr>
        <w:t>日期：  年  月   日</w:t>
      </w:r>
    </w:p>
    <w:p w14:paraId="5850193C">
      <w:pPr>
        <w:jc w:val="center"/>
        <w:rPr>
          <w:rFonts w:hint="eastAsia" w:ascii="宋体" w:hAnsi="宋体" w:cs="宋体"/>
          <w:b/>
          <w:color w:val="auto"/>
          <w:sz w:val="30"/>
          <w:szCs w:val="30"/>
          <w:highlight w:val="none"/>
          <w:lang w:eastAsia="zh-CN"/>
        </w:rPr>
      </w:pPr>
    </w:p>
    <w:p w14:paraId="5B28354A">
      <w:pPr>
        <w:jc w:val="center"/>
        <w:rPr>
          <w:rFonts w:hint="eastAsia" w:ascii="宋体" w:hAnsi="宋体" w:cs="宋体"/>
          <w:b/>
          <w:color w:val="auto"/>
          <w:sz w:val="30"/>
          <w:szCs w:val="30"/>
          <w:highlight w:val="none"/>
          <w:lang w:eastAsia="zh-CN"/>
        </w:rPr>
      </w:pPr>
    </w:p>
    <w:p w14:paraId="70F519EF">
      <w:pPr>
        <w:pStyle w:val="26"/>
        <w:rPr>
          <w:rFonts w:hint="eastAsia" w:ascii="宋体" w:hAnsi="宋体" w:cs="宋体"/>
          <w:b/>
          <w:color w:val="auto"/>
          <w:sz w:val="30"/>
          <w:szCs w:val="30"/>
          <w:highlight w:val="none"/>
          <w:lang w:eastAsia="zh-CN"/>
        </w:rPr>
      </w:pPr>
    </w:p>
    <w:p w14:paraId="170C60A1">
      <w:pPr>
        <w:pStyle w:val="26"/>
        <w:rPr>
          <w:rFonts w:hint="eastAsia" w:ascii="宋体" w:hAnsi="宋体" w:cs="宋体"/>
          <w:b/>
          <w:color w:val="auto"/>
          <w:sz w:val="30"/>
          <w:szCs w:val="30"/>
          <w:highlight w:val="none"/>
          <w:lang w:eastAsia="zh-CN"/>
        </w:rPr>
      </w:pPr>
    </w:p>
    <w:p w14:paraId="11973D64">
      <w:pPr>
        <w:jc w:val="center"/>
        <w:rPr>
          <w:rFonts w:hint="eastAsia" w:ascii="宋体" w:hAnsi="宋体" w:cs="宋体"/>
          <w:b/>
          <w:color w:val="auto"/>
          <w:sz w:val="30"/>
          <w:szCs w:val="30"/>
          <w:highlight w:val="none"/>
          <w:lang w:eastAsia="zh-CN"/>
        </w:rPr>
      </w:pPr>
    </w:p>
    <w:p w14:paraId="1A549AED">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项目经理简历表</w:t>
      </w:r>
    </w:p>
    <w:p w14:paraId="0980FD17">
      <w:pPr>
        <w:jc w:val="center"/>
        <w:rPr>
          <w:rFonts w:ascii="宋体" w:hAnsi="宋体"/>
          <w:color w:val="auto"/>
          <w:highlight w:val="none"/>
        </w:rPr>
      </w:pPr>
    </w:p>
    <w:tbl>
      <w:tblPr>
        <w:tblStyle w:val="27"/>
        <w:tblW w:w="8613" w:type="dxa"/>
        <w:jc w:val="center"/>
        <w:tblLayout w:type="fixed"/>
        <w:tblCellMar>
          <w:top w:w="0" w:type="dxa"/>
          <w:left w:w="0" w:type="dxa"/>
          <w:bottom w:w="0" w:type="dxa"/>
          <w:right w:w="0" w:type="dxa"/>
        </w:tblCellMar>
      </w:tblPr>
      <w:tblGrid>
        <w:gridCol w:w="1158"/>
        <w:gridCol w:w="2005"/>
        <w:gridCol w:w="1155"/>
        <w:gridCol w:w="1565"/>
        <w:gridCol w:w="1060"/>
        <w:gridCol w:w="1670"/>
      </w:tblGrid>
      <w:tr w14:paraId="132370E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074655">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2EC5C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BF6F294">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10F82C">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DFE7FB0">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88CFE14">
            <w:pPr>
              <w:jc w:val="center"/>
              <w:rPr>
                <w:rFonts w:ascii="宋体" w:hAnsi="宋体"/>
                <w:color w:val="auto"/>
                <w:szCs w:val="21"/>
                <w:highlight w:val="none"/>
              </w:rPr>
            </w:pPr>
          </w:p>
        </w:tc>
      </w:tr>
      <w:tr w14:paraId="524DC32C">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2387891">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03B8542">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2F0A62">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6068EE8">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A21CFF">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9499DF">
            <w:pPr>
              <w:jc w:val="center"/>
              <w:rPr>
                <w:rFonts w:ascii="宋体" w:hAnsi="宋体"/>
                <w:color w:val="auto"/>
                <w:szCs w:val="21"/>
                <w:highlight w:val="none"/>
              </w:rPr>
            </w:pPr>
          </w:p>
        </w:tc>
      </w:tr>
      <w:tr w14:paraId="616995B3">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97374F7">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D1ACC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F4F717">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1FADE83">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AC36C6F">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CF18C15">
            <w:pPr>
              <w:jc w:val="center"/>
              <w:rPr>
                <w:rFonts w:ascii="宋体" w:hAnsi="宋体"/>
                <w:color w:val="auto"/>
                <w:szCs w:val="21"/>
                <w:highlight w:val="none"/>
              </w:rPr>
            </w:pPr>
          </w:p>
        </w:tc>
      </w:tr>
      <w:tr w14:paraId="23A787CB">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3E485EC">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BF4A46">
            <w:pPr>
              <w:jc w:val="center"/>
              <w:rPr>
                <w:rFonts w:ascii="宋体" w:hAnsi="宋体"/>
                <w:color w:val="auto"/>
                <w:szCs w:val="21"/>
                <w:highlight w:val="none"/>
              </w:rPr>
            </w:pPr>
          </w:p>
        </w:tc>
      </w:tr>
      <w:tr w14:paraId="710FB9E4">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C072DFB">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14:paraId="4F7B2E57">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4F65043">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F0809DC">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D9FE1DF">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1DF440">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66D2C10">
            <w:pPr>
              <w:jc w:val="center"/>
              <w:rPr>
                <w:rFonts w:ascii="宋体" w:hAnsi="宋体"/>
                <w:color w:val="auto"/>
                <w:szCs w:val="21"/>
                <w:highlight w:val="none"/>
              </w:rPr>
            </w:pPr>
            <w:r>
              <w:rPr>
                <w:rFonts w:hint="eastAsia" w:ascii="宋体" w:hAnsi="宋体" w:cs="宋体"/>
                <w:color w:val="auto"/>
                <w:szCs w:val="21"/>
                <w:highlight w:val="none"/>
              </w:rPr>
              <w:t>质量等级</w:t>
            </w:r>
          </w:p>
        </w:tc>
      </w:tr>
      <w:tr w14:paraId="42CDB30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39167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7A6EC1">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82A0D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F09045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EEF9E8B">
            <w:pPr>
              <w:jc w:val="center"/>
              <w:rPr>
                <w:rFonts w:ascii="宋体" w:hAnsi="宋体"/>
                <w:color w:val="auto"/>
                <w:szCs w:val="21"/>
                <w:highlight w:val="none"/>
              </w:rPr>
            </w:pPr>
          </w:p>
        </w:tc>
      </w:tr>
      <w:tr w14:paraId="0A0001D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5CF75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9CD7F4">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3D57F8F">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AB2C3C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A3BBDD">
            <w:pPr>
              <w:jc w:val="center"/>
              <w:rPr>
                <w:rFonts w:ascii="宋体" w:hAnsi="宋体"/>
                <w:color w:val="auto"/>
                <w:szCs w:val="21"/>
                <w:highlight w:val="none"/>
              </w:rPr>
            </w:pPr>
          </w:p>
        </w:tc>
      </w:tr>
      <w:tr w14:paraId="0CCD5310">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E03ACB">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E0D08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1C11C96">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7176D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5EDB425">
            <w:pPr>
              <w:jc w:val="center"/>
              <w:rPr>
                <w:rFonts w:ascii="宋体" w:hAnsi="宋体"/>
                <w:color w:val="auto"/>
                <w:szCs w:val="21"/>
                <w:highlight w:val="none"/>
              </w:rPr>
            </w:pPr>
          </w:p>
        </w:tc>
      </w:tr>
      <w:tr w14:paraId="5212F789">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1C37D6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523FC6F">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D052BC">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FAF28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B76DD46">
            <w:pPr>
              <w:jc w:val="center"/>
              <w:rPr>
                <w:rFonts w:ascii="宋体" w:hAnsi="宋体"/>
                <w:color w:val="auto"/>
                <w:szCs w:val="21"/>
                <w:highlight w:val="none"/>
              </w:rPr>
            </w:pPr>
          </w:p>
        </w:tc>
      </w:tr>
      <w:tr w14:paraId="6916E49E">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562A309">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71FEFEC">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4054A1E">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6792E26">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16D661E">
            <w:pPr>
              <w:jc w:val="center"/>
              <w:rPr>
                <w:rFonts w:ascii="宋体" w:hAnsi="宋体"/>
                <w:color w:val="auto"/>
                <w:szCs w:val="21"/>
                <w:highlight w:val="none"/>
              </w:rPr>
            </w:pPr>
          </w:p>
        </w:tc>
      </w:tr>
      <w:tr w14:paraId="3728678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41BC3F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545943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3CBFD52">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113C4B">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7493E9C">
            <w:pPr>
              <w:jc w:val="center"/>
              <w:rPr>
                <w:rFonts w:ascii="宋体" w:hAnsi="宋体"/>
                <w:color w:val="auto"/>
                <w:szCs w:val="21"/>
                <w:highlight w:val="none"/>
              </w:rPr>
            </w:pPr>
          </w:p>
        </w:tc>
      </w:tr>
      <w:tr w14:paraId="22909004">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98EB166">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B84D71A">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6C2581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0EC5DC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C426B6A">
            <w:pPr>
              <w:jc w:val="center"/>
              <w:rPr>
                <w:rFonts w:ascii="宋体" w:hAnsi="宋体"/>
                <w:color w:val="auto"/>
                <w:szCs w:val="21"/>
                <w:highlight w:val="none"/>
              </w:rPr>
            </w:pPr>
          </w:p>
        </w:tc>
      </w:tr>
      <w:tr w14:paraId="41FE034D">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E865581">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5FCEA2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B473F39">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C128B0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9174FFD">
            <w:pPr>
              <w:jc w:val="center"/>
              <w:rPr>
                <w:rFonts w:ascii="宋体" w:hAnsi="宋体"/>
                <w:color w:val="auto"/>
                <w:szCs w:val="21"/>
                <w:highlight w:val="none"/>
              </w:rPr>
            </w:pPr>
          </w:p>
        </w:tc>
      </w:tr>
      <w:tr w14:paraId="1012273A">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042E7FD">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007780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54B9093">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3F4936E">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A5F9CE">
            <w:pPr>
              <w:jc w:val="center"/>
              <w:rPr>
                <w:rFonts w:ascii="宋体" w:hAnsi="宋体"/>
                <w:color w:val="auto"/>
                <w:szCs w:val="21"/>
                <w:highlight w:val="none"/>
              </w:rPr>
            </w:pPr>
          </w:p>
        </w:tc>
      </w:tr>
      <w:tr w14:paraId="6CD45F62">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DE8BF7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258938B">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4A4203A">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F12CE7C">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D989946">
            <w:pPr>
              <w:jc w:val="center"/>
              <w:rPr>
                <w:rFonts w:ascii="宋体" w:hAnsi="宋体"/>
                <w:color w:val="auto"/>
                <w:szCs w:val="21"/>
                <w:highlight w:val="none"/>
              </w:rPr>
            </w:pPr>
          </w:p>
        </w:tc>
      </w:tr>
      <w:tr w14:paraId="2CA0473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01E3C46C">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360C4F8">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112B395B">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EC5C79F">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4A349423">
            <w:pPr>
              <w:jc w:val="center"/>
              <w:rPr>
                <w:rFonts w:ascii="宋体" w:hAnsi="宋体"/>
                <w:color w:val="auto"/>
                <w:szCs w:val="21"/>
                <w:highlight w:val="none"/>
              </w:rPr>
            </w:pPr>
          </w:p>
        </w:tc>
      </w:tr>
      <w:tr w14:paraId="122D1028">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0AC8307">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E8AD2A9">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2868B035">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93D9331">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30C6AED2">
            <w:pPr>
              <w:jc w:val="center"/>
              <w:rPr>
                <w:rFonts w:ascii="宋体" w:hAnsi="宋体"/>
                <w:color w:val="auto"/>
                <w:szCs w:val="21"/>
                <w:highlight w:val="none"/>
              </w:rPr>
            </w:pPr>
          </w:p>
        </w:tc>
      </w:tr>
    </w:tbl>
    <w:p w14:paraId="475244C2">
      <w:pPr>
        <w:rPr>
          <w:rFonts w:ascii="宋体" w:hAnsi="宋体"/>
          <w:color w:val="auto"/>
          <w:szCs w:val="21"/>
          <w:highlight w:val="none"/>
        </w:rPr>
      </w:pPr>
    </w:p>
    <w:p w14:paraId="3615E95A">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14:paraId="06BE7C7C">
      <w:pPr>
        <w:rPr>
          <w:rFonts w:ascii="宋体" w:hAnsi="宋体"/>
          <w:b/>
          <w:color w:val="auto"/>
          <w:szCs w:val="21"/>
          <w:highlight w:val="none"/>
        </w:rPr>
      </w:pPr>
    </w:p>
    <w:p w14:paraId="7AF58F2D">
      <w:pPr>
        <w:rPr>
          <w:rFonts w:ascii="宋体" w:hAnsi="宋体"/>
          <w:b/>
          <w:color w:val="auto"/>
          <w:szCs w:val="21"/>
          <w:highlight w:val="none"/>
        </w:rPr>
      </w:pPr>
    </w:p>
    <w:p w14:paraId="692D982B">
      <w:pPr>
        <w:rPr>
          <w:rFonts w:ascii="宋体" w:hAnsi="宋体"/>
          <w:b/>
          <w:color w:val="auto"/>
          <w:szCs w:val="21"/>
          <w:highlight w:val="none"/>
        </w:rPr>
      </w:pPr>
    </w:p>
    <w:p w14:paraId="2154AB5D">
      <w:pPr>
        <w:rPr>
          <w:rFonts w:ascii="宋体" w:hAnsi="宋体"/>
          <w:b/>
          <w:color w:val="auto"/>
          <w:szCs w:val="21"/>
          <w:highlight w:val="none"/>
        </w:rPr>
      </w:pPr>
    </w:p>
    <w:p w14:paraId="509A58F8">
      <w:pPr>
        <w:autoSpaceDE w:val="0"/>
        <w:autoSpaceDN w:val="0"/>
        <w:spacing w:line="360" w:lineRule="auto"/>
        <w:ind w:left="4335" w:leftChars="1950" w:hanging="240" w:hanging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供应商名称（电子签章）：</w:t>
      </w:r>
    </w:p>
    <w:p w14:paraId="11B90D72">
      <w:pPr>
        <w:pStyle w:val="23"/>
        <w:snapToGrid w:val="0"/>
        <w:spacing w:line="360" w:lineRule="auto"/>
        <w:ind w:left="409" w:leftChars="195"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  年  月   日</w:t>
      </w:r>
    </w:p>
    <w:p w14:paraId="64041BE1">
      <w:pPr>
        <w:pStyle w:val="23"/>
        <w:snapToGrid w:val="0"/>
        <w:spacing w:line="360" w:lineRule="auto"/>
        <w:ind w:left="480" w:hanging="480"/>
        <w:rPr>
          <w:rFonts w:hint="eastAsia" w:ascii="宋体" w:hAnsi="宋体" w:eastAsia="宋体" w:cs="宋体"/>
          <w:color w:val="auto"/>
          <w:sz w:val="24"/>
          <w:highlight w:val="none"/>
        </w:rPr>
      </w:pPr>
    </w:p>
    <w:p w14:paraId="74E9B961">
      <w:pPr>
        <w:pStyle w:val="23"/>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71433C9">
      <w:pPr>
        <w:numPr>
          <w:ilvl w:val="0"/>
          <w:numId w:val="0"/>
        </w:numPr>
        <w:snapToGrid w:val="0"/>
        <w:spacing w:line="360" w:lineRule="auto"/>
        <w:ind w:left="480" w:leftChars="0"/>
        <w:jc w:val="left"/>
        <w:rPr>
          <w:rFonts w:hint="eastAsia" w:ascii="仿宋" w:hAnsi="仿宋" w:eastAsia="仿宋" w:cs="仿宋"/>
          <w:b/>
          <w:color w:val="auto"/>
          <w:sz w:val="28"/>
          <w:szCs w:val="28"/>
          <w:highlight w:val="none"/>
          <w:lang w:val="en-US" w:eastAsia="zh-CN"/>
        </w:rPr>
      </w:pPr>
      <w:bookmarkStart w:id="163" w:name="_Toc2647"/>
      <w:r>
        <w:rPr>
          <w:rFonts w:hint="eastAsia" w:ascii="仿宋" w:hAnsi="仿宋" w:eastAsia="仿宋" w:cs="仿宋"/>
          <w:b/>
          <w:color w:val="auto"/>
          <w:sz w:val="28"/>
          <w:szCs w:val="28"/>
          <w:highlight w:val="none"/>
          <w:lang w:val="en-US" w:eastAsia="zh-CN"/>
        </w:rPr>
        <w:t>十</w:t>
      </w:r>
      <w:bookmarkEnd w:id="163"/>
      <w:r>
        <w:rPr>
          <w:rFonts w:hint="eastAsia" w:ascii="仿宋" w:hAnsi="仿宋" w:eastAsia="仿宋" w:cs="仿宋"/>
          <w:b/>
          <w:color w:val="auto"/>
          <w:sz w:val="28"/>
          <w:szCs w:val="28"/>
          <w:highlight w:val="none"/>
          <w:lang w:val="en-US" w:eastAsia="zh-CN"/>
        </w:rPr>
        <w:t>三、供应商认为需要提供的其他有关资料</w:t>
      </w:r>
    </w:p>
    <w:p w14:paraId="41FAF47C">
      <w:pPr>
        <w:numPr>
          <w:ilvl w:val="0"/>
          <w:numId w:val="0"/>
        </w:numPr>
        <w:outlineLvl w:val="9"/>
        <w:rPr>
          <w:rFonts w:hint="eastAsia" w:ascii="仿宋" w:hAnsi="仿宋" w:eastAsia="仿宋" w:cs="仿宋"/>
          <w:color w:val="auto"/>
          <w:highlight w:val="none"/>
          <w:lang w:val="en-US" w:eastAsia="zh-CN"/>
        </w:rPr>
      </w:pPr>
    </w:p>
    <w:p w14:paraId="6A7BCABB">
      <w:pPr>
        <w:outlineLvl w:val="9"/>
        <w:rPr>
          <w:rFonts w:hint="eastAsia" w:ascii="仿宋" w:hAnsi="仿宋" w:eastAsia="仿宋" w:cs="仿宋"/>
          <w:color w:val="auto"/>
          <w:highlight w:val="none"/>
          <w:lang w:val="en-US" w:eastAsia="zh-CN"/>
        </w:rPr>
      </w:pPr>
    </w:p>
    <w:p w14:paraId="405B0DF2">
      <w:pPr>
        <w:outlineLvl w:val="9"/>
        <w:rPr>
          <w:rFonts w:hint="eastAsia" w:ascii="仿宋" w:hAnsi="仿宋" w:eastAsia="仿宋" w:cs="仿宋"/>
          <w:color w:val="auto"/>
          <w:highlight w:val="none"/>
          <w:lang w:val="en-US" w:eastAsia="zh-CN"/>
        </w:rPr>
      </w:pPr>
    </w:p>
    <w:p w14:paraId="0702DFAB">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597E365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02308C9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3D7BE683">
      <w:pPr>
        <w:pStyle w:val="1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  年  月   日</w:t>
      </w:r>
    </w:p>
    <w:p w14:paraId="52B7F9A1">
      <w:pPr>
        <w:pStyle w:val="20"/>
        <w:rPr>
          <w:rFonts w:hint="eastAsia" w:ascii="宋体" w:hAnsi="宋体" w:eastAsia="宋体" w:cs="宋体"/>
          <w:color w:val="auto"/>
          <w:kern w:val="0"/>
          <w:sz w:val="24"/>
          <w:highlight w:val="none"/>
          <w:lang w:val="zh-CN"/>
        </w:rPr>
      </w:pPr>
    </w:p>
    <w:p w14:paraId="581C0455">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1976586">
      <w:pPr>
        <w:autoSpaceDE w:val="0"/>
        <w:autoSpaceDN w:val="0"/>
        <w:spacing w:line="360" w:lineRule="auto"/>
        <w:ind w:firstLine="6505" w:firstLineChars="2700"/>
        <w:rPr>
          <w:rFonts w:hint="eastAsia" w:ascii="宋体" w:hAnsi="宋体" w:eastAsia="宋体" w:cs="宋体"/>
          <w:b/>
          <w:bCs/>
          <w:color w:val="auto"/>
          <w:sz w:val="24"/>
          <w:highlight w:val="none"/>
        </w:rPr>
      </w:pPr>
    </w:p>
    <w:p w14:paraId="14875607">
      <w:pPr>
        <w:pStyle w:val="4"/>
        <w:spacing w:line="360" w:lineRule="auto"/>
        <w:jc w:val="center"/>
        <w:rPr>
          <w:rFonts w:hint="eastAsia" w:ascii="宋体" w:hAnsi="宋体" w:eastAsia="宋体" w:cs="宋体"/>
          <w:color w:val="auto"/>
          <w:highlight w:val="none"/>
          <w:lang w:val="en-US" w:eastAsia="zh-CN"/>
        </w:rPr>
      </w:pPr>
      <w:bookmarkStart w:id="164" w:name="_Toc23387"/>
      <w:bookmarkStart w:id="165" w:name="_Toc4162"/>
      <w:bookmarkStart w:id="166" w:name="_Toc9136"/>
      <w:bookmarkStart w:id="167" w:name="_Toc14497"/>
      <w:bookmarkStart w:id="168" w:name="_Toc7838"/>
      <w:bookmarkStart w:id="169" w:name="_Toc12752"/>
      <w:bookmarkStart w:id="170" w:name="_Toc80205941"/>
      <w:r>
        <w:rPr>
          <w:rFonts w:hint="eastAsia" w:ascii="宋体" w:hAnsi="宋体" w:eastAsia="宋体" w:cs="宋体"/>
          <w:color w:val="auto"/>
          <w:highlight w:val="none"/>
          <w:lang w:val="en-US" w:eastAsia="zh-CN"/>
        </w:rPr>
        <w:t>第四节 报价文件格式</w:t>
      </w:r>
      <w:bookmarkEnd w:id="164"/>
      <w:bookmarkEnd w:id="165"/>
      <w:bookmarkEnd w:id="166"/>
      <w:bookmarkEnd w:id="167"/>
      <w:bookmarkEnd w:id="168"/>
      <w:bookmarkEnd w:id="169"/>
      <w:bookmarkEnd w:id="170"/>
    </w:p>
    <w:p w14:paraId="7081460F">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18DF2B9">
      <w:pPr>
        <w:snapToGrid w:val="0"/>
        <w:spacing w:before="120" w:beforeLines="50" w:after="50" w:line="360" w:lineRule="auto"/>
        <w:rPr>
          <w:rFonts w:hint="eastAsia" w:ascii="宋体" w:hAnsi="宋体" w:eastAsia="宋体" w:cs="宋体"/>
          <w:color w:val="auto"/>
          <w:sz w:val="24"/>
          <w:szCs w:val="20"/>
          <w:highlight w:val="none"/>
        </w:rPr>
      </w:pPr>
    </w:p>
    <w:p w14:paraId="43C8EF72">
      <w:pPr>
        <w:snapToGrid w:val="0"/>
        <w:spacing w:before="120" w:beforeLines="50" w:after="50" w:line="360" w:lineRule="auto"/>
        <w:rPr>
          <w:rFonts w:hint="eastAsia" w:ascii="宋体" w:hAnsi="宋体" w:eastAsia="宋体" w:cs="宋体"/>
          <w:color w:val="auto"/>
          <w:sz w:val="24"/>
          <w:szCs w:val="20"/>
          <w:highlight w:val="none"/>
        </w:rPr>
      </w:pPr>
    </w:p>
    <w:p w14:paraId="420BB984">
      <w:pPr>
        <w:snapToGrid w:val="0"/>
        <w:spacing w:before="120" w:beforeLines="50" w:after="50" w:line="360" w:lineRule="auto"/>
        <w:rPr>
          <w:rFonts w:hint="eastAsia" w:ascii="宋体" w:hAnsi="宋体" w:eastAsia="宋体" w:cs="宋体"/>
          <w:color w:val="auto"/>
          <w:sz w:val="24"/>
          <w:szCs w:val="20"/>
          <w:highlight w:val="none"/>
        </w:rPr>
      </w:pPr>
    </w:p>
    <w:p w14:paraId="004A9512">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2CCC721C">
      <w:pPr>
        <w:snapToGrid w:val="0"/>
        <w:spacing w:before="120" w:beforeLines="50" w:after="50" w:line="360" w:lineRule="auto"/>
        <w:rPr>
          <w:rFonts w:hint="eastAsia" w:ascii="宋体" w:hAnsi="宋体" w:eastAsia="宋体" w:cs="宋体"/>
          <w:bCs/>
          <w:color w:val="auto"/>
          <w:sz w:val="24"/>
          <w:szCs w:val="20"/>
          <w:highlight w:val="none"/>
        </w:rPr>
      </w:pPr>
    </w:p>
    <w:p w14:paraId="743E755D">
      <w:pPr>
        <w:snapToGrid w:val="0"/>
        <w:spacing w:before="120" w:beforeLines="50" w:after="50" w:line="360" w:lineRule="auto"/>
        <w:rPr>
          <w:rFonts w:hint="eastAsia" w:ascii="宋体" w:hAnsi="宋体" w:eastAsia="宋体" w:cs="宋体"/>
          <w:bCs/>
          <w:color w:val="auto"/>
          <w:sz w:val="24"/>
          <w:szCs w:val="20"/>
          <w:highlight w:val="none"/>
        </w:rPr>
      </w:pPr>
    </w:p>
    <w:p w14:paraId="525B7DBC">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宾阳县横水水库标准化创建工程</w:t>
      </w:r>
    </w:p>
    <w:p w14:paraId="75132B80">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700D3E4">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NNZC2024-C2-260291-GXXM</w:t>
      </w:r>
    </w:p>
    <w:p w14:paraId="22447979">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EB6859A">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1A89EE02">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14:paraId="51E538F9">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ABD28D0">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14:paraId="4DA5B748">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55F37810">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212ECB5">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报价文件目录</w:t>
      </w:r>
    </w:p>
    <w:p w14:paraId="2A76827F">
      <w:pPr>
        <w:spacing w:line="360" w:lineRule="auto"/>
        <w:rPr>
          <w:rFonts w:hint="eastAsia" w:ascii="宋体" w:hAnsi="宋体" w:eastAsia="宋体" w:cs="宋体"/>
          <w:color w:val="auto"/>
          <w:highlight w:val="none"/>
        </w:rPr>
      </w:pPr>
    </w:p>
    <w:p w14:paraId="67439CEA">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一、响应函………………………………………………………（页码）</w:t>
      </w:r>
    </w:p>
    <w:p w14:paraId="76984629">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二、响应报价表…………………………………………………（页码）</w:t>
      </w:r>
    </w:p>
    <w:p w14:paraId="5B70A89B">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已标价工程量清单</w:t>
      </w:r>
      <w:r>
        <w:rPr>
          <w:rFonts w:hint="eastAsia" w:ascii="仿宋" w:hAnsi="仿宋" w:eastAsia="仿宋" w:cs="仿宋"/>
          <w:color w:val="auto"/>
          <w:highlight w:val="none"/>
        </w:rPr>
        <w:t>…………………………………………（页码）</w:t>
      </w:r>
    </w:p>
    <w:p w14:paraId="4B59650B">
      <w:pPr>
        <w:pStyle w:val="34"/>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四</w:t>
      </w:r>
      <w:r>
        <w:rPr>
          <w:rFonts w:hint="eastAsia" w:ascii="仿宋" w:eastAsia="仿宋" w:cs="仿宋"/>
          <w:color w:val="auto"/>
          <w:highlight w:val="none"/>
          <w:lang w:val="en-US" w:eastAsia="zh-CN"/>
        </w:rPr>
        <w:t>、</w:t>
      </w:r>
      <w:r>
        <w:rPr>
          <w:rFonts w:hint="eastAsia" w:ascii="仿宋" w:hAnsi="仿宋" w:eastAsia="仿宋" w:cs="仿宋"/>
          <w:color w:val="auto"/>
          <w:highlight w:val="none"/>
        </w:rPr>
        <w:t>供应商认为需要提供的其他有关资料……………………（页码）</w:t>
      </w:r>
    </w:p>
    <w:p w14:paraId="37992BBC">
      <w:pPr>
        <w:snapToGrid w:val="0"/>
        <w:spacing w:before="120" w:beforeLines="50" w:after="50" w:line="360" w:lineRule="auto"/>
        <w:ind w:left="0" w:firstLine="0" w:firstLineChars="0"/>
        <w:jc w:val="left"/>
        <w:rPr>
          <w:rFonts w:hint="eastAsia" w:ascii="仿宋" w:hAnsi="仿宋" w:eastAsia="仿宋" w:cs="仿宋"/>
          <w:color w:val="auto"/>
          <w:sz w:val="32"/>
          <w:szCs w:val="32"/>
          <w:highlight w:val="none"/>
        </w:rPr>
      </w:pPr>
      <w:r>
        <w:rPr>
          <w:rFonts w:hint="eastAsia" w:ascii="仿宋" w:hAnsi="仿宋" w:eastAsia="仿宋" w:cs="仿宋"/>
          <w:b/>
          <w:bCs/>
          <w:color w:val="auto"/>
          <w:sz w:val="24"/>
          <w:highlight w:val="none"/>
        </w:rPr>
        <w:t>注：以上目录是基本格式要求，各供应商可根据自身情况进一步向下增加内容或细化。</w:t>
      </w:r>
    </w:p>
    <w:p w14:paraId="73B72BA4">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仿宋" w:hAnsi="仿宋" w:eastAsia="仿宋" w:cs="仿宋"/>
          <w:b/>
          <w:bCs/>
          <w:color w:val="auto"/>
          <w:sz w:val="32"/>
          <w:szCs w:val="32"/>
          <w:highlight w:val="none"/>
        </w:rPr>
        <w:t>一、响应函</w:t>
      </w:r>
    </w:p>
    <w:p w14:paraId="652975B5">
      <w:pPr>
        <w:pStyle w:val="17"/>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138F3EF">
      <w:pPr>
        <w:pStyle w:val="17"/>
        <w:spacing w:line="360" w:lineRule="auto"/>
        <w:rPr>
          <w:rFonts w:hint="eastAsia" w:ascii="宋体" w:hAnsi="宋体" w:eastAsia="宋体" w:cs="宋体"/>
          <w:color w:val="auto"/>
          <w:sz w:val="32"/>
          <w:highlight w:val="none"/>
        </w:rPr>
      </w:pPr>
    </w:p>
    <w:p w14:paraId="58D4717B">
      <w:pPr>
        <w:pStyle w:val="1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14:paraId="06F5B575">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宾阳县横水水库标准化创建工程</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NNZC2024-C2-260291-GXXM</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14:paraId="06B98C4C">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一、首次报价文件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p>
    <w:p w14:paraId="4D8758ED">
      <w:pPr>
        <w:pStyle w:val="17"/>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二、技术文件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提交的全部文件）；商务文件</w:t>
      </w:r>
      <w:r>
        <w:rPr>
          <w:rFonts w:hint="eastAsia" w:ascii="宋体" w:hAnsi="宋体" w:eastAsia="宋体" w:cs="宋体"/>
          <w:color w:val="auto"/>
          <w:sz w:val="21"/>
          <w:szCs w:val="21"/>
          <w:highlight w:val="none"/>
          <w:lang w:eastAsia="zh-CN"/>
        </w:rPr>
        <w:t>电子版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份（包含按</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提交的全部文件）；</w:t>
      </w:r>
      <w:r>
        <w:rPr>
          <w:rFonts w:hint="eastAsia" w:ascii="宋体" w:hAnsi="宋体" w:eastAsia="宋体" w:cs="宋体"/>
          <w:color w:val="auto"/>
          <w:sz w:val="21"/>
          <w:szCs w:val="21"/>
          <w:highlight w:val="none"/>
          <w:lang w:eastAsia="zh-CN"/>
        </w:rPr>
        <w:t>（商务技术文件已合并装订成册）</w:t>
      </w:r>
    </w:p>
    <w:p w14:paraId="2F900A6D">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0146DC57">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须知、合同条件、技术规范、图纸和其他有关文件后，我方承接本项目</w:t>
      </w:r>
      <w:r>
        <w:rPr>
          <w:rFonts w:hint="eastAsia" w:ascii="宋体" w:hAnsi="宋体"/>
          <w:color w:val="auto"/>
          <w:spacing w:val="8"/>
          <w:sz w:val="21"/>
          <w:szCs w:val="21"/>
          <w:highlight w:val="none"/>
        </w:rPr>
        <w:t>磋商</w:t>
      </w:r>
      <w:r>
        <w:rPr>
          <w:rFonts w:hint="eastAsia" w:ascii="宋体" w:hAnsi="宋体" w:eastAsia="宋体" w:cs="宋体"/>
          <w:color w:val="auto"/>
          <w:sz w:val="21"/>
          <w:szCs w:val="21"/>
          <w:highlight w:val="none"/>
        </w:rPr>
        <w:t>报价为人民币（大写）</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）。按上述合同条件、技术规范、图纸的条件承包本采购范围内全部工程的施工、竣工和保修。</w:t>
      </w:r>
    </w:p>
    <w:p w14:paraId="5641B973">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并保证工程质量</w:t>
      </w:r>
      <w:r>
        <w:rPr>
          <w:rFonts w:hint="eastAsia" w:ascii="宋体" w:hAnsi="Courier New"/>
          <w:color w:val="auto"/>
          <w:sz w:val="21"/>
          <w:szCs w:val="21"/>
          <w:highlight w:val="none"/>
          <w:u w:val="single"/>
        </w:rPr>
        <w:t xml:space="preserve">      </w:t>
      </w:r>
      <w:r>
        <w:rPr>
          <w:rFonts w:hint="eastAsia" w:ascii="宋体" w:hAnsi="宋体" w:eastAsia="宋体" w:cs="宋体"/>
          <w:color w:val="auto"/>
          <w:sz w:val="21"/>
          <w:szCs w:val="21"/>
          <w:highlight w:val="none"/>
        </w:rPr>
        <w:t>。</w:t>
      </w:r>
    </w:p>
    <w:p w14:paraId="21FD17EB">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14:paraId="3DC429A9">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14:paraId="32EF4B58">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14:paraId="3DF17137">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、我方承诺未被列入失信被执行人、重大税收违法失信主体、政府采购严重违法失信行为记录名单，并已经具备《中华人民共和国政府采购法》中规定的参加政府采购活动的供应商应当具备的条件：</w:t>
      </w:r>
    </w:p>
    <w:p w14:paraId="5B9060E7">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6583A20B">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33F6F968">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1C427562">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74872FED">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4E5A2B9">
      <w:pPr>
        <w:pStyle w:val="17"/>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399B192">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14:paraId="0DB2D8A9">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14:paraId="26433E9B">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14:paraId="12DF1594">
      <w:pPr>
        <w:pStyle w:val="17"/>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14:paraId="00C2C62B">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14:paraId="01623710">
      <w:pPr>
        <w:pStyle w:val="17"/>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5611F97">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11EFF5E7">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14:paraId="1B8AB941">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14:paraId="2F1D414B">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13AE9CAE">
      <w:pPr>
        <w:pStyle w:val="17"/>
        <w:numPr>
          <w:ilvl w:val="0"/>
          <w:numId w:val="4"/>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14:paraId="04B49E96">
      <w:pPr>
        <w:pStyle w:val="17"/>
        <w:numPr>
          <w:ilvl w:val="0"/>
          <w:numId w:val="4"/>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14:paraId="50CB0436">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14:paraId="6762BA7D">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D9E24F5">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EBFCD3E">
      <w:pPr>
        <w:pStyle w:val="17"/>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14:paraId="4FFC00C0">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4A25FB21">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2D5144D7">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5CA0DCC2">
      <w:pPr>
        <w:pStyle w:val="17"/>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14:paraId="1FA8A657">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14:paraId="0E605055">
      <w:pPr>
        <w:spacing w:line="360" w:lineRule="auto"/>
        <w:contextualSpacing/>
        <w:jc w:val="left"/>
        <w:rPr>
          <w:rFonts w:hint="eastAsia" w:ascii="宋体" w:hAnsi="宋体" w:eastAsia="宋体" w:cs="宋体"/>
          <w:color w:val="auto"/>
          <w:szCs w:val="21"/>
          <w:highlight w:val="none"/>
        </w:rPr>
      </w:pPr>
    </w:p>
    <w:p w14:paraId="4A896945">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5D015428">
      <w:pPr>
        <w:autoSpaceDE w:val="0"/>
        <w:autoSpaceDN w:val="0"/>
        <w:spacing w:line="360" w:lineRule="auto"/>
        <w:ind w:left="0" w:leftChars="0" w:firstLine="5880" w:firstLineChars="24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4ADC084D">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C27EE3E">
      <w:pPr>
        <w:snapToGrid w:val="0"/>
        <w:spacing w:before="120" w:beforeLines="50" w:after="50" w:line="360" w:lineRule="auto"/>
        <w:ind w:left="142" w:firstLine="643" w:firstLineChars="20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二、响应报价表</w:t>
      </w:r>
    </w:p>
    <w:p w14:paraId="0C5765D3">
      <w:pPr>
        <w:snapToGrid w:val="0"/>
        <w:spacing w:before="50" w:after="50" w:line="360" w:lineRule="auto"/>
        <w:rPr>
          <w:rFonts w:hint="eastAsia" w:ascii="宋体" w:hAnsi="宋体" w:eastAsia="宋体" w:cs="宋体"/>
          <w:color w:val="auto"/>
          <w:sz w:val="24"/>
          <w:highlight w:val="none"/>
        </w:rPr>
      </w:pPr>
    </w:p>
    <w:p w14:paraId="1B934D0B">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宾阳县横水水库标准化创建工程</w:t>
      </w:r>
    </w:p>
    <w:p w14:paraId="4663AF67">
      <w:pPr>
        <w:snapToGrid w:val="0"/>
        <w:spacing w:before="50" w:after="50" w:line="360" w:lineRule="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NNZC2024-C2-260291-GXXM</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14:paraId="3D5D26C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7"/>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168"/>
        <w:gridCol w:w="1080"/>
        <w:gridCol w:w="2686"/>
        <w:gridCol w:w="1124"/>
      </w:tblGrid>
      <w:tr w14:paraId="2FDA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56F921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26ED3A8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BDCE9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2ABF06E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7824CF5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0E0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14:paraId="35E8E3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168" w:type="dxa"/>
            <w:tcBorders>
              <w:top w:val="single" w:color="auto" w:sz="4" w:space="0"/>
              <w:left w:val="single" w:color="auto" w:sz="4" w:space="0"/>
              <w:bottom w:val="single" w:color="auto" w:sz="4" w:space="0"/>
              <w:right w:val="single" w:color="auto" w:sz="4" w:space="0"/>
            </w:tcBorders>
            <w:noWrap w:val="0"/>
            <w:vAlign w:val="center"/>
          </w:tcPr>
          <w:p w14:paraId="0571DF83">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宾阳县横水水库标准化创建工程</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6EC122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686" w:type="dxa"/>
            <w:tcBorders>
              <w:top w:val="single" w:color="auto" w:sz="4" w:space="0"/>
              <w:left w:val="single" w:color="auto" w:sz="4" w:space="0"/>
              <w:bottom w:val="single" w:color="auto" w:sz="4" w:space="0"/>
              <w:right w:val="single" w:color="auto" w:sz="4" w:space="0"/>
            </w:tcBorders>
            <w:noWrap w:val="0"/>
            <w:vAlign w:val="center"/>
          </w:tcPr>
          <w:p w14:paraId="74B879B0">
            <w:pPr>
              <w:jc w:val="center"/>
              <w:rPr>
                <w:rFonts w:hint="eastAsia" w:ascii="宋体" w:hAnsi="宋体" w:eastAsia="宋体" w:cs="宋体"/>
                <w:color w:val="auto"/>
                <w:sz w:val="24"/>
                <w:szCs w:val="24"/>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14:paraId="127E9FF8">
            <w:pPr>
              <w:jc w:val="center"/>
              <w:rPr>
                <w:rFonts w:hint="eastAsia" w:ascii="宋体" w:hAnsi="宋体" w:eastAsia="宋体" w:cs="宋体"/>
                <w:color w:val="auto"/>
                <w:sz w:val="24"/>
                <w:szCs w:val="24"/>
                <w:highlight w:val="none"/>
              </w:rPr>
            </w:pPr>
          </w:p>
        </w:tc>
      </w:tr>
      <w:tr w14:paraId="67FC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59662F7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             （¥        元）</w:t>
            </w:r>
          </w:p>
        </w:tc>
      </w:tr>
      <w:tr w14:paraId="73B7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0247B5D8">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14:paraId="0770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23" w:type="dxa"/>
            <w:gridSpan w:val="5"/>
            <w:tcBorders>
              <w:top w:val="single" w:color="auto" w:sz="4" w:space="0"/>
              <w:left w:val="single" w:color="auto" w:sz="4" w:space="0"/>
              <w:bottom w:val="single" w:color="auto" w:sz="4" w:space="0"/>
              <w:right w:val="single" w:color="auto" w:sz="4" w:space="0"/>
            </w:tcBorders>
            <w:noWrap w:val="0"/>
            <w:vAlign w:val="center"/>
          </w:tcPr>
          <w:p w14:paraId="69C53615">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工程质量要求</w:t>
            </w:r>
            <w:r>
              <w:rPr>
                <w:rFonts w:hint="eastAsia" w:ascii="宋体" w:hAnsi="宋体" w:eastAsia="宋体" w:cs="宋体"/>
                <w:color w:val="auto"/>
                <w:sz w:val="24"/>
                <w:szCs w:val="24"/>
                <w:highlight w:val="none"/>
              </w:rPr>
              <w:t>：</w:t>
            </w:r>
          </w:p>
        </w:tc>
      </w:tr>
    </w:tbl>
    <w:p w14:paraId="63A92FEF">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77067A6">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color w:val="auto"/>
          <w:kern w:val="0"/>
          <w:sz w:val="24"/>
          <w:szCs w:val="22"/>
          <w:highlight w:val="none"/>
          <w:lang w:val="zh-CN"/>
        </w:rPr>
        <w:t>注</w:t>
      </w:r>
      <w:r>
        <w:rPr>
          <w:rFonts w:ascii="宋体" w:hAnsi="宋体" w:cs="仿宋_GB2312"/>
          <w:color w:val="auto"/>
          <w:kern w:val="0"/>
          <w:sz w:val="24"/>
          <w:szCs w:val="22"/>
          <w:highlight w:val="none"/>
          <w:lang w:val="zh-CN"/>
        </w:rPr>
        <w:t>：</w:t>
      </w:r>
      <w:r>
        <w:rPr>
          <w:rFonts w:hint="eastAsia" w:ascii="宋体" w:hAnsi="宋体" w:cs="仿宋_GB2312"/>
          <w:color w:val="auto"/>
          <w:kern w:val="0"/>
          <w:sz w:val="24"/>
          <w:highlight w:val="none"/>
          <w:lang w:val="zh-CN"/>
        </w:rPr>
        <w:t>符合采购文件中列明的可享受中小企业扶持政策的供应商，请填写中小企业声明函。注：供应商</w:t>
      </w:r>
      <w:r>
        <w:rPr>
          <w:rFonts w:ascii="宋体" w:hAnsi="宋体" w:cs="仿宋_GB2312"/>
          <w:color w:val="auto"/>
          <w:kern w:val="0"/>
          <w:sz w:val="24"/>
          <w:highlight w:val="none"/>
          <w:lang w:val="zh-CN"/>
        </w:rPr>
        <w:t>提供</w:t>
      </w:r>
      <w:r>
        <w:rPr>
          <w:rFonts w:hint="eastAsia" w:ascii="宋体" w:hAnsi="宋体" w:cs="仿宋_GB2312"/>
          <w:color w:val="auto"/>
          <w:kern w:val="0"/>
          <w:sz w:val="24"/>
          <w:highlight w:val="none"/>
          <w:lang w:val="zh-CN"/>
        </w:rPr>
        <w:t>的中小企业</w:t>
      </w:r>
      <w:r>
        <w:rPr>
          <w:rFonts w:ascii="宋体" w:hAnsi="宋体" w:cs="仿宋_GB2312"/>
          <w:color w:val="auto"/>
          <w:kern w:val="0"/>
          <w:sz w:val="24"/>
          <w:highlight w:val="none"/>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14:paraId="05AD77C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671D90A">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14977B6E">
      <w:pPr>
        <w:pStyle w:val="17"/>
        <w:spacing w:line="360" w:lineRule="auto"/>
        <w:ind w:left="0" w:leftChars="0" w:firstLine="5678" w:firstLineChars="2366"/>
        <w:rPr>
          <w:rFonts w:hint="eastAsia" w:ascii="仿宋" w:hAnsi="仿宋" w:eastAsia="仿宋" w:cs="仿宋"/>
          <w:color w:val="auto"/>
          <w:highlight w:val="none"/>
          <w:lang w:val="zh-CN"/>
        </w:rPr>
      </w:pPr>
      <w:r>
        <w:rPr>
          <w:rFonts w:hint="eastAsia" w:ascii="仿宋" w:hAnsi="仿宋" w:eastAsia="仿宋" w:cs="仿宋"/>
          <w:color w:val="auto"/>
          <w:sz w:val="24"/>
          <w:highlight w:val="none"/>
          <w:lang w:val="zh-CN"/>
        </w:rPr>
        <w:t>日期：  年  月   日</w:t>
      </w:r>
    </w:p>
    <w:p w14:paraId="302F30FC">
      <w:pPr>
        <w:rPr>
          <w:rFonts w:hint="eastAsia"/>
          <w:color w:val="auto"/>
          <w:highlight w:val="none"/>
          <w:lang w:val="zh-CN"/>
        </w:rPr>
      </w:pPr>
    </w:p>
    <w:p w14:paraId="74A81534">
      <w:pPr>
        <w:pStyle w:val="26"/>
        <w:rPr>
          <w:rFonts w:hint="eastAsia"/>
          <w:color w:val="auto"/>
          <w:highlight w:val="none"/>
          <w:lang w:val="zh-CN"/>
        </w:rPr>
      </w:pPr>
    </w:p>
    <w:p w14:paraId="7B0CA8D0">
      <w:pPr>
        <w:rPr>
          <w:rFonts w:hint="eastAsia"/>
          <w:color w:val="auto"/>
          <w:highlight w:val="none"/>
          <w:lang w:val="zh-CN"/>
        </w:rPr>
      </w:pPr>
    </w:p>
    <w:p w14:paraId="5B350110">
      <w:pPr>
        <w:pStyle w:val="26"/>
        <w:rPr>
          <w:rFonts w:hint="eastAsia"/>
          <w:color w:val="auto"/>
          <w:highlight w:val="none"/>
          <w:lang w:val="zh-CN"/>
        </w:rPr>
      </w:pPr>
    </w:p>
    <w:p w14:paraId="339350D4">
      <w:pPr>
        <w:rPr>
          <w:rFonts w:hint="eastAsia"/>
          <w:color w:val="auto"/>
          <w:highlight w:val="none"/>
          <w:lang w:val="zh-CN"/>
        </w:rPr>
      </w:pPr>
    </w:p>
    <w:p w14:paraId="1C564B11">
      <w:pPr>
        <w:pStyle w:val="26"/>
        <w:rPr>
          <w:rFonts w:hint="eastAsia"/>
          <w:color w:val="auto"/>
          <w:highlight w:val="none"/>
          <w:lang w:val="zh-CN"/>
        </w:rPr>
      </w:pPr>
    </w:p>
    <w:p w14:paraId="7F26B948">
      <w:pPr>
        <w:pStyle w:val="26"/>
        <w:rPr>
          <w:rFonts w:hint="eastAsia"/>
          <w:color w:val="auto"/>
          <w:highlight w:val="none"/>
          <w:lang w:val="zh-CN"/>
        </w:rPr>
      </w:pPr>
    </w:p>
    <w:p w14:paraId="2049AE45">
      <w:pPr>
        <w:pStyle w:val="26"/>
        <w:rPr>
          <w:rFonts w:hint="eastAsia"/>
          <w:color w:val="auto"/>
          <w:highlight w:val="none"/>
          <w:lang w:val="zh-CN"/>
        </w:rPr>
      </w:pPr>
    </w:p>
    <w:p w14:paraId="3170018F">
      <w:pPr>
        <w:rPr>
          <w:rFonts w:hint="eastAsia"/>
          <w:color w:val="auto"/>
          <w:highlight w:val="none"/>
          <w:lang w:val="zh-CN"/>
        </w:rPr>
      </w:pPr>
    </w:p>
    <w:p w14:paraId="5386BC92">
      <w:pPr>
        <w:snapToGrid w:val="0"/>
        <w:spacing w:line="360" w:lineRule="auto"/>
        <w:ind w:firstLine="602" w:firstLineChars="200"/>
        <w:rPr>
          <w:rFonts w:hint="eastAsia" w:ascii="宋体" w:hAnsi="宋体" w:cs="仿宋_GB2312"/>
          <w:b/>
          <w:color w:val="auto"/>
          <w:sz w:val="24"/>
          <w:szCs w:val="24"/>
          <w:highlight w:val="none"/>
          <w:lang w:val="en-US" w:eastAsia="zh-CN"/>
        </w:rPr>
      </w:pPr>
      <w:r>
        <w:rPr>
          <w:rFonts w:hint="eastAsia" w:ascii="仿宋" w:hAnsi="仿宋" w:eastAsia="仿宋" w:cs="仿宋"/>
          <w:b/>
          <w:color w:val="auto"/>
          <w:sz w:val="30"/>
          <w:szCs w:val="30"/>
          <w:highlight w:val="none"/>
        </w:rPr>
        <w:t>三、已标价工程量清单</w:t>
      </w:r>
    </w:p>
    <w:p w14:paraId="03CB3565">
      <w:pPr>
        <w:snapToGrid w:val="0"/>
        <w:spacing w:line="360" w:lineRule="auto"/>
        <w:ind w:firstLine="482" w:firstLineChars="200"/>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24"/>
          <w:szCs w:val="24"/>
          <w:highlight w:val="none"/>
          <w:lang w:val="en-US" w:eastAsia="zh-CN"/>
        </w:rPr>
        <w:t>说明：最后报价与首次报价相比有调整的，供应商提交的最后报价必须包含已标价的工程量清单（上传格式必须为PDF格式），请供应商提前准备好调整后的已标价工程量清单（已标价工程量清单合计金额须与相对应的竞标总报价金额保持一致），如未在规定时间内提供调整后的已标价工程量清单，由此造成的后果供应商自行承担</w:t>
      </w:r>
      <w:r>
        <w:rPr>
          <w:rFonts w:hint="eastAsia" w:ascii="仿宋" w:hAnsi="仿宋" w:eastAsia="仿宋" w:cs="仿宋"/>
          <w:b/>
          <w:bCs w:val="0"/>
          <w:color w:val="auto"/>
          <w:kern w:val="2"/>
          <w:sz w:val="24"/>
          <w:szCs w:val="24"/>
          <w:highlight w:val="none"/>
          <w:lang w:val="en-US" w:eastAsia="zh-CN"/>
        </w:rPr>
        <w:t>。</w:t>
      </w:r>
    </w:p>
    <w:p w14:paraId="57BCA604">
      <w:pPr>
        <w:snapToGrid w:val="0"/>
        <w:spacing w:line="360" w:lineRule="auto"/>
        <w:ind w:firstLine="602" w:firstLineChars="200"/>
        <w:rPr>
          <w:rFonts w:hint="eastAsia" w:ascii="宋体" w:hAnsi="宋体" w:eastAsia="宋体" w:cs="宋体"/>
          <w:b/>
          <w:color w:val="auto"/>
          <w:sz w:val="30"/>
          <w:szCs w:val="30"/>
          <w:highlight w:val="none"/>
          <w:lang w:val="en-US" w:eastAsia="zh-CN"/>
        </w:rPr>
      </w:pPr>
    </w:p>
    <w:p w14:paraId="7BFBABAB">
      <w:pPr>
        <w:pStyle w:val="13"/>
        <w:jc w:val="center"/>
        <w:rPr>
          <w:rFonts w:hint="eastAsia" w:ascii="宋体" w:hAnsi="宋体" w:cs="宋体"/>
          <w:b/>
          <w:color w:val="auto"/>
          <w:sz w:val="24"/>
          <w:szCs w:val="24"/>
          <w:highlight w:val="none"/>
          <w:lang w:val="en-US" w:eastAsia="zh-CN"/>
        </w:rPr>
      </w:pPr>
    </w:p>
    <w:p w14:paraId="07A2A15C">
      <w:pPr>
        <w:pStyle w:val="13"/>
        <w:jc w:val="center"/>
        <w:rPr>
          <w:rFonts w:hint="eastAsia" w:ascii="宋体" w:hAnsi="宋体" w:cs="宋体"/>
          <w:b/>
          <w:color w:val="auto"/>
          <w:sz w:val="24"/>
          <w:szCs w:val="24"/>
          <w:highlight w:val="none"/>
          <w:lang w:val="en-US" w:eastAsia="zh-CN"/>
        </w:rPr>
      </w:pPr>
    </w:p>
    <w:p w14:paraId="48D93190">
      <w:pPr>
        <w:rPr>
          <w:rFonts w:hint="eastAsia" w:ascii="宋体" w:hAnsi="宋体" w:cs="宋体"/>
          <w:b/>
          <w:color w:val="auto"/>
          <w:sz w:val="24"/>
          <w:szCs w:val="24"/>
          <w:highlight w:val="none"/>
          <w:lang w:val="en-US" w:eastAsia="zh-CN"/>
        </w:rPr>
      </w:pPr>
    </w:p>
    <w:p w14:paraId="5C09698C">
      <w:pPr>
        <w:pStyle w:val="13"/>
        <w:rPr>
          <w:rFonts w:hint="eastAsia" w:ascii="宋体" w:hAnsi="宋体" w:cs="宋体"/>
          <w:b/>
          <w:color w:val="auto"/>
          <w:sz w:val="24"/>
          <w:szCs w:val="24"/>
          <w:highlight w:val="none"/>
          <w:lang w:val="en-US" w:eastAsia="zh-CN"/>
        </w:rPr>
      </w:pPr>
    </w:p>
    <w:p w14:paraId="51BBD348">
      <w:pPr>
        <w:rPr>
          <w:rFonts w:hint="eastAsia" w:ascii="宋体" w:hAnsi="宋体" w:cs="宋体"/>
          <w:b/>
          <w:color w:val="auto"/>
          <w:sz w:val="24"/>
          <w:szCs w:val="24"/>
          <w:highlight w:val="none"/>
          <w:lang w:val="en-US" w:eastAsia="zh-CN"/>
        </w:rPr>
      </w:pPr>
    </w:p>
    <w:p w14:paraId="1AB46B51">
      <w:pPr>
        <w:pStyle w:val="13"/>
        <w:rPr>
          <w:rFonts w:hint="eastAsia" w:ascii="宋体" w:hAnsi="宋体" w:cs="宋体"/>
          <w:b/>
          <w:color w:val="auto"/>
          <w:sz w:val="24"/>
          <w:szCs w:val="24"/>
          <w:highlight w:val="none"/>
          <w:lang w:val="en-US" w:eastAsia="zh-CN"/>
        </w:rPr>
      </w:pPr>
    </w:p>
    <w:p w14:paraId="46E42089">
      <w:pPr>
        <w:rPr>
          <w:rFonts w:hint="eastAsia" w:ascii="宋体" w:hAnsi="宋体" w:cs="宋体"/>
          <w:b/>
          <w:color w:val="auto"/>
          <w:sz w:val="24"/>
          <w:szCs w:val="24"/>
          <w:highlight w:val="none"/>
          <w:lang w:val="en-US" w:eastAsia="zh-CN"/>
        </w:rPr>
      </w:pPr>
    </w:p>
    <w:p w14:paraId="73C7847C">
      <w:pPr>
        <w:pStyle w:val="13"/>
        <w:rPr>
          <w:rFonts w:hint="eastAsia" w:ascii="宋体" w:hAnsi="宋体" w:cs="宋体"/>
          <w:b/>
          <w:color w:val="auto"/>
          <w:sz w:val="24"/>
          <w:szCs w:val="24"/>
          <w:highlight w:val="none"/>
          <w:lang w:val="en-US" w:eastAsia="zh-CN"/>
        </w:rPr>
      </w:pPr>
    </w:p>
    <w:p w14:paraId="276C9535">
      <w:pPr>
        <w:rPr>
          <w:rFonts w:hint="eastAsia" w:ascii="宋体" w:hAnsi="宋体" w:cs="宋体"/>
          <w:b/>
          <w:color w:val="auto"/>
          <w:sz w:val="24"/>
          <w:szCs w:val="24"/>
          <w:highlight w:val="none"/>
          <w:lang w:val="en-US" w:eastAsia="zh-CN"/>
        </w:rPr>
      </w:pPr>
    </w:p>
    <w:p w14:paraId="07986D1C">
      <w:pPr>
        <w:pStyle w:val="13"/>
        <w:rPr>
          <w:rFonts w:hint="eastAsia" w:ascii="宋体" w:hAnsi="宋体" w:cs="宋体"/>
          <w:b/>
          <w:color w:val="auto"/>
          <w:sz w:val="24"/>
          <w:szCs w:val="24"/>
          <w:highlight w:val="none"/>
          <w:lang w:val="en-US" w:eastAsia="zh-CN"/>
        </w:rPr>
      </w:pPr>
    </w:p>
    <w:p w14:paraId="7CAA149B">
      <w:pPr>
        <w:rPr>
          <w:rFonts w:hint="eastAsia" w:ascii="宋体" w:hAnsi="宋体" w:cs="宋体"/>
          <w:b/>
          <w:color w:val="auto"/>
          <w:sz w:val="24"/>
          <w:szCs w:val="24"/>
          <w:highlight w:val="none"/>
          <w:lang w:val="en-US" w:eastAsia="zh-CN"/>
        </w:rPr>
      </w:pPr>
    </w:p>
    <w:p w14:paraId="14B4C0BD">
      <w:pPr>
        <w:pStyle w:val="13"/>
        <w:rPr>
          <w:rFonts w:hint="eastAsia" w:ascii="宋体" w:hAnsi="宋体" w:cs="宋体"/>
          <w:b/>
          <w:color w:val="auto"/>
          <w:sz w:val="24"/>
          <w:szCs w:val="24"/>
          <w:highlight w:val="none"/>
          <w:lang w:val="en-US" w:eastAsia="zh-CN"/>
        </w:rPr>
      </w:pPr>
    </w:p>
    <w:p w14:paraId="55A61042">
      <w:pPr>
        <w:rPr>
          <w:rFonts w:hint="eastAsia" w:ascii="宋体" w:hAnsi="宋体" w:cs="宋体"/>
          <w:b/>
          <w:color w:val="auto"/>
          <w:sz w:val="24"/>
          <w:szCs w:val="24"/>
          <w:highlight w:val="none"/>
          <w:lang w:val="en-US" w:eastAsia="zh-CN"/>
        </w:rPr>
      </w:pPr>
    </w:p>
    <w:p w14:paraId="1B2DBE04">
      <w:pPr>
        <w:pStyle w:val="13"/>
        <w:rPr>
          <w:rFonts w:hint="eastAsia" w:ascii="宋体" w:hAnsi="宋体" w:cs="宋体"/>
          <w:b/>
          <w:color w:val="auto"/>
          <w:sz w:val="24"/>
          <w:szCs w:val="24"/>
          <w:highlight w:val="none"/>
          <w:lang w:val="en-US" w:eastAsia="zh-CN"/>
        </w:rPr>
      </w:pPr>
    </w:p>
    <w:p w14:paraId="7238EE49">
      <w:pPr>
        <w:rPr>
          <w:rFonts w:hint="eastAsia" w:ascii="宋体" w:hAnsi="宋体" w:cs="宋体"/>
          <w:b/>
          <w:color w:val="auto"/>
          <w:sz w:val="24"/>
          <w:szCs w:val="24"/>
          <w:highlight w:val="none"/>
          <w:lang w:val="en-US" w:eastAsia="zh-CN"/>
        </w:rPr>
      </w:pPr>
    </w:p>
    <w:p w14:paraId="7F82B9FB">
      <w:pPr>
        <w:pStyle w:val="13"/>
        <w:rPr>
          <w:rFonts w:hint="eastAsia" w:ascii="宋体" w:hAnsi="宋体" w:cs="宋体"/>
          <w:b/>
          <w:color w:val="auto"/>
          <w:sz w:val="24"/>
          <w:szCs w:val="24"/>
          <w:highlight w:val="none"/>
          <w:lang w:val="en-US" w:eastAsia="zh-CN"/>
        </w:rPr>
      </w:pPr>
    </w:p>
    <w:p w14:paraId="246E23F3">
      <w:pPr>
        <w:rPr>
          <w:rFonts w:hint="eastAsia" w:ascii="宋体" w:hAnsi="宋体" w:cs="宋体"/>
          <w:b/>
          <w:color w:val="auto"/>
          <w:sz w:val="24"/>
          <w:szCs w:val="24"/>
          <w:highlight w:val="none"/>
          <w:lang w:val="en-US" w:eastAsia="zh-CN"/>
        </w:rPr>
      </w:pPr>
    </w:p>
    <w:p w14:paraId="3C9F8073">
      <w:pPr>
        <w:pStyle w:val="13"/>
        <w:rPr>
          <w:rFonts w:hint="eastAsia" w:ascii="宋体" w:hAnsi="宋体" w:cs="宋体"/>
          <w:b/>
          <w:color w:val="auto"/>
          <w:sz w:val="24"/>
          <w:szCs w:val="24"/>
          <w:highlight w:val="none"/>
          <w:lang w:val="en-US" w:eastAsia="zh-CN"/>
        </w:rPr>
      </w:pPr>
    </w:p>
    <w:p w14:paraId="56435C4D">
      <w:pPr>
        <w:rPr>
          <w:rFonts w:hint="eastAsia" w:ascii="宋体" w:hAnsi="宋体" w:cs="宋体"/>
          <w:b/>
          <w:color w:val="auto"/>
          <w:sz w:val="24"/>
          <w:szCs w:val="24"/>
          <w:highlight w:val="none"/>
          <w:lang w:val="en-US" w:eastAsia="zh-CN"/>
        </w:rPr>
      </w:pPr>
    </w:p>
    <w:p w14:paraId="541F37DB">
      <w:pPr>
        <w:snapToGrid w:val="0"/>
        <w:spacing w:line="360" w:lineRule="auto"/>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、供应商认为需要提供的其他有关资料</w:t>
      </w:r>
    </w:p>
    <w:p w14:paraId="2664F584">
      <w:pPr>
        <w:widowControl/>
        <w:shd w:val="clear" w:color="auto" w:fill="FFFFFF"/>
        <w:spacing w:line="360" w:lineRule="auto"/>
        <w:jc w:val="left"/>
        <w:rPr>
          <w:rFonts w:hint="eastAsia" w:ascii="仿宋" w:hAnsi="仿宋" w:eastAsia="仿宋" w:cs="仿宋"/>
          <w:color w:val="auto"/>
          <w:kern w:val="2"/>
          <w:sz w:val="24"/>
          <w:szCs w:val="24"/>
          <w:highlight w:val="none"/>
          <w:shd w:val="clear" w:color="auto" w:fill="FFFFFF"/>
          <w:lang w:val="en-US" w:eastAsia="zh-CN"/>
        </w:rPr>
      </w:pPr>
    </w:p>
    <w:p w14:paraId="42C143E6">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p>
    <w:p w14:paraId="64A550F8">
      <w:pPr>
        <w:autoSpaceDE w:val="0"/>
        <w:autoSpaceDN w:val="0"/>
        <w:spacing w:line="360" w:lineRule="auto"/>
        <w:ind w:left="4335" w:leftChars="195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供应商名称（电子签章）：</w:t>
      </w:r>
    </w:p>
    <w:p w14:paraId="798CBD5A">
      <w:pPr>
        <w:pStyle w:val="17"/>
        <w:spacing w:line="360" w:lineRule="auto"/>
        <w:ind w:left="0" w:leftChars="0" w:firstLine="5678" w:firstLineChars="236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日期：  </w:t>
      </w:r>
      <w:r>
        <w:rPr>
          <w:rFonts w:hint="eastAsia" w:ascii="仿宋" w:hAnsi="仿宋" w:eastAsia="仿宋" w:cs="仿宋"/>
          <w:color w:val="auto"/>
          <w:sz w:val="24"/>
          <w:highlight w:val="none"/>
          <w:lang w:val="zh-CN"/>
        </w:rPr>
        <w:t>年  月</w:t>
      </w:r>
      <w:r>
        <w:rPr>
          <w:rFonts w:hint="eastAsia" w:ascii="仿宋" w:hAnsi="仿宋" w:eastAsia="仿宋" w:cs="仿宋"/>
          <w:color w:val="auto"/>
          <w:kern w:val="0"/>
          <w:sz w:val="24"/>
          <w:highlight w:val="none"/>
          <w:lang w:val="zh-CN"/>
        </w:rPr>
        <w:t xml:space="preserve">   日</w:t>
      </w:r>
    </w:p>
    <w:p w14:paraId="2D2204F5">
      <w:pPr>
        <w:pStyle w:val="13"/>
        <w:spacing w:after="0" w:line="360" w:lineRule="auto"/>
        <w:ind w:left="3960" w:right="1808"/>
        <w:contextualSpacing/>
        <w:rPr>
          <w:rFonts w:hint="eastAsia" w:ascii="仿宋" w:hAnsi="仿宋" w:eastAsia="仿宋" w:cs="仿宋"/>
          <w:color w:val="auto"/>
          <w:highlight w:val="none"/>
        </w:rPr>
      </w:pPr>
    </w:p>
    <w:p w14:paraId="51A2E39B">
      <w:pPr>
        <w:spacing w:line="360" w:lineRule="auto"/>
        <w:contextualSpacing/>
        <w:jc w:val="left"/>
        <w:rPr>
          <w:rFonts w:hint="eastAsia" w:ascii="仿宋" w:hAnsi="仿宋" w:eastAsia="仿宋" w:cs="仿宋"/>
          <w:color w:val="auto"/>
          <w:kern w:val="0"/>
          <w:sz w:val="24"/>
          <w:highlight w:val="none"/>
        </w:rPr>
      </w:pPr>
    </w:p>
    <w:p w14:paraId="181CA061">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795811CE">
      <w:pPr>
        <w:pStyle w:val="4"/>
        <w:spacing w:line="360" w:lineRule="auto"/>
        <w:jc w:val="center"/>
        <w:rPr>
          <w:rFonts w:hint="eastAsia" w:ascii="宋体" w:hAnsi="宋体" w:eastAsia="宋体" w:cs="宋体"/>
          <w:color w:val="auto"/>
          <w:highlight w:val="none"/>
          <w:lang w:val="en-US" w:eastAsia="zh-CN"/>
        </w:rPr>
      </w:pPr>
      <w:bookmarkStart w:id="171" w:name="_Toc29246"/>
      <w:bookmarkStart w:id="172" w:name="_Toc18354"/>
      <w:bookmarkStart w:id="173" w:name="_Toc147684389"/>
      <w:bookmarkStart w:id="174" w:name="_Toc80205942"/>
      <w:r>
        <w:rPr>
          <w:rFonts w:hint="eastAsia" w:ascii="宋体" w:hAnsi="宋体" w:eastAsia="宋体" w:cs="宋体"/>
          <w:color w:val="auto"/>
          <w:highlight w:val="none"/>
          <w:lang w:val="en-US" w:eastAsia="zh-CN"/>
        </w:rPr>
        <w:t>第五节 其他文书、文件格式</w:t>
      </w:r>
      <w:bookmarkEnd w:id="171"/>
      <w:bookmarkEnd w:id="172"/>
      <w:bookmarkEnd w:id="173"/>
      <w:bookmarkEnd w:id="174"/>
    </w:p>
    <w:p w14:paraId="51B6756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0B6B9012">
      <w:pPr>
        <w:rPr>
          <w:rFonts w:ascii="仿宋_GB2312" w:hAnsi="仿宋_GB2312" w:eastAsia="仿宋_GB2312" w:cs="仿宋_GB2312"/>
          <w:color w:val="auto"/>
          <w:sz w:val="30"/>
          <w:szCs w:val="30"/>
          <w:highlight w:val="none"/>
        </w:rPr>
      </w:pPr>
    </w:p>
    <w:p w14:paraId="3E5C36FF">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本企业（单位）自愿参与政府投资政府采购的</w:t>
      </w:r>
      <w:r>
        <w:rPr>
          <w:rFonts w:hint="eastAsia" w:ascii="仿宋_GB2312" w:hAnsi="仿宋_GB2312" w:eastAsia="仿宋_GB2312" w:cs="仿宋_GB2312"/>
          <w:color w:val="auto"/>
          <w:sz w:val="30"/>
          <w:szCs w:val="30"/>
          <w:highlight w:val="none"/>
          <w:u w:val="single"/>
          <w:lang w:eastAsia="zh-CN"/>
        </w:rPr>
        <w:t>宾阳县横水水库标准化创建工程</w:t>
      </w:r>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D6B21A6">
      <w:pPr>
        <w:snapToGrid w:val="0"/>
        <w:spacing w:line="360" w:lineRule="auto"/>
        <w:ind w:left="5137" w:leftChars="1736" w:hanging="1491" w:hangingChars="825"/>
        <w:rPr>
          <w:b/>
          <w:color w:val="auto"/>
          <w:sz w:val="18"/>
          <w:szCs w:val="18"/>
          <w:highlight w:val="none"/>
        </w:rPr>
      </w:pPr>
    </w:p>
    <w:p w14:paraId="1C5A92AF">
      <w:pPr>
        <w:snapToGrid w:val="0"/>
        <w:spacing w:line="360" w:lineRule="auto"/>
        <w:ind w:left="5137" w:leftChars="1736" w:hanging="1491" w:hangingChars="825"/>
        <w:rPr>
          <w:b/>
          <w:color w:val="auto"/>
          <w:sz w:val="18"/>
          <w:szCs w:val="18"/>
          <w:highlight w:val="none"/>
        </w:rPr>
      </w:pPr>
    </w:p>
    <w:p w14:paraId="56E0D265">
      <w:pPr>
        <w:snapToGrid w:val="0"/>
        <w:spacing w:line="360" w:lineRule="auto"/>
        <w:ind w:left="5137" w:leftChars="1736" w:hanging="1491" w:hangingChars="825"/>
        <w:rPr>
          <w:b/>
          <w:color w:val="auto"/>
          <w:sz w:val="18"/>
          <w:szCs w:val="18"/>
          <w:highlight w:val="none"/>
        </w:rPr>
      </w:pPr>
    </w:p>
    <w:p w14:paraId="08294ECC">
      <w:pPr>
        <w:snapToGrid w:val="0"/>
        <w:spacing w:line="360" w:lineRule="auto"/>
        <w:ind w:left="5626" w:leftChars="1736" w:hanging="1980" w:hangingChars="8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供应商名称(电子签章)：</w:t>
      </w:r>
    </w:p>
    <w:p w14:paraId="0D4D301E">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w:t>
      </w:r>
    </w:p>
    <w:p w14:paraId="12048758">
      <w:pPr>
        <w:widowControl/>
        <w:jc w:val="left"/>
        <w:rPr>
          <w:rFonts w:ascii="宋体" w:hAnsi="宋体" w:cs="仿宋_GB2312"/>
          <w:color w:val="auto"/>
          <w:sz w:val="24"/>
          <w:highlight w:val="none"/>
        </w:rPr>
        <w:sectPr>
          <w:pgSz w:w="11906" w:h="16838"/>
          <w:pgMar w:top="1134" w:right="1134" w:bottom="1134" w:left="1134" w:header="720" w:footer="720" w:gutter="0"/>
          <w:cols w:space="720" w:num="1"/>
          <w:docGrid w:type="lines" w:linePitch="331" w:charSpace="0"/>
        </w:sectPr>
      </w:pPr>
    </w:p>
    <w:p w14:paraId="1BE1C2AA">
      <w:pPr>
        <w:rPr>
          <w:rFonts w:hint="eastAsia"/>
          <w:color w:val="auto"/>
          <w:highlight w:val="none"/>
          <w:lang w:val="zh-CN" w:eastAsia="zh-CN"/>
        </w:rPr>
      </w:pPr>
    </w:p>
    <w:p w14:paraId="6CE2F9DA">
      <w:pPr>
        <w:pStyle w:val="17"/>
        <w:spacing w:line="360" w:lineRule="auto"/>
        <w:ind w:firstLine="602" w:firstLineChars="200"/>
        <w:rPr>
          <w:rFonts w:hint="eastAsia" w:ascii="宋体" w:hAnsi="宋体" w:eastAsia="宋体" w:cs="宋体"/>
          <w:b/>
          <w:color w:val="auto"/>
          <w:kern w:val="2"/>
          <w:sz w:val="30"/>
          <w:szCs w:val="30"/>
          <w:highlight w:val="none"/>
          <w:lang w:val="en-US" w:eastAsia="zh-CN"/>
        </w:rPr>
      </w:pPr>
    </w:p>
    <w:p w14:paraId="055F3B48">
      <w:pPr>
        <w:spacing w:line="360" w:lineRule="auto"/>
        <w:jc w:val="center"/>
        <w:rPr>
          <w:rFonts w:hint="eastAsia" w:ascii="宋体" w:hAnsi="宋体" w:eastAsia="宋体" w:cs="宋体"/>
          <w:color w:val="auto"/>
          <w:sz w:val="24"/>
          <w:highlight w:val="none"/>
        </w:rPr>
      </w:pPr>
    </w:p>
    <w:p w14:paraId="069A7695">
      <w:pPr>
        <w:spacing w:line="360" w:lineRule="auto"/>
        <w:jc w:val="center"/>
        <w:rPr>
          <w:rFonts w:hint="eastAsia" w:ascii="宋体" w:hAnsi="宋体" w:eastAsia="宋体" w:cs="宋体"/>
          <w:color w:val="auto"/>
          <w:sz w:val="24"/>
          <w:highlight w:val="none"/>
        </w:rPr>
      </w:pPr>
    </w:p>
    <w:p w14:paraId="66D2CB00">
      <w:pPr>
        <w:spacing w:line="360" w:lineRule="auto"/>
        <w:jc w:val="center"/>
        <w:rPr>
          <w:rFonts w:hint="eastAsia" w:ascii="宋体" w:hAnsi="宋体" w:eastAsia="宋体" w:cs="宋体"/>
          <w:color w:val="auto"/>
          <w:sz w:val="24"/>
          <w:highlight w:val="none"/>
        </w:rPr>
      </w:pPr>
    </w:p>
    <w:p w14:paraId="151A5BBB">
      <w:pPr>
        <w:spacing w:line="360" w:lineRule="auto"/>
        <w:jc w:val="center"/>
        <w:rPr>
          <w:rFonts w:hint="eastAsia" w:ascii="宋体" w:hAnsi="宋体" w:eastAsia="宋体" w:cs="宋体"/>
          <w:color w:val="auto"/>
          <w:sz w:val="24"/>
          <w:highlight w:val="none"/>
        </w:rPr>
      </w:pPr>
    </w:p>
    <w:p w14:paraId="72C8F9A7">
      <w:pPr>
        <w:spacing w:line="360" w:lineRule="auto"/>
        <w:jc w:val="center"/>
        <w:rPr>
          <w:rFonts w:hint="eastAsia" w:ascii="宋体" w:hAnsi="宋体" w:eastAsia="宋体" w:cs="宋体"/>
          <w:color w:val="auto"/>
          <w:sz w:val="24"/>
          <w:highlight w:val="none"/>
        </w:rPr>
      </w:pPr>
    </w:p>
    <w:p w14:paraId="2917922B">
      <w:pPr>
        <w:spacing w:line="360" w:lineRule="auto"/>
        <w:jc w:val="both"/>
        <w:rPr>
          <w:rFonts w:hint="eastAsia" w:ascii="宋体" w:hAnsi="宋体" w:eastAsia="宋体" w:cs="宋体"/>
          <w:color w:val="auto"/>
          <w:sz w:val="24"/>
          <w:highlight w:val="none"/>
        </w:rPr>
      </w:pPr>
    </w:p>
    <w:p w14:paraId="459D2D9A">
      <w:pPr>
        <w:spacing w:line="360" w:lineRule="auto"/>
        <w:jc w:val="center"/>
        <w:rPr>
          <w:rFonts w:hint="eastAsia" w:ascii="宋体" w:hAnsi="宋体" w:eastAsia="宋体" w:cs="宋体"/>
          <w:color w:val="auto"/>
          <w:sz w:val="24"/>
          <w:highlight w:val="none"/>
        </w:rPr>
      </w:pPr>
    </w:p>
    <w:p w14:paraId="5FA94C7C">
      <w:pPr>
        <w:spacing w:line="360" w:lineRule="auto"/>
        <w:jc w:val="center"/>
        <w:rPr>
          <w:rFonts w:hint="eastAsia" w:ascii="宋体" w:hAnsi="宋体" w:eastAsia="宋体" w:cs="宋体"/>
          <w:color w:val="auto"/>
          <w:sz w:val="24"/>
          <w:highlight w:val="none"/>
        </w:rPr>
      </w:pPr>
    </w:p>
    <w:p w14:paraId="79DE9957">
      <w:pPr>
        <w:spacing w:line="360" w:lineRule="auto"/>
        <w:jc w:val="center"/>
        <w:rPr>
          <w:rFonts w:hint="eastAsia" w:ascii="宋体" w:hAnsi="宋体" w:eastAsia="宋体" w:cs="宋体"/>
          <w:color w:val="auto"/>
          <w:sz w:val="24"/>
          <w:highlight w:val="none"/>
        </w:rPr>
      </w:pPr>
    </w:p>
    <w:p w14:paraId="568FEEE6">
      <w:pPr>
        <w:pStyle w:val="3"/>
        <w:spacing w:line="360" w:lineRule="auto"/>
        <w:jc w:val="center"/>
        <w:rPr>
          <w:rFonts w:hint="eastAsia" w:ascii="宋体" w:hAnsi="宋体" w:eastAsia="宋体" w:cs="宋体"/>
          <w:b w:val="0"/>
          <w:bCs w:val="0"/>
          <w:color w:val="auto"/>
          <w:highlight w:val="none"/>
        </w:rPr>
      </w:pPr>
      <w:bookmarkStart w:id="175" w:name="_Toc25466"/>
      <w:bookmarkStart w:id="176" w:name="_Toc11775"/>
      <w:bookmarkStart w:id="177" w:name="_Toc2080"/>
      <w:bookmarkStart w:id="178" w:name="_Toc26628"/>
      <w:bookmarkStart w:id="179" w:name="_Toc14897"/>
      <w:bookmarkStart w:id="180" w:name="_Toc11925"/>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75"/>
      <w:bookmarkEnd w:id="176"/>
      <w:bookmarkEnd w:id="177"/>
      <w:bookmarkEnd w:id="178"/>
      <w:bookmarkEnd w:id="179"/>
      <w:bookmarkEnd w:id="180"/>
    </w:p>
    <w:p w14:paraId="2A34E6C5">
      <w:pPr>
        <w:spacing w:line="360" w:lineRule="auto"/>
        <w:rPr>
          <w:rFonts w:hint="eastAsia" w:ascii="宋体" w:hAnsi="宋体" w:eastAsia="宋体" w:cs="宋体"/>
          <w:b/>
          <w:bCs/>
          <w:color w:val="auto"/>
          <w:highlight w:val="none"/>
        </w:rPr>
      </w:pPr>
      <w:r>
        <w:rPr>
          <w:rFonts w:hint="eastAsia" w:ascii="宋体" w:hAnsi="宋体" w:cs="宋体"/>
          <w:b/>
          <w:bCs/>
          <w:color w:val="auto"/>
          <w:sz w:val="24"/>
          <w:highlight w:val="none"/>
          <w:lang w:eastAsia="zh-CN"/>
        </w:rPr>
        <w:t>“广西政府采购云平台”</w:t>
      </w:r>
      <w:r>
        <w:rPr>
          <w:rFonts w:hint="eastAsia" w:ascii="宋体" w:hAnsi="宋体" w:eastAsia="宋体" w:cs="宋体"/>
          <w:b/>
          <w:bCs/>
          <w:color w:val="auto"/>
          <w:sz w:val="24"/>
          <w:highlight w:val="none"/>
        </w:rPr>
        <w:t>合同编号：</w:t>
      </w:r>
    </w:p>
    <w:p w14:paraId="3D89C900">
      <w:pPr>
        <w:spacing w:line="360" w:lineRule="auto"/>
        <w:jc w:val="center"/>
        <w:rPr>
          <w:rFonts w:hint="eastAsia" w:ascii="宋体" w:hAnsi="宋体" w:eastAsia="宋体" w:cs="宋体"/>
          <w:b/>
          <w:bCs/>
          <w:color w:val="auto"/>
          <w:sz w:val="52"/>
          <w:highlight w:val="none"/>
        </w:rPr>
      </w:pPr>
    </w:p>
    <w:p w14:paraId="6C68B037">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0ED714A4">
      <w:pPr>
        <w:spacing w:line="360" w:lineRule="auto"/>
        <w:ind w:firstLine="420" w:firstLineChars="200"/>
        <w:rPr>
          <w:rFonts w:hint="eastAsia" w:ascii="宋体" w:hAnsi="宋体" w:eastAsia="宋体" w:cs="宋体"/>
          <w:color w:val="auto"/>
          <w:highlight w:val="none"/>
        </w:rPr>
      </w:pPr>
    </w:p>
    <w:p w14:paraId="69A4ACF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1213D66">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 xml:space="preserve"> </w:t>
      </w:r>
      <w:r>
        <w:rPr>
          <w:rFonts w:hint="eastAsia" w:ascii="宋体" w:hAnsi="宋体" w:cs="宋体"/>
          <w:b/>
          <w:bCs/>
          <w:color w:val="auto"/>
          <w:sz w:val="44"/>
          <w:highlight w:val="none"/>
          <w:u w:val="single"/>
          <w:lang w:eastAsia="zh-CN"/>
        </w:rPr>
        <w:t>宾阳县横水水库标准化创建工程</w:t>
      </w:r>
      <w:r>
        <w:rPr>
          <w:rFonts w:hint="eastAsia" w:ascii="宋体" w:hAnsi="宋体" w:eastAsia="宋体" w:cs="宋体"/>
          <w:b/>
          <w:bCs/>
          <w:color w:val="auto"/>
          <w:sz w:val="44"/>
          <w:highlight w:val="none"/>
          <w:u w:val="single"/>
        </w:rPr>
        <w:t xml:space="preserve"> </w:t>
      </w:r>
      <w:r>
        <w:rPr>
          <w:rFonts w:hint="eastAsia" w:ascii="宋体" w:hAnsi="宋体" w:eastAsia="宋体" w:cs="宋体"/>
          <w:b/>
          <w:bCs/>
          <w:color w:val="auto"/>
          <w:sz w:val="44"/>
          <w:highlight w:val="none"/>
        </w:rPr>
        <w:t>合同</w:t>
      </w:r>
    </w:p>
    <w:p w14:paraId="786C2B71">
      <w:pPr>
        <w:spacing w:line="360" w:lineRule="auto"/>
        <w:jc w:val="center"/>
        <w:rPr>
          <w:rFonts w:hint="eastAsia" w:ascii="宋体" w:hAnsi="宋体" w:eastAsia="宋体" w:cs="宋体"/>
          <w:b/>
          <w:bCs/>
          <w:color w:val="auto"/>
          <w:sz w:val="44"/>
          <w:highlight w:val="none"/>
        </w:rPr>
      </w:pPr>
    </w:p>
    <w:p w14:paraId="25FE5EE7">
      <w:pPr>
        <w:spacing w:line="360" w:lineRule="auto"/>
        <w:ind w:firstLine="3507" w:firstLineChars="794"/>
        <w:rPr>
          <w:rFonts w:hint="eastAsia" w:ascii="宋体" w:hAnsi="宋体" w:eastAsia="宋体" w:cs="宋体"/>
          <w:b/>
          <w:bCs/>
          <w:color w:val="auto"/>
          <w:sz w:val="44"/>
          <w:highlight w:val="none"/>
        </w:rPr>
      </w:pPr>
    </w:p>
    <w:p w14:paraId="32FDBBA8">
      <w:pPr>
        <w:spacing w:line="360" w:lineRule="auto"/>
        <w:ind w:firstLine="3507" w:firstLineChars="794"/>
        <w:rPr>
          <w:rFonts w:hint="eastAsia" w:ascii="宋体" w:hAnsi="宋体" w:eastAsia="宋体" w:cs="宋体"/>
          <w:b/>
          <w:bCs/>
          <w:color w:val="auto"/>
          <w:sz w:val="44"/>
          <w:highlight w:val="none"/>
        </w:rPr>
      </w:pPr>
    </w:p>
    <w:p w14:paraId="04881137">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NNZC2024-C2-260291-GXXM</w:t>
      </w:r>
    </w:p>
    <w:p w14:paraId="08116C0C">
      <w:pPr>
        <w:spacing w:line="360" w:lineRule="auto"/>
        <w:ind w:left="0" w:leftChars="0" w:firstLine="1063" w:firstLineChars="294"/>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w:t>
      </w:r>
    </w:p>
    <w:p w14:paraId="1EAC08B7">
      <w:pPr>
        <w:spacing w:line="360" w:lineRule="auto"/>
        <w:ind w:left="0" w:leftChars="0" w:firstLine="705" w:firstLineChars="294"/>
        <w:rPr>
          <w:rFonts w:hint="eastAsia" w:ascii="宋体" w:hAnsi="宋体" w:eastAsia="宋体" w:cs="宋体"/>
          <w:color w:val="auto"/>
          <w:sz w:val="24"/>
          <w:highlight w:val="none"/>
        </w:rPr>
      </w:pPr>
    </w:p>
    <w:p w14:paraId="3E648189">
      <w:pPr>
        <w:spacing w:line="360" w:lineRule="auto"/>
        <w:ind w:left="0" w:leftChars="0" w:firstLine="1063" w:firstLineChars="294"/>
        <w:rPr>
          <w:rFonts w:hint="eastAsia" w:ascii="宋体" w:hAnsi="宋体" w:eastAsia="宋体" w:cs="宋体"/>
          <w:b/>
          <w:color w:val="auto"/>
          <w:sz w:val="36"/>
          <w:szCs w:val="36"/>
          <w:highlight w:val="none"/>
          <w:u w:val="single"/>
        </w:rPr>
      </w:pPr>
    </w:p>
    <w:p w14:paraId="490C579C">
      <w:pPr>
        <w:spacing w:line="360" w:lineRule="auto"/>
        <w:ind w:left="0" w:leftChars="0" w:firstLine="1063" w:firstLineChars="294"/>
        <w:rPr>
          <w:rFonts w:hint="eastAsia" w:ascii="宋体" w:hAnsi="宋体" w:eastAsia="宋体" w:cs="宋体"/>
          <w:b/>
          <w:color w:val="auto"/>
          <w:sz w:val="36"/>
          <w:szCs w:val="36"/>
          <w:highlight w:val="none"/>
          <w:u w:val="single"/>
        </w:rPr>
      </w:pPr>
    </w:p>
    <w:p w14:paraId="63FBA33F">
      <w:pPr>
        <w:widowControl/>
        <w:kinsoku w:val="0"/>
        <w:autoSpaceDE w:val="0"/>
        <w:autoSpaceDN w:val="0"/>
        <w:adjustRightInd w:val="0"/>
        <w:snapToGrid w:val="0"/>
        <w:spacing w:line="360" w:lineRule="auto"/>
        <w:ind w:right="1234" w:firstLine="1084" w:firstLineChars="300"/>
        <w:jc w:val="left"/>
        <w:textAlignment w:val="baseline"/>
        <w:rPr>
          <w:rFonts w:hint="default" w:ascii="宋体" w:hAnsi="宋体" w:eastAsia="宋体" w:cs="宋体"/>
          <w:b/>
          <w:color w:val="auto"/>
          <w:sz w:val="36"/>
          <w:szCs w:val="36"/>
          <w:highlight w:val="none"/>
          <w:u w:val="single"/>
          <w:lang w:val="en-US"/>
        </w:rPr>
      </w:pPr>
      <w:r>
        <w:rPr>
          <w:rFonts w:hint="eastAsia" w:ascii="宋体" w:hAnsi="宋体" w:cs="宋体"/>
          <w:b/>
          <w:color w:val="auto"/>
          <w:sz w:val="36"/>
          <w:szCs w:val="36"/>
          <w:highlight w:val="none"/>
        </w:rPr>
        <w:t>发包人：</w:t>
      </w:r>
      <w:r>
        <w:rPr>
          <w:rFonts w:hint="eastAsia" w:ascii="宋体" w:hAnsi="宋体" w:cs="宋体"/>
          <w:b/>
          <w:color w:val="auto"/>
          <w:sz w:val="36"/>
          <w:szCs w:val="36"/>
          <w:highlight w:val="none"/>
          <w:u w:val="single"/>
          <w:lang w:val="en-US" w:eastAsia="zh-CN"/>
        </w:rPr>
        <w:t xml:space="preserve">                         </w:t>
      </w:r>
    </w:p>
    <w:p w14:paraId="47B2C937">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color w:val="auto"/>
          <w:sz w:val="44"/>
          <w:highlight w:val="none"/>
        </w:rPr>
      </w:pPr>
      <w:r>
        <w:rPr>
          <w:rFonts w:hint="eastAsia" w:ascii="宋体" w:hAnsi="宋体" w:cs="宋体"/>
          <w:b/>
          <w:color w:val="auto"/>
          <w:sz w:val="36"/>
          <w:szCs w:val="36"/>
          <w:highlight w:val="none"/>
        </w:rPr>
        <w:t>承包人：</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rPr>
        <w:t xml:space="preserve">            </w:t>
      </w:r>
    </w:p>
    <w:p w14:paraId="3FEDB475">
      <w:pPr>
        <w:tabs>
          <w:tab w:val="left" w:pos="7380"/>
        </w:tabs>
        <w:spacing w:line="360" w:lineRule="auto"/>
        <w:rPr>
          <w:rFonts w:ascii="宋体" w:hAnsi="宋体" w:cs="宋体"/>
          <w:b/>
          <w:bCs/>
          <w:color w:val="auto"/>
          <w:sz w:val="44"/>
          <w:highlight w:val="none"/>
        </w:rPr>
      </w:pPr>
    </w:p>
    <w:p w14:paraId="6EA8A886">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color w:val="auto"/>
          <w:sz w:val="36"/>
          <w:szCs w:val="36"/>
          <w:highlight w:val="none"/>
          <w:lang w:val="zh-CN"/>
        </w:rPr>
        <w:t>签订时间：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年</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月</w:t>
      </w:r>
      <w:r>
        <w:rPr>
          <w:rFonts w:hint="eastAsia" w:ascii="宋体" w:hAnsi="宋体" w:cs="宋体"/>
          <w:color w:val="auto"/>
          <w:sz w:val="36"/>
          <w:szCs w:val="36"/>
          <w:highlight w:val="none"/>
          <w:u w:val="single"/>
          <w:lang w:val="zh-CN"/>
        </w:rPr>
        <w:t xml:space="preserve">    </w:t>
      </w:r>
      <w:r>
        <w:rPr>
          <w:rFonts w:hint="eastAsia" w:ascii="宋体" w:hAnsi="宋体" w:cs="宋体"/>
          <w:color w:val="auto"/>
          <w:sz w:val="36"/>
          <w:szCs w:val="36"/>
          <w:highlight w:val="none"/>
          <w:lang w:val="zh-CN"/>
        </w:rPr>
        <w:t>日</w:t>
      </w:r>
    </w:p>
    <w:p w14:paraId="0B5C10E9">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14:paraId="54787A50">
      <w:pPr>
        <w:pStyle w:val="5"/>
        <w:bidi w:val="0"/>
        <w:jc w:val="center"/>
        <w:rPr>
          <w:rFonts w:hint="eastAsia" w:ascii="Times New Roman" w:hAnsi="Times New Roman" w:cs="Times New Roman"/>
          <w:b w:val="0"/>
          <w:bCs/>
          <w:color w:val="auto"/>
          <w:sz w:val="44"/>
          <w:szCs w:val="44"/>
          <w:highlight w:val="none"/>
          <w:lang w:eastAsia="zh-CN"/>
        </w:rPr>
      </w:pPr>
      <w:bookmarkStart w:id="181" w:name="_Toc14233"/>
      <w:bookmarkStart w:id="182" w:name="_Toc17945"/>
      <w:r>
        <w:rPr>
          <w:rFonts w:hint="eastAsia" w:ascii="Times New Roman" w:hAnsi="Times New Roman" w:cs="Times New Roman"/>
          <w:b w:val="0"/>
          <w:bCs/>
          <w:color w:val="auto"/>
          <w:sz w:val="44"/>
          <w:szCs w:val="44"/>
          <w:highlight w:val="none"/>
          <w:lang w:eastAsia="zh-CN"/>
        </w:rPr>
        <w:t>第一节</w:t>
      </w:r>
      <w:r>
        <w:rPr>
          <w:rFonts w:hint="eastAsia" w:cs="Times New Roman"/>
          <w:b w:val="0"/>
          <w:bCs/>
          <w:color w:val="auto"/>
          <w:sz w:val="44"/>
          <w:szCs w:val="44"/>
          <w:highlight w:val="none"/>
          <w:lang w:val="en-US" w:eastAsia="zh-CN"/>
        </w:rPr>
        <w:t xml:space="preserve">  </w:t>
      </w:r>
      <w:r>
        <w:rPr>
          <w:rFonts w:hint="eastAsia" w:ascii="Times New Roman" w:hAnsi="Times New Roman" w:cs="Times New Roman"/>
          <w:b w:val="0"/>
          <w:bCs/>
          <w:color w:val="auto"/>
          <w:sz w:val="44"/>
          <w:szCs w:val="44"/>
          <w:highlight w:val="none"/>
          <w:lang w:eastAsia="zh-CN"/>
        </w:rPr>
        <w:t>合同协议书</w:t>
      </w:r>
      <w:bookmarkEnd w:id="181"/>
      <w:bookmarkEnd w:id="182"/>
    </w:p>
    <w:p w14:paraId="6AA78B78">
      <w:pPr>
        <w:spacing w:line="440" w:lineRule="exact"/>
        <w:rPr>
          <w:rFonts w:hint="eastAsia" w:ascii="宋体" w:hAnsi="宋体"/>
          <w:b/>
          <w:color w:val="auto"/>
          <w:sz w:val="24"/>
          <w:szCs w:val="24"/>
          <w:highlight w:val="none"/>
          <w:u w:val="single"/>
        </w:rPr>
      </w:pPr>
    </w:p>
    <w:p w14:paraId="1DBCB1D2">
      <w:pPr>
        <w:spacing w:line="440" w:lineRule="exact"/>
        <w:ind w:firstLine="482"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u w:val="single"/>
          <w:lang w:val="en-US" w:eastAsia="zh-CN"/>
        </w:rPr>
        <w:t xml:space="preserve"> (签约</w:t>
      </w:r>
      <w:r>
        <w:rPr>
          <w:rFonts w:hint="eastAsia" w:ascii="宋体" w:hAnsi="宋体" w:cs="宋体"/>
          <w:b/>
          <w:bCs w:val="0"/>
          <w:color w:val="auto"/>
          <w:sz w:val="24"/>
          <w:szCs w:val="24"/>
          <w:highlight w:val="none"/>
          <w:u w:val="single"/>
          <w:lang w:val="en-US" w:eastAsia="zh-CN"/>
        </w:rPr>
        <w:t>时</w:t>
      </w:r>
      <w:r>
        <w:rPr>
          <w:rFonts w:hint="eastAsia" w:ascii="宋体" w:hAnsi="宋体" w:eastAsia="宋体" w:cs="宋体"/>
          <w:b/>
          <w:bCs w:val="0"/>
          <w:color w:val="auto"/>
          <w:sz w:val="24"/>
          <w:szCs w:val="24"/>
          <w:highlight w:val="none"/>
          <w:u w:val="single"/>
          <w:lang w:val="en-US" w:eastAsia="zh-CN"/>
        </w:rPr>
        <w:t xml:space="preserve">填入发包人的名称)  </w:t>
      </w:r>
      <w:r>
        <w:rPr>
          <w:rFonts w:hint="eastAsia" w:ascii="宋体" w:hAnsi="宋体" w:eastAsia="宋体" w:cs="宋体"/>
          <w:b w:val="0"/>
          <w:bCs/>
          <w:color w:val="auto"/>
          <w:sz w:val="24"/>
          <w:szCs w:val="24"/>
          <w:highlight w:val="none"/>
          <w:lang w:eastAsia="zh-CN"/>
        </w:rPr>
        <w:t>（发包人名称，以下简称“发包人”）为实施</w:t>
      </w:r>
      <w:r>
        <w:rPr>
          <w:rFonts w:hint="eastAsia" w:ascii="宋体" w:hAnsi="宋体" w:cs="宋体"/>
          <w:b/>
          <w:bCs w:val="0"/>
          <w:color w:val="auto"/>
          <w:sz w:val="24"/>
          <w:szCs w:val="24"/>
          <w:highlight w:val="none"/>
          <w:u w:val="single"/>
          <w:lang w:eastAsia="zh-CN"/>
        </w:rPr>
        <w:t>宾阳县横水水库标准化创建工程</w:t>
      </w:r>
      <w:r>
        <w:rPr>
          <w:rFonts w:hint="eastAsia" w:ascii="宋体" w:hAnsi="宋体" w:eastAsia="宋体" w:cs="宋体"/>
          <w:b w:val="0"/>
          <w:bCs/>
          <w:color w:val="auto"/>
          <w:sz w:val="24"/>
          <w:szCs w:val="24"/>
          <w:highlight w:val="none"/>
          <w:lang w:eastAsia="zh-CN"/>
        </w:rPr>
        <w:t>（项目名称），已接受</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eastAsia="zh-CN"/>
        </w:rPr>
        <w:t>（承包人名称，以下简称“承包人”）为该项目</w:t>
      </w:r>
      <w:r>
        <w:rPr>
          <w:rFonts w:hint="eastAsia" w:ascii="宋体" w:hAnsi="宋体" w:cs="宋体"/>
          <w:b/>
          <w:bCs w:val="0"/>
          <w:color w:val="auto"/>
          <w:sz w:val="24"/>
          <w:szCs w:val="24"/>
          <w:highlight w:val="none"/>
          <w:u w:val="single"/>
          <w:lang w:eastAsia="zh-CN"/>
        </w:rPr>
        <w:t>宾阳县横水水库标准化创建工程</w:t>
      </w:r>
      <w:r>
        <w:rPr>
          <w:rFonts w:hint="eastAsia" w:ascii="宋体" w:hAnsi="宋体" w:eastAsia="宋体" w:cs="宋体"/>
          <w:b w:val="0"/>
          <w:bCs/>
          <w:color w:val="auto"/>
          <w:sz w:val="24"/>
          <w:szCs w:val="24"/>
          <w:highlight w:val="none"/>
          <w:lang w:eastAsia="zh-CN"/>
        </w:rPr>
        <w:t>（项目名称）的施工单位，并确定其为中标人。发包人和承包人共同达成如下协议。</w:t>
      </w:r>
    </w:p>
    <w:p w14:paraId="60098487">
      <w:pPr>
        <w:spacing w:line="52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本协议书与下列文件一起构成合同文件：</w:t>
      </w:r>
    </w:p>
    <w:p w14:paraId="58CBD9CA">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）中标通知书；</w:t>
      </w:r>
    </w:p>
    <w:p w14:paraId="6322FB63">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）投标函及投标函附录；</w:t>
      </w:r>
    </w:p>
    <w:p w14:paraId="064DAB15">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）专用合同条款（含附加条款）；</w:t>
      </w:r>
    </w:p>
    <w:p w14:paraId="0917923D">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2014F7C9">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）技术标准和要求（合同技术条款）；</w:t>
      </w:r>
    </w:p>
    <w:p w14:paraId="2FA2790B">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）图纸；</w:t>
      </w:r>
    </w:p>
    <w:p w14:paraId="15D0EE03">
      <w:pPr>
        <w:spacing w:line="520" w:lineRule="exact"/>
        <w:ind w:firstLine="410" w:firstLineChars="1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）已标价工程量清单；</w:t>
      </w:r>
    </w:p>
    <w:p w14:paraId="1DC15DFB">
      <w:pPr>
        <w:spacing w:line="52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）其他合同文件。</w:t>
      </w:r>
    </w:p>
    <w:p w14:paraId="6182EE7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上述文件互相补充和解释，如有不明确或不一致之处，以合同约定次序在先者为准。</w:t>
      </w:r>
    </w:p>
    <w:p w14:paraId="586738EF">
      <w:pPr>
        <w:spacing w:line="520" w:lineRule="exact"/>
        <w:ind w:firstLine="482"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b/>
          <w:color w:val="auto"/>
          <w:sz w:val="24"/>
          <w:szCs w:val="24"/>
          <w:highlight w:val="none"/>
        </w:rPr>
        <w:t>3. 签约合同价</w:t>
      </w:r>
      <w:r>
        <w:rPr>
          <w:rFonts w:hint="eastAsia" w:ascii="宋体" w:hAnsi="宋体" w:eastAsia="宋体" w:cs="宋体"/>
          <w:b/>
          <w:color w:val="auto"/>
          <w:spacing w:val="-6"/>
          <w:sz w:val="24"/>
          <w:szCs w:val="24"/>
          <w:highlight w:val="none"/>
        </w:rPr>
        <w:t>：（大写）</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b/>
          <w:color w:val="auto"/>
          <w:spacing w:val="-6"/>
          <w:sz w:val="24"/>
          <w:szCs w:val="24"/>
          <w:highlight w:val="none"/>
          <w:u w:val="single"/>
          <w:lang w:val="en-US" w:eastAsia="zh-CN"/>
        </w:rPr>
        <w:t xml:space="preserve">               </w:t>
      </w:r>
    </w:p>
    <w:p w14:paraId="11F84D81">
      <w:pPr>
        <w:spacing w:line="520" w:lineRule="exact"/>
        <w:ind w:left="899" w:leftChars="428" w:firstLine="1462" w:firstLineChars="65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（小写）</w:t>
      </w:r>
      <w:r>
        <w:rPr>
          <w:rFonts w:hint="eastAsia" w:ascii="宋体" w:hAnsi="宋体" w:cs="宋体"/>
          <w:b/>
          <w:color w:val="auto"/>
          <w:kern w:val="0"/>
          <w:sz w:val="24"/>
          <w:szCs w:val="24"/>
          <w:highlight w:val="none"/>
          <w:u w:val="single"/>
          <w:lang w:val="en-US" w:eastAsia="zh-CN"/>
        </w:rPr>
        <w:t>¥       元</w:t>
      </w:r>
      <w:r>
        <w:rPr>
          <w:rFonts w:hint="eastAsia" w:ascii="宋体" w:hAnsi="宋体" w:eastAsia="宋体" w:cs="宋体"/>
          <w:b/>
          <w:color w:val="auto"/>
          <w:spacing w:val="-8"/>
          <w:kern w:val="0"/>
          <w:sz w:val="24"/>
          <w:szCs w:val="24"/>
          <w:highlight w:val="none"/>
        </w:rPr>
        <w:t>。</w:t>
      </w:r>
    </w:p>
    <w:p w14:paraId="44A1E707">
      <w:pPr>
        <w:spacing w:line="520" w:lineRule="exact"/>
        <w:ind w:firstLine="2409" w:firstLineChars="10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工程承包方式：</w:t>
      </w:r>
      <w:r>
        <w:rPr>
          <w:rFonts w:hint="eastAsia" w:ascii="宋体" w:hAnsi="宋体" w:eastAsia="宋体" w:cs="宋体"/>
          <w:b/>
          <w:color w:val="auto"/>
          <w:sz w:val="24"/>
          <w:szCs w:val="24"/>
          <w:highlight w:val="none"/>
          <w:u w:val="single"/>
          <w:lang w:val="en-US" w:eastAsia="zh-CN"/>
        </w:rPr>
        <w:t>固定</w:t>
      </w:r>
      <w:r>
        <w:rPr>
          <w:rFonts w:hint="eastAsia" w:ascii="宋体" w:hAnsi="宋体" w:eastAsia="宋体" w:cs="宋体"/>
          <w:b/>
          <w:color w:val="auto"/>
          <w:sz w:val="24"/>
          <w:szCs w:val="24"/>
          <w:highlight w:val="none"/>
          <w:u w:val="single"/>
        </w:rPr>
        <w:t xml:space="preserve">单价承包 </w:t>
      </w:r>
      <w:r>
        <w:rPr>
          <w:rFonts w:hint="eastAsia" w:ascii="宋体" w:hAnsi="宋体" w:eastAsia="宋体" w:cs="宋体"/>
          <w:b/>
          <w:color w:val="auto"/>
          <w:sz w:val="24"/>
          <w:szCs w:val="24"/>
          <w:highlight w:val="none"/>
        </w:rPr>
        <w:t>。</w:t>
      </w:r>
    </w:p>
    <w:p w14:paraId="49C9DEF5">
      <w:pPr>
        <w:spacing w:line="520" w:lineRule="exact"/>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4. 承包人项目经理：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7F36C5E9">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工程质量符合</w:t>
      </w:r>
      <w:r>
        <w:rPr>
          <w:rFonts w:hint="eastAsia" w:ascii="宋体" w:hAnsi="宋体" w:eastAsia="宋体" w:cs="宋体"/>
          <w:color w:val="auto"/>
          <w:sz w:val="24"/>
          <w:szCs w:val="24"/>
          <w:highlight w:val="none"/>
          <w:u w:val="single"/>
        </w:rPr>
        <w:t xml:space="preserve"> 国家施工验收规范合格 </w:t>
      </w:r>
      <w:r>
        <w:rPr>
          <w:rFonts w:hint="eastAsia" w:ascii="宋体" w:hAnsi="宋体" w:eastAsia="宋体" w:cs="宋体"/>
          <w:color w:val="auto"/>
          <w:sz w:val="24"/>
          <w:szCs w:val="24"/>
          <w:highlight w:val="none"/>
        </w:rPr>
        <w:t>标准。</w:t>
      </w:r>
    </w:p>
    <w:p w14:paraId="3ABCEB0E">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承包人承诺按合同约定承担工程的实施、完成及缺陷修复。</w:t>
      </w:r>
    </w:p>
    <w:p w14:paraId="0A09F155">
      <w:pPr>
        <w:spacing w:line="520" w:lineRule="exact"/>
        <w:ind w:firstLine="456"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 发包人承诺按合同约定的条件、时间和方式向承包人支付合同价款。</w:t>
      </w:r>
    </w:p>
    <w:p w14:paraId="5EB8726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承包人承诺执行监理人开工通知，计划工期为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天。承包人应积极配合完成项目开工准备工作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日前</w:t>
      </w:r>
      <w:r>
        <w:rPr>
          <w:rFonts w:hint="eastAsia" w:ascii="宋体" w:hAnsi="宋体" w:eastAsia="宋体" w:cs="宋体"/>
          <w:color w:val="auto"/>
          <w:sz w:val="24"/>
          <w:szCs w:val="24"/>
          <w:highlight w:val="none"/>
          <w:lang w:eastAsia="zh-CN"/>
        </w:rPr>
        <w:t>开工</w:t>
      </w:r>
      <w:r>
        <w:rPr>
          <w:rFonts w:hint="eastAsia" w:ascii="宋体" w:hAnsi="宋体" w:eastAsia="宋体" w:cs="宋体"/>
          <w:color w:val="auto"/>
          <w:sz w:val="24"/>
          <w:szCs w:val="24"/>
          <w:highlight w:val="none"/>
        </w:rPr>
        <w:t>，开工日期以监理人签发的开工令为准，由于承包人原因造成开工日期延误的，由承包人承担相应责任。</w:t>
      </w:r>
    </w:p>
    <w:p w14:paraId="7EB2D9A4">
      <w:pPr>
        <w:spacing w:line="520" w:lineRule="exact"/>
        <w:ind w:left="281" w:leftChars="13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本协议书一式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份，发包人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份，承包人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05B44D80">
      <w:pPr>
        <w:spacing w:line="52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2"/>
          <w:sz w:val="24"/>
          <w:szCs w:val="24"/>
          <w:highlight w:val="none"/>
          <w:lang w:val="en-US" w:eastAsia="zh-CN"/>
        </w:rPr>
        <w:t>0</w:t>
      </w:r>
      <w:r>
        <w:rPr>
          <w:rFonts w:hint="eastAsia" w:ascii="宋体" w:hAnsi="宋体" w:eastAsia="宋体" w:cs="宋体"/>
          <w:color w:val="auto"/>
          <w:spacing w:val="-2"/>
          <w:sz w:val="24"/>
          <w:szCs w:val="24"/>
          <w:highlight w:val="none"/>
        </w:rPr>
        <w:t>. 合同未尽事宜，双方另行签订补充协议。补充协议是合同的组成部分。</w:t>
      </w:r>
    </w:p>
    <w:tbl>
      <w:tblPr>
        <w:tblStyle w:val="28"/>
        <w:tblpPr w:leftFromText="180" w:rightFromText="180" w:vertAnchor="page" w:horzAnchor="page" w:tblpX="1510" w:tblpY="3922"/>
        <w:tblOverlap w:val="never"/>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4405"/>
      </w:tblGrid>
      <w:tr w14:paraId="744A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35A919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发包人：</w:t>
            </w:r>
            <w:r>
              <w:rPr>
                <w:rFonts w:hint="eastAsia" w:ascii="宋体" w:hAnsi="宋体" w:cs="宋体"/>
                <w:color w:val="auto"/>
                <w:sz w:val="24"/>
                <w:szCs w:val="24"/>
                <w:highlight w:val="none"/>
                <w:lang w:val="en-US" w:eastAsia="zh-CN"/>
              </w:rPr>
              <w:t>宾阳县水利工程建设服务站</w:t>
            </w:r>
            <w:r>
              <w:rPr>
                <w:rFonts w:hint="eastAsia" w:ascii="宋体" w:hAnsi="宋体" w:eastAsia="宋体" w:cs="宋体"/>
                <w:color w:val="auto"/>
                <w:sz w:val="24"/>
                <w:szCs w:val="24"/>
                <w:highlight w:val="none"/>
                <w:lang w:val="en-US" w:eastAsia="zh-CN"/>
              </w:rPr>
              <w:t xml:space="preserve"> </w:t>
            </w:r>
          </w:p>
        </w:tc>
        <w:tc>
          <w:tcPr>
            <w:tcW w:w="4405" w:type="dxa"/>
            <w:tcBorders>
              <w:top w:val="nil"/>
              <w:left w:val="nil"/>
              <w:bottom w:val="nil"/>
              <w:right w:val="nil"/>
            </w:tcBorders>
            <w:noWrap w:val="0"/>
            <w:vAlign w:val="top"/>
          </w:tcPr>
          <w:p w14:paraId="7C78DC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tc>
      </w:tr>
      <w:tr w14:paraId="77FF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2B38E9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55317678">
            <w:pPr>
              <w:pStyle w:val="50"/>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或授权委托人：（签字）：</w:t>
            </w:r>
          </w:p>
        </w:tc>
        <w:tc>
          <w:tcPr>
            <w:tcW w:w="4405" w:type="dxa"/>
            <w:tcBorders>
              <w:top w:val="nil"/>
              <w:left w:val="nil"/>
              <w:bottom w:val="nil"/>
              <w:right w:val="nil"/>
            </w:tcBorders>
            <w:noWrap w:val="0"/>
            <w:vAlign w:val="top"/>
          </w:tcPr>
          <w:p w14:paraId="2F68ED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法定代表人（签字）：</w:t>
            </w:r>
          </w:p>
          <w:p w14:paraId="0024D3D2">
            <w:pPr>
              <w:pStyle w:val="2"/>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或授权委托人：（签字）：</w:t>
            </w:r>
          </w:p>
        </w:tc>
      </w:tr>
      <w:tr w14:paraId="68C7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1683EE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地  址：</w:t>
            </w:r>
          </w:p>
        </w:tc>
        <w:tc>
          <w:tcPr>
            <w:tcW w:w="4405" w:type="dxa"/>
            <w:tcBorders>
              <w:top w:val="nil"/>
              <w:left w:val="nil"/>
              <w:bottom w:val="nil"/>
              <w:right w:val="nil"/>
            </w:tcBorders>
            <w:noWrap w:val="0"/>
            <w:vAlign w:val="top"/>
          </w:tcPr>
          <w:p w14:paraId="45D1AD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p>
        </w:tc>
      </w:tr>
      <w:tr w14:paraId="27E2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356697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电  话：</w:t>
            </w:r>
          </w:p>
        </w:tc>
        <w:tc>
          <w:tcPr>
            <w:tcW w:w="4405" w:type="dxa"/>
            <w:tcBorders>
              <w:top w:val="nil"/>
              <w:left w:val="nil"/>
              <w:bottom w:val="nil"/>
              <w:right w:val="nil"/>
            </w:tcBorders>
            <w:noWrap w:val="0"/>
            <w:vAlign w:val="top"/>
          </w:tcPr>
          <w:p w14:paraId="7AC038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电  话：</w:t>
            </w:r>
          </w:p>
        </w:tc>
      </w:tr>
      <w:tr w14:paraId="14F6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6B0A47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传  真：</w:t>
            </w:r>
          </w:p>
        </w:tc>
        <w:tc>
          <w:tcPr>
            <w:tcW w:w="4405" w:type="dxa"/>
            <w:tcBorders>
              <w:top w:val="nil"/>
              <w:left w:val="nil"/>
              <w:bottom w:val="nil"/>
              <w:right w:val="nil"/>
            </w:tcBorders>
            <w:noWrap w:val="0"/>
            <w:vAlign w:val="top"/>
          </w:tcPr>
          <w:p w14:paraId="2722FE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lang w:val="en-US" w:eastAsia="zh-CN"/>
              </w:rPr>
              <w:t>:</w:t>
            </w:r>
          </w:p>
        </w:tc>
      </w:tr>
      <w:tr w14:paraId="6509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65E868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 xml:space="preserve">邮  箱: </w:t>
            </w:r>
          </w:p>
        </w:tc>
        <w:tc>
          <w:tcPr>
            <w:tcW w:w="4405" w:type="dxa"/>
            <w:tcBorders>
              <w:top w:val="nil"/>
              <w:left w:val="nil"/>
              <w:bottom w:val="nil"/>
              <w:right w:val="nil"/>
            </w:tcBorders>
            <w:noWrap w:val="0"/>
            <w:vAlign w:val="top"/>
          </w:tcPr>
          <w:p w14:paraId="4B7186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公司邮箱:</w:t>
            </w:r>
            <w:r>
              <w:rPr>
                <w:rFonts w:hint="eastAsia" w:ascii="宋体" w:hAnsi="宋体" w:eastAsia="宋体" w:cs="宋体"/>
                <w:color w:val="auto"/>
                <w:sz w:val="24"/>
                <w:szCs w:val="24"/>
                <w:highlight w:val="none"/>
                <w:lang w:val="en-US" w:eastAsia="zh-CN"/>
              </w:rPr>
              <w:t xml:space="preserve"> </w:t>
            </w:r>
          </w:p>
        </w:tc>
      </w:tr>
      <w:tr w14:paraId="7360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5A7CD7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邮  编：</w:t>
            </w:r>
          </w:p>
        </w:tc>
        <w:tc>
          <w:tcPr>
            <w:tcW w:w="4405" w:type="dxa"/>
            <w:tcBorders>
              <w:top w:val="nil"/>
              <w:left w:val="nil"/>
              <w:bottom w:val="nil"/>
              <w:right w:val="nil"/>
            </w:tcBorders>
            <w:noWrap w:val="0"/>
            <w:vAlign w:val="top"/>
          </w:tcPr>
          <w:p w14:paraId="2A17C2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邮  编：</w:t>
            </w:r>
          </w:p>
        </w:tc>
      </w:tr>
      <w:tr w14:paraId="2E22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1D9884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开票信息：</w:t>
            </w:r>
            <w:r>
              <w:rPr>
                <w:rFonts w:hint="eastAsia" w:ascii="宋体" w:hAnsi="宋体" w:eastAsia="宋体" w:cs="宋体"/>
                <w:color w:val="auto"/>
                <w:sz w:val="24"/>
                <w:szCs w:val="24"/>
                <w:highlight w:val="none"/>
                <w:lang w:val="en-US" w:eastAsia="zh-CN"/>
              </w:rPr>
              <w:t xml:space="preserve"> </w:t>
            </w:r>
          </w:p>
        </w:tc>
        <w:tc>
          <w:tcPr>
            <w:tcW w:w="4405" w:type="dxa"/>
            <w:tcBorders>
              <w:top w:val="nil"/>
              <w:left w:val="nil"/>
              <w:bottom w:val="nil"/>
              <w:right w:val="nil"/>
            </w:tcBorders>
            <w:noWrap w:val="0"/>
            <w:vAlign w:val="top"/>
          </w:tcPr>
          <w:p w14:paraId="0DF50F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基本账户开户银行</w:t>
            </w:r>
            <w:r>
              <w:rPr>
                <w:rFonts w:hint="eastAsia" w:ascii="宋体" w:hAnsi="宋体" w:eastAsia="宋体" w:cs="宋体"/>
                <w:color w:val="auto"/>
                <w:sz w:val="24"/>
                <w:szCs w:val="24"/>
                <w:highlight w:val="none"/>
                <w:lang w:eastAsia="zh-CN"/>
              </w:rPr>
              <w:t>：</w:t>
            </w:r>
          </w:p>
        </w:tc>
      </w:tr>
      <w:tr w14:paraId="6FDD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3B54C6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r>
              <w:rPr>
                <w:rFonts w:hint="eastAsia" w:ascii="宋体" w:hAnsi="宋体" w:eastAsia="宋体" w:cs="宋体"/>
                <w:color w:val="auto"/>
                <w:sz w:val="24"/>
                <w:szCs w:val="24"/>
                <w:highlight w:val="none"/>
                <w:lang w:val="en-US" w:eastAsia="zh-CN"/>
              </w:rPr>
              <w:t xml:space="preserve"> </w:t>
            </w:r>
          </w:p>
        </w:tc>
        <w:tc>
          <w:tcPr>
            <w:tcW w:w="4405" w:type="dxa"/>
            <w:tcBorders>
              <w:top w:val="nil"/>
              <w:left w:val="nil"/>
              <w:bottom w:val="nil"/>
              <w:right w:val="nil"/>
            </w:tcBorders>
            <w:noWrap w:val="0"/>
            <w:vAlign w:val="top"/>
          </w:tcPr>
          <w:p w14:paraId="386DA94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eastAsia="zh-CN"/>
              </w:rPr>
              <w:t>基本账户账户：</w:t>
            </w:r>
          </w:p>
        </w:tc>
      </w:tr>
      <w:tr w14:paraId="3C28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2E8D97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405" w:type="dxa"/>
            <w:tcBorders>
              <w:top w:val="nil"/>
              <w:left w:val="nil"/>
              <w:bottom w:val="nil"/>
              <w:right w:val="nil"/>
            </w:tcBorders>
            <w:noWrap w:val="0"/>
            <w:vAlign w:val="top"/>
          </w:tcPr>
          <w:p w14:paraId="5529125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农民工工资支付专账开户名称：</w:t>
            </w:r>
          </w:p>
        </w:tc>
      </w:tr>
      <w:tr w14:paraId="47E5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077D66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405" w:type="dxa"/>
            <w:tcBorders>
              <w:top w:val="nil"/>
              <w:left w:val="nil"/>
              <w:bottom w:val="nil"/>
              <w:right w:val="nil"/>
            </w:tcBorders>
            <w:noWrap w:val="0"/>
            <w:vAlign w:val="top"/>
          </w:tcPr>
          <w:p w14:paraId="61F015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rPr>
            </w:pPr>
            <w:r>
              <w:rPr>
                <w:rFonts w:hint="eastAsia" w:ascii="宋体" w:hAnsi="宋体" w:eastAsia="宋体" w:cs="宋体"/>
                <w:color w:val="auto"/>
                <w:sz w:val="24"/>
                <w:szCs w:val="24"/>
                <w:highlight w:val="none"/>
                <w:lang w:val="en-US" w:eastAsia="zh-CN"/>
              </w:rPr>
              <w:t>农民工工资支付专账开户银行：</w:t>
            </w:r>
          </w:p>
        </w:tc>
      </w:tr>
      <w:tr w14:paraId="6A4D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4" w:type="dxa"/>
            <w:tcBorders>
              <w:top w:val="nil"/>
              <w:left w:val="nil"/>
              <w:bottom w:val="nil"/>
              <w:right w:val="nil"/>
            </w:tcBorders>
            <w:noWrap w:val="0"/>
            <w:vAlign w:val="top"/>
          </w:tcPr>
          <w:p w14:paraId="1795DB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405" w:type="dxa"/>
            <w:tcBorders>
              <w:top w:val="nil"/>
              <w:left w:val="nil"/>
              <w:bottom w:val="nil"/>
              <w:right w:val="nil"/>
            </w:tcBorders>
            <w:noWrap w:val="0"/>
            <w:vAlign w:val="top"/>
          </w:tcPr>
          <w:p w14:paraId="592E38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农民工</w:t>
            </w:r>
            <w:r>
              <w:rPr>
                <w:rFonts w:hint="eastAsia" w:ascii="宋体" w:hAnsi="宋体" w:eastAsia="宋体" w:cs="宋体"/>
                <w:color w:val="auto"/>
                <w:sz w:val="24"/>
                <w:szCs w:val="24"/>
                <w:highlight w:val="none"/>
              </w:rPr>
              <w:t>工资专账账号</w:t>
            </w:r>
            <w:r>
              <w:rPr>
                <w:rFonts w:hint="eastAsia" w:ascii="宋体" w:hAnsi="宋体" w:eastAsia="宋体" w:cs="宋体"/>
                <w:color w:val="auto"/>
                <w:sz w:val="24"/>
                <w:szCs w:val="24"/>
                <w:highlight w:val="none"/>
                <w:lang w:eastAsia="zh-CN"/>
              </w:rPr>
              <w:t>：</w:t>
            </w:r>
          </w:p>
        </w:tc>
      </w:tr>
    </w:tbl>
    <w:p w14:paraId="6AC5AC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sectPr>
          <w:footerReference r:id="rId15" w:type="first"/>
          <w:headerReference r:id="rId13" w:type="default"/>
          <w:footerReference r:id="rId14" w:type="default"/>
          <w:pgSz w:w="11906" w:h="16838"/>
          <w:pgMar w:top="1440" w:right="1418" w:bottom="1440" w:left="1588" w:header="851" w:footer="992" w:gutter="0"/>
          <w:pgNumType w:fmt="decimal"/>
          <w:cols w:space="720" w:num="1"/>
          <w:titlePg/>
          <w:docGrid w:type="lines" w:linePitch="312" w:charSpace="0"/>
        </w:sectPr>
      </w:pPr>
    </w:p>
    <w:p w14:paraId="01AC6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eastAsia="zh-CN"/>
        </w:rPr>
        <w:sectPr>
          <w:type w:val="continuous"/>
          <w:pgSz w:w="11906" w:h="16838"/>
          <w:pgMar w:top="1440" w:right="1418" w:bottom="1440" w:left="1588" w:header="851" w:footer="992" w:gutter="0"/>
          <w:pgNumType w:fmt="decimal"/>
          <w:cols w:space="720" w:num="1"/>
          <w:titlePg/>
          <w:docGrid w:type="lines" w:linePitch="312" w:charSpace="0"/>
        </w:sectPr>
      </w:pPr>
      <w:r>
        <w:rPr>
          <w:rFonts w:hint="eastAsia" w:ascii="宋体" w:hAnsi="宋体" w:eastAsia="宋体" w:cs="宋体"/>
          <w:color w:val="auto"/>
          <w:sz w:val="24"/>
          <w:szCs w:val="24"/>
          <w:highlight w:val="none"/>
          <w:lang w:val="en-US" w:eastAsia="zh-CN"/>
        </w:rPr>
        <w:t>签订日期：     年    月     日</w:t>
      </w:r>
    </w:p>
    <w:p w14:paraId="16EEB3A1">
      <w:pPr>
        <w:bidi w:val="0"/>
        <w:jc w:val="both"/>
        <w:outlineLvl w:val="9"/>
        <w:rPr>
          <w:rFonts w:hint="eastAsia"/>
          <w:b/>
          <w:color w:val="auto"/>
          <w:sz w:val="24"/>
          <w:szCs w:val="24"/>
          <w:highlight w:val="none"/>
          <w:lang w:eastAsia="zh-CN"/>
        </w:rPr>
      </w:pPr>
    </w:p>
    <w:p w14:paraId="060F8CB3">
      <w:pPr>
        <w:pStyle w:val="5"/>
        <w:bidi w:val="0"/>
        <w:jc w:val="center"/>
        <w:rPr>
          <w:rFonts w:hint="eastAsia" w:ascii="Times New Roman" w:hAnsi="Times New Roman" w:cs="Times New Roman"/>
          <w:b w:val="0"/>
          <w:bCs/>
          <w:color w:val="auto"/>
          <w:sz w:val="44"/>
          <w:szCs w:val="44"/>
          <w:highlight w:val="none"/>
          <w:lang w:eastAsia="zh-CN"/>
        </w:rPr>
      </w:pPr>
      <w:bookmarkStart w:id="183" w:name="_Toc2561"/>
      <w:bookmarkStart w:id="184" w:name="_Toc645"/>
      <w:r>
        <w:rPr>
          <w:rFonts w:hint="eastAsia" w:ascii="Times New Roman" w:hAnsi="Times New Roman" w:cs="Times New Roman"/>
          <w:b w:val="0"/>
          <w:bCs/>
          <w:color w:val="auto"/>
          <w:sz w:val="44"/>
          <w:szCs w:val="44"/>
          <w:highlight w:val="none"/>
          <w:lang w:eastAsia="zh-CN"/>
        </w:rPr>
        <w:t>第二节</w:t>
      </w:r>
      <w:r>
        <w:rPr>
          <w:rFonts w:hint="eastAsia" w:cs="Times New Roman"/>
          <w:b w:val="0"/>
          <w:bCs/>
          <w:color w:val="auto"/>
          <w:sz w:val="44"/>
          <w:szCs w:val="44"/>
          <w:highlight w:val="none"/>
          <w:lang w:val="en-US" w:eastAsia="zh-CN"/>
        </w:rPr>
        <w:t xml:space="preserve"> </w:t>
      </w:r>
      <w:r>
        <w:rPr>
          <w:rFonts w:hint="eastAsia" w:ascii="Times New Roman" w:hAnsi="Times New Roman" w:cs="Times New Roman"/>
          <w:b w:val="0"/>
          <w:bCs/>
          <w:color w:val="auto"/>
          <w:sz w:val="44"/>
          <w:szCs w:val="44"/>
          <w:highlight w:val="none"/>
          <w:lang w:eastAsia="zh-CN"/>
        </w:rPr>
        <w:t xml:space="preserve"> 通用合同条款</w:t>
      </w:r>
      <w:bookmarkEnd w:id="183"/>
      <w:bookmarkEnd w:id="184"/>
    </w:p>
    <w:p w14:paraId="5C3C41D9">
      <w:pPr>
        <w:pStyle w:val="39"/>
        <w:keepNext/>
        <w:keepLines/>
        <w:spacing w:before="280" w:after="290" w:line="372" w:lineRule="auto"/>
        <w:outlineLvl w:val="4"/>
        <w:rPr>
          <w:b/>
          <w:color w:val="auto"/>
          <w:sz w:val="30"/>
          <w:szCs w:val="30"/>
          <w:highlight w:val="none"/>
          <w:lang w:eastAsia="zh-CN"/>
        </w:rPr>
      </w:pPr>
      <w:bookmarkStart w:id="185" w:name="bookmark1882"/>
      <w:bookmarkEnd w:id="185"/>
      <w:bookmarkStart w:id="186" w:name="_Toc12777"/>
      <w:bookmarkStart w:id="187" w:name="_Toc17635"/>
      <w:r>
        <w:rPr>
          <w:b/>
          <w:color w:val="auto"/>
          <w:sz w:val="30"/>
          <w:szCs w:val="30"/>
          <w:highlight w:val="none"/>
          <w:lang w:eastAsia="zh-CN"/>
        </w:rPr>
        <w:t xml:space="preserve">1. </w:t>
      </w:r>
      <w:r>
        <w:rPr>
          <w:rFonts w:hint="eastAsia" w:ascii="宋体" w:hAnsi="宋体" w:eastAsia="宋体" w:cs="宋体"/>
          <w:b/>
          <w:color w:val="auto"/>
          <w:sz w:val="30"/>
          <w:szCs w:val="30"/>
          <w:highlight w:val="none"/>
          <w:lang w:eastAsia="zh-CN"/>
        </w:rPr>
        <w:t>一般约定</w:t>
      </w:r>
      <w:bookmarkEnd w:id="186"/>
      <w:bookmarkEnd w:id="187"/>
    </w:p>
    <w:p w14:paraId="39F5D747">
      <w:pPr>
        <w:pStyle w:val="39"/>
        <w:keepNext/>
        <w:keepLines/>
        <w:spacing w:before="240" w:after="64" w:line="317" w:lineRule="auto"/>
        <w:outlineLvl w:val="5"/>
        <w:rPr>
          <w:rFonts w:ascii="宋体" w:hAnsi="宋体" w:eastAsia="宋体"/>
          <w:b/>
          <w:color w:val="auto"/>
          <w:sz w:val="24"/>
          <w:szCs w:val="24"/>
          <w:highlight w:val="none"/>
          <w:lang w:eastAsia="zh-CN"/>
        </w:rPr>
      </w:pPr>
      <w:bookmarkStart w:id="188" w:name="_Toc5154"/>
      <w:bookmarkStart w:id="189" w:name="_Toc7191"/>
      <w:r>
        <w:rPr>
          <w:rFonts w:ascii="宋体" w:hAnsi="宋体" w:eastAsia="宋体"/>
          <w:b/>
          <w:color w:val="auto"/>
          <w:sz w:val="24"/>
          <w:szCs w:val="24"/>
          <w:highlight w:val="none"/>
          <w:lang w:eastAsia="zh-CN"/>
        </w:rPr>
        <w:t>1.1词语定义</w:t>
      </w:r>
      <w:bookmarkEnd w:id="188"/>
      <w:bookmarkEnd w:id="189"/>
    </w:p>
    <w:p w14:paraId="6B988BE4">
      <w:pPr>
        <w:pStyle w:val="39"/>
        <w:spacing w:after="100" w:line="350"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通用合同条款、专用合同条款中的下列词语应具有本款所赋予的含义。</w:t>
      </w:r>
    </w:p>
    <w:p w14:paraId="2B477BC6">
      <w:pPr>
        <w:pStyle w:val="39"/>
        <w:spacing w:line="360" w:lineRule="auto"/>
        <w:ind w:firstLine="420"/>
        <w:jc w:val="both"/>
        <w:rPr>
          <w:color w:val="auto"/>
          <w:sz w:val="20"/>
          <w:szCs w:val="20"/>
          <w:highlight w:val="none"/>
          <w:lang w:eastAsia="zh-CN"/>
        </w:rPr>
      </w:pPr>
      <w:r>
        <w:rPr>
          <w:color w:val="auto"/>
          <w:sz w:val="20"/>
          <w:szCs w:val="20"/>
          <w:highlight w:val="none"/>
          <w:lang w:eastAsia="zh-CN"/>
        </w:rPr>
        <w:t>1.1.</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合同</w:t>
      </w:r>
    </w:p>
    <w:p w14:paraId="62EE1B19">
      <w:pPr>
        <w:pStyle w:val="39"/>
        <w:spacing w:line="35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1.1.1.1</w:t>
      </w:r>
      <w:r>
        <w:rPr>
          <w:rFonts w:ascii="宋体" w:hAnsi="宋体" w:eastAsia="宋体" w:cs="宋体"/>
          <w:color w:val="auto"/>
          <w:sz w:val="20"/>
          <w:szCs w:val="20"/>
          <w:highlight w:val="none"/>
          <w:lang w:val="zh-CN" w:eastAsia="zh-CN" w:bidi="zh-CN"/>
        </w:rPr>
        <w:t>合同文件（或称合同）：指合同协议书、中标通知书、投标函及投标函附录、专用合同条款、通用合同条款、技术标准和要求、图纸、已标价工程量清单，以及其他合同文件。</w:t>
      </w:r>
    </w:p>
    <w:p w14:paraId="5DACF3D4">
      <w:pPr>
        <w:pStyle w:val="39"/>
        <w:tabs>
          <w:tab w:val="left" w:pos="944"/>
        </w:tabs>
        <w:spacing w:line="362" w:lineRule="exact"/>
        <w:ind w:left="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rFonts w:hint="eastAsia" w:eastAsia="宋体"/>
          <w:color w:val="auto"/>
          <w:sz w:val="20"/>
          <w:szCs w:val="20"/>
          <w:highlight w:val="none"/>
          <w:lang w:val="zh-CN" w:eastAsia="zh-CN" w:bidi="zh-CN"/>
        </w:rPr>
        <w:t xml:space="preserve">2   </w:t>
      </w:r>
      <w:r>
        <w:rPr>
          <w:rFonts w:ascii="宋体" w:hAnsi="宋体" w:eastAsia="宋体" w:cs="宋体"/>
          <w:color w:val="auto"/>
          <w:sz w:val="20"/>
          <w:szCs w:val="20"/>
          <w:highlight w:val="none"/>
          <w:lang w:val="zh-CN" w:eastAsia="zh-CN" w:bidi="zh-CN"/>
        </w:rPr>
        <w:t>合同协议书：指第</w:t>
      </w:r>
      <w:r>
        <w:rPr>
          <w:color w:val="auto"/>
          <w:sz w:val="20"/>
          <w:szCs w:val="20"/>
          <w:highlight w:val="none"/>
          <w:lang w:eastAsia="zh-CN"/>
        </w:rPr>
        <w:t>1.5</w:t>
      </w:r>
      <w:r>
        <w:rPr>
          <w:rFonts w:ascii="宋体" w:hAnsi="宋体" w:eastAsia="宋体" w:cs="宋体"/>
          <w:color w:val="auto"/>
          <w:sz w:val="20"/>
          <w:szCs w:val="20"/>
          <w:highlight w:val="none"/>
          <w:lang w:val="zh-CN" w:eastAsia="zh-CN" w:bidi="zh-CN"/>
        </w:rPr>
        <w:t>款所指的合同协议书。</w:t>
      </w:r>
    </w:p>
    <w:p w14:paraId="6D543AD9">
      <w:pPr>
        <w:pStyle w:val="39"/>
        <w:spacing w:line="362"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中标通知书：指发包人通知承包人中标的函件。</w:t>
      </w:r>
    </w:p>
    <w:p w14:paraId="492284D7">
      <w:pPr>
        <w:pStyle w:val="39"/>
        <w:tabs>
          <w:tab w:val="left" w:pos="944"/>
        </w:tabs>
        <w:spacing w:line="362" w:lineRule="exact"/>
        <w:ind w:left="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rFonts w:hint="eastAsia" w:eastAsia="宋体"/>
          <w:color w:val="auto"/>
          <w:sz w:val="20"/>
          <w:szCs w:val="20"/>
          <w:highlight w:val="none"/>
          <w:lang w:val="zh-CN" w:eastAsia="zh-CN" w:bidi="zh-CN"/>
        </w:rPr>
        <w:t xml:space="preserve">4  </w:t>
      </w:r>
      <w:r>
        <w:rPr>
          <w:rFonts w:ascii="宋体" w:hAnsi="宋体" w:eastAsia="宋体" w:cs="宋体"/>
          <w:color w:val="auto"/>
          <w:sz w:val="20"/>
          <w:szCs w:val="20"/>
          <w:highlight w:val="none"/>
          <w:lang w:val="zh-CN" w:eastAsia="zh-CN" w:bidi="zh-CN"/>
        </w:rPr>
        <w:t>投标函：指构成合同文件组成部分的由承包人填写并签署的投标函。</w:t>
      </w:r>
    </w:p>
    <w:p w14:paraId="19937EC9">
      <w:pPr>
        <w:pStyle w:val="39"/>
        <w:spacing w:line="362"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投标函附录：指附在投标函后构成合同文件的投标函附录。</w:t>
      </w:r>
    </w:p>
    <w:p w14:paraId="5055C9BB">
      <w:pPr>
        <w:pStyle w:val="39"/>
        <w:spacing w:line="35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rFonts w:hint="eastAsia" w:eastAsia="宋体"/>
          <w:color w:val="auto"/>
          <w:sz w:val="20"/>
          <w:szCs w:val="20"/>
          <w:highlight w:val="none"/>
          <w:lang w:val="zh-CN" w:eastAsia="zh-CN" w:bidi="zh-CN"/>
        </w:rPr>
        <w:t xml:space="preserve">6  </w:t>
      </w:r>
      <w:r>
        <w:rPr>
          <w:rFonts w:ascii="宋体" w:hAnsi="宋体" w:eastAsia="宋体" w:cs="宋体"/>
          <w:color w:val="auto"/>
          <w:sz w:val="20"/>
          <w:szCs w:val="20"/>
          <w:highlight w:val="none"/>
          <w:lang w:val="zh-CN" w:eastAsia="zh-CN" w:bidi="zh-CN"/>
        </w:rPr>
        <w:t>技术标准和要求：指构成合同文件组成部分的名为技术标准和要求（合同技术条款）的文件，包括合同双方当事人约定对其所做的修改或补充。</w:t>
      </w:r>
    </w:p>
    <w:p w14:paraId="507DD502">
      <w:pPr>
        <w:pStyle w:val="39"/>
        <w:spacing w:line="35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rFonts w:hint="eastAsia" w:eastAsia="宋体"/>
          <w:color w:val="auto"/>
          <w:sz w:val="20"/>
          <w:szCs w:val="20"/>
          <w:highlight w:val="none"/>
          <w:lang w:val="zh-CN" w:eastAsia="zh-CN" w:bidi="zh-CN"/>
        </w:rPr>
        <w:t xml:space="preserve">7  </w:t>
      </w:r>
      <w:r>
        <w:rPr>
          <w:rFonts w:ascii="宋体" w:hAnsi="宋体" w:eastAsia="宋体" w:cs="宋体"/>
          <w:color w:val="auto"/>
          <w:sz w:val="20"/>
          <w:szCs w:val="20"/>
          <w:highlight w:val="none"/>
          <w:lang w:val="zh-CN" w:eastAsia="zh-CN" w:bidi="zh-CN"/>
        </w:rPr>
        <w:t>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679F124">
      <w:pPr>
        <w:pStyle w:val="39"/>
        <w:spacing w:line="31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color w:val="auto"/>
          <w:sz w:val="20"/>
          <w:szCs w:val="20"/>
          <w:highlight w:val="none"/>
          <w:lang w:val="zh-CN" w:eastAsia="zh-CN" w:bidi="zh-CN"/>
        </w:rPr>
        <w:t>8</w:t>
      </w:r>
      <w:r>
        <w:rPr>
          <w:rFonts w:ascii="宋体" w:hAnsi="宋体" w:eastAsia="宋体" w:cs="宋体"/>
          <w:color w:val="auto"/>
          <w:sz w:val="20"/>
          <w:szCs w:val="20"/>
          <w:highlight w:val="none"/>
          <w:lang w:val="zh-CN" w:eastAsia="zh-CN" w:bidi="zh-CN"/>
        </w:rPr>
        <w:t>已标价工程量清单：指构成合同文件组成部分的由承包人按照规定的格式和要求填写并标明价格的工程量清单。</w:t>
      </w:r>
    </w:p>
    <w:p w14:paraId="2DA57454">
      <w:pPr>
        <w:pStyle w:val="39"/>
        <w:spacing w:line="35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1. 1. 1. </w:t>
      </w:r>
      <w:r>
        <w:rPr>
          <w:color w:val="auto"/>
          <w:sz w:val="20"/>
          <w:szCs w:val="20"/>
          <w:highlight w:val="none"/>
          <w:lang w:val="zh-CN" w:eastAsia="zh-CN" w:bidi="zh-CN"/>
        </w:rPr>
        <w:t>9</w:t>
      </w:r>
      <w:r>
        <w:rPr>
          <w:rFonts w:ascii="宋体" w:hAnsi="宋体" w:eastAsia="宋体" w:cs="宋体"/>
          <w:color w:val="auto"/>
          <w:sz w:val="20"/>
          <w:szCs w:val="20"/>
          <w:highlight w:val="none"/>
          <w:lang w:val="zh-CN" w:eastAsia="zh-CN" w:bidi="zh-CN"/>
        </w:rPr>
        <w:t>其他合同文件：指经合同双方当事人确认构成合同文件的其他文件。</w:t>
      </w:r>
    </w:p>
    <w:p w14:paraId="20205B13">
      <w:pPr>
        <w:pStyle w:val="39"/>
        <w:spacing w:line="35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1. 1.2</w:t>
      </w:r>
      <w:r>
        <w:rPr>
          <w:rFonts w:ascii="宋体" w:hAnsi="宋体" w:eastAsia="宋体" w:cs="宋体"/>
          <w:color w:val="auto"/>
          <w:sz w:val="20"/>
          <w:szCs w:val="20"/>
          <w:highlight w:val="none"/>
          <w:lang w:val="zh-CN" w:eastAsia="zh-CN" w:bidi="zh-CN"/>
        </w:rPr>
        <w:t>合同当事人和人员。</w:t>
      </w:r>
    </w:p>
    <w:p w14:paraId="334BEA93">
      <w:pPr>
        <w:pStyle w:val="39"/>
        <w:spacing w:line="352"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1. 1.2.1</w:t>
      </w:r>
      <w:r>
        <w:rPr>
          <w:rFonts w:ascii="宋体" w:hAnsi="宋体" w:eastAsia="宋体" w:cs="宋体"/>
          <w:color w:val="auto"/>
          <w:sz w:val="20"/>
          <w:szCs w:val="20"/>
          <w:highlight w:val="none"/>
          <w:lang w:val="zh-CN" w:eastAsia="zh-CN" w:bidi="zh-CN"/>
        </w:rPr>
        <w:t>合同当事人：指发包人和（或）承包人。</w:t>
      </w:r>
    </w:p>
    <w:p w14:paraId="5C7390B6">
      <w:pPr>
        <w:pStyle w:val="39"/>
        <w:tabs>
          <w:tab w:val="left" w:pos="944"/>
        </w:tabs>
        <w:spacing w:line="352" w:lineRule="exact"/>
        <w:ind w:left="420"/>
        <w:rPr>
          <w:rFonts w:ascii="宋体" w:hAnsi="宋体" w:eastAsia="宋体" w:cs="宋体"/>
          <w:color w:val="auto"/>
          <w:sz w:val="20"/>
          <w:szCs w:val="20"/>
          <w:highlight w:val="none"/>
          <w:lang w:val="zh-CN" w:eastAsia="zh-CN" w:bidi="zh-CN"/>
        </w:rPr>
      </w:pPr>
      <w:r>
        <w:rPr>
          <w:color w:val="auto"/>
          <w:sz w:val="20"/>
          <w:szCs w:val="20"/>
          <w:highlight w:val="none"/>
          <w:lang w:eastAsia="zh-CN"/>
        </w:rPr>
        <w:t>1. 1.2.</w:t>
      </w:r>
      <w:r>
        <w:rPr>
          <w:rFonts w:hint="eastAsia" w:eastAsia="宋体"/>
          <w:color w:val="auto"/>
          <w:sz w:val="20"/>
          <w:szCs w:val="20"/>
          <w:highlight w:val="none"/>
          <w:lang w:eastAsia="zh-CN"/>
        </w:rPr>
        <w:t>2</w:t>
      </w:r>
      <w:r>
        <w:rPr>
          <w:rFonts w:ascii="宋体" w:hAnsi="宋体" w:eastAsia="宋体" w:cs="宋体"/>
          <w:color w:val="auto"/>
          <w:sz w:val="20"/>
          <w:szCs w:val="20"/>
          <w:highlight w:val="none"/>
          <w:lang w:val="zh-CN" w:eastAsia="zh-CN" w:bidi="zh-CN"/>
        </w:rPr>
        <w:t>发包人：指专用合同条款中指明并与承包人在合同协议书中签字的当事人。</w:t>
      </w:r>
    </w:p>
    <w:p w14:paraId="190426CA">
      <w:pPr>
        <w:pStyle w:val="39"/>
        <w:tabs>
          <w:tab w:val="left" w:pos="944"/>
        </w:tabs>
        <w:spacing w:line="352" w:lineRule="exact"/>
        <w:ind w:left="420"/>
        <w:rPr>
          <w:rFonts w:ascii="宋体" w:hAnsi="宋体" w:eastAsia="宋体" w:cs="宋体"/>
          <w:color w:val="auto"/>
          <w:sz w:val="20"/>
          <w:szCs w:val="20"/>
          <w:highlight w:val="none"/>
          <w:lang w:val="zh-CN" w:eastAsia="zh-CN" w:bidi="zh-CN"/>
        </w:rPr>
      </w:pPr>
      <w:r>
        <w:rPr>
          <w:color w:val="auto"/>
          <w:sz w:val="20"/>
          <w:szCs w:val="20"/>
          <w:highlight w:val="none"/>
          <w:lang w:eastAsia="zh-CN"/>
        </w:rPr>
        <w:t>1. 1.2.</w:t>
      </w:r>
      <w:r>
        <w:rPr>
          <w:rFonts w:hint="eastAsia" w:eastAsia="宋体"/>
          <w:color w:val="auto"/>
          <w:sz w:val="20"/>
          <w:szCs w:val="20"/>
          <w:highlight w:val="none"/>
          <w:lang w:eastAsia="zh-CN"/>
        </w:rPr>
        <w:t>3</w:t>
      </w:r>
      <w:r>
        <w:rPr>
          <w:rFonts w:ascii="宋体" w:hAnsi="宋体" w:eastAsia="宋体" w:cs="宋体"/>
          <w:color w:val="auto"/>
          <w:sz w:val="20"/>
          <w:szCs w:val="20"/>
          <w:highlight w:val="none"/>
          <w:lang w:val="zh-CN" w:eastAsia="zh-CN" w:bidi="zh-CN"/>
        </w:rPr>
        <w:t>承包人：指专用合同条款中指明并与发包人在合同协议书中签字的当事人。</w:t>
      </w:r>
    </w:p>
    <w:p w14:paraId="7A05059E">
      <w:pPr>
        <w:pStyle w:val="39"/>
        <w:spacing w:line="352"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1. 1.2.4</w:t>
      </w:r>
      <w:r>
        <w:rPr>
          <w:rFonts w:ascii="宋体" w:hAnsi="宋体" w:eastAsia="宋体" w:cs="宋体"/>
          <w:color w:val="auto"/>
          <w:sz w:val="20"/>
          <w:szCs w:val="20"/>
          <w:highlight w:val="none"/>
          <w:lang w:val="zh-CN" w:eastAsia="zh-CN" w:bidi="zh-CN"/>
        </w:rPr>
        <w:t>承包人项目经理：指承包人派驻施工场地的全权负责人。</w:t>
      </w:r>
    </w:p>
    <w:p w14:paraId="3C9589DA">
      <w:pPr>
        <w:pStyle w:val="39"/>
        <w:spacing w:line="31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1. 1.2.5</w:t>
      </w:r>
      <w:r>
        <w:rPr>
          <w:rFonts w:ascii="宋体" w:hAnsi="宋体" w:eastAsia="宋体" w:cs="宋体"/>
          <w:color w:val="auto"/>
          <w:sz w:val="20"/>
          <w:szCs w:val="20"/>
          <w:highlight w:val="none"/>
          <w:lang w:val="zh-CN" w:eastAsia="zh-CN" w:bidi="zh-CN"/>
        </w:rPr>
        <w:t>分包人：指专用合同条款中指明的，从承包人处分包合同中某一部分工程, 并与其签订分包合同的分包人。</w:t>
      </w:r>
    </w:p>
    <w:p w14:paraId="2EF8820E">
      <w:pPr>
        <w:pStyle w:val="39"/>
        <w:tabs>
          <w:tab w:val="left" w:pos="951"/>
        </w:tabs>
        <w:spacing w:line="374"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1. 1.2.</w:t>
      </w:r>
      <w:r>
        <w:rPr>
          <w:rFonts w:hint="eastAsia" w:eastAsia="宋体"/>
          <w:color w:val="auto"/>
          <w:sz w:val="20"/>
          <w:szCs w:val="20"/>
          <w:highlight w:val="none"/>
          <w:lang w:eastAsia="zh-CN"/>
        </w:rPr>
        <w:t xml:space="preserve">6  </w:t>
      </w:r>
      <w:r>
        <w:rPr>
          <w:rFonts w:ascii="宋体" w:hAnsi="宋体" w:eastAsia="宋体" w:cs="宋体"/>
          <w:color w:val="auto"/>
          <w:sz w:val="20"/>
          <w:szCs w:val="20"/>
          <w:highlight w:val="none"/>
          <w:lang w:val="zh-CN" w:eastAsia="zh-CN" w:bidi="zh-CN"/>
        </w:rPr>
        <w:t>监理人：指在专用合同条款中指明的，受发包人委托对合同履行实施管理的 法人或其他组织。</w:t>
      </w:r>
    </w:p>
    <w:p w14:paraId="73ED301A">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1. 1. 2. </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总监理工程师（总监）:指由监理人委派常驻施工场地对合同履行实施管理的全权负责人。</w:t>
      </w:r>
    </w:p>
    <w:p w14:paraId="7BC0C27E">
      <w:pPr>
        <w:pStyle w:val="39"/>
        <w:spacing w:line="362" w:lineRule="exact"/>
        <w:ind w:firstLine="420"/>
        <w:jc w:val="both"/>
        <w:rPr>
          <w:color w:val="auto"/>
          <w:sz w:val="20"/>
          <w:szCs w:val="20"/>
          <w:highlight w:val="none"/>
          <w:lang w:eastAsia="zh-CN"/>
        </w:rPr>
      </w:pPr>
      <w:r>
        <w:rPr>
          <w:color w:val="auto"/>
          <w:sz w:val="20"/>
          <w:szCs w:val="20"/>
          <w:highlight w:val="none"/>
          <w:lang w:eastAsia="zh-CN"/>
        </w:rPr>
        <w:t xml:space="preserve">1. 1.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工程和设备</w:t>
      </w:r>
    </w:p>
    <w:p w14:paraId="1753D1AF">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工程：指永久工程和（或）临时工程。</w:t>
      </w:r>
    </w:p>
    <w:p w14:paraId="2AED1BB9">
      <w:pPr>
        <w:pStyle w:val="39"/>
        <w:tabs>
          <w:tab w:val="left" w:pos="944"/>
        </w:tabs>
        <w:spacing w:line="362"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rFonts w:hint="eastAsia" w:eastAsia="宋体"/>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永久工程：指按合同约定建造并移交给发包人的工程，包括工程设备。</w:t>
      </w:r>
    </w:p>
    <w:p w14:paraId="48D1C423">
      <w:pPr>
        <w:pStyle w:val="39"/>
        <w:tabs>
          <w:tab w:val="left" w:pos="954"/>
        </w:tabs>
        <w:spacing w:line="372"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rFonts w:hint="eastAsia" w:eastAsia="宋体"/>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临时工程：指为完成合同约定的永久工程所修建的各类临时性工程，不包括施工设备。</w:t>
      </w:r>
    </w:p>
    <w:p w14:paraId="058BB34F">
      <w:pPr>
        <w:pStyle w:val="39"/>
        <w:spacing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1.1.3.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单位工程：指专用合同条款中指明特定范围的永久工程。</w:t>
      </w:r>
    </w:p>
    <w:p w14:paraId="53A40D3D">
      <w:pPr>
        <w:pStyle w:val="39"/>
        <w:tabs>
          <w:tab w:val="left" w:pos="951"/>
        </w:tabs>
        <w:spacing w:line="367"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rFonts w:hint="eastAsia" w:eastAsia="宋体"/>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工程设备：指构成或计划构成永久工程一部分的机电设备、金属结构设备、仪器装置及其他类似的设备和装置。</w:t>
      </w:r>
    </w:p>
    <w:p w14:paraId="378BD40A">
      <w:pPr>
        <w:pStyle w:val="39"/>
        <w:tabs>
          <w:tab w:val="left" w:pos="954"/>
        </w:tabs>
        <w:spacing w:line="361"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rFonts w:hint="eastAsia" w:eastAsia="宋体"/>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施工设备：指为完成合同约定的各项工作所需的设备、器具和其他物品，不包括临时工程和材料。</w:t>
      </w:r>
    </w:p>
    <w:p w14:paraId="230C3951">
      <w:pPr>
        <w:pStyle w:val="39"/>
        <w:tabs>
          <w:tab w:val="left" w:pos="944"/>
        </w:tabs>
        <w:spacing w:line="361"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1. 1.3. </w:t>
      </w:r>
      <w:r>
        <w:rPr>
          <w:rFonts w:hint="eastAsia"/>
          <w:color w:val="auto"/>
          <w:sz w:val="20"/>
          <w:szCs w:val="20"/>
          <w:highlight w:val="none"/>
          <w:lang w:eastAsia="zh-CN"/>
        </w:rPr>
        <w:t>7</w:t>
      </w:r>
      <w:r>
        <w:rPr>
          <w:rFonts w:ascii="宋体" w:hAnsi="宋体" w:eastAsia="宋体" w:cs="宋体"/>
          <w:color w:val="auto"/>
          <w:sz w:val="20"/>
          <w:szCs w:val="20"/>
          <w:highlight w:val="none"/>
          <w:lang w:val="zh-CN" w:eastAsia="zh-CN" w:bidi="zh-CN"/>
        </w:rPr>
        <w:t>临时设施：指为完成合同约定的各项工作所服务的临时性生产和生活设施。</w:t>
      </w:r>
    </w:p>
    <w:p w14:paraId="7C75EEFE">
      <w:pPr>
        <w:pStyle w:val="39"/>
        <w:tabs>
          <w:tab w:val="left" w:pos="954"/>
        </w:tabs>
        <w:spacing w:line="361"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1. 1. 3. 8</w:t>
      </w:r>
      <w:r>
        <w:rPr>
          <w:rFonts w:ascii="宋体" w:hAnsi="宋体" w:eastAsia="宋体" w:cs="宋体"/>
          <w:color w:val="auto"/>
          <w:sz w:val="20"/>
          <w:szCs w:val="20"/>
          <w:highlight w:val="none"/>
          <w:lang w:val="zh-CN" w:eastAsia="zh-CN" w:bidi="zh-CN"/>
        </w:rPr>
        <w:t>承包人设备：指承包人自带的施工设备。</w:t>
      </w:r>
    </w:p>
    <w:p w14:paraId="78EF6B0C">
      <w:pPr>
        <w:pStyle w:val="39"/>
        <w:tabs>
          <w:tab w:val="left" w:pos="954"/>
        </w:tabs>
        <w:spacing w:line="361"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1. 1. 3. </w:t>
      </w:r>
      <w:r>
        <w:rPr>
          <w:rFonts w:hint="eastAsia" w:eastAsia="宋体"/>
          <w:color w:val="auto"/>
          <w:sz w:val="20"/>
          <w:szCs w:val="20"/>
          <w:highlight w:val="none"/>
          <w:lang w:eastAsia="zh-CN"/>
        </w:rPr>
        <w:t>9</w:t>
      </w:r>
      <w:r>
        <w:rPr>
          <w:rFonts w:ascii="宋体" w:hAnsi="宋体" w:eastAsia="宋体" w:cs="宋体"/>
          <w:color w:val="auto"/>
          <w:sz w:val="20"/>
          <w:szCs w:val="20"/>
          <w:highlight w:val="none"/>
          <w:lang w:val="zh-CN" w:eastAsia="zh-CN" w:bidi="zh-CN"/>
        </w:rPr>
        <w:t>施工场地（或称工地、现场）：指用于合同工程施工的场所，以及在合同中指定作为施工场地组成部分的其他场所，包括永久占地和临时占地。</w:t>
      </w:r>
    </w:p>
    <w:p w14:paraId="47E95AD0">
      <w:pPr>
        <w:pStyle w:val="39"/>
        <w:tabs>
          <w:tab w:val="left" w:pos="951"/>
        </w:tabs>
        <w:spacing w:line="361"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1. 1. 3. </w:t>
      </w:r>
      <w:r>
        <w:rPr>
          <w:rFonts w:hint="eastAsia" w:eastAsia="宋体"/>
          <w:color w:val="auto"/>
          <w:sz w:val="20"/>
          <w:szCs w:val="20"/>
          <w:highlight w:val="none"/>
          <w:lang w:eastAsia="zh-CN"/>
        </w:rPr>
        <w:t>10</w:t>
      </w:r>
      <w:r>
        <w:rPr>
          <w:rFonts w:ascii="宋体" w:hAnsi="宋体" w:eastAsia="宋体" w:cs="宋体"/>
          <w:color w:val="auto"/>
          <w:sz w:val="20"/>
          <w:szCs w:val="20"/>
          <w:highlight w:val="none"/>
          <w:lang w:val="zh-CN" w:eastAsia="zh-CN" w:bidi="zh-CN"/>
        </w:rPr>
        <w:t>永久占地：指发包人为建设本合同工程永久征用的场地。</w:t>
      </w:r>
    </w:p>
    <w:p w14:paraId="1B46A9B4">
      <w:pPr>
        <w:pStyle w:val="39"/>
        <w:tabs>
          <w:tab w:val="left" w:pos="951"/>
        </w:tabs>
        <w:spacing w:line="367" w:lineRule="exact"/>
        <w:ind w:firstLine="426" w:firstLineChars="213"/>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1.1.3.11临时占地：指发包人为建设本合同工程临时征用，并应在完工后须按合同 要求退还的场地。</w:t>
      </w:r>
    </w:p>
    <w:p w14:paraId="46570B00">
      <w:pPr>
        <w:pStyle w:val="39"/>
        <w:ind w:firstLine="420"/>
        <w:jc w:val="both"/>
        <w:rPr>
          <w:color w:val="auto"/>
          <w:sz w:val="20"/>
          <w:szCs w:val="20"/>
          <w:highlight w:val="none"/>
          <w:lang w:eastAsia="zh-CN"/>
        </w:rPr>
      </w:pPr>
      <w:r>
        <w:rPr>
          <w:color w:val="auto"/>
          <w:sz w:val="20"/>
          <w:szCs w:val="20"/>
          <w:highlight w:val="none"/>
          <w:lang w:eastAsia="zh-CN"/>
        </w:rPr>
        <w:t>1.1.4</w:t>
      </w:r>
      <w:r>
        <w:rPr>
          <w:rFonts w:ascii="宋体" w:hAnsi="宋体" w:eastAsia="宋体" w:cs="宋体"/>
          <w:color w:val="auto"/>
          <w:sz w:val="20"/>
          <w:szCs w:val="20"/>
          <w:highlight w:val="none"/>
          <w:lang w:val="zh-CN" w:eastAsia="zh-CN" w:bidi="zh-CN"/>
        </w:rPr>
        <w:t>日期</w:t>
      </w:r>
    </w:p>
    <w:p w14:paraId="4EE1949F">
      <w:pPr>
        <w:pStyle w:val="39"/>
        <w:spacing w:line="348"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1. 1.4.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开工通知：指监理人按第</w:t>
      </w:r>
      <w:r>
        <w:rPr>
          <w:color w:val="auto"/>
          <w:sz w:val="20"/>
          <w:szCs w:val="20"/>
          <w:highlight w:val="none"/>
          <w:lang w:eastAsia="zh-CN"/>
        </w:rPr>
        <w:t xml:space="preserve">11.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款通知承包人开工的函件。</w:t>
      </w:r>
    </w:p>
    <w:p w14:paraId="3CCED430">
      <w:pPr>
        <w:pStyle w:val="39"/>
        <w:spacing w:line="348"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1. 1.4.2</w:t>
      </w:r>
      <w:r>
        <w:rPr>
          <w:rFonts w:ascii="宋体" w:hAnsi="宋体" w:eastAsia="宋体" w:cs="宋体"/>
          <w:color w:val="auto"/>
          <w:sz w:val="20"/>
          <w:szCs w:val="20"/>
          <w:highlight w:val="none"/>
          <w:lang w:val="zh-CN" w:eastAsia="zh-CN" w:bidi="zh-CN"/>
        </w:rPr>
        <w:t>开工日期：指监理人按第</w:t>
      </w:r>
      <w:r>
        <w:rPr>
          <w:color w:val="auto"/>
          <w:sz w:val="20"/>
          <w:szCs w:val="20"/>
          <w:highlight w:val="none"/>
          <w:lang w:eastAsia="zh-CN"/>
        </w:rPr>
        <w:t xml:space="preserve">11.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款发出的开工通知中写明的开工日期。</w:t>
      </w:r>
    </w:p>
    <w:p w14:paraId="0AD04FB1">
      <w:pPr>
        <w:pStyle w:val="39"/>
        <w:spacing w:line="348"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1. 1.4.3</w:t>
      </w:r>
      <w:r>
        <w:rPr>
          <w:rFonts w:ascii="宋体" w:hAnsi="宋体" w:eastAsia="宋体" w:cs="宋体"/>
          <w:color w:val="auto"/>
          <w:sz w:val="20"/>
          <w:szCs w:val="20"/>
          <w:highlight w:val="none"/>
          <w:lang w:val="zh-CN" w:eastAsia="zh-CN" w:bidi="zh-CN"/>
        </w:rPr>
        <w:t>工期：指承包人在投标函中承诺的完成合同工程所需的期限，包括按第</w:t>
      </w:r>
      <w:r>
        <w:rPr>
          <w:color w:val="auto"/>
          <w:sz w:val="20"/>
          <w:szCs w:val="20"/>
          <w:highlight w:val="none"/>
          <w:lang w:eastAsia="zh-CN"/>
        </w:rPr>
        <w:t xml:space="preserve">11.3 </w:t>
      </w:r>
      <w:r>
        <w:rPr>
          <w:rFonts w:ascii="宋体" w:hAnsi="宋体" w:eastAsia="宋体" w:cs="宋体"/>
          <w:color w:val="auto"/>
          <w:sz w:val="20"/>
          <w:szCs w:val="20"/>
          <w:highlight w:val="none"/>
          <w:lang w:val="zh-CN" w:eastAsia="zh-CN" w:bidi="zh-CN"/>
        </w:rPr>
        <w:t>款、第</w:t>
      </w:r>
      <w:r>
        <w:rPr>
          <w:color w:val="auto"/>
          <w:sz w:val="20"/>
          <w:szCs w:val="20"/>
          <w:highlight w:val="none"/>
          <w:lang w:eastAsia="zh-CN"/>
        </w:rPr>
        <w:t xml:space="preserve">11.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款和第</w:t>
      </w:r>
      <w:r>
        <w:rPr>
          <w:color w:val="auto"/>
          <w:sz w:val="20"/>
          <w:szCs w:val="20"/>
          <w:highlight w:val="none"/>
          <w:lang w:eastAsia="zh-CN"/>
        </w:rPr>
        <w:t xml:space="preserve">11. </w:t>
      </w:r>
      <w:r>
        <w:rPr>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款约定所作的变更。</w:t>
      </w:r>
    </w:p>
    <w:p w14:paraId="226BB3DF">
      <w:pPr>
        <w:pStyle w:val="39"/>
        <w:tabs>
          <w:tab w:val="left" w:pos="949"/>
        </w:tabs>
        <w:spacing w:line="374"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w:t>
      </w:r>
      <w:r>
        <w:rPr>
          <w:rFonts w:hint="eastAsia" w:eastAsia="宋体"/>
          <w:color w:val="auto"/>
          <w:sz w:val="20"/>
          <w:szCs w:val="20"/>
          <w:highlight w:val="none"/>
          <w:lang w:eastAsia="zh-CN"/>
        </w:rPr>
        <w:t xml:space="preserve">4  </w:t>
      </w:r>
      <w:r>
        <w:rPr>
          <w:rFonts w:ascii="宋体" w:hAnsi="宋体" w:eastAsia="宋体" w:cs="宋体"/>
          <w:color w:val="auto"/>
          <w:sz w:val="20"/>
          <w:szCs w:val="20"/>
          <w:highlight w:val="none"/>
          <w:lang w:val="zh-CN" w:eastAsia="zh-CN" w:bidi="zh-CN"/>
        </w:rPr>
        <w:t>竣工日期：即合同工程完工日期，指第</w:t>
      </w:r>
      <w:r>
        <w:rPr>
          <w:color w:val="auto"/>
          <w:sz w:val="20"/>
          <w:szCs w:val="20"/>
          <w:highlight w:val="none"/>
          <w:lang w:eastAsia="zh-CN"/>
        </w:rPr>
        <w:t xml:space="preserve">1.1. 4.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目约定工期届满时的日期。 实际完工时间以合同工程完工证书中写明的日期为准。</w:t>
      </w:r>
    </w:p>
    <w:p w14:paraId="4F3C6ED7">
      <w:pPr>
        <w:pStyle w:val="39"/>
        <w:tabs>
          <w:tab w:val="left" w:pos="954"/>
        </w:tabs>
        <w:spacing w:line="370"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w:t>
      </w:r>
      <w:r>
        <w:rPr>
          <w:rFonts w:hint="eastAsia" w:eastAsia="宋体"/>
          <w:color w:val="auto"/>
          <w:sz w:val="20"/>
          <w:szCs w:val="20"/>
          <w:highlight w:val="none"/>
          <w:lang w:eastAsia="zh-CN"/>
        </w:rPr>
        <w:t xml:space="preserve">6  </w:t>
      </w:r>
      <w:r>
        <w:rPr>
          <w:rFonts w:ascii="宋体" w:hAnsi="宋体" w:eastAsia="宋体" w:cs="宋体"/>
          <w:color w:val="auto"/>
          <w:sz w:val="20"/>
          <w:szCs w:val="20"/>
          <w:highlight w:val="none"/>
          <w:lang w:val="zh-CN" w:eastAsia="zh-CN" w:bidi="zh-CN"/>
        </w:rPr>
        <w:t>缺陷责任期：即工程质量保修期，指履行第</w:t>
      </w:r>
      <w:r>
        <w:rPr>
          <w:color w:val="auto"/>
          <w:sz w:val="20"/>
          <w:szCs w:val="20"/>
          <w:highlight w:val="none"/>
          <w:lang w:eastAsia="zh-CN"/>
        </w:rPr>
        <w:t xml:space="preserve">19.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款约定的缺陷责任的期限, 包括根据第</w:t>
      </w:r>
      <w:r>
        <w:rPr>
          <w:color w:val="auto"/>
          <w:sz w:val="20"/>
          <w:szCs w:val="20"/>
          <w:highlight w:val="none"/>
          <w:lang w:eastAsia="zh-CN"/>
        </w:rPr>
        <w:t xml:space="preserve">19.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款约定所作的延长，具体期限由专用合同条款约定。</w:t>
      </w:r>
    </w:p>
    <w:p w14:paraId="0D581DB0">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1. 1.4.6</w:t>
      </w:r>
      <w:r>
        <w:rPr>
          <w:rFonts w:ascii="宋体" w:hAnsi="宋体" w:eastAsia="宋体" w:cs="宋体"/>
          <w:color w:val="auto"/>
          <w:sz w:val="20"/>
          <w:szCs w:val="20"/>
          <w:highlight w:val="none"/>
          <w:lang w:val="zh-CN" w:eastAsia="zh-CN" w:bidi="zh-CN"/>
        </w:rPr>
        <w:t>基准日期：指投标截止时间前</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天的日期。</w:t>
      </w:r>
    </w:p>
    <w:p w14:paraId="58327C47">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1. 1.4.7</w:t>
      </w:r>
      <w:r>
        <w:rPr>
          <w:rFonts w:ascii="宋体" w:hAnsi="宋体" w:eastAsia="宋体" w:cs="宋体"/>
          <w:color w:val="auto"/>
          <w:sz w:val="20"/>
          <w:szCs w:val="20"/>
          <w:highlight w:val="none"/>
          <w:lang w:val="zh-CN" w:eastAsia="zh-CN" w:bidi="zh-CN"/>
        </w:rPr>
        <w:t>天：除特别指明外，指日历天。合同中按天计算时间的，开始当天不计入, 从次日开始计算。期限最后一天的截止时间为当天</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w:t>
      </w:r>
      <w:r>
        <w:rPr>
          <w:color w:val="auto"/>
          <w:sz w:val="20"/>
          <w:szCs w:val="20"/>
          <w:highlight w:val="none"/>
          <w:lang w:eastAsia="zh-CN"/>
        </w:rPr>
        <w:t>00</w:t>
      </w:r>
      <w:r>
        <w:rPr>
          <w:color w:val="auto"/>
          <w:sz w:val="20"/>
          <w:szCs w:val="20"/>
          <w:highlight w:val="none"/>
          <w:vertAlign w:val="subscript"/>
          <w:lang w:eastAsia="zh-CN"/>
        </w:rPr>
        <w:t>o</w:t>
      </w:r>
    </w:p>
    <w:p w14:paraId="3E969FC8">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1.1.5</w:t>
      </w:r>
      <w:r>
        <w:rPr>
          <w:rFonts w:ascii="宋体" w:hAnsi="宋体" w:eastAsia="宋体" w:cs="宋体"/>
          <w:color w:val="auto"/>
          <w:sz w:val="20"/>
          <w:szCs w:val="20"/>
          <w:highlight w:val="none"/>
          <w:lang w:val="zh-CN" w:eastAsia="zh-CN" w:bidi="zh-CN"/>
        </w:rPr>
        <w:t>合同价格和费用</w:t>
      </w:r>
    </w:p>
    <w:p w14:paraId="611D3328">
      <w:pPr>
        <w:pStyle w:val="39"/>
        <w:tabs>
          <w:tab w:val="left" w:pos="934"/>
        </w:tabs>
        <w:spacing w:line="360"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1.1.5.1</w:t>
      </w:r>
      <w:r>
        <w:rPr>
          <w:rFonts w:ascii="宋体" w:hAnsi="宋体" w:eastAsia="宋体" w:cs="宋体"/>
          <w:color w:val="auto"/>
          <w:sz w:val="20"/>
          <w:szCs w:val="20"/>
          <w:highlight w:val="none"/>
          <w:lang w:val="zh-CN" w:eastAsia="zh-CN" w:bidi="zh-CN"/>
        </w:rPr>
        <w:t>签约合同价：指签定合同时合同协议书中写明的，包括了暂列金额、暂估价的合同总金额。</w:t>
      </w:r>
    </w:p>
    <w:p w14:paraId="6DD66DAC">
      <w:pPr>
        <w:pStyle w:val="39"/>
        <w:tabs>
          <w:tab w:val="left" w:pos="954"/>
        </w:tabs>
        <w:spacing w:line="360" w:lineRule="exact"/>
        <w:ind w:firstLine="426" w:firstLineChars="213"/>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1.1.5. 2合同价格：指承包人按合同约定完成了包括缺陷责任期内的全部承包工作后，发包人应付给承包人的金额，包括在履行合同过程中按合同约定进行的变更和调整。</w:t>
      </w:r>
    </w:p>
    <w:p w14:paraId="134E77BC">
      <w:pPr>
        <w:pStyle w:val="39"/>
        <w:tabs>
          <w:tab w:val="left" w:pos="954"/>
        </w:tabs>
        <w:spacing w:line="360" w:lineRule="exact"/>
        <w:ind w:firstLine="426" w:firstLineChars="213"/>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1.1.5. 3费用：指为履行合同所发生的或将要发生的所有合理开支，包括管理费和应分摊的其他费用，但不包括利润。</w:t>
      </w:r>
    </w:p>
    <w:p w14:paraId="0C84E2AD">
      <w:pPr>
        <w:pStyle w:val="39"/>
        <w:spacing w:line="36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1. 1.5.4</w:t>
      </w:r>
      <w:r>
        <w:rPr>
          <w:rFonts w:ascii="宋体" w:hAnsi="宋体" w:eastAsia="宋体" w:cs="宋体"/>
          <w:color w:val="auto"/>
          <w:sz w:val="20"/>
          <w:szCs w:val="20"/>
          <w:highlight w:val="none"/>
          <w:lang w:val="zh-CN" w:eastAsia="zh-CN" w:bidi="zh-CN"/>
        </w:rPr>
        <w:t>暂列金额：指已标价工程量清单中所列的暂列金额，用于在签订协议书时尚 未确定或不可预见变更的施工及其所需材料、工程设备、服务等的金额，包括以计日工方式支付的金额。</w:t>
      </w:r>
    </w:p>
    <w:p w14:paraId="61449D0E">
      <w:pPr>
        <w:pStyle w:val="39"/>
        <w:spacing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1. 1.5.5</w:t>
      </w:r>
      <w:r>
        <w:rPr>
          <w:rFonts w:ascii="宋体" w:hAnsi="宋体" w:eastAsia="宋体" w:cs="宋体"/>
          <w:color w:val="auto"/>
          <w:sz w:val="20"/>
          <w:szCs w:val="20"/>
          <w:highlight w:val="none"/>
          <w:lang w:val="zh-CN" w:eastAsia="zh-CN" w:bidi="zh-CN"/>
        </w:rPr>
        <w:t>暂估价：指发包人在工程量清单中给定的用于支付必然发生但暂时不能确定价格的材料、设备以及专业工程的金额。</w:t>
      </w:r>
    </w:p>
    <w:p w14:paraId="078368E0">
      <w:pPr>
        <w:pStyle w:val="39"/>
        <w:spacing w:line="374"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1.1.5. 6计日工：指对零星工作采取的一种计价方式，按合同中的计日工子目及其单 价计价付款。</w:t>
      </w:r>
    </w:p>
    <w:p w14:paraId="6FEBB2EC">
      <w:pPr>
        <w:pStyle w:val="39"/>
        <w:spacing w:after="140" w:line="37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1. 1.5.7</w:t>
      </w:r>
      <w:r>
        <w:rPr>
          <w:rFonts w:ascii="宋体" w:hAnsi="宋体" w:eastAsia="宋体" w:cs="宋体"/>
          <w:color w:val="auto"/>
          <w:sz w:val="20"/>
          <w:szCs w:val="20"/>
          <w:highlight w:val="none"/>
          <w:lang w:val="zh-CN" w:eastAsia="zh-CN" w:bidi="zh-CN"/>
        </w:rPr>
        <w:t>质量保证金(或称保留金)：指按第</w:t>
      </w:r>
      <w:r>
        <w:rPr>
          <w:color w:val="auto"/>
          <w:sz w:val="20"/>
          <w:szCs w:val="20"/>
          <w:highlight w:val="none"/>
          <w:lang w:eastAsia="zh-CN"/>
        </w:rPr>
        <w:t>17.4.1</w:t>
      </w:r>
      <w:r>
        <w:rPr>
          <w:rFonts w:ascii="宋体" w:hAnsi="宋体" w:eastAsia="宋体" w:cs="宋体"/>
          <w:color w:val="auto"/>
          <w:sz w:val="20"/>
          <w:szCs w:val="20"/>
          <w:highlight w:val="none"/>
          <w:lang w:val="zh-CN" w:eastAsia="zh-CN" w:bidi="zh-CN"/>
        </w:rPr>
        <w:t>项约定用于保证在缺陷责任期内履行缺陷修复义务的金额。</w:t>
      </w:r>
    </w:p>
    <w:p w14:paraId="47A870DD">
      <w:pPr>
        <w:pStyle w:val="39"/>
        <w:spacing w:line="384" w:lineRule="auto"/>
        <w:ind w:firstLine="440"/>
        <w:jc w:val="both"/>
        <w:rPr>
          <w:color w:val="auto"/>
          <w:sz w:val="20"/>
          <w:szCs w:val="20"/>
          <w:highlight w:val="none"/>
          <w:lang w:eastAsia="zh-CN"/>
        </w:rPr>
      </w:pPr>
      <w:r>
        <w:rPr>
          <w:color w:val="auto"/>
          <w:sz w:val="20"/>
          <w:szCs w:val="20"/>
          <w:highlight w:val="none"/>
          <w:lang w:eastAsia="zh-CN"/>
        </w:rPr>
        <w:t>1.1.6</w:t>
      </w:r>
      <w:r>
        <w:rPr>
          <w:rFonts w:ascii="宋体" w:hAnsi="宋体" w:eastAsia="宋体" w:cs="宋体"/>
          <w:color w:val="auto"/>
          <w:sz w:val="20"/>
          <w:szCs w:val="20"/>
          <w:highlight w:val="none"/>
          <w:lang w:val="zh-CN" w:eastAsia="zh-CN" w:bidi="zh-CN"/>
        </w:rPr>
        <w:t>其他</w:t>
      </w:r>
    </w:p>
    <w:p w14:paraId="531CFDCF">
      <w:pPr>
        <w:pStyle w:val="39"/>
        <w:tabs>
          <w:tab w:val="left" w:pos="954"/>
        </w:tabs>
        <w:spacing w:after="140" w:line="367" w:lineRule="exact"/>
        <w:ind w:left="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1.1.6</w:t>
      </w:r>
      <w:r>
        <w:rPr>
          <w:color w:val="auto"/>
          <w:sz w:val="20"/>
          <w:szCs w:val="20"/>
          <w:highlight w:val="none"/>
          <w:lang w:eastAsia="zh-CN"/>
        </w:rPr>
        <w:t>.1</w:t>
      </w:r>
      <w:r>
        <w:rPr>
          <w:rFonts w:ascii="宋体" w:hAnsi="宋体" w:eastAsia="宋体" w:cs="宋体"/>
          <w:color w:val="auto"/>
          <w:sz w:val="20"/>
          <w:szCs w:val="20"/>
          <w:highlight w:val="none"/>
          <w:lang w:val="zh-CN" w:eastAsia="zh-CN" w:bidi="zh-CN"/>
        </w:rPr>
        <w:t>书面形式：指合同文件、信函、电报、传真等可以有形地表现所载内容的形式。</w:t>
      </w:r>
    </w:p>
    <w:p w14:paraId="458ED03D">
      <w:pPr>
        <w:pStyle w:val="39"/>
        <w:keepNext/>
        <w:keepLines/>
        <w:spacing w:before="240" w:after="64" w:line="317" w:lineRule="auto"/>
        <w:outlineLvl w:val="5"/>
        <w:rPr>
          <w:rFonts w:ascii="宋体" w:hAnsi="宋体" w:eastAsia="宋体"/>
          <w:b/>
          <w:color w:val="auto"/>
          <w:sz w:val="24"/>
          <w:szCs w:val="24"/>
          <w:highlight w:val="none"/>
          <w:lang w:eastAsia="zh-CN"/>
        </w:rPr>
      </w:pPr>
      <w:bookmarkStart w:id="190" w:name="_Toc27734"/>
      <w:bookmarkStart w:id="191" w:name="_Toc21986"/>
      <w:r>
        <w:rPr>
          <w:rFonts w:ascii="宋体" w:hAnsi="宋体" w:eastAsia="宋体"/>
          <w:b/>
          <w:color w:val="auto"/>
          <w:sz w:val="24"/>
          <w:szCs w:val="24"/>
          <w:highlight w:val="none"/>
          <w:lang w:eastAsia="zh-CN"/>
        </w:rPr>
        <w:t>1.2语言文字</w:t>
      </w:r>
      <w:bookmarkEnd w:id="190"/>
      <w:bookmarkEnd w:id="191"/>
    </w:p>
    <w:p w14:paraId="343960E6">
      <w:pPr>
        <w:pStyle w:val="39"/>
        <w:spacing w:after="140" w:line="366"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除专用术语外，合同使用的语言文字为中文。必要时专用术语应附有中文注释。</w:t>
      </w:r>
    </w:p>
    <w:p w14:paraId="47C4F293">
      <w:pPr>
        <w:pStyle w:val="39"/>
        <w:keepNext/>
        <w:keepLines/>
        <w:spacing w:before="240" w:after="64" w:line="317" w:lineRule="auto"/>
        <w:outlineLvl w:val="5"/>
        <w:rPr>
          <w:rFonts w:ascii="宋体" w:hAnsi="宋体" w:eastAsia="宋体"/>
          <w:b/>
          <w:color w:val="auto"/>
          <w:sz w:val="24"/>
          <w:szCs w:val="24"/>
          <w:highlight w:val="none"/>
          <w:lang w:eastAsia="zh-CN"/>
        </w:rPr>
      </w:pPr>
      <w:bookmarkStart w:id="192" w:name="_Toc29711"/>
      <w:bookmarkStart w:id="193" w:name="_Toc9978"/>
      <w:r>
        <w:rPr>
          <w:rFonts w:ascii="宋体" w:hAnsi="宋体" w:eastAsia="宋体"/>
          <w:b/>
          <w:color w:val="auto"/>
          <w:sz w:val="24"/>
          <w:szCs w:val="24"/>
          <w:highlight w:val="none"/>
          <w:lang w:eastAsia="zh-CN"/>
        </w:rPr>
        <w:t>1.3法律</w:t>
      </w:r>
      <w:bookmarkEnd w:id="192"/>
      <w:bookmarkEnd w:id="193"/>
    </w:p>
    <w:p w14:paraId="5EEDD10D">
      <w:pPr>
        <w:pStyle w:val="39"/>
        <w:spacing w:after="140" w:line="36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适用于合同的法律包括中华人民共和国法律、行政法规、部门规章，以及工程所在地的地方法规、自治条例、单行条例和地方政府规章。</w:t>
      </w:r>
    </w:p>
    <w:p w14:paraId="3682C0B3">
      <w:pPr>
        <w:pStyle w:val="39"/>
        <w:keepNext/>
        <w:keepLines/>
        <w:spacing w:before="240" w:after="64" w:line="317" w:lineRule="auto"/>
        <w:outlineLvl w:val="5"/>
        <w:rPr>
          <w:rFonts w:ascii="宋体" w:hAnsi="宋体" w:eastAsia="宋体"/>
          <w:b/>
          <w:color w:val="auto"/>
          <w:sz w:val="24"/>
          <w:szCs w:val="24"/>
          <w:highlight w:val="none"/>
          <w:lang w:eastAsia="zh-CN"/>
        </w:rPr>
      </w:pPr>
      <w:bookmarkStart w:id="194" w:name="_Toc17688"/>
      <w:bookmarkStart w:id="195" w:name="_Toc16951"/>
      <w:r>
        <w:rPr>
          <w:rFonts w:ascii="宋体" w:hAnsi="宋体" w:eastAsia="宋体"/>
          <w:b/>
          <w:color w:val="auto"/>
          <w:sz w:val="24"/>
          <w:szCs w:val="24"/>
          <w:highlight w:val="none"/>
          <w:lang w:eastAsia="zh-CN"/>
        </w:rPr>
        <w:t>1.4合同文件的优先顺序</w:t>
      </w:r>
      <w:bookmarkEnd w:id="194"/>
      <w:bookmarkEnd w:id="195"/>
    </w:p>
    <w:p w14:paraId="15C16CAE">
      <w:pPr>
        <w:pStyle w:val="39"/>
        <w:spacing w:after="140"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组成合同的各项文件应互相解释，互为说明。除专用合同条款另有约定外，解释合同文件的优先顺序如下：</w:t>
      </w:r>
    </w:p>
    <w:p w14:paraId="7B48EC8D">
      <w:pPr>
        <w:pStyle w:val="39"/>
        <w:keepNext w:val="0"/>
        <w:keepLines w:val="0"/>
        <w:pageBreakBefore w:val="0"/>
        <w:widowControl w:val="0"/>
        <w:numPr>
          <w:ilvl w:val="0"/>
          <w:numId w:val="5"/>
        </w:numPr>
        <w:tabs>
          <w:tab w:val="left" w:pos="923"/>
        </w:tabs>
        <w:kinsoku/>
        <w:wordWrap/>
        <w:overflowPunct/>
        <w:topLinePunct w:val="0"/>
        <w:autoSpaceDE/>
        <w:autoSpaceDN/>
        <w:bidi w:val="0"/>
        <w:adjustRightInd/>
        <w:snapToGrid/>
        <w:spacing w:line="379"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合同协议书；</w:t>
      </w:r>
    </w:p>
    <w:p w14:paraId="4752DFD2">
      <w:pPr>
        <w:pStyle w:val="39"/>
        <w:keepNext w:val="0"/>
        <w:keepLines w:val="0"/>
        <w:pageBreakBefore w:val="0"/>
        <w:widowControl w:val="0"/>
        <w:numPr>
          <w:ilvl w:val="0"/>
          <w:numId w:val="5"/>
        </w:numPr>
        <w:tabs>
          <w:tab w:val="left" w:pos="923"/>
        </w:tabs>
        <w:kinsoku/>
        <w:wordWrap/>
        <w:overflowPunct/>
        <w:topLinePunct w:val="0"/>
        <w:autoSpaceDE/>
        <w:autoSpaceDN/>
        <w:bidi w:val="0"/>
        <w:adjustRightInd/>
        <w:snapToGrid/>
        <w:spacing w:line="382"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中标通知书；</w:t>
      </w:r>
    </w:p>
    <w:p w14:paraId="13A45AA0">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投标函及投标函附录；</w:t>
      </w:r>
    </w:p>
    <w:p w14:paraId="259D1688">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专用合同条款；</w:t>
      </w:r>
    </w:p>
    <w:p w14:paraId="595126B6">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通用合同条款；</w:t>
      </w:r>
    </w:p>
    <w:p w14:paraId="5111D642">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技术标准和要求；</w:t>
      </w:r>
    </w:p>
    <w:p w14:paraId="2C8B2CA6">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图纸；</w:t>
      </w:r>
    </w:p>
    <w:p w14:paraId="013B5E26">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已标价工程量清单；</w:t>
      </w:r>
    </w:p>
    <w:p w14:paraId="41969681">
      <w:pPr>
        <w:pStyle w:val="39"/>
        <w:keepNext w:val="0"/>
        <w:keepLines w:val="0"/>
        <w:pageBreakBefore w:val="0"/>
        <w:widowControl w:val="0"/>
        <w:numPr>
          <w:ilvl w:val="0"/>
          <w:numId w:val="5"/>
        </w:numPr>
        <w:tabs>
          <w:tab w:val="left" w:pos="903"/>
        </w:tabs>
        <w:kinsoku/>
        <w:wordWrap/>
        <w:overflowPunct/>
        <w:topLinePunct w:val="0"/>
        <w:autoSpaceDE/>
        <w:autoSpaceDN/>
        <w:bidi w:val="0"/>
        <w:adjustRightInd/>
        <w:snapToGrid/>
        <w:spacing w:line="382"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其他合同文件。</w:t>
      </w:r>
    </w:p>
    <w:p w14:paraId="22C341C1">
      <w:pPr>
        <w:pStyle w:val="39"/>
        <w:keepNext/>
        <w:keepLines/>
        <w:spacing w:before="240" w:after="64" w:line="317" w:lineRule="auto"/>
        <w:outlineLvl w:val="5"/>
        <w:rPr>
          <w:rFonts w:ascii="宋体" w:hAnsi="宋体" w:eastAsia="宋体"/>
          <w:b/>
          <w:color w:val="auto"/>
          <w:sz w:val="24"/>
          <w:szCs w:val="24"/>
          <w:highlight w:val="none"/>
        </w:rPr>
      </w:pPr>
      <w:bookmarkStart w:id="196" w:name="_Toc3541"/>
      <w:bookmarkStart w:id="197" w:name="_Toc26408"/>
      <w:r>
        <w:rPr>
          <w:rFonts w:ascii="宋体" w:hAnsi="宋体" w:eastAsia="宋体"/>
          <w:b/>
          <w:color w:val="auto"/>
          <w:sz w:val="24"/>
          <w:szCs w:val="24"/>
          <w:highlight w:val="none"/>
        </w:rPr>
        <w:t>1.5合同协议书</w:t>
      </w:r>
      <w:bookmarkEnd w:id="196"/>
      <w:bookmarkEnd w:id="197"/>
    </w:p>
    <w:p w14:paraId="13E8FBDE">
      <w:pPr>
        <w:pStyle w:val="39"/>
        <w:spacing w:after="140" w:line="355"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承包人按中标通知书规定的时间与发包人签订合同协议书。除法律另有规定或合同另有约定外，发包人和承包人的法定代表人或其委托代理人在合同协议书上签字并盖单位电子公章后，合同生效</w:t>
      </w:r>
      <w:r>
        <w:rPr>
          <w:rFonts w:ascii="宋体" w:hAnsi="宋体" w:eastAsia="宋体" w:cs="宋体"/>
          <w:color w:val="auto"/>
          <w:sz w:val="20"/>
          <w:szCs w:val="20"/>
          <w:highlight w:val="none"/>
          <w:lang w:val="zh-CN" w:eastAsia="zh-CN" w:bidi="zh-CN"/>
        </w:rPr>
        <w:t>。</w:t>
      </w:r>
    </w:p>
    <w:p w14:paraId="74E3D00C">
      <w:pPr>
        <w:pStyle w:val="39"/>
        <w:keepNext/>
        <w:keepLines/>
        <w:spacing w:before="240" w:after="64" w:line="317" w:lineRule="auto"/>
        <w:outlineLvl w:val="5"/>
        <w:rPr>
          <w:rFonts w:ascii="宋体" w:hAnsi="宋体" w:eastAsia="宋体"/>
          <w:b/>
          <w:color w:val="auto"/>
          <w:sz w:val="24"/>
          <w:szCs w:val="24"/>
          <w:highlight w:val="none"/>
          <w:lang w:eastAsia="zh-CN"/>
        </w:rPr>
      </w:pPr>
      <w:bookmarkStart w:id="198" w:name="_Toc28110"/>
      <w:bookmarkStart w:id="199" w:name="_Toc25284"/>
      <w:r>
        <w:rPr>
          <w:rFonts w:ascii="宋体" w:hAnsi="宋体" w:eastAsia="宋体"/>
          <w:b/>
          <w:color w:val="auto"/>
          <w:sz w:val="24"/>
          <w:szCs w:val="24"/>
          <w:highlight w:val="none"/>
          <w:lang w:eastAsia="zh-CN"/>
        </w:rPr>
        <w:t>1.6图纸和承包人文件</w:t>
      </w:r>
      <w:bookmarkEnd w:id="198"/>
      <w:bookmarkEnd w:id="199"/>
    </w:p>
    <w:p w14:paraId="3E9789AF">
      <w:pPr>
        <w:pStyle w:val="39"/>
        <w:spacing w:line="382"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1.6.1</w:t>
      </w:r>
      <w:r>
        <w:rPr>
          <w:rFonts w:ascii="宋体" w:hAnsi="宋体" w:eastAsia="宋体" w:cs="宋体"/>
          <w:color w:val="auto"/>
          <w:sz w:val="20"/>
          <w:szCs w:val="20"/>
          <w:highlight w:val="none"/>
          <w:lang w:val="zh-CN" w:eastAsia="zh-CN" w:bidi="zh-CN"/>
        </w:rPr>
        <w:t>图纸的提供</w:t>
      </w:r>
    </w:p>
    <w:p w14:paraId="79453FF4">
      <w:pPr>
        <w:pStyle w:val="39"/>
        <w:spacing w:after="120" w:line="366"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发包人应按技术标准和要求(合同技术条款)约定的期限和数量将施工图纸以及其它图纸（包括配套说明和有关资料）提供给承包人。由于发包人未按时提供图纸造成工期延误的，按第</w:t>
      </w:r>
      <w:r>
        <w:rPr>
          <w:color w:val="auto"/>
          <w:sz w:val="20"/>
          <w:szCs w:val="20"/>
          <w:highlight w:val="none"/>
          <w:lang w:eastAsia="zh-CN"/>
        </w:rPr>
        <w:t xml:space="preserve">11.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款的约定办理。</w:t>
      </w:r>
    </w:p>
    <w:p w14:paraId="18F0080A">
      <w:pPr>
        <w:pStyle w:val="39"/>
        <w:spacing w:line="379"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1.6.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承包人提供的文件</w:t>
      </w:r>
    </w:p>
    <w:p w14:paraId="2B3B29ED">
      <w:pPr>
        <w:pStyle w:val="39"/>
        <w:spacing w:after="120" w:line="355"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承包人提供的文件应按技术标准和要求（合同技术条款）约定的期限和数量提供给监理人。监理人应按技术标准和要求（合同技术条款）约定的期限批复承包人。</w:t>
      </w:r>
    </w:p>
    <w:p w14:paraId="4D299654">
      <w:pPr>
        <w:pStyle w:val="39"/>
        <w:spacing w:line="372"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1.6.3</w:t>
      </w:r>
      <w:r>
        <w:rPr>
          <w:rFonts w:ascii="宋体" w:hAnsi="宋体" w:eastAsia="宋体" w:cs="宋体"/>
          <w:color w:val="auto"/>
          <w:sz w:val="20"/>
          <w:szCs w:val="20"/>
          <w:highlight w:val="none"/>
          <w:lang w:val="zh-CN" w:eastAsia="zh-CN" w:bidi="zh-CN"/>
        </w:rPr>
        <w:t>图纸的修改</w:t>
      </w:r>
    </w:p>
    <w:p w14:paraId="42B522F1">
      <w:pPr>
        <w:pStyle w:val="39"/>
        <w:spacing w:after="120" w:line="36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559349CA">
      <w:pPr>
        <w:pStyle w:val="39"/>
        <w:spacing w:line="379"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1.6.4</w:t>
      </w:r>
      <w:r>
        <w:rPr>
          <w:rFonts w:ascii="宋体" w:hAnsi="宋体" w:eastAsia="宋体" w:cs="宋体"/>
          <w:color w:val="auto"/>
          <w:sz w:val="20"/>
          <w:szCs w:val="20"/>
          <w:highlight w:val="none"/>
          <w:lang w:val="zh-CN" w:eastAsia="zh-CN" w:bidi="zh-CN"/>
        </w:rPr>
        <w:t>图纸的错误</w:t>
      </w:r>
    </w:p>
    <w:p w14:paraId="67D27A99">
      <w:pPr>
        <w:pStyle w:val="39"/>
        <w:spacing w:after="120"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承包人发现发包人提供的图纸存在明显错误或疏忽，应及时通知监理人。</w:t>
      </w:r>
    </w:p>
    <w:p w14:paraId="45517A3D">
      <w:pPr>
        <w:pStyle w:val="39"/>
        <w:spacing w:line="384"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1.6.5</w:t>
      </w:r>
      <w:r>
        <w:rPr>
          <w:rFonts w:ascii="宋体" w:hAnsi="宋体" w:eastAsia="宋体" w:cs="宋体"/>
          <w:color w:val="auto"/>
          <w:sz w:val="20"/>
          <w:szCs w:val="20"/>
          <w:highlight w:val="none"/>
          <w:lang w:val="zh-CN" w:eastAsia="zh-CN" w:bidi="zh-CN"/>
        </w:rPr>
        <w:t>图纸和承包人文件的保管</w:t>
      </w:r>
    </w:p>
    <w:p w14:paraId="6EF13457">
      <w:pPr>
        <w:pStyle w:val="39"/>
        <w:spacing w:after="180" w:line="367"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监理人和承包人均应在施工场地各保存一套完整的包含第</w:t>
      </w:r>
      <w:r>
        <w:rPr>
          <w:color w:val="auto"/>
          <w:sz w:val="20"/>
          <w:szCs w:val="20"/>
          <w:highlight w:val="none"/>
          <w:lang w:eastAsia="zh-CN"/>
        </w:rPr>
        <w:t xml:space="preserve">1. 6.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项、第</w:t>
      </w:r>
      <w:r>
        <w:rPr>
          <w:color w:val="auto"/>
          <w:sz w:val="20"/>
          <w:szCs w:val="20"/>
          <w:highlight w:val="none"/>
          <w:lang w:eastAsia="zh-CN"/>
        </w:rPr>
        <w:t>1.6.2</w:t>
      </w:r>
      <w:r>
        <w:rPr>
          <w:rFonts w:ascii="宋体" w:hAnsi="宋体" w:eastAsia="宋体" w:cs="宋体"/>
          <w:color w:val="auto"/>
          <w:sz w:val="20"/>
          <w:szCs w:val="20"/>
          <w:highlight w:val="none"/>
          <w:lang w:val="zh-CN" w:eastAsia="zh-CN" w:bidi="zh-CN"/>
        </w:rPr>
        <w:t xml:space="preserve">项、第 </w:t>
      </w:r>
      <w:r>
        <w:rPr>
          <w:color w:val="auto"/>
          <w:sz w:val="20"/>
          <w:szCs w:val="20"/>
          <w:highlight w:val="none"/>
          <w:lang w:eastAsia="zh-CN"/>
        </w:rPr>
        <w:t xml:space="preserve">1.6.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项约定内容的图纸和承包人文件。</w:t>
      </w:r>
    </w:p>
    <w:p w14:paraId="610B5763">
      <w:pPr>
        <w:pStyle w:val="39"/>
        <w:keepNext/>
        <w:keepLines/>
        <w:spacing w:before="240" w:after="64" w:line="317" w:lineRule="auto"/>
        <w:outlineLvl w:val="5"/>
        <w:rPr>
          <w:rFonts w:ascii="宋体" w:hAnsi="宋体" w:eastAsia="宋体"/>
          <w:b/>
          <w:color w:val="auto"/>
          <w:sz w:val="24"/>
          <w:szCs w:val="24"/>
          <w:highlight w:val="none"/>
          <w:lang w:eastAsia="zh-CN"/>
        </w:rPr>
      </w:pPr>
      <w:bookmarkStart w:id="200" w:name="_Toc28279"/>
      <w:bookmarkStart w:id="201" w:name="_Toc11551"/>
      <w:r>
        <w:rPr>
          <w:rFonts w:ascii="宋体" w:hAnsi="宋体" w:eastAsia="宋体"/>
          <w:b/>
          <w:color w:val="auto"/>
          <w:sz w:val="24"/>
          <w:szCs w:val="24"/>
          <w:highlight w:val="none"/>
          <w:lang w:eastAsia="zh-CN"/>
        </w:rPr>
        <w:t>1.7联络</w:t>
      </w:r>
      <w:bookmarkEnd w:id="200"/>
      <w:bookmarkEnd w:id="201"/>
    </w:p>
    <w:p w14:paraId="4D1F1C87">
      <w:pPr>
        <w:pStyle w:val="39"/>
        <w:spacing w:line="38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1.7.1</w:t>
      </w:r>
      <w:r>
        <w:rPr>
          <w:rFonts w:ascii="宋体" w:hAnsi="宋体" w:eastAsia="宋体" w:cs="宋体"/>
          <w:color w:val="auto"/>
          <w:sz w:val="20"/>
          <w:szCs w:val="20"/>
          <w:highlight w:val="none"/>
          <w:lang w:val="zh-CN" w:eastAsia="zh-CN" w:bidi="zh-CN"/>
        </w:rPr>
        <w:t>与合同有关的通知、批准、证明、证书、指示、要求、请求、同意、意见、确 定和决定等，均应采用书面形式。</w:t>
      </w:r>
    </w:p>
    <w:p w14:paraId="62B9F92E">
      <w:pPr>
        <w:pStyle w:val="39"/>
        <w:spacing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1.7.2</w:t>
      </w:r>
      <w:r>
        <w:rPr>
          <w:rFonts w:ascii="宋体" w:hAnsi="宋体" w:eastAsia="宋体" w:cs="宋体"/>
          <w:color w:val="auto"/>
          <w:sz w:val="20"/>
          <w:szCs w:val="20"/>
          <w:highlight w:val="none"/>
          <w:lang w:val="zh-CN" w:eastAsia="zh-CN" w:bidi="zh-CN"/>
        </w:rPr>
        <w:t>第</w:t>
      </w:r>
      <w:r>
        <w:rPr>
          <w:color w:val="auto"/>
          <w:sz w:val="20"/>
          <w:szCs w:val="20"/>
          <w:highlight w:val="none"/>
          <w:lang w:eastAsia="zh-CN"/>
        </w:rPr>
        <w:t>1.7.1</w:t>
      </w:r>
      <w:r>
        <w:rPr>
          <w:rFonts w:ascii="宋体" w:hAnsi="宋体" w:eastAsia="宋体" w:cs="宋体"/>
          <w:color w:val="auto"/>
          <w:sz w:val="20"/>
          <w:szCs w:val="20"/>
          <w:highlight w:val="none"/>
          <w:lang w:val="zh-CN" w:eastAsia="zh-CN" w:bidi="zh-CN"/>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14:paraId="7FF46381">
      <w:pPr>
        <w:pStyle w:val="39"/>
        <w:spacing w:after="180"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1.7.3</w:t>
      </w:r>
      <w:r>
        <w:rPr>
          <w:rFonts w:ascii="宋体" w:hAnsi="宋体" w:eastAsia="宋体" w:cs="宋体"/>
          <w:color w:val="auto"/>
          <w:sz w:val="20"/>
          <w:szCs w:val="20"/>
          <w:highlight w:val="none"/>
          <w:lang w:val="zh-CN" w:eastAsia="zh-CN" w:bidi="zh-CN"/>
        </w:rPr>
        <w:t>来往函件均应按合同约定的期限及时发出和答复，不得无故扣压和拖延，亦不得拒收。否则，由此造成的后果由责任方负责。</w:t>
      </w:r>
    </w:p>
    <w:p w14:paraId="74DD6AB9">
      <w:pPr>
        <w:pStyle w:val="39"/>
        <w:keepNext/>
        <w:keepLines/>
        <w:spacing w:before="240" w:after="64" w:line="317" w:lineRule="auto"/>
        <w:outlineLvl w:val="5"/>
        <w:rPr>
          <w:rFonts w:ascii="宋体" w:hAnsi="宋体" w:eastAsia="宋体"/>
          <w:b/>
          <w:color w:val="auto"/>
          <w:sz w:val="24"/>
          <w:szCs w:val="24"/>
          <w:highlight w:val="none"/>
          <w:lang w:eastAsia="zh-CN"/>
        </w:rPr>
      </w:pPr>
      <w:bookmarkStart w:id="202" w:name="_Toc9229"/>
      <w:bookmarkStart w:id="203" w:name="_Toc6736"/>
      <w:r>
        <w:rPr>
          <w:rFonts w:ascii="宋体" w:hAnsi="宋体" w:eastAsia="宋体"/>
          <w:b/>
          <w:color w:val="auto"/>
          <w:sz w:val="24"/>
          <w:szCs w:val="24"/>
          <w:highlight w:val="none"/>
          <w:lang w:eastAsia="zh-CN"/>
        </w:rPr>
        <w:t>1.8转让</w:t>
      </w:r>
      <w:bookmarkEnd w:id="202"/>
      <w:bookmarkEnd w:id="203"/>
    </w:p>
    <w:p w14:paraId="3AEC9076">
      <w:pPr>
        <w:pStyle w:val="39"/>
        <w:spacing w:after="180" w:line="35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除合同另有约定外，未经对方当事人同意，一方当事人不得将合同权利全部或部分转让给第三人，也不得全部或部分转移合同义务。</w:t>
      </w:r>
    </w:p>
    <w:p w14:paraId="7344B127">
      <w:pPr>
        <w:pStyle w:val="39"/>
        <w:keepNext/>
        <w:keepLines/>
        <w:spacing w:before="240" w:after="64" w:line="317" w:lineRule="auto"/>
        <w:outlineLvl w:val="5"/>
        <w:rPr>
          <w:rFonts w:ascii="宋体" w:hAnsi="宋体" w:eastAsia="宋体"/>
          <w:b/>
          <w:color w:val="auto"/>
          <w:sz w:val="24"/>
          <w:szCs w:val="24"/>
          <w:highlight w:val="none"/>
          <w:lang w:eastAsia="zh-CN"/>
        </w:rPr>
      </w:pPr>
      <w:bookmarkStart w:id="204" w:name="_Toc8836"/>
      <w:bookmarkStart w:id="205" w:name="_Toc20652"/>
      <w:r>
        <w:rPr>
          <w:rFonts w:ascii="宋体" w:hAnsi="宋体" w:eastAsia="宋体"/>
          <w:b/>
          <w:color w:val="auto"/>
          <w:sz w:val="24"/>
          <w:szCs w:val="24"/>
          <w:highlight w:val="none"/>
          <w:lang w:eastAsia="zh-CN"/>
        </w:rPr>
        <w:t>1.9严禁贿赂</w:t>
      </w:r>
      <w:bookmarkEnd w:id="204"/>
      <w:bookmarkEnd w:id="205"/>
    </w:p>
    <w:p w14:paraId="1F7D3E02">
      <w:pPr>
        <w:pStyle w:val="39"/>
        <w:spacing w:after="180" w:line="367"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合同双方当事人不得以贿赂或变相贿赂的方式，谋取不当利益或损害对方权益。因贿赂造成对方损失的，行为人应赔偿损失，并承担相应的法律责任。</w:t>
      </w:r>
    </w:p>
    <w:p w14:paraId="22661EE3">
      <w:pPr>
        <w:pStyle w:val="39"/>
        <w:keepNext/>
        <w:keepLines/>
        <w:spacing w:before="240" w:after="64" w:line="317" w:lineRule="auto"/>
        <w:outlineLvl w:val="5"/>
        <w:rPr>
          <w:rFonts w:ascii="宋体" w:hAnsi="宋体" w:eastAsia="宋体"/>
          <w:b/>
          <w:color w:val="auto"/>
          <w:sz w:val="24"/>
          <w:szCs w:val="24"/>
          <w:highlight w:val="none"/>
          <w:lang w:eastAsia="zh-CN"/>
        </w:rPr>
      </w:pPr>
      <w:bookmarkStart w:id="206" w:name="_Toc26366"/>
      <w:bookmarkStart w:id="207" w:name="_Toc7257"/>
      <w:r>
        <w:rPr>
          <w:rFonts w:ascii="宋体" w:hAnsi="宋体" w:eastAsia="宋体"/>
          <w:b/>
          <w:color w:val="auto"/>
          <w:sz w:val="24"/>
          <w:szCs w:val="24"/>
          <w:highlight w:val="none"/>
          <w:lang w:eastAsia="zh-CN"/>
        </w:rPr>
        <w:t>1.10化石、文物</w:t>
      </w:r>
      <w:bookmarkEnd w:id="206"/>
      <w:bookmarkEnd w:id="207"/>
    </w:p>
    <w:p w14:paraId="2783F209">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1.10.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14:paraId="3FDEF9CB">
      <w:pPr>
        <w:pStyle w:val="39"/>
        <w:spacing w:after="120"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1. 10.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承包人发现文物后不及时报告或隐瞒不报，致使文物丢失或损坏的，应赔偿损失，并承担相应的法律责任。</w:t>
      </w:r>
    </w:p>
    <w:p w14:paraId="58F10D82">
      <w:pPr>
        <w:pStyle w:val="39"/>
        <w:keepNext/>
        <w:keepLines/>
        <w:spacing w:before="240" w:after="64" w:line="317" w:lineRule="auto"/>
        <w:outlineLvl w:val="5"/>
        <w:rPr>
          <w:rFonts w:ascii="宋体" w:hAnsi="宋体" w:eastAsia="宋体"/>
          <w:b/>
          <w:color w:val="auto"/>
          <w:sz w:val="24"/>
          <w:szCs w:val="24"/>
          <w:highlight w:val="none"/>
          <w:lang w:eastAsia="zh-CN"/>
        </w:rPr>
      </w:pPr>
      <w:bookmarkStart w:id="208" w:name="_Toc23806"/>
      <w:bookmarkStart w:id="209" w:name="_Toc22442"/>
      <w:r>
        <w:rPr>
          <w:rFonts w:ascii="宋体" w:hAnsi="宋体" w:eastAsia="宋体"/>
          <w:b/>
          <w:color w:val="auto"/>
          <w:sz w:val="24"/>
          <w:szCs w:val="24"/>
          <w:highlight w:val="none"/>
          <w:lang w:eastAsia="zh-CN"/>
        </w:rPr>
        <w:t>1.11专利技术</w:t>
      </w:r>
      <w:bookmarkEnd w:id="208"/>
      <w:bookmarkEnd w:id="209"/>
    </w:p>
    <w:p w14:paraId="7C2CB72F">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1.11.1</w:t>
      </w:r>
      <w:r>
        <w:rPr>
          <w:rFonts w:ascii="宋体" w:hAnsi="宋体" w:eastAsia="宋体" w:cs="宋体"/>
          <w:color w:val="auto"/>
          <w:sz w:val="20"/>
          <w:szCs w:val="20"/>
          <w:highlight w:val="none"/>
          <w:lang w:val="zh-CN" w:eastAsia="zh-CN" w:bidi="zh-CN"/>
        </w:rPr>
        <w:t>承包人在使用任何材料、承包人设备、工程设备或采用施工工艺时，因侵犯专利权或其他知识产权所引起的责任，由承包人承担，但由于遵照发包人提供的设计或技术标准和要求引起的除外。</w:t>
      </w:r>
    </w:p>
    <w:p w14:paraId="71AA985F">
      <w:pPr>
        <w:pStyle w:val="39"/>
        <w:spacing w:line="360"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1.11.2</w:t>
      </w:r>
      <w:r>
        <w:rPr>
          <w:rFonts w:ascii="宋体" w:hAnsi="宋体" w:eastAsia="宋体" w:cs="宋体"/>
          <w:color w:val="auto"/>
          <w:sz w:val="20"/>
          <w:szCs w:val="20"/>
          <w:highlight w:val="none"/>
          <w:lang w:val="zh-CN" w:eastAsia="zh-CN" w:bidi="zh-CN"/>
        </w:rPr>
        <w:t>承包人在投标文件中采用专利技术的，专利技术的使用费包含在投标报价内。</w:t>
      </w:r>
    </w:p>
    <w:p w14:paraId="1AF74821">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1.11.3</w:t>
      </w:r>
      <w:r>
        <w:rPr>
          <w:rFonts w:ascii="宋体" w:hAnsi="宋体" w:eastAsia="宋体" w:cs="宋体"/>
          <w:color w:val="auto"/>
          <w:sz w:val="20"/>
          <w:szCs w:val="20"/>
          <w:highlight w:val="none"/>
          <w:lang w:val="zh-CN" w:eastAsia="zh-CN" w:bidi="zh-CN"/>
        </w:rPr>
        <w:t>承包人的技术秘密和声明需要保密的资料和信息，发包人和监理人不得为合同以外的目的泄露给他人。</w:t>
      </w:r>
    </w:p>
    <w:p w14:paraId="4F8FDAB4">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1.11.4</w:t>
      </w:r>
      <w:r>
        <w:rPr>
          <w:rFonts w:ascii="宋体" w:hAnsi="宋体" w:eastAsia="宋体" w:cs="宋体"/>
          <w:color w:val="auto"/>
          <w:sz w:val="20"/>
          <w:szCs w:val="20"/>
          <w:highlight w:val="none"/>
          <w:lang w:val="zh-CN" w:eastAsia="zh-CN" w:bidi="zh-CN"/>
        </w:rPr>
        <w:t>合同实施过程中，发包人要求承包人采用专利技术的，发包人应办理相应的使用手续，承包人应按发包人约定的条件使用，并承担使用专利技术的相关试验工作。所需的费用由发包人承担。</w:t>
      </w:r>
    </w:p>
    <w:p w14:paraId="34797C4C">
      <w:pPr>
        <w:pStyle w:val="39"/>
        <w:keepNext/>
        <w:keepLines/>
        <w:spacing w:before="240" w:after="64" w:line="317" w:lineRule="auto"/>
        <w:outlineLvl w:val="5"/>
        <w:rPr>
          <w:rFonts w:ascii="宋体" w:hAnsi="宋体" w:eastAsia="宋体"/>
          <w:b/>
          <w:color w:val="auto"/>
          <w:sz w:val="24"/>
          <w:szCs w:val="24"/>
          <w:highlight w:val="none"/>
          <w:lang w:eastAsia="zh-CN"/>
        </w:rPr>
      </w:pPr>
      <w:bookmarkStart w:id="210" w:name="_Toc24748"/>
      <w:bookmarkStart w:id="211" w:name="_Toc20957"/>
      <w:r>
        <w:rPr>
          <w:rFonts w:ascii="宋体" w:hAnsi="宋体" w:eastAsia="宋体"/>
          <w:b/>
          <w:color w:val="auto"/>
          <w:sz w:val="24"/>
          <w:szCs w:val="24"/>
          <w:highlight w:val="none"/>
          <w:lang w:eastAsia="zh-CN"/>
        </w:rPr>
        <w:t>1.12图纸和文件的保密</w:t>
      </w:r>
      <w:bookmarkEnd w:id="210"/>
      <w:bookmarkEnd w:id="211"/>
    </w:p>
    <w:p w14:paraId="13321A3F">
      <w:pPr>
        <w:pStyle w:val="39"/>
        <w:spacing w:line="37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1.12.1</w:t>
      </w:r>
      <w:r>
        <w:rPr>
          <w:rFonts w:ascii="宋体" w:hAnsi="宋体" w:eastAsia="宋体" w:cs="宋体"/>
          <w:color w:val="auto"/>
          <w:sz w:val="20"/>
          <w:szCs w:val="20"/>
          <w:highlight w:val="none"/>
          <w:lang w:val="zh-CN" w:eastAsia="zh-CN" w:bidi="zh-CN"/>
        </w:rPr>
        <w:t>发包人提供的图纸和文件，未经发包人同意，承包人不得为合同以外的目的泄露给他人或公开发表与引用。</w:t>
      </w:r>
    </w:p>
    <w:p w14:paraId="40787C28">
      <w:pPr>
        <w:pStyle w:val="39"/>
        <w:spacing w:after="200"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1.12.2</w:t>
      </w:r>
      <w:r>
        <w:rPr>
          <w:rFonts w:ascii="宋体" w:hAnsi="宋体" w:eastAsia="宋体" w:cs="宋体"/>
          <w:color w:val="auto"/>
          <w:sz w:val="20"/>
          <w:szCs w:val="20"/>
          <w:highlight w:val="none"/>
          <w:lang w:val="zh-CN" w:eastAsia="zh-CN" w:bidi="zh-CN"/>
        </w:rPr>
        <w:t>承包人提供的文件，未经承包人同意，发包人和监理人不得为合同以外的目的泄露给他人或公开发表与引用。</w:t>
      </w:r>
    </w:p>
    <w:p w14:paraId="1337AA55">
      <w:pPr>
        <w:pStyle w:val="39"/>
        <w:keepNext/>
        <w:keepLines/>
        <w:spacing w:before="280" w:after="290" w:line="372" w:lineRule="auto"/>
        <w:outlineLvl w:val="4"/>
        <w:rPr>
          <w:b/>
          <w:color w:val="auto"/>
          <w:sz w:val="30"/>
          <w:szCs w:val="30"/>
          <w:highlight w:val="none"/>
          <w:lang w:eastAsia="zh-CN"/>
        </w:rPr>
      </w:pPr>
      <w:bookmarkStart w:id="212" w:name="_Toc21703"/>
      <w:bookmarkStart w:id="213" w:name="_Toc2366"/>
      <w:r>
        <w:rPr>
          <w:rFonts w:hint="eastAsia"/>
          <w:b/>
          <w:color w:val="auto"/>
          <w:sz w:val="30"/>
          <w:szCs w:val="30"/>
          <w:highlight w:val="none"/>
          <w:lang w:eastAsia="zh-CN"/>
        </w:rPr>
        <w:t>2.</w:t>
      </w:r>
      <w:r>
        <w:rPr>
          <w:rFonts w:hint="eastAsia" w:ascii="宋体" w:hAnsi="宋体" w:eastAsia="宋体" w:cs="宋体"/>
          <w:b/>
          <w:color w:val="auto"/>
          <w:sz w:val="30"/>
          <w:szCs w:val="30"/>
          <w:highlight w:val="none"/>
          <w:lang w:eastAsia="zh-CN"/>
        </w:rPr>
        <w:t>发包人义务</w:t>
      </w:r>
      <w:bookmarkEnd w:id="212"/>
      <w:bookmarkEnd w:id="213"/>
    </w:p>
    <w:p w14:paraId="02EF2FCD">
      <w:pPr>
        <w:pStyle w:val="39"/>
        <w:keepNext/>
        <w:keepLines/>
        <w:spacing w:before="240" w:after="64" w:line="317" w:lineRule="auto"/>
        <w:outlineLvl w:val="5"/>
        <w:rPr>
          <w:rFonts w:ascii="宋体" w:hAnsi="宋体" w:eastAsia="宋体"/>
          <w:b/>
          <w:color w:val="auto"/>
          <w:sz w:val="24"/>
          <w:szCs w:val="24"/>
          <w:highlight w:val="none"/>
          <w:lang w:eastAsia="zh-CN"/>
        </w:rPr>
      </w:pPr>
      <w:bookmarkStart w:id="214" w:name="_Toc12769"/>
      <w:bookmarkStart w:id="215" w:name="_Toc10870"/>
      <w:r>
        <w:rPr>
          <w:rFonts w:ascii="宋体" w:hAnsi="宋体" w:eastAsia="宋体"/>
          <w:b/>
          <w:color w:val="auto"/>
          <w:sz w:val="24"/>
          <w:szCs w:val="24"/>
          <w:highlight w:val="none"/>
          <w:lang w:eastAsia="zh-CN"/>
        </w:rPr>
        <w:t>2.1遵守法律</w:t>
      </w:r>
      <w:bookmarkEnd w:id="214"/>
      <w:bookmarkEnd w:id="215"/>
    </w:p>
    <w:p w14:paraId="5A2DD872">
      <w:pPr>
        <w:pStyle w:val="39"/>
        <w:spacing w:after="240" w:line="355"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发包人在履行合同过程中应遵守法律，并保证承包人免于承担因发包人违反法律而引 起的任何责任。</w:t>
      </w:r>
    </w:p>
    <w:p w14:paraId="4C284A40">
      <w:pPr>
        <w:pStyle w:val="39"/>
        <w:keepNext/>
        <w:keepLines/>
        <w:spacing w:before="240" w:after="64" w:line="317" w:lineRule="auto"/>
        <w:outlineLvl w:val="5"/>
        <w:rPr>
          <w:rFonts w:ascii="宋体" w:hAnsi="宋体" w:eastAsia="宋体"/>
          <w:b/>
          <w:color w:val="auto"/>
          <w:sz w:val="24"/>
          <w:szCs w:val="24"/>
          <w:highlight w:val="none"/>
          <w:lang w:eastAsia="zh-CN"/>
        </w:rPr>
      </w:pPr>
      <w:bookmarkStart w:id="216" w:name="_Toc18835"/>
      <w:bookmarkStart w:id="217" w:name="_Toc17687"/>
      <w:r>
        <w:rPr>
          <w:rFonts w:ascii="宋体" w:hAnsi="宋体" w:eastAsia="宋体"/>
          <w:b/>
          <w:color w:val="auto"/>
          <w:sz w:val="24"/>
          <w:szCs w:val="24"/>
          <w:highlight w:val="none"/>
          <w:lang w:eastAsia="zh-CN"/>
        </w:rPr>
        <w:t>2.2发出开工通知</w:t>
      </w:r>
      <w:bookmarkEnd w:id="216"/>
      <w:bookmarkEnd w:id="217"/>
    </w:p>
    <w:p w14:paraId="0B43043A">
      <w:pPr>
        <w:pStyle w:val="39"/>
        <w:spacing w:after="240" w:line="363"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发包人应委托监理人按第</w:t>
      </w:r>
      <w:r>
        <w:rPr>
          <w:color w:val="auto"/>
          <w:sz w:val="20"/>
          <w:szCs w:val="20"/>
          <w:highlight w:val="none"/>
          <w:lang w:eastAsia="zh-CN"/>
        </w:rPr>
        <w:t xml:space="preserve">H.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款的约定向承包人发出开工通知。</w:t>
      </w:r>
    </w:p>
    <w:p w14:paraId="1959F202">
      <w:pPr>
        <w:pStyle w:val="39"/>
        <w:keepNext/>
        <w:keepLines/>
        <w:spacing w:before="240" w:after="64" w:line="317" w:lineRule="auto"/>
        <w:outlineLvl w:val="5"/>
        <w:rPr>
          <w:rFonts w:ascii="宋体" w:hAnsi="宋体" w:eastAsia="宋体"/>
          <w:b/>
          <w:color w:val="auto"/>
          <w:sz w:val="24"/>
          <w:szCs w:val="24"/>
          <w:highlight w:val="none"/>
          <w:lang w:eastAsia="zh-CN"/>
        </w:rPr>
      </w:pPr>
      <w:bookmarkStart w:id="218" w:name="_Toc19736"/>
      <w:bookmarkStart w:id="219" w:name="_Toc5082"/>
      <w:r>
        <w:rPr>
          <w:rFonts w:hint="eastAsia" w:ascii="宋体" w:hAnsi="宋体" w:eastAsia="宋体"/>
          <w:b/>
          <w:color w:val="auto"/>
          <w:sz w:val="24"/>
          <w:szCs w:val="24"/>
          <w:highlight w:val="none"/>
          <w:lang w:eastAsia="zh-CN"/>
        </w:rPr>
        <w:t>2.3</w:t>
      </w:r>
      <w:r>
        <w:rPr>
          <w:rFonts w:ascii="宋体" w:hAnsi="宋体" w:eastAsia="宋体"/>
          <w:b/>
          <w:color w:val="auto"/>
          <w:sz w:val="24"/>
          <w:szCs w:val="24"/>
          <w:highlight w:val="none"/>
          <w:lang w:eastAsia="zh-CN"/>
        </w:rPr>
        <w:t>提供施工场地</w:t>
      </w:r>
      <w:bookmarkEnd w:id="218"/>
      <w:bookmarkEnd w:id="219"/>
    </w:p>
    <w:p w14:paraId="4A72BEAA">
      <w:pPr>
        <w:pStyle w:val="39"/>
        <w:spacing w:line="37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2.3.1</w:t>
      </w:r>
      <w:r>
        <w:rPr>
          <w:rFonts w:ascii="宋体" w:hAnsi="宋体" w:eastAsia="宋体" w:cs="宋体"/>
          <w:color w:val="auto"/>
          <w:sz w:val="20"/>
          <w:szCs w:val="20"/>
          <w:highlight w:val="none"/>
          <w:lang w:val="zh-CN" w:eastAsia="zh-CN" w:bidi="zh-CN"/>
        </w:rPr>
        <w:t>发包人应在合同双方签定合同协议书后的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6A47D944">
      <w:pPr>
        <w:pStyle w:val="39"/>
        <w:spacing w:line="36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2.3.2</w:t>
      </w:r>
      <w:r>
        <w:rPr>
          <w:rFonts w:ascii="宋体" w:hAnsi="宋体" w:eastAsia="宋体" w:cs="宋体"/>
          <w:color w:val="auto"/>
          <w:sz w:val="20"/>
          <w:szCs w:val="20"/>
          <w:highlight w:val="none"/>
          <w:lang w:val="zh-CN" w:eastAsia="zh-CN" w:bidi="zh-CN"/>
        </w:rPr>
        <w:t>发包人提供的施工用地范围在专用合同条款中约定。</w:t>
      </w:r>
    </w:p>
    <w:p w14:paraId="06852BBE">
      <w:pPr>
        <w:pStyle w:val="39"/>
        <w:spacing w:after="240" w:line="36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2.3.3</w:t>
      </w:r>
      <w:r>
        <w:rPr>
          <w:rFonts w:ascii="宋体" w:hAnsi="宋体" w:eastAsia="宋体" w:cs="宋体"/>
          <w:color w:val="auto"/>
          <w:sz w:val="20"/>
          <w:szCs w:val="20"/>
          <w:highlight w:val="none"/>
          <w:lang w:val="zh-CN" w:eastAsia="zh-CN" w:bidi="zh-CN"/>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24D617C0">
      <w:pPr>
        <w:pStyle w:val="39"/>
        <w:keepNext/>
        <w:keepLines/>
        <w:spacing w:before="240" w:after="64" w:line="317" w:lineRule="auto"/>
        <w:outlineLvl w:val="5"/>
        <w:rPr>
          <w:rFonts w:ascii="宋体" w:hAnsi="宋体" w:eastAsia="宋体"/>
          <w:b/>
          <w:color w:val="auto"/>
          <w:sz w:val="24"/>
          <w:szCs w:val="24"/>
          <w:highlight w:val="none"/>
          <w:lang w:eastAsia="zh-CN"/>
        </w:rPr>
      </w:pPr>
      <w:bookmarkStart w:id="220" w:name="_Toc28257"/>
      <w:bookmarkStart w:id="221" w:name="_Toc27796"/>
      <w:r>
        <w:rPr>
          <w:rFonts w:ascii="宋体" w:hAnsi="宋体" w:eastAsia="宋体"/>
          <w:b/>
          <w:color w:val="auto"/>
          <w:sz w:val="24"/>
          <w:szCs w:val="24"/>
          <w:highlight w:val="none"/>
          <w:lang w:eastAsia="zh-CN"/>
        </w:rPr>
        <w:t>2.4协助承包人办理证件和批件</w:t>
      </w:r>
      <w:bookmarkEnd w:id="220"/>
      <w:bookmarkEnd w:id="221"/>
    </w:p>
    <w:p w14:paraId="2322693F">
      <w:pPr>
        <w:pStyle w:val="39"/>
        <w:spacing w:after="240" w:line="363"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发包人应协助承包人办理法律规定的有关施工证件和批件。</w:t>
      </w:r>
    </w:p>
    <w:p w14:paraId="236C9A3A">
      <w:pPr>
        <w:pStyle w:val="39"/>
        <w:keepNext/>
        <w:keepLines/>
        <w:spacing w:before="240" w:after="64" w:line="317" w:lineRule="auto"/>
        <w:outlineLvl w:val="5"/>
        <w:rPr>
          <w:rFonts w:ascii="宋体" w:hAnsi="宋体" w:eastAsia="宋体"/>
          <w:b/>
          <w:color w:val="auto"/>
          <w:sz w:val="24"/>
          <w:szCs w:val="24"/>
          <w:highlight w:val="none"/>
          <w:lang w:eastAsia="zh-CN"/>
        </w:rPr>
      </w:pPr>
      <w:bookmarkStart w:id="222" w:name="_Toc10861"/>
      <w:bookmarkStart w:id="223" w:name="_Toc27159"/>
      <w:r>
        <w:rPr>
          <w:rFonts w:ascii="宋体" w:hAnsi="宋体" w:eastAsia="宋体"/>
          <w:b/>
          <w:color w:val="auto"/>
          <w:sz w:val="24"/>
          <w:szCs w:val="24"/>
          <w:highlight w:val="none"/>
          <w:lang w:eastAsia="zh-CN"/>
        </w:rPr>
        <w:t>2.5组织设计交底</w:t>
      </w:r>
      <w:bookmarkEnd w:id="222"/>
      <w:bookmarkEnd w:id="223"/>
    </w:p>
    <w:p w14:paraId="44D161FF">
      <w:pPr>
        <w:pStyle w:val="39"/>
        <w:spacing w:after="240" w:line="363"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发包人应根据合同进度计划，组织设计单位向承包人进行设计交底。</w:t>
      </w:r>
    </w:p>
    <w:p w14:paraId="49A40735">
      <w:pPr>
        <w:pStyle w:val="39"/>
        <w:keepNext/>
        <w:keepLines/>
        <w:spacing w:before="240" w:after="64" w:line="317" w:lineRule="auto"/>
        <w:outlineLvl w:val="5"/>
        <w:rPr>
          <w:rFonts w:ascii="宋体" w:hAnsi="宋体" w:eastAsia="宋体"/>
          <w:b/>
          <w:color w:val="auto"/>
          <w:sz w:val="24"/>
          <w:szCs w:val="24"/>
          <w:highlight w:val="none"/>
          <w:lang w:eastAsia="zh-CN"/>
        </w:rPr>
      </w:pPr>
      <w:bookmarkStart w:id="224" w:name="_Toc5723"/>
      <w:bookmarkStart w:id="225" w:name="_Toc27732"/>
      <w:r>
        <w:rPr>
          <w:rFonts w:ascii="宋体" w:hAnsi="宋体" w:eastAsia="宋体"/>
          <w:b/>
          <w:color w:val="auto"/>
          <w:sz w:val="24"/>
          <w:szCs w:val="24"/>
          <w:highlight w:val="none"/>
          <w:lang w:eastAsia="zh-CN"/>
        </w:rPr>
        <w:t>2.6支付合同价款</w:t>
      </w:r>
      <w:bookmarkEnd w:id="224"/>
      <w:bookmarkEnd w:id="225"/>
    </w:p>
    <w:p w14:paraId="5B6D87C5">
      <w:pPr>
        <w:pStyle w:val="39"/>
        <w:spacing w:after="240" w:line="363"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发包人应按合同约定向承包人及时支付合同价款。</w:t>
      </w:r>
    </w:p>
    <w:p w14:paraId="53DE1A9D">
      <w:pPr>
        <w:pStyle w:val="39"/>
        <w:keepNext/>
        <w:keepLines/>
        <w:spacing w:before="240" w:after="64" w:line="317" w:lineRule="auto"/>
        <w:outlineLvl w:val="5"/>
        <w:rPr>
          <w:rFonts w:ascii="宋体" w:hAnsi="宋体" w:eastAsia="宋体"/>
          <w:b/>
          <w:color w:val="auto"/>
          <w:sz w:val="28"/>
          <w:szCs w:val="28"/>
          <w:highlight w:val="none"/>
          <w:lang w:eastAsia="zh-CN"/>
        </w:rPr>
      </w:pPr>
      <w:bookmarkStart w:id="226" w:name="_Toc31148"/>
      <w:bookmarkStart w:id="227" w:name="_Toc14617"/>
      <w:r>
        <w:rPr>
          <w:rFonts w:ascii="宋体" w:hAnsi="宋体" w:eastAsia="宋体"/>
          <w:b/>
          <w:color w:val="auto"/>
          <w:sz w:val="24"/>
          <w:szCs w:val="24"/>
          <w:highlight w:val="none"/>
          <w:lang w:eastAsia="zh-CN"/>
        </w:rPr>
        <w:t>2.7组织竣工验收（组织法人验收）</w:t>
      </w:r>
      <w:bookmarkEnd w:id="226"/>
      <w:bookmarkEnd w:id="227"/>
    </w:p>
    <w:p w14:paraId="1C58CAC9">
      <w:pPr>
        <w:pStyle w:val="39"/>
        <w:spacing w:after="120" w:line="360"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发包人应按合同约定及时组织法人验收。</w:t>
      </w:r>
    </w:p>
    <w:p w14:paraId="6CD68BD7">
      <w:pPr>
        <w:pStyle w:val="39"/>
        <w:keepNext/>
        <w:keepLines/>
        <w:spacing w:before="240" w:after="64" w:line="317" w:lineRule="auto"/>
        <w:outlineLvl w:val="5"/>
        <w:rPr>
          <w:rFonts w:ascii="宋体" w:hAnsi="宋体" w:eastAsia="宋体"/>
          <w:b/>
          <w:color w:val="auto"/>
          <w:sz w:val="28"/>
          <w:szCs w:val="28"/>
          <w:highlight w:val="none"/>
          <w:lang w:eastAsia="zh-CN"/>
        </w:rPr>
      </w:pPr>
      <w:bookmarkStart w:id="228" w:name="_Toc22641"/>
      <w:bookmarkStart w:id="229" w:name="_Toc30957"/>
      <w:r>
        <w:rPr>
          <w:rFonts w:ascii="宋体" w:hAnsi="宋体" w:eastAsia="宋体"/>
          <w:b/>
          <w:color w:val="auto"/>
          <w:sz w:val="24"/>
          <w:szCs w:val="24"/>
          <w:highlight w:val="none"/>
          <w:lang w:eastAsia="zh-CN"/>
        </w:rPr>
        <w:t>2.8其它义务</w:t>
      </w:r>
      <w:bookmarkEnd w:id="228"/>
      <w:bookmarkEnd w:id="229"/>
    </w:p>
    <w:p w14:paraId="1D2BA6D2">
      <w:pPr>
        <w:pStyle w:val="39"/>
        <w:spacing w:after="280" w:line="360"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其它义务在专用合同条款中补充约定。</w:t>
      </w:r>
    </w:p>
    <w:p w14:paraId="4D45ACA0">
      <w:pPr>
        <w:pStyle w:val="39"/>
        <w:keepNext/>
        <w:keepLines/>
        <w:spacing w:before="280" w:after="290" w:line="372" w:lineRule="auto"/>
        <w:outlineLvl w:val="4"/>
        <w:rPr>
          <w:b/>
          <w:color w:val="auto"/>
          <w:sz w:val="30"/>
          <w:szCs w:val="30"/>
          <w:highlight w:val="none"/>
          <w:lang w:eastAsia="zh-CN"/>
        </w:rPr>
      </w:pPr>
      <w:bookmarkStart w:id="230" w:name="_Toc10529"/>
      <w:bookmarkStart w:id="231" w:name="_Toc25601"/>
      <w:r>
        <w:rPr>
          <w:b/>
          <w:color w:val="auto"/>
          <w:sz w:val="30"/>
          <w:szCs w:val="30"/>
          <w:highlight w:val="none"/>
          <w:lang w:eastAsia="zh-CN"/>
        </w:rPr>
        <w:t>3.</w:t>
      </w:r>
      <w:r>
        <w:rPr>
          <w:rFonts w:hint="eastAsia" w:ascii="宋体" w:hAnsi="宋体" w:eastAsia="宋体" w:cs="宋体"/>
          <w:b/>
          <w:color w:val="auto"/>
          <w:sz w:val="30"/>
          <w:szCs w:val="30"/>
          <w:highlight w:val="none"/>
          <w:lang w:eastAsia="zh-CN"/>
        </w:rPr>
        <w:t>监理人</w:t>
      </w:r>
      <w:bookmarkEnd w:id="230"/>
      <w:bookmarkEnd w:id="231"/>
    </w:p>
    <w:p w14:paraId="3A8FBAEB">
      <w:pPr>
        <w:pStyle w:val="39"/>
        <w:keepNext/>
        <w:keepLines/>
        <w:spacing w:before="240" w:after="64" w:line="317" w:lineRule="auto"/>
        <w:outlineLvl w:val="5"/>
        <w:rPr>
          <w:rFonts w:ascii="宋体" w:hAnsi="宋体" w:eastAsia="宋体"/>
          <w:b/>
          <w:color w:val="auto"/>
          <w:sz w:val="24"/>
          <w:szCs w:val="24"/>
          <w:highlight w:val="none"/>
          <w:lang w:eastAsia="zh-CN"/>
        </w:rPr>
      </w:pPr>
      <w:bookmarkStart w:id="232" w:name="_Toc6809"/>
      <w:bookmarkStart w:id="233" w:name="_Toc3117"/>
      <w:r>
        <w:rPr>
          <w:rFonts w:ascii="宋体" w:hAnsi="宋体" w:eastAsia="宋体"/>
          <w:b/>
          <w:color w:val="auto"/>
          <w:sz w:val="24"/>
          <w:szCs w:val="24"/>
          <w:highlight w:val="none"/>
          <w:lang w:eastAsia="zh-CN"/>
        </w:rPr>
        <w:t>3.1监理人的职责和权利</w:t>
      </w:r>
      <w:bookmarkEnd w:id="232"/>
      <w:bookmarkEnd w:id="233"/>
    </w:p>
    <w:p w14:paraId="6E0D7065">
      <w:pPr>
        <w:pStyle w:val="39"/>
        <w:spacing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3.1.1</w:t>
      </w:r>
      <w:r>
        <w:rPr>
          <w:rFonts w:ascii="宋体" w:hAnsi="宋体" w:eastAsia="宋体" w:cs="宋体"/>
          <w:color w:val="auto"/>
          <w:sz w:val="20"/>
          <w:szCs w:val="20"/>
          <w:highlight w:val="none"/>
          <w:lang w:val="zh-CN" w:eastAsia="zh-CN" w:bidi="zh-CN"/>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条的约定增加相应的费用，并通知承包人。</w:t>
      </w:r>
    </w:p>
    <w:p w14:paraId="4D087E52">
      <w:pPr>
        <w:pStyle w:val="39"/>
        <w:spacing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3.1.2</w:t>
      </w:r>
      <w:r>
        <w:rPr>
          <w:rFonts w:ascii="宋体" w:hAnsi="宋体" w:eastAsia="宋体" w:cs="宋体"/>
          <w:color w:val="auto"/>
          <w:sz w:val="20"/>
          <w:szCs w:val="20"/>
          <w:highlight w:val="none"/>
          <w:lang w:val="zh-CN" w:eastAsia="zh-CN" w:bidi="zh-CN"/>
        </w:rPr>
        <w:t>监理人发出的任何指示应视为已得到发包人的批准，但监理人无权免除或变更合同约定的发包人和承包人的权利、义务和责任。</w:t>
      </w:r>
    </w:p>
    <w:p w14:paraId="3FD0CDF8">
      <w:pPr>
        <w:pStyle w:val="39"/>
        <w:spacing w:after="120"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3.1.3</w:t>
      </w:r>
      <w:r>
        <w:rPr>
          <w:rFonts w:ascii="宋体" w:hAnsi="宋体" w:eastAsia="宋体" w:cs="宋体"/>
          <w:color w:val="auto"/>
          <w:sz w:val="20"/>
          <w:szCs w:val="20"/>
          <w:highlight w:val="none"/>
          <w:lang w:val="zh-CN" w:eastAsia="zh-CN" w:bidi="zh-CN"/>
        </w:rPr>
        <w:t>合同约定应由承包人承担的义务和责任，不因监理人对承包人提交文件的审查或批准，对工程、材料和设备的检查和检验，以及为实施监理作出的指示等职务行为而减轻或解除。</w:t>
      </w:r>
    </w:p>
    <w:p w14:paraId="4259B05C">
      <w:pPr>
        <w:pStyle w:val="39"/>
        <w:keepNext/>
        <w:keepLines/>
        <w:spacing w:before="240" w:after="64" w:line="317" w:lineRule="auto"/>
        <w:outlineLvl w:val="5"/>
        <w:rPr>
          <w:rFonts w:ascii="宋体" w:hAnsi="宋体" w:eastAsia="宋体"/>
          <w:b/>
          <w:color w:val="auto"/>
          <w:sz w:val="24"/>
          <w:szCs w:val="24"/>
          <w:highlight w:val="none"/>
          <w:lang w:eastAsia="zh-CN"/>
        </w:rPr>
      </w:pPr>
      <w:bookmarkStart w:id="234" w:name="_Toc11171"/>
      <w:bookmarkStart w:id="235" w:name="_Toc3211"/>
      <w:r>
        <w:rPr>
          <w:rFonts w:ascii="宋体" w:hAnsi="宋体" w:eastAsia="宋体"/>
          <w:b/>
          <w:color w:val="auto"/>
          <w:sz w:val="24"/>
          <w:szCs w:val="24"/>
          <w:highlight w:val="none"/>
          <w:lang w:eastAsia="zh-CN"/>
        </w:rPr>
        <w:t>3.2总监理工程师</w:t>
      </w:r>
      <w:bookmarkEnd w:id="234"/>
      <w:bookmarkEnd w:id="235"/>
    </w:p>
    <w:p w14:paraId="15F4962B">
      <w:pPr>
        <w:pStyle w:val="39"/>
        <w:spacing w:after="120" w:line="354"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发包人应在发出开工通知前将总监理工程师的任命通知承包人。总监理工程师更换时, 应在调离</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天前通知承包人。总监理工程师短期离开施工场地的，应委派代表代行其职 责，并通知承包人。</w:t>
      </w:r>
    </w:p>
    <w:p w14:paraId="338C881F">
      <w:pPr>
        <w:pStyle w:val="39"/>
        <w:keepNext/>
        <w:keepLines/>
        <w:spacing w:before="240" w:after="64" w:line="317" w:lineRule="auto"/>
        <w:outlineLvl w:val="5"/>
        <w:rPr>
          <w:rFonts w:ascii="宋体" w:hAnsi="宋体" w:eastAsia="宋体"/>
          <w:b/>
          <w:color w:val="auto"/>
          <w:sz w:val="24"/>
          <w:szCs w:val="24"/>
          <w:highlight w:val="none"/>
          <w:lang w:eastAsia="zh-CN"/>
        </w:rPr>
      </w:pPr>
      <w:bookmarkStart w:id="236" w:name="_Toc20696"/>
      <w:bookmarkStart w:id="237" w:name="_Toc18627"/>
      <w:r>
        <w:rPr>
          <w:rFonts w:ascii="宋体" w:hAnsi="宋体" w:eastAsia="宋体"/>
          <w:b/>
          <w:color w:val="auto"/>
          <w:sz w:val="24"/>
          <w:szCs w:val="24"/>
          <w:highlight w:val="none"/>
          <w:lang w:eastAsia="zh-CN"/>
        </w:rPr>
        <w:t>3.3监理人员</w:t>
      </w:r>
      <w:bookmarkEnd w:id="236"/>
      <w:bookmarkEnd w:id="237"/>
    </w:p>
    <w:p w14:paraId="49E4DCB9">
      <w:pPr>
        <w:pStyle w:val="39"/>
        <w:spacing w:line="361"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3.3. 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E30E637">
      <w:pPr>
        <w:pStyle w:val="39"/>
        <w:spacing w:line="361"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3.3.2</w:t>
      </w:r>
      <w:r>
        <w:rPr>
          <w:rFonts w:ascii="宋体" w:hAnsi="宋体" w:eastAsia="宋体" w:cs="宋体"/>
          <w:color w:val="auto"/>
          <w:sz w:val="20"/>
          <w:szCs w:val="20"/>
          <w:highlight w:val="none"/>
          <w:lang w:val="zh-CN" w:eastAsia="zh-CN" w:bidi="zh-CN"/>
        </w:rPr>
        <w:t>监理人员对承包人的任何工作、工程或其采用的材料和工程设备未在约定的或合理的期限内提出否定意见的，视为已获批准，但不影响监理人在以后拒绝该项工作、工程、材料或工程设备的权利。</w:t>
      </w:r>
    </w:p>
    <w:p w14:paraId="514E956A">
      <w:pPr>
        <w:pStyle w:val="39"/>
        <w:spacing w:line="361"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3.3.3</w:t>
      </w:r>
      <w:r>
        <w:rPr>
          <w:rFonts w:ascii="宋体" w:hAnsi="宋体" w:eastAsia="宋体" w:cs="宋体"/>
          <w:color w:val="auto"/>
          <w:sz w:val="20"/>
          <w:szCs w:val="20"/>
          <w:highlight w:val="none"/>
          <w:lang w:val="zh-CN" w:eastAsia="zh-CN" w:bidi="zh-CN"/>
        </w:rPr>
        <w:t>承包人对总监理工程师授权的监理人员发出的指示有疑问的，可向总监理工程师提出书面异议，总监理工程师应在</w:t>
      </w:r>
      <w:r>
        <w:rPr>
          <w:color w:val="auto"/>
          <w:sz w:val="20"/>
          <w:szCs w:val="20"/>
          <w:highlight w:val="none"/>
          <w:lang w:val="zh-CN" w:eastAsia="zh-CN" w:bidi="zh-CN"/>
        </w:rPr>
        <w:t>48</w:t>
      </w:r>
      <w:r>
        <w:rPr>
          <w:rFonts w:ascii="宋体" w:hAnsi="宋体" w:eastAsia="宋体" w:cs="宋体"/>
          <w:color w:val="auto"/>
          <w:sz w:val="20"/>
          <w:szCs w:val="20"/>
          <w:highlight w:val="none"/>
          <w:lang w:val="zh-CN" w:eastAsia="zh-CN" w:bidi="zh-CN"/>
        </w:rPr>
        <w:t>小时内对该指示予以确认、更改或撤销。</w:t>
      </w:r>
    </w:p>
    <w:p w14:paraId="4011C736">
      <w:pPr>
        <w:pStyle w:val="39"/>
        <w:spacing w:after="240" w:line="361"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3.3.4除专用合同条款另有约定外，总监理工程师不应将第3. 5款约定应由总监理工程师作出确定的权力授权或委托给其他监理人员。</w:t>
      </w:r>
    </w:p>
    <w:p w14:paraId="399B51B4">
      <w:pPr>
        <w:pStyle w:val="39"/>
        <w:keepNext/>
        <w:keepLines/>
        <w:spacing w:before="240" w:after="64" w:line="317" w:lineRule="auto"/>
        <w:outlineLvl w:val="5"/>
        <w:rPr>
          <w:rFonts w:ascii="宋体" w:hAnsi="宋体" w:eastAsia="宋体"/>
          <w:b/>
          <w:color w:val="auto"/>
          <w:sz w:val="28"/>
          <w:szCs w:val="28"/>
          <w:highlight w:val="none"/>
          <w:lang w:eastAsia="zh-CN"/>
        </w:rPr>
      </w:pPr>
      <w:bookmarkStart w:id="238" w:name="_Toc29837"/>
      <w:bookmarkStart w:id="239" w:name="_Toc11767"/>
      <w:r>
        <w:rPr>
          <w:rFonts w:ascii="宋体" w:hAnsi="宋体" w:eastAsia="宋体"/>
          <w:b/>
          <w:color w:val="auto"/>
          <w:sz w:val="24"/>
          <w:szCs w:val="24"/>
          <w:highlight w:val="none"/>
          <w:lang w:eastAsia="zh-CN"/>
        </w:rPr>
        <w:t>3.4监理人的指示</w:t>
      </w:r>
      <w:bookmarkEnd w:id="238"/>
      <w:bookmarkEnd w:id="239"/>
    </w:p>
    <w:p w14:paraId="7F909C99">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3.4.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监理人应按第</w:t>
      </w:r>
      <w:r>
        <w:rPr>
          <w:color w:val="auto"/>
          <w:sz w:val="20"/>
          <w:szCs w:val="20"/>
          <w:highlight w:val="none"/>
          <w:lang w:eastAsia="zh-CN"/>
        </w:rPr>
        <w:t xml:space="preserve">3.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款的约定向承包人发出指示，监理人的指示应盖有监理人授权的施工场地机构章，并由总监理工程师或总监理工程师按第</w:t>
      </w:r>
      <w:r>
        <w:rPr>
          <w:color w:val="auto"/>
          <w:sz w:val="20"/>
          <w:szCs w:val="20"/>
          <w:highlight w:val="none"/>
          <w:lang w:eastAsia="zh-CN"/>
        </w:rPr>
        <w:t xml:space="preserve">3. 3.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项约定授权的监理人员签字</w:t>
      </w:r>
      <w:r>
        <w:rPr>
          <w:rFonts w:ascii="宋体" w:hAnsi="宋体" w:eastAsia="宋体" w:cs="宋体"/>
          <w:color w:val="auto"/>
          <w:sz w:val="20"/>
          <w:szCs w:val="20"/>
          <w:highlight w:val="none"/>
          <w:lang w:eastAsia="zh-CN"/>
        </w:rPr>
        <w:t>。</w:t>
      </w:r>
    </w:p>
    <w:p w14:paraId="02E4858C">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3.4.2</w:t>
      </w:r>
      <w:r>
        <w:rPr>
          <w:rFonts w:ascii="宋体" w:hAnsi="宋体" w:eastAsia="宋体" w:cs="宋体"/>
          <w:color w:val="auto"/>
          <w:sz w:val="20"/>
          <w:szCs w:val="20"/>
          <w:highlight w:val="none"/>
          <w:lang w:val="zh-CN" w:eastAsia="zh-CN" w:bidi="zh-CN"/>
        </w:rPr>
        <w:t>承包人收到监理人按第</w:t>
      </w:r>
      <w:r>
        <w:rPr>
          <w:color w:val="auto"/>
          <w:sz w:val="20"/>
          <w:szCs w:val="20"/>
          <w:highlight w:val="none"/>
          <w:lang w:eastAsia="zh-CN"/>
        </w:rPr>
        <w:t>3. 4.1</w:t>
      </w:r>
      <w:r>
        <w:rPr>
          <w:rFonts w:ascii="宋体" w:hAnsi="宋体" w:eastAsia="宋体" w:cs="宋体"/>
          <w:color w:val="auto"/>
          <w:sz w:val="20"/>
          <w:szCs w:val="20"/>
          <w:highlight w:val="none"/>
          <w:lang w:val="zh-CN" w:eastAsia="zh-CN" w:bidi="zh-CN"/>
        </w:rPr>
        <w:t>项作出的指示后应遵照执行。指示构成变更的，应按第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条处理。</w:t>
      </w:r>
    </w:p>
    <w:p w14:paraId="1CABA6D0">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3.4.3</w:t>
      </w:r>
      <w:r>
        <w:rPr>
          <w:rFonts w:ascii="宋体" w:hAnsi="宋体" w:eastAsia="宋体" w:cs="宋体"/>
          <w:color w:val="auto"/>
          <w:sz w:val="20"/>
          <w:szCs w:val="20"/>
          <w:highlight w:val="none"/>
          <w:lang w:val="zh-CN" w:eastAsia="zh-CN" w:bidi="zh-CN"/>
        </w:rPr>
        <w:t>在紧急情况下，总监理工程师或被授权的监理人员可以当场签发临时书面指示，承包人应遵照执行。承包人应在收到上述临时书面指示后</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小时内，向监理人发出书 面确认函。监理人在收到书面确认函后</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小时内未予答复的，该书面确认函应被视为监理人的正式指示。</w:t>
      </w:r>
    </w:p>
    <w:p w14:paraId="05131F0D">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3.4.4</w:t>
      </w:r>
      <w:r>
        <w:rPr>
          <w:rFonts w:ascii="宋体" w:hAnsi="宋体" w:eastAsia="宋体" w:cs="宋体"/>
          <w:color w:val="auto"/>
          <w:sz w:val="20"/>
          <w:szCs w:val="20"/>
          <w:highlight w:val="none"/>
          <w:lang w:val="zh-CN" w:eastAsia="zh-CN" w:bidi="zh-CN"/>
        </w:rPr>
        <w:t>除合同另有约定外，承包人只从总监理工程师或按第</w:t>
      </w:r>
      <w:r>
        <w:rPr>
          <w:color w:val="auto"/>
          <w:sz w:val="20"/>
          <w:szCs w:val="20"/>
          <w:highlight w:val="none"/>
          <w:lang w:eastAsia="zh-CN"/>
        </w:rPr>
        <w:t xml:space="preserve">3. 3.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项被授权的监理人员处取得指示。</w:t>
      </w:r>
    </w:p>
    <w:p w14:paraId="3C249959">
      <w:pPr>
        <w:pStyle w:val="39"/>
        <w:spacing w:after="120"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3.4.5</w:t>
      </w:r>
      <w:r>
        <w:rPr>
          <w:rFonts w:ascii="宋体" w:hAnsi="宋体" w:eastAsia="宋体" w:cs="宋体"/>
          <w:color w:val="auto"/>
          <w:sz w:val="20"/>
          <w:szCs w:val="20"/>
          <w:highlight w:val="none"/>
          <w:lang w:val="zh-CN" w:eastAsia="zh-CN" w:bidi="zh-CN"/>
        </w:rPr>
        <w:t>由于监理人未能按合同约定发出指示、指示延误或指示错误而导致承包人费用增加和（或）工期延误的，由发包人承担赔偿责任。</w:t>
      </w:r>
    </w:p>
    <w:p w14:paraId="37132A31">
      <w:pPr>
        <w:pStyle w:val="39"/>
        <w:keepNext/>
        <w:keepLines/>
        <w:spacing w:before="240" w:after="64" w:line="317" w:lineRule="auto"/>
        <w:outlineLvl w:val="5"/>
        <w:rPr>
          <w:rFonts w:ascii="宋体" w:hAnsi="宋体" w:eastAsia="宋体"/>
          <w:b/>
          <w:color w:val="auto"/>
          <w:sz w:val="24"/>
          <w:szCs w:val="24"/>
          <w:highlight w:val="none"/>
          <w:lang w:eastAsia="zh-CN"/>
        </w:rPr>
      </w:pPr>
      <w:bookmarkStart w:id="240" w:name="_Toc18079"/>
      <w:bookmarkStart w:id="241" w:name="_Toc28473"/>
      <w:r>
        <w:rPr>
          <w:rFonts w:ascii="宋体" w:hAnsi="宋体" w:eastAsia="宋体"/>
          <w:b/>
          <w:color w:val="auto"/>
          <w:sz w:val="24"/>
          <w:szCs w:val="24"/>
          <w:highlight w:val="none"/>
          <w:lang w:eastAsia="zh-CN"/>
        </w:rPr>
        <w:t>3.5商定或确定</w:t>
      </w:r>
      <w:bookmarkEnd w:id="240"/>
      <w:bookmarkEnd w:id="241"/>
    </w:p>
    <w:p w14:paraId="30281FE2">
      <w:pPr>
        <w:pStyle w:val="39"/>
        <w:spacing w:line="368"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3.5.1</w:t>
      </w:r>
      <w:r>
        <w:rPr>
          <w:rFonts w:ascii="宋体" w:hAnsi="宋体" w:eastAsia="宋体" w:cs="宋体"/>
          <w:color w:val="auto"/>
          <w:sz w:val="20"/>
          <w:szCs w:val="20"/>
          <w:highlight w:val="none"/>
          <w:lang w:val="zh-CN" w:eastAsia="zh-CN" w:bidi="zh-CN"/>
        </w:rPr>
        <w:t>合同约定总监理工程师应按照本款对任何事项进行商定或确定时，总监理工程师应与合同当事人协商，尽量达成一致。不能达成一致的，总监理工程师应认真研究后审慎确定。</w:t>
      </w:r>
    </w:p>
    <w:p w14:paraId="433CFA27">
      <w:pPr>
        <w:pStyle w:val="39"/>
        <w:spacing w:after="280"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3.5.2</w:t>
      </w:r>
      <w:r>
        <w:rPr>
          <w:rFonts w:ascii="宋体" w:hAnsi="宋体" w:eastAsia="宋体" w:cs="宋体"/>
          <w:color w:val="auto"/>
          <w:sz w:val="20"/>
          <w:szCs w:val="20"/>
          <w:highlight w:val="none"/>
          <w:lang w:val="zh-CN" w:eastAsia="zh-CN" w:bidi="zh-CN"/>
        </w:rPr>
        <w:t>总监理工程师应将商定或确定的事项通知合同当事人，并附详细依据。对总监理工程师的确定有异议的，构成争议，按照第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条的约定处理。在争议解决前，双方应暂按总监理工程师的确定执行，按照第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条的约定对总监理工程师的确定作出修改的，按修 改后的结果执行</w:t>
      </w:r>
      <w:r>
        <w:rPr>
          <w:rFonts w:ascii="宋体" w:hAnsi="宋体" w:eastAsia="宋体" w:cs="宋体"/>
          <w:color w:val="auto"/>
          <w:sz w:val="20"/>
          <w:szCs w:val="20"/>
          <w:highlight w:val="none"/>
          <w:lang w:eastAsia="zh-CN"/>
        </w:rPr>
        <w:t>。</w:t>
      </w:r>
    </w:p>
    <w:p w14:paraId="6271A93D">
      <w:pPr>
        <w:pStyle w:val="39"/>
        <w:keepNext/>
        <w:keepLines/>
        <w:spacing w:before="280" w:after="290" w:line="372" w:lineRule="auto"/>
        <w:outlineLvl w:val="4"/>
        <w:rPr>
          <w:b/>
          <w:color w:val="auto"/>
          <w:sz w:val="30"/>
          <w:szCs w:val="30"/>
          <w:highlight w:val="none"/>
          <w:lang w:eastAsia="zh-CN"/>
        </w:rPr>
      </w:pPr>
      <w:bookmarkStart w:id="242" w:name="_Toc29515"/>
      <w:bookmarkStart w:id="243" w:name="_Toc23944"/>
      <w:r>
        <w:rPr>
          <w:b/>
          <w:color w:val="auto"/>
          <w:sz w:val="30"/>
          <w:szCs w:val="30"/>
          <w:highlight w:val="none"/>
          <w:lang w:eastAsia="zh-CN"/>
        </w:rPr>
        <w:t>4.</w:t>
      </w:r>
      <w:r>
        <w:rPr>
          <w:rFonts w:hint="eastAsia" w:ascii="宋体" w:hAnsi="宋体" w:eastAsia="宋体" w:cs="宋体"/>
          <w:b/>
          <w:color w:val="auto"/>
          <w:sz w:val="30"/>
          <w:szCs w:val="30"/>
          <w:highlight w:val="none"/>
          <w:lang w:eastAsia="zh-CN"/>
        </w:rPr>
        <w:t>承包人</w:t>
      </w:r>
      <w:bookmarkEnd w:id="242"/>
      <w:bookmarkEnd w:id="243"/>
    </w:p>
    <w:p w14:paraId="3B6BC02B">
      <w:pPr>
        <w:pStyle w:val="39"/>
        <w:keepNext/>
        <w:keepLines/>
        <w:spacing w:before="240" w:after="64" w:line="317" w:lineRule="auto"/>
        <w:outlineLvl w:val="5"/>
        <w:rPr>
          <w:rFonts w:ascii="宋体" w:hAnsi="宋体" w:eastAsia="宋体"/>
          <w:b/>
          <w:bCs/>
          <w:color w:val="auto"/>
          <w:sz w:val="28"/>
          <w:szCs w:val="28"/>
          <w:highlight w:val="none"/>
          <w:lang w:eastAsia="zh-CN"/>
        </w:rPr>
      </w:pPr>
      <w:bookmarkStart w:id="244" w:name="_Toc23310"/>
      <w:bookmarkStart w:id="245" w:name="_Toc2186"/>
      <w:r>
        <w:rPr>
          <w:rFonts w:ascii="宋体" w:hAnsi="宋体" w:eastAsia="宋体"/>
          <w:b/>
          <w:bCs/>
          <w:color w:val="auto"/>
          <w:sz w:val="24"/>
          <w:szCs w:val="24"/>
          <w:highlight w:val="none"/>
          <w:lang w:eastAsia="zh-CN"/>
        </w:rPr>
        <w:t>4.1承包人的一般义务</w:t>
      </w:r>
      <w:bookmarkEnd w:id="244"/>
      <w:bookmarkEnd w:id="245"/>
    </w:p>
    <w:p w14:paraId="05B4005A">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4.1.1</w:t>
      </w:r>
      <w:r>
        <w:rPr>
          <w:rFonts w:ascii="宋体" w:hAnsi="宋体" w:eastAsia="宋体" w:cs="宋体"/>
          <w:color w:val="auto"/>
          <w:sz w:val="20"/>
          <w:szCs w:val="20"/>
          <w:highlight w:val="none"/>
          <w:lang w:val="zh-CN" w:eastAsia="zh-CN" w:bidi="zh-CN"/>
        </w:rPr>
        <w:t>遵守法律</w:t>
      </w:r>
    </w:p>
    <w:p w14:paraId="3B50C9D2">
      <w:pPr>
        <w:pStyle w:val="39"/>
        <w:spacing w:after="120" w:line="35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承包人在履行合同过程中应遵守法律，并保证发包人免于承担因承包人违反法律而引起的任何责任。</w:t>
      </w:r>
    </w:p>
    <w:p w14:paraId="224DF4A5">
      <w:pPr>
        <w:pStyle w:val="39"/>
        <w:tabs>
          <w:tab w:val="left" w:pos="759"/>
        </w:tabs>
        <w:spacing w:line="360" w:lineRule="auto"/>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4.1.2</w:t>
      </w:r>
      <w:r>
        <w:rPr>
          <w:rFonts w:ascii="宋体" w:hAnsi="宋体" w:eastAsia="宋体" w:cs="宋体"/>
          <w:color w:val="auto"/>
          <w:sz w:val="20"/>
          <w:szCs w:val="20"/>
          <w:highlight w:val="none"/>
          <w:lang w:val="zh-CN" w:eastAsia="zh-CN" w:bidi="zh-CN"/>
        </w:rPr>
        <w:t>依法纳税</w:t>
      </w:r>
    </w:p>
    <w:p w14:paraId="13E6C8E4">
      <w:pPr>
        <w:pStyle w:val="39"/>
        <w:spacing w:line="36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承包人应按有关法律规定纳税，应缴纳的税金包括在合同价格内。</w:t>
      </w:r>
    </w:p>
    <w:p w14:paraId="415E7B20">
      <w:pPr>
        <w:pStyle w:val="39"/>
        <w:spacing w:line="36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4.1.3</w:t>
      </w:r>
      <w:r>
        <w:rPr>
          <w:rFonts w:ascii="宋体" w:hAnsi="宋体" w:eastAsia="宋体" w:cs="宋体"/>
          <w:color w:val="auto"/>
          <w:sz w:val="20"/>
          <w:szCs w:val="20"/>
          <w:highlight w:val="none"/>
          <w:lang w:val="zh-CN" w:eastAsia="zh-CN" w:bidi="zh-CN"/>
        </w:rPr>
        <w:t>完成各项承包工作</w:t>
      </w:r>
    </w:p>
    <w:p w14:paraId="00020560">
      <w:pPr>
        <w:pStyle w:val="39"/>
        <w:spacing w:line="366"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承包人应按合同约定以及监理人根据第</w:t>
      </w:r>
      <w:r>
        <w:rPr>
          <w:color w:val="auto"/>
          <w:sz w:val="20"/>
          <w:szCs w:val="20"/>
          <w:highlight w:val="none"/>
          <w:lang w:eastAsia="zh-CN"/>
        </w:rPr>
        <w:t>3.4</w:t>
      </w:r>
      <w:r>
        <w:rPr>
          <w:rFonts w:ascii="宋体" w:hAnsi="宋体" w:eastAsia="宋体" w:cs="宋体"/>
          <w:color w:val="auto"/>
          <w:sz w:val="20"/>
          <w:szCs w:val="20"/>
          <w:highlight w:val="none"/>
          <w:lang w:val="zh-CN" w:eastAsia="zh-CN" w:bidi="zh-CN"/>
        </w:rPr>
        <w:t>款作出的指示，实施、完成全部工程，并修补工程中的任何缺陷。除第</w:t>
      </w:r>
      <w:r>
        <w:rPr>
          <w:color w:val="auto"/>
          <w:sz w:val="20"/>
          <w:szCs w:val="20"/>
          <w:highlight w:val="none"/>
          <w:lang w:eastAsia="zh-CN"/>
        </w:rPr>
        <w:t xml:space="preserve">5.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款、第</w:t>
      </w:r>
      <w:r>
        <w:rPr>
          <w:color w:val="auto"/>
          <w:sz w:val="20"/>
          <w:szCs w:val="20"/>
          <w:highlight w:val="none"/>
          <w:lang w:eastAsia="zh-CN"/>
        </w:rPr>
        <w:t xml:space="preserve">6.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款另有约定外，承包人应提供为完成合同工作所需的劳务、材料、施工设备、工程设备和其它物品，并按合同约定负责临时设施的设计、建造、运行、维护、管理和拆除。</w:t>
      </w:r>
    </w:p>
    <w:p w14:paraId="751EAC4C">
      <w:pPr>
        <w:pStyle w:val="39"/>
        <w:spacing w:line="360"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4.1.4</w:t>
      </w:r>
      <w:r>
        <w:rPr>
          <w:rFonts w:ascii="宋体" w:hAnsi="宋体" w:eastAsia="宋体" w:cs="宋体"/>
          <w:color w:val="auto"/>
          <w:sz w:val="20"/>
          <w:szCs w:val="20"/>
          <w:highlight w:val="none"/>
          <w:lang w:val="zh-CN" w:eastAsia="zh-CN" w:bidi="zh-CN"/>
        </w:rPr>
        <w:t>对施工作业和施工方法的完备性负责</w:t>
      </w:r>
    </w:p>
    <w:p w14:paraId="3DF6A0BA">
      <w:pPr>
        <w:pStyle w:val="39"/>
        <w:spacing w:line="36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承包人应按合同约定的工作内容和施工进度要求，编制施工组织设计和施工措施计划，并对所有施工作业和施工方法的完备性和安全可靠性负责。</w:t>
      </w:r>
    </w:p>
    <w:p w14:paraId="6557D85A">
      <w:pPr>
        <w:pStyle w:val="39"/>
        <w:spacing w:line="363"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4.1.5</w:t>
      </w:r>
      <w:r>
        <w:rPr>
          <w:rFonts w:ascii="宋体" w:hAnsi="宋体" w:eastAsia="宋体" w:cs="宋体"/>
          <w:color w:val="auto"/>
          <w:sz w:val="20"/>
          <w:szCs w:val="20"/>
          <w:highlight w:val="none"/>
          <w:lang w:val="zh-CN" w:eastAsia="zh-CN" w:bidi="zh-CN"/>
        </w:rPr>
        <w:t>保证工程施工和人员的安全</w:t>
      </w:r>
    </w:p>
    <w:p w14:paraId="1673693F">
      <w:pPr>
        <w:pStyle w:val="39"/>
        <w:spacing w:line="382"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承包人应按第</w:t>
      </w:r>
      <w:r>
        <w:rPr>
          <w:color w:val="auto"/>
          <w:sz w:val="20"/>
          <w:szCs w:val="20"/>
          <w:highlight w:val="none"/>
          <w:lang w:eastAsia="zh-CN"/>
        </w:rPr>
        <w:t xml:space="preserve">9.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款约定采取施工安全措施，确保工程及其人员、材料、设备和设施的安全，防止因工程施工造成的人身伤害和财产损失。</w:t>
      </w:r>
    </w:p>
    <w:p w14:paraId="150B4AA0">
      <w:pPr>
        <w:pStyle w:val="39"/>
        <w:tabs>
          <w:tab w:val="left" w:pos="759"/>
        </w:tabs>
        <w:spacing w:after="60" w:line="363"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4.1.6</w:t>
      </w:r>
      <w:r>
        <w:rPr>
          <w:rFonts w:ascii="宋体" w:hAnsi="宋体" w:eastAsia="宋体" w:cs="宋体"/>
          <w:color w:val="auto"/>
          <w:sz w:val="20"/>
          <w:szCs w:val="20"/>
          <w:highlight w:val="none"/>
          <w:lang w:val="zh-CN" w:eastAsia="zh-CN" w:bidi="zh-CN"/>
        </w:rPr>
        <w:t>负责施工场地及其周边环境与生态的保护工作</w:t>
      </w:r>
    </w:p>
    <w:p w14:paraId="01E3FCBF">
      <w:pPr>
        <w:pStyle w:val="39"/>
        <w:spacing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承包人应按照第</w:t>
      </w:r>
      <w:r>
        <w:rPr>
          <w:color w:val="auto"/>
          <w:sz w:val="20"/>
          <w:szCs w:val="20"/>
          <w:highlight w:val="none"/>
          <w:lang w:eastAsia="zh-CN"/>
        </w:rPr>
        <w:t>9.4</w:t>
      </w:r>
      <w:r>
        <w:rPr>
          <w:rFonts w:ascii="宋体" w:hAnsi="宋体" w:eastAsia="宋体" w:cs="宋体"/>
          <w:color w:val="auto"/>
          <w:sz w:val="20"/>
          <w:szCs w:val="20"/>
          <w:highlight w:val="none"/>
          <w:lang w:val="zh-CN" w:eastAsia="zh-CN" w:bidi="zh-CN"/>
        </w:rPr>
        <w:t>款约定负责施工场地及其周边环境与生态的保护工作。</w:t>
      </w:r>
    </w:p>
    <w:p w14:paraId="4229723F">
      <w:pPr>
        <w:pStyle w:val="39"/>
        <w:spacing w:line="35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4. 1. </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避免施工对公众与他人的利益造成损害</w:t>
      </w:r>
    </w:p>
    <w:p w14:paraId="6D3E5280">
      <w:pPr>
        <w:pStyle w:val="39"/>
        <w:spacing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14:paraId="3D378750">
      <w:pPr>
        <w:pStyle w:val="39"/>
        <w:spacing w:line="35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4. 1.8</w:t>
      </w:r>
      <w:r>
        <w:rPr>
          <w:rFonts w:ascii="宋体" w:hAnsi="宋体" w:eastAsia="宋体" w:cs="宋体"/>
          <w:color w:val="auto"/>
          <w:sz w:val="20"/>
          <w:szCs w:val="20"/>
          <w:highlight w:val="none"/>
          <w:lang w:val="zh-CN" w:eastAsia="zh-CN" w:bidi="zh-CN"/>
        </w:rPr>
        <w:t>为他人提供方便</w:t>
      </w:r>
    </w:p>
    <w:p w14:paraId="139DAB55">
      <w:pPr>
        <w:pStyle w:val="39"/>
        <w:spacing w:line="341"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承包人应按监理人的指示为他人在施工场地或附近实施与工程有关的其他各项工作提供可能的条件。除合同另有约定外，提供有关条件的内容和可能发生的费用，由监理人按 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w:t>
      </w:r>
    </w:p>
    <w:p w14:paraId="05DA731F">
      <w:pPr>
        <w:pStyle w:val="39"/>
        <w:spacing w:line="341"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4.1.9</w:t>
      </w:r>
      <w:r>
        <w:rPr>
          <w:rFonts w:ascii="宋体" w:hAnsi="宋体" w:eastAsia="宋体" w:cs="宋体"/>
          <w:color w:val="auto"/>
          <w:sz w:val="20"/>
          <w:szCs w:val="20"/>
          <w:highlight w:val="none"/>
          <w:lang w:val="zh-CN" w:eastAsia="zh-CN" w:bidi="zh-CN"/>
        </w:rPr>
        <w:t>工程的维护和照管</w:t>
      </w:r>
    </w:p>
    <w:p w14:paraId="0BABDE12">
      <w:pPr>
        <w:pStyle w:val="39"/>
        <w:spacing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8BEB8B2">
      <w:pPr>
        <w:pStyle w:val="39"/>
        <w:spacing w:line="355" w:lineRule="exact"/>
        <w:ind w:firstLine="420"/>
        <w:jc w:val="both"/>
        <w:rPr>
          <w:color w:val="auto"/>
          <w:sz w:val="20"/>
          <w:szCs w:val="20"/>
          <w:highlight w:val="none"/>
          <w:lang w:eastAsia="zh-CN"/>
        </w:rPr>
      </w:pPr>
      <w:r>
        <w:rPr>
          <w:color w:val="auto"/>
          <w:sz w:val="20"/>
          <w:szCs w:val="20"/>
          <w:highlight w:val="none"/>
          <w:lang w:eastAsia="zh-CN"/>
        </w:rPr>
        <w:t xml:space="preserve">4. 1. </w:t>
      </w:r>
      <w:r>
        <w:rPr>
          <w:color w:val="auto"/>
          <w:sz w:val="20"/>
          <w:szCs w:val="20"/>
          <w:highlight w:val="none"/>
          <w:lang w:val="zh-CN" w:eastAsia="zh-CN" w:bidi="zh-CN"/>
        </w:rPr>
        <w:t>10</w:t>
      </w:r>
      <w:r>
        <w:rPr>
          <w:rFonts w:ascii="宋体" w:hAnsi="宋体" w:eastAsia="宋体" w:cs="宋体"/>
          <w:color w:val="auto"/>
          <w:sz w:val="20"/>
          <w:szCs w:val="20"/>
          <w:highlight w:val="none"/>
          <w:lang w:val="zh-CN" w:eastAsia="zh-CN" w:bidi="zh-CN"/>
        </w:rPr>
        <w:t>其它义务</w:t>
      </w:r>
    </w:p>
    <w:p w14:paraId="49E40CF1">
      <w:pPr>
        <w:pStyle w:val="39"/>
        <w:spacing w:after="120" w:line="36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其它义务在专用合同条款中补充约定。</w:t>
      </w:r>
    </w:p>
    <w:p w14:paraId="6C4FF4A6">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46" w:name="_Toc16674"/>
      <w:bookmarkStart w:id="247" w:name="_Toc5918"/>
      <w:r>
        <w:rPr>
          <w:rFonts w:ascii="宋体" w:hAnsi="宋体" w:eastAsia="宋体"/>
          <w:b/>
          <w:bCs/>
          <w:color w:val="auto"/>
          <w:sz w:val="24"/>
          <w:szCs w:val="24"/>
          <w:highlight w:val="none"/>
          <w:lang w:eastAsia="zh-CN"/>
        </w:rPr>
        <w:t>4.2履约担保</w:t>
      </w:r>
      <w:bookmarkEnd w:id="246"/>
      <w:bookmarkEnd w:id="247"/>
    </w:p>
    <w:p w14:paraId="46003422">
      <w:pPr>
        <w:pStyle w:val="39"/>
        <w:spacing w:after="160" w:line="331"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承包人应保证其履约担保在发包人颁发合同工程完工证书前一直有效。发包人应在合同工程完工证书颁发后将履约担保退还给承包人。</w:t>
      </w:r>
    </w:p>
    <w:p w14:paraId="1FE6299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48" w:name="_Toc22572"/>
      <w:bookmarkStart w:id="249" w:name="_Toc4817"/>
      <w:r>
        <w:rPr>
          <w:rFonts w:ascii="宋体" w:hAnsi="宋体" w:eastAsia="宋体"/>
          <w:b/>
          <w:bCs/>
          <w:color w:val="auto"/>
          <w:sz w:val="24"/>
          <w:szCs w:val="24"/>
          <w:highlight w:val="none"/>
          <w:lang w:eastAsia="zh-CN"/>
        </w:rPr>
        <w:t>4.3分包</w:t>
      </w:r>
      <w:bookmarkEnd w:id="248"/>
      <w:bookmarkEnd w:id="249"/>
    </w:p>
    <w:p w14:paraId="4FDB38FF">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4.3.1</w:t>
      </w:r>
      <w:r>
        <w:rPr>
          <w:rFonts w:ascii="宋体" w:hAnsi="宋体" w:eastAsia="宋体" w:cs="宋体"/>
          <w:color w:val="auto"/>
          <w:sz w:val="20"/>
          <w:szCs w:val="20"/>
          <w:highlight w:val="none"/>
          <w:lang w:val="zh-CN" w:eastAsia="zh-CN" w:bidi="zh-CN"/>
        </w:rPr>
        <w:t>承包人不得将其承包的全部工程转包给第三人，或将其承包的全部工程肢解后以分包的名义转包给第三人。</w:t>
      </w:r>
    </w:p>
    <w:p w14:paraId="169F987C">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4.3.2</w:t>
      </w:r>
      <w:r>
        <w:rPr>
          <w:rFonts w:ascii="宋体" w:hAnsi="宋体" w:eastAsia="宋体" w:cs="宋体"/>
          <w:color w:val="auto"/>
          <w:sz w:val="20"/>
          <w:szCs w:val="20"/>
          <w:highlight w:val="none"/>
          <w:lang w:val="zh-CN" w:eastAsia="zh-CN" w:bidi="zh-CN"/>
        </w:rPr>
        <w:t>承包人不得将工程主体、关键性工作分包给第三人。除专用合同条款另有约定外，未经发包人同意，承包人不得将工程的其他部分或工作分包给第三人。</w:t>
      </w:r>
    </w:p>
    <w:p w14:paraId="77DDC4D2">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4. 3.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分包人的资格能力应与其分包工程的标准和规模相适应。</w:t>
      </w:r>
    </w:p>
    <w:p w14:paraId="1E793B4B">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4.3.4</w:t>
      </w:r>
      <w:r>
        <w:rPr>
          <w:rFonts w:ascii="宋体" w:hAnsi="宋体" w:eastAsia="宋体" w:cs="宋体"/>
          <w:color w:val="auto"/>
          <w:sz w:val="20"/>
          <w:szCs w:val="20"/>
          <w:highlight w:val="none"/>
          <w:lang w:val="zh-CN" w:eastAsia="zh-CN" w:bidi="zh-CN"/>
        </w:rPr>
        <w:t>按投标函附录约定分包工程的，承包人应向发包人和监理人提交分包合同 副本。</w:t>
      </w:r>
    </w:p>
    <w:p w14:paraId="0FDB769A">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4.3.5</w:t>
      </w:r>
      <w:r>
        <w:rPr>
          <w:rFonts w:ascii="宋体" w:hAnsi="宋体" w:eastAsia="宋体" w:cs="宋体"/>
          <w:color w:val="auto"/>
          <w:sz w:val="20"/>
          <w:szCs w:val="20"/>
          <w:highlight w:val="none"/>
          <w:lang w:val="zh-CN" w:eastAsia="zh-CN" w:bidi="zh-CN"/>
        </w:rPr>
        <w:t>承包人应与分包人就分包工程向发包人承担连带责任。</w:t>
      </w:r>
    </w:p>
    <w:p w14:paraId="31B53F7A">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4.3.6</w:t>
      </w:r>
      <w:r>
        <w:rPr>
          <w:rFonts w:ascii="宋体" w:hAnsi="宋体" w:eastAsia="宋体" w:cs="宋体"/>
          <w:color w:val="auto"/>
          <w:sz w:val="20"/>
          <w:szCs w:val="20"/>
          <w:highlight w:val="none"/>
          <w:lang w:val="zh-CN" w:eastAsia="zh-CN" w:bidi="zh-CN"/>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03B2601D">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4.3.7</w:t>
      </w:r>
      <w:r>
        <w:rPr>
          <w:rFonts w:ascii="宋体" w:hAnsi="宋体" w:eastAsia="宋体" w:cs="宋体"/>
          <w:color w:val="auto"/>
          <w:sz w:val="20"/>
          <w:szCs w:val="20"/>
          <w:highlight w:val="none"/>
          <w:lang w:val="zh-CN" w:eastAsia="zh-CN" w:bidi="zh-CN"/>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14:paraId="3CC41D24">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4.3.8</w:t>
      </w:r>
      <w:r>
        <w:rPr>
          <w:rFonts w:ascii="宋体" w:hAnsi="宋体" w:eastAsia="宋体" w:cs="宋体"/>
          <w:color w:val="auto"/>
          <w:sz w:val="20"/>
          <w:szCs w:val="20"/>
          <w:highlight w:val="none"/>
          <w:lang w:val="zh-CN" w:eastAsia="zh-CN" w:bidi="zh-CN"/>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6071107E">
      <w:pPr>
        <w:pStyle w:val="39"/>
        <w:spacing w:line="35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4.3.9</w:t>
      </w:r>
      <w:r>
        <w:rPr>
          <w:rFonts w:ascii="宋体" w:hAnsi="宋体" w:eastAsia="宋体" w:cs="宋体"/>
          <w:color w:val="auto"/>
          <w:sz w:val="20"/>
          <w:szCs w:val="20"/>
          <w:highlight w:val="none"/>
          <w:lang w:val="zh-CN" w:eastAsia="zh-CN" w:bidi="zh-CN"/>
        </w:rPr>
        <w:t>除第</w:t>
      </w:r>
      <w:r>
        <w:rPr>
          <w:color w:val="auto"/>
          <w:sz w:val="20"/>
          <w:szCs w:val="20"/>
          <w:highlight w:val="none"/>
          <w:lang w:eastAsia="zh-CN"/>
        </w:rPr>
        <w:t xml:space="preserve">4. 3. </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项规定的指定分包外，承包人对其分包项目的实施以及分包人的行为向发包人负全部责任。承包人应对分包项目的工程进度、质量、安全、计量和验收等实施监督和管理。</w:t>
      </w:r>
    </w:p>
    <w:p w14:paraId="03A64B17">
      <w:pPr>
        <w:pStyle w:val="39"/>
        <w:tabs>
          <w:tab w:val="left" w:pos="736"/>
        </w:tabs>
        <w:spacing w:after="140" w:line="372"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4.3.</w:t>
      </w:r>
      <w:r>
        <w:rPr>
          <w:color w:val="auto"/>
          <w:sz w:val="20"/>
          <w:szCs w:val="20"/>
          <w:highlight w:val="none"/>
          <w:lang w:val="zh-CN" w:eastAsia="zh-CN" w:bidi="zh-CN"/>
        </w:rPr>
        <w:t>10</w:t>
      </w:r>
      <w:r>
        <w:rPr>
          <w:rFonts w:ascii="宋体" w:hAnsi="宋体" w:eastAsia="宋体" w:cs="宋体"/>
          <w:color w:val="auto"/>
          <w:sz w:val="20"/>
          <w:szCs w:val="20"/>
          <w:highlight w:val="none"/>
          <w:lang w:val="zh-CN" w:eastAsia="zh-CN" w:bidi="zh-CN"/>
        </w:rPr>
        <w:t>分包人应按专用合同条款的约定设立项目管理机构组织管理分包工程的施工 活动。</w:t>
      </w:r>
    </w:p>
    <w:p w14:paraId="2497AC2D">
      <w:pPr>
        <w:pStyle w:val="39"/>
        <w:keepNext/>
        <w:keepLines/>
        <w:spacing w:before="240" w:after="64" w:line="317" w:lineRule="auto"/>
        <w:outlineLvl w:val="5"/>
        <w:rPr>
          <w:rFonts w:ascii="宋体" w:hAnsi="宋体" w:eastAsia="宋体"/>
          <w:b/>
          <w:bCs/>
          <w:color w:val="auto"/>
          <w:sz w:val="24"/>
          <w:szCs w:val="24"/>
          <w:highlight w:val="none"/>
        </w:rPr>
      </w:pPr>
      <w:bookmarkStart w:id="250" w:name="_Toc18315"/>
      <w:bookmarkStart w:id="251" w:name="_Toc12865"/>
      <w:r>
        <w:rPr>
          <w:rFonts w:ascii="宋体" w:hAnsi="宋体" w:eastAsia="宋体"/>
          <w:b/>
          <w:bCs/>
          <w:color w:val="auto"/>
          <w:sz w:val="24"/>
          <w:szCs w:val="24"/>
          <w:highlight w:val="none"/>
        </w:rPr>
        <w:t>4.4联合体</w:t>
      </w:r>
      <w:bookmarkEnd w:id="250"/>
      <w:bookmarkEnd w:id="251"/>
    </w:p>
    <w:p w14:paraId="28104C36">
      <w:pPr>
        <w:pStyle w:val="39"/>
        <w:spacing w:line="365" w:lineRule="exact"/>
        <w:ind w:firstLine="420"/>
        <w:jc w:val="both"/>
        <w:rPr>
          <w:rFonts w:ascii="宋体" w:hAnsi="宋体" w:eastAsia="宋体" w:cs="宋体"/>
          <w:color w:val="auto"/>
          <w:sz w:val="20"/>
          <w:szCs w:val="20"/>
          <w:highlight w:val="none"/>
          <w:lang w:val="zh-CN" w:eastAsia="zh-CN" w:bidi="zh-CN"/>
        </w:rPr>
      </w:pPr>
      <w:r>
        <w:rPr>
          <w:rFonts w:hint="eastAsia"/>
          <w:color w:val="auto"/>
          <w:sz w:val="20"/>
          <w:szCs w:val="20"/>
          <w:highlight w:val="none"/>
          <w:lang w:eastAsia="zh-CN"/>
        </w:rPr>
        <w:t xml:space="preserve"> </w:t>
      </w:r>
      <w:r>
        <w:rPr>
          <w:color w:val="auto"/>
          <w:sz w:val="20"/>
          <w:szCs w:val="20"/>
          <w:highlight w:val="none"/>
          <w:lang w:eastAsia="zh-CN"/>
        </w:rPr>
        <w:t>4.1</w:t>
      </w:r>
      <w:r>
        <w:rPr>
          <w:rFonts w:hint="eastAsia"/>
          <w:color w:val="auto"/>
          <w:sz w:val="20"/>
          <w:szCs w:val="20"/>
          <w:highlight w:val="none"/>
          <w:lang w:val="en-US" w:eastAsia="zh-CN"/>
        </w:rPr>
        <w:t>.1</w:t>
      </w:r>
      <w:r>
        <w:rPr>
          <w:rFonts w:ascii="宋体" w:hAnsi="宋体" w:eastAsia="宋体" w:cs="宋体"/>
          <w:color w:val="auto"/>
          <w:sz w:val="20"/>
          <w:szCs w:val="20"/>
          <w:highlight w:val="none"/>
          <w:lang w:val="zh-CN" w:eastAsia="zh-CN" w:bidi="zh-CN"/>
        </w:rPr>
        <w:t>联合体各方应共同与发包人签订合同协议书。联合体各方应为履行合同承担连带责任。</w:t>
      </w:r>
    </w:p>
    <w:p w14:paraId="147FDA29">
      <w:pPr>
        <w:pStyle w:val="39"/>
        <w:spacing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4. 4.2</w:t>
      </w:r>
      <w:r>
        <w:rPr>
          <w:rFonts w:ascii="宋体" w:hAnsi="宋体" w:eastAsia="宋体" w:cs="宋体"/>
          <w:color w:val="auto"/>
          <w:sz w:val="20"/>
          <w:szCs w:val="20"/>
          <w:highlight w:val="none"/>
          <w:lang w:val="zh-CN" w:eastAsia="zh-CN" w:bidi="zh-CN"/>
        </w:rPr>
        <w:t>联合体协议经发包人确认后作为合同附件。在履行合同过程中，未经发包人同意，不得修改联合体协议。</w:t>
      </w:r>
    </w:p>
    <w:p w14:paraId="1538C8D7">
      <w:pPr>
        <w:pStyle w:val="39"/>
        <w:spacing w:after="140"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4.4.3</w:t>
      </w:r>
      <w:r>
        <w:rPr>
          <w:rFonts w:ascii="宋体" w:hAnsi="宋体" w:eastAsia="宋体" w:cs="宋体"/>
          <w:color w:val="auto"/>
          <w:sz w:val="20"/>
          <w:szCs w:val="20"/>
          <w:highlight w:val="none"/>
          <w:lang w:val="zh-CN" w:eastAsia="zh-CN" w:bidi="zh-CN"/>
        </w:rPr>
        <w:t>联合体牵头人负责与发包人和监理人联系，并接受指示，负责组织联合体各成员全面履行合同。</w:t>
      </w:r>
    </w:p>
    <w:p w14:paraId="15D51793">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52" w:name="_Toc14119"/>
      <w:bookmarkStart w:id="253" w:name="_Toc30153"/>
      <w:r>
        <w:rPr>
          <w:rFonts w:ascii="宋体" w:hAnsi="宋体" w:eastAsia="宋体"/>
          <w:b/>
          <w:bCs/>
          <w:color w:val="auto"/>
          <w:sz w:val="24"/>
          <w:szCs w:val="24"/>
          <w:highlight w:val="none"/>
          <w:lang w:eastAsia="zh-CN"/>
        </w:rPr>
        <w:t>4.5承包人项目经理</w:t>
      </w:r>
      <w:bookmarkEnd w:id="252"/>
      <w:bookmarkEnd w:id="253"/>
    </w:p>
    <w:p w14:paraId="5F390075">
      <w:pPr>
        <w:pStyle w:val="39"/>
        <w:spacing w:line="35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4. 5.1</w:t>
      </w:r>
      <w:r>
        <w:rPr>
          <w:rFonts w:ascii="宋体" w:hAnsi="宋体" w:eastAsia="宋体" w:cs="宋体"/>
          <w:color w:val="auto"/>
          <w:sz w:val="20"/>
          <w:szCs w:val="20"/>
          <w:highlight w:val="none"/>
          <w:lang w:val="zh-CN" w:eastAsia="zh-CN" w:bidi="zh-CN"/>
        </w:rPr>
        <w:t>承包人应按合同约定指派项目经理，并在约定的期限内到职。承包人更换项目经理应事先征得发包人同意，并应在更换</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天前通知发包人和监理人。承包人项目经理短 期离开施工场地，应事先征得监理人同意，并委派代表代行其职责。</w:t>
      </w:r>
    </w:p>
    <w:p w14:paraId="1E31B543">
      <w:pPr>
        <w:pStyle w:val="39"/>
        <w:spacing w:line="36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4. 5.2</w:t>
      </w:r>
      <w:r>
        <w:rPr>
          <w:rFonts w:ascii="宋体" w:hAnsi="宋体" w:eastAsia="宋体" w:cs="宋体"/>
          <w:color w:val="auto"/>
          <w:sz w:val="20"/>
          <w:szCs w:val="20"/>
          <w:highlight w:val="none"/>
          <w:lang w:val="zh-CN" w:eastAsia="zh-CN" w:bidi="zh-CN"/>
        </w:rPr>
        <w:t>承包人项目经理应按合同约定以及监理人按第</w:t>
      </w:r>
      <w:r>
        <w:rPr>
          <w:color w:val="auto"/>
          <w:sz w:val="20"/>
          <w:szCs w:val="20"/>
          <w:highlight w:val="none"/>
          <w:lang w:eastAsia="zh-CN"/>
        </w:rPr>
        <w:t xml:space="preserve">3.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款作出的指示，负责组织合同工程的实施。在情况紧急且无法与监理人取得联系时，可采取保证工程和人员生命财产 安全的紧急措施，并在采取措施后</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小时内向监理人提交书面报告。</w:t>
      </w:r>
    </w:p>
    <w:p w14:paraId="078D8FE9">
      <w:pPr>
        <w:pStyle w:val="39"/>
        <w:spacing w:line="36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4. 5.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承包人为履行合同发出的一切函件均应盖有承包人授权的施工场地管理机构章，并由承包人项目经理或其授权代表签字。</w:t>
      </w:r>
    </w:p>
    <w:p w14:paraId="13034582">
      <w:pPr>
        <w:pStyle w:val="39"/>
        <w:spacing w:after="140"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4. 5.4</w:t>
      </w:r>
      <w:r>
        <w:rPr>
          <w:rFonts w:ascii="宋体" w:hAnsi="宋体" w:eastAsia="宋体" w:cs="宋体"/>
          <w:color w:val="auto"/>
          <w:sz w:val="20"/>
          <w:szCs w:val="20"/>
          <w:highlight w:val="none"/>
          <w:lang w:val="zh-CN" w:eastAsia="zh-CN" w:bidi="zh-CN"/>
        </w:rPr>
        <w:t>承包人项目经理可以授权其下属人员履行其某项职责，但事先应将这些人员的姓名和授权范围通知监理人。</w:t>
      </w:r>
    </w:p>
    <w:p w14:paraId="36FA753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54" w:name="_Toc23961"/>
      <w:bookmarkStart w:id="255" w:name="_Toc31062"/>
      <w:r>
        <w:rPr>
          <w:rFonts w:ascii="宋体" w:hAnsi="宋体" w:eastAsia="宋体"/>
          <w:b/>
          <w:bCs/>
          <w:color w:val="auto"/>
          <w:sz w:val="24"/>
          <w:szCs w:val="24"/>
          <w:highlight w:val="none"/>
          <w:lang w:eastAsia="zh-CN"/>
        </w:rPr>
        <w:t>4.6承包人人员的管理</w:t>
      </w:r>
      <w:bookmarkEnd w:id="254"/>
      <w:bookmarkEnd w:id="255"/>
    </w:p>
    <w:p w14:paraId="63C64CAB">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4. 6.1</w:t>
      </w:r>
      <w:r>
        <w:rPr>
          <w:rFonts w:ascii="宋体" w:hAnsi="宋体" w:eastAsia="宋体" w:cs="宋体"/>
          <w:color w:val="auto"/>
          <w:sz w:val="20"/>
          <w:szCs w:val="20"/>
          <w:highlight w:val="none"/>
          <w:lang w:val="zh-CN" w:eastAsia="zh-CN" w:bidi="zh-CN"/>
        </w:rPr>
        <w:t>承包人应在接到开工通知后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5DD7E197">
      <w:pPr>
        <w:pStyle w:val="39"/>
        <w:spacing w:after="140"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4. 6.2</w:t>
      </w:r>
      <w:r>
        <w:rPr>
          <w:rFonts w:ascii="宋体" w:hAnsi="宋体" w:eastAsia="宋体" w:cs="宋体"/>
          <w:color w:val="auto"/>
          <w:sz w:val="20"/>
          <w:szCs w:val="20"/>
          <w:highlight w:val="none"/>
          <w:lang w:val="zh-CN" w:eastAsia="zh-CN" w:bidi="zh-CN"/>
        </w:rPr>
        <w:t>为完成合同约定的各项工作，承包人应向施工场地派遣或雇佣足够数量的下列 人员：</w:t>
      </w:r>
    </w:p>
    <w:p w14:paraId="5420E3B8">
      <w:pPr>
        <w:pStyle w:val="39"/>
        <w:keepNext w:val="0"/>
        <w:keepLines w:val="0"/>
        <w:pageBreakBefore w:val="0"/>
        <w:widowControl w:val="0"/>
        <w:numPr>
          <w:ilvl w:val="0"/>
          <w:numId w:val="6"/>
        </w:numPr>
        <w:tabs>
          <w:tab w:val="left" w:pos="899"/>
        </w:tabs>
        <w:kinsoku/>
        <w:wordWrap/>
        <w:overflowPunct/>
        <w:topLinePunct w:val="0"/>
        <w:autoSpaceDE/>
        <w:autoSpaceDN/>
        <w:bidi w:val="0"/>
        <w:adjustRightInd/>
        <w:snapToGrid/>
        <w:spacing w:line="380" w:lineRule="auto"/>
        <w:ind w:left="0" w:firstLine="400" w:firstLineChars="200"/>
        <w:jc w:val="both"/>
        <w:textAlignment w:val="auto"/>
        <w:rPr>
          <w:rFonts w:ascii="宋体" w:hAnsi="宋体" w:eastAsia="宋体" w:cs="宋体"/>
          <w:color w:val="auto"/>
          <w:sz w:val="20"/>
          <w:szCs w:val="20"/>
          <w:highlight w:val="none"/>
          <w:lang w:val="zh-CN" w:eastAsia="zh-CN" w:bidi="zh-CN"/>
        </w:rPr>
      </w:pPr>
      <w:r>
        <w:rPr>
          <w:rFonts w:eastAsia="宋体"/>
          <w:color w:val="auto"/>
          <w:sz w:val="20"/>
          <w:szCs w:val="20"/>
          <w:highlight w:val="none"/>
          <w:lang w:val="zh-CN" w:eastAsia="zh-CN" w:bidi="zh-CN"/>
        </w:rPr>
        <w:t>具有</w:t>
      </w:r>
      <w:r>
        <w:rPr>
          <w:rFonts w:ascii="宋体" w:hAnsi="宋体" w:eastAsia="宋体" w:cs="宋体"/>
          <w:color w:val="auto"/>
          <w:sz w:val="20"/>
          <w:szCs w:val="20"/>
          <w:highlight w:val="none"/>
          <w:lang w:val="zh-CN" w:eastAsia="zh-CN" w:bidi="zh-CN"/>
        </w:rPr>
        <w:t>相应资格的专业技工和合格的普工；</w:t>
      </w:r>
    </w:p>
    <w:p w14:paraId="2C695A48">
      <w:pPr>
        <w:pStyle w:val="39"/>
        <w:keepNext w:val="0"/>
        <w:keepLines w:val="0"/>
        <w:pageBreakBefore w:val="0"/>
        <w:widowControl w:val="0"/>
        <w:numPr>
          <w:ilvl w:val="0"/>
          <w:numId w:val="6"/>
        </w:numPr>
        <w:tabs>
          <w:tab w:val="left" w:pos="899"/>
        </w:tabs>
        <w:kinsoku/>
        <w:wordWrap/>
        <w:overflowPunct/>
        <w:topLinePunct w:val="0"/>
        <w:autoSpaceDE/>
        <w:autoSpaceDN/>
        <w:bidi w:val="0"/>
        <w:adjustRightInd/>
        <w:snapToGrid/>
        <w:spacing w:line="380" w:lineRule="auto"/>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具有相应施工经验的技术人员；</w:t>
      </w:r>
    </w:p>
    <w:p w14:paraId="459AE82D">
      <w:pPr>
        <w:pStyle w:val="39"/>
        <w:keepNext w:val="0"/>
        <w:keepLines w:val="0"/>
        <w:pageBreakBefore w:val="0"/>
        <w:widowControl w:val="0"/>
        <w:numPr>
          <w:ilvl w:val="0"/>
          <w:numId w:val="6"/>
        </w:numPr>
        <w:tabs>
          <w:tab w:val="left" w:pos="899"/>
        </w:tabs>
        <w:kinsoku/>
        <w:wordWrap/>
        <w:overflowPunct/>
        <w:topLinePunct w:val="0"/>
        <w:autoSpaceDE/>
        <w:autoSpaceDN/>
        <w:bidi w:val="0"/>
        <w:adjustRightInd/>
        <w:snapToGrid/>
        <w:spacing w:line="380" w:lineRule="auto"/>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具有相应岗位资格的各级管理人员。</w:t>
      </w:r>
    </w:p>
    <w:p w14:paraId="430EE139">
      <w:pPr>
        <w:pStyle w:val="39"/>
        <w:spacing w:after="140"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4.6.3</w:t>
      </w:r>
      <w:r>
        <w:rPr>
          <w:rFonts w:ascii="宋体" w:hAnsi="宋体" w:eastAsia="宋体" w:cs="宋体"/>
          <w:color w:val="auto"/>
          <w:sz w:val="20"/>
          <w:szCs w:val="20"/>
          <w:highlight w:val="none"/>
          <w:lang w:val="zh-CN" w:eastAsia="zh-CN" w:bidi="zh-CN"/>
        </w:rPr>
        <w:t>承包人安排在施工场地的主要管理人员和技术骨干应相对稳定。承包人更换主要管理人员和技术骨干时，应取得监理人的同意。</w:t>
      </w:r>
    </w:p>
    <w:p w14:paraId="692409A7">
      <w:pPr>
        <w:pStyle w:val="39"/>
        <w:spacing w:after="40" w:line="379" w:lineRule="auto"/>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4. 6.4</w:t>
      </w:r>
      <w:r>
        <w:rPr>
          <w:rFonts w:ascii="宋体" w:hAnsi="宋体" w:eastAsia="宋体" w:cs="宋体"/>
          <w:color w:val="auto"/>
          <w:sz w:val="20"/>
          <w:szCs w:val="20"/>
          <w:highlight w:val="none"/>
          <w:lang w:val="zh-CN" w:eastAsia="zh-CN" w:bidi="zh-CN"/>
        </w:rPr>
        <w:t>特殊岗位的工作人员均应持有相应的资格证明，监理人有权随时检查。监理人认为有必要时，可进行现场考核。</w:t>
      </w:r>
    </w:p>
    <w:p w14:paraId="2B7C69FB">
      <w:pPr>
        <w:pStyle w:val="39"/>
        <w:keepNext/>
        <w:keepLines/>
        <w:spacing w:before="240" w:after="64" w:line="317" w:lineRule="auto"/>
        <w:outlineLvl w:val="5"/>
        <w:rPr>
          <w:rFonts w:ascii="宋体" w:hAnsi="宋体" w:eastAsia="宋体"/>
          <w:color w:val="auto"/>
          <w:sz w:val="24"/>
          <w:szCs w:val="24"/>
          <w:highlight w:val="none"/>
          <w:lang w:eastAsia="zh-CN"/>
        </w:rPr>
      </w:pPr>
      <w:bookmarkStart w:id="256" w:name="_Toc10546"/>
      <w:bookmarkStart w:id="257" w:name="_Toc16163"/>
      <w:r>
        <w:rPr>
          <w:rFonts w:ascii="宋体" w:hAnsi="宋体" w:eastAsia="宋体"/>
          <w:b/>
          <w:bCs/>
          <w:color w:val="auto"/>
          <w:sz w:val="24"/>
          <w:szCs w:val="24"/>
          <w:highlight w:val="none"/>
          <w:lang w:eastAsia="zh-CN"/>
        </w:rPr>
        <w:t>4.7撤换承包人项目经理和其他人员</w:t>
      </w:r>
      <w:bookmarkEnd w:id="256"/>
      <w:bookmarkEnd w:id="257"/>
    </w:p>
    <w:p w14:paraId="1A7DABAD">
      <w:pPr>
        <w:pStyle w:val="39"/>
        <w:spacing w:after="160" w:line="36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承包人应对其项目经理和其他人员进行有效管理。监理人要求撤换不能胜任本职工作、 行为不端或玩忽职守的承包人项目经理和其他人员的，承包人应予以撤换。</w:t>
      </w:r>
    </w:p>
    <w:p w14:paraId="77737E31">
      <w:pPr>
        <w:pStyle w:val="39"/>
        <w:keepNext/>
        <w:keepLines/>
        <w:spacing w:before="240" w:after="64" w:line="317" w:lineRule="auto"/>
        <w:outlineLvl w:val="5"/>
        <w:rPr>
          <w:rFonts w:ascii="宋体" w:hAnsi="宋体" w:eastAsia="宋体"/>
          <w:b/>
          <w:bCs/>
          <w:color w:val="auto"/>
          <w:sz w:val="28"/>
          <w:szCs w:val="28"/>
          <w:highlight w:val="none"/>
          <w:lang w:eastAsia="zh-CN"/>
        </w:rPr>
      </w:pPr>
      <w:bookmarkStart w:id="258" w:name="_Toc15174"/>
      <w:bookmarkStart w:id="259" w:name="_Toc15829"/>
      <w:r>
        <w:rPr>
          <w:rFonts w:ascii="宋体" w:hAnsi="宋体" w:eastAsia="宋体"/>
          <w:b/>
          <w:bCs/>
          <w:color w:val="auto"/>
          <w:sz w:val="24"/>
          <w:szCs w:val="24"/>
          <w:highlight w:val="none"/>
          <w:lang w:eastAsia="zh-CN"/>
        </w:rPr>
        <w:t>4.8保障承包人人员的合法权益</w:t>
      </w:r>
      <w:bookmarkEnd w:id="258"/>
      <w:bookmarkEnd w:id="259"/>
    </w:p>
    <w:p w14:paraId="50D5DD4B">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4. 8.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承包人应与其雇佣的人员签订劳动合同，并按时发放工资。</w:t>
      </w:r>
    </w:p>
    <w:p w14:paraId="10ACFC95">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4. 8.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承包人应按劳动法的规定安排工作时间，保证其雇佣人员享有休息和休假的权利。因工程施工的特殊需要占用休假日或延长工作时间的，应不超过法律规定的限度，并按法律规定给予补休或付酬。</w:t>
      </w:r>
    </w:p>
    <w:p w14:paraId="64CBA099">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4.8.3</w:t>
      </w:r>
      <w:r>
        <w:rPr>
          <w:rFonts w:ascii="宋体" w:hAnsi="宋体" w:eastAsia="宋体" w:cs="宋体"/>
          <w:color w:val="auto"/>
          <w:sz w:val="20"/>
          <w:szCs w:val="20"/>
          <w:highlight w:val="none"/>
          <w:lang w:val="zh-CN" w:eastAsia="zh-CN" w:bidi="zh-CN"/>
        </w:rPr>
        <w:t>承包人应为其雇佣人员提供必要的食宿条件，以及符合环境保护和卫生要求的生活环境，在远离城镇的施工场地，还应配备必要的伤病防治和急救的医务人员与医疗设施。</w:t>
      </w:r>
    </w:p>
    <w:p w14:paraId="11177A86">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4. 8.4</w:t>
      </w:r>
      <w:r>
        <w:rPr>
          <w:rFonts w:ascii="宋体" w:hAnsi="宋体" w:eastAsia="宋体" w:cs="宋体"/>
          <w:color w:val="auto"/>
          <w:sz w:val="20"/>
          <w:szCs w:val="20"/>
          <w:highlight w:val="none"/>
          <w:lang w:val="zh-CN" w:eastAsia="zh-CN" w:bidi="zh-CN"/>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94E1B31">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4. 8.5</w:t>
      </w:r>
      <w:r>
        <w:rPr>
          <w:rFonts w:ascii="宋体" w:hAnsi="宋体" w:eastAsia="宋体" w:cs="宋体"/>
          <w:color w:val="auto"/>
          <w:sz w:val="20"/>
          <w:szCs w:val="20"/>
          <w:highlight w:val="none"/>
          <w:lang w:val="zh-CN" w:eastAsia="zh-CN" w:bidi="zh-CN"/>
        </w:rPr>
        <w:t>承包人应按有关法律规定和合同约定，为其雇佣人员办理保险。</w:t>
      </w:r>
    </w:p>
    <w:p w14:paraId="1009601B">
      <w:pPr>
        <w:pStyle w:val="39"/>
        <w:spacing w:after="160"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4. 8.6</w:t>
      </w:r>
      <w:r>
        <w:rPr>
          <w:rFonts w:ascii="宋体" w:hAnsi="宋体" w:eastAsia="宋体" w:cs="宋体"/>
          <w:color w:val="auto"/>
          <w:sz w:val="20"/>
          <w:szCs w:val="20"/>
          <w:highlight w:val="none"/>
          <w:lang w:val="zh-CN" w:eastAsia="zh-CN" w:bidi="zh-CN"/>
        </w:rPr>
        <w:t>承包人应负责处理其雇佣人员因工伤亡事故的善后事宜。</w:t>
      </w:r>
    </w:p>
    <w:p w14:paraId="0B2785B3">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60" w:name="_Toc27778"/>
      <w:bookmarkStart w:id="261" w:name="_Toc12796"/>
      <w:r>
        <w:rPr>
          <w:rFonts w:ascii="宋体" w:hAnsi="宋体" w:eastAsia="宋体"/>
          <w:b/>
          <w:bCs/>
          <w:color w:val="auto"/>
          <w:sz w:val="24"/>
          <w:szCs w:val="24"/>
          <w:highlight w:val="none"/>
          <w:lang w:eastAsia="zh-CN"/>
        </w:rPr>
        <w:t>4.9工程价款应专款专用</w:t>
      </w:r>
      <w:bookmarkEnd w:id="260"/>
      <w:bookmarkEnd w:id="261"/>
    </w:p>
    <w:p w14:paraId="1316E078">
      <w:pPr>
        <w:pStyle w:val="39"/>
        <w:spacing w:after="160" w:line="360"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发包人按合同约定支付给承包人的各项价款应专用于合同工程。</w:t>
      </w:r>
    </w:p>
    <w:p w14:paraId="16EE1B4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62" w:name="_Toc32026"/>
      <w:bookmarkStart w:id="263" w:name="_Toc13887"/>
      <w:r>
        <w:rPr>
          <w:rFonts w:ascii="宋体" w:hAnsi="宋体" w:eastAsia="宋体"/>
          <w:b/>
          <w:bCs/>
          <w:color w:val="auto"/>
          <w:sz w:val="24"/>
          <w:szCs w:val="24"/>
          <w:highlight w:val="none"/>
          <w:lang w:eastAsia="zh-CN"/>
        </w:rPr>
        <w:t>4.10承包人现场查勘</w:t>
      </w:r>
      <w:bookmarkEnd w:id="262"/>
      <w:bookmarkEnd w:id="263"/>
    </w:p>
    <w:p w14:paraId="1FEAB866">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4. 10.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发包人应将其持有的现场地质勘探资料、水文气象资料提供给承包人，并对其准确性负责。但承包人应对其阅读上述有关资料后所作出的解释和推断负责。</w:t>
      </w:r>
    </w:p>
    <w:p w14:paraId="06D75447">
      <w:pPr>
        <w:pStyle w:val="39"/>
        <w:spacing w:after="240"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4. 10. </w:t>
      </w:r>
      <w:r>
        <w:rPr>
          <w:rFonts w:hint="eastAsia"/>
          <w:color w:val="auto"/>
          <w:sz w:val="20"/>
          <w:szCs w:val="20"/>
          <w:highlight w:val="none"/>
          <w:lang w:val="en-US" w:eastAsia="zh-CN" w:bidi="zh-CN"/>
        </w:rPr>
        <w:t>2</w:t>
      </w:r>
      <w:r>
        <w:rPr>
          <w:rFonts w:ascii="宋体" w:hAnsi="宋体" w:eastAsia="宋体" w:cs="宋体"/>
          <w:color w:val="auto"/>
          <w:sz w:val="20"/>
          <w:szCs w:val="20"/>
          <w:highlight w:val="none"/>
          <w:lang w:val="zh-CN" w:eastAsia="zh-CN" w:bidi="zh-CN"/>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70C924DE">
      <w:pPr>
        <w:pStyle w:val="39"/>
        <w:rPr>
          <w:rFonts w:ascii="宋体" w:hAnsi="宋体" w:eastAsia="宋体"/>
          <w:b/>
          <w:bCs/>
          <w:color w:val="auto"/>
          <w:sz w:val="28"/>
          <w:szCs w:val="28"/>
          <w:highlight w:val="none"/>
          <w:lang w:eastAsia="zh-CN"/>
        </w:rPr>
      </w:pPr>
      <w:r>
        <w:rPr>
          <w:rFonts w:ascii="宋体" w:hAnsi="宋体" w:eastAsia="宋体"/>
          <w:b/>
          <w:bCs/>
          <w:color w:val="auto"/>
          <w:sz w:val="24"/>
          <w:szCs w:val="24"/>
          <w:highlight w:val="none"/>
          <w:lang w:eastAsia="zh-CN"/>
        </w:rPr>
        <w:t>4.11不利物质条件</w:t>
      </w:r>
    </w:p>
    <w:p w14:paraId="5CE1B52A">
      <w:pPr>
        <w:pStyle w:val="39"/>
        <w:spacing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4.11.1</w:t>
      </w:r>
      <w:r>
        <w:rPr>
          <w:rFonts w:ascii="宋体" w:hAnsi="宋体" w:eastAsia="宋体" w:cs="宋体"/>
          <w:color w:val="auto"/>
          <w:sz w:val="20"/>
          <w:szCs w:val="20"/>
          <w:highlight w:val="none"/>
          <w:lang w:val="zh-CN" w:eastAsia="zh-CN" w:bidi="zh-CN"/>
        </w:rPr>
        <w:t>除专用合同条款另有约定外，不利的物质条件是指在施工中遭遇不可预见的外界障碍或自然条件造成施工受阻。</w:t>
      </w:r>
    </w:p>
    <w:p w14:paraId="749D0BA8">
      <w:pPr>
        <w:pStyle w:val="39"/>
        <w:spacing w:after="280" w:line="35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4.11.2</w:t>
      </w:r>
      <w:r>
        <w:rPr>
          <w:rFonts w:ascii="宋体" w:hAnsi="宋体" w:eastAsia="宋体" w:cs="宋体"/>
          <w:color w:val="auto"/>
          <w:sz w:val="20"/>
          <w:szCs w:val="20"/>
          <w:highlight w:val="none"/>
          <w:lang w:val="zh-CN" w:eastAsia="zh-CN" w:bidi="zh-CN"/>
        </w:rPr>
        <w:t>承包人遇到不利物质条件时，应采取适应不利物质条件的合理措施继续施工, 并及时通知监理人。承包人应有权根据第</w:t>
      </w:r>
      <w:r>
        <w:rPr>
          <w:color w:val="auto"/>
          <w:sz w:val="20"/>
          <w:szCs w:val="20"/>
          <w:highlight w:val="none"/>
          <w:lang w:eastAsia="zh-CN"/>
        </w:rPr>
        <w:t>23.1</w:t>
      </w:r>
      <w:r>
        <w:rPr>
          <w:rFonts w:ascii="宋体" w:hAnsi="宋体" w:eastAsia="宋体" w:cs="宋体"/>
          <w:color w:val="auto"/>
          <w:sz w:val="20"/>
          <w:szCs w:val="20"/>
          <w:highlight w:val="none"/>
          <w:lang w:val="zh-CN" w:eastAsia="zh-CN" w:bidi="zh-CN"/>
        </w:rPr>
        <w:t>款的约定，要求延长工期及增加费用。监理人收到此类要求后，应在分析上述外界障碍或自然条件是否不可预见及不可预见程度的基础上，按照通用合同条款第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条的约定办理。</w:t>
      </w:r>
    </w:p>
    <w:p w14:paraId="035829A7">
      <w:pPr>
        <w:pStyle w:val="39"/>
        <w:keepNext/>
        <w:keepLines/>
        <w:spacing w:before="280" w:after="290" w:line="372" w:lineRule="auto"/>
        <w:outlineLvl w:val="4"/>
        <w:rPr>
          <w:b/>
          <w:color w:val="auto"/>
          <w:sz w:val="30"/>
          <w:szCs w:val="30"/>
          <w:highlight w:val="none"/>
          <w:lang w:eastAsia="zh-CN"/>
        </w:rPr>
      </w:pPr>
      <w:bookmarkStart w:id="264" w:name="_Toc13055"/>
      <w:bookmarkStart w:id="265" w:name="_Toc3680"/>
      <w:r>
        <w:rPr>
          <w:rFonts w:hint="eastAsia"/>
          <w:b/>
          <w:color w:val="auto"/>
          <w:sz w:val="30"/>
          <w:szCs w:val="30"/>
          <w:highlight w:val="none"/>
          <w:lang w:eastAsia="zh-CN"/>
        </w:rPr>
        <w:t>5.材料和工程设备</w:t>
      </w:r>
      <w:bookmarkEnd w:id="264"/>
      <w:bookmarkEnd w:id="265"/>
    </w:p>
    <w:p w14:paraId="1512BF87">
      <w:pPr>
        <w:pStyle w:val="39"/>
        <w:keepNext/>
        <w:keepLines/>
        <w:spacing w:before="240" w:after="64" w:line="317" w:lineRule="auto"/>
        <w:outlineLvl w:val="5"/>
        <w:rPr>
          <w:rFonts w:ascii="宋体" w:hAnsi="宋体" w:eastAsia="宋体"/>
          <w:b/>
          <w:color w:val="auto"/>
          <w:sz w:val="24"/>
          <w:szCs w:val="24"/>
          <w:highlight w:val="none"/>
          <w:lang w:eastAsia="zh-CN"/>
        </w:rPr>
      </w:pPr>
      <w:bookmarkStart w:id="266" w:name="_Toc16786"/>
      <w:bookmarkStart w:id="267" w:name="_Toc23824"/>
      <w:r>
        <w:rPr>
          <w:rFonts w:ascii="宋体" w:hAnsi="宋体" w:eastAsia="宋体"/>
          <w:b/>
          <w:color w:val="auto"/>
          <w:sz w:val="24"/>
          <w:szCs w:val="24"/>
          <w:highlight w:val="none"/>
          <w:lang w:eastAsia="zh-CN"/>
        </w:rPr>
        <w:t>5.1承包人提供的材料和工程设备</w:t>
      </w:r>
      <w:bookmarkEnd w:id="266"/>
      <w:bookmarkEnd w:id="267"/>
    </w:p>
    <w:p w14:paraId="68EE8BD8">
      <w:pPr>
        <w:pStyle w:val="39"/>
        <w:tabs>
          <w:tab w:val="left" w:pos="752"/>
        </w:tabs>
        <w:spacing w:after="160" w:line="382" w:lineRule="exact"/>
        <w:ind w:left="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5.1</w:t>
      </w:r>
      <w:r>
        <w:rPr>
          <w:color w:val="auto"/>
          <w:sz w:val="20"/>
          <w:szCs w:val="20"/>
          <w:highlight w:val="none"/>
          <w:lang w:eastAsia="zh-CN"/>
        </w:rPr>
        <w:t xml:space="preserve">.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除第</w:t>
      </w:r>
      <w:r>
        <w:rPr>
          <w:color w:val="auto"/>
          <w:sz w:val="20"/>
          <w:szCs w:val="20"/>
          <w:highlight w:val="none"/>
          <w:lang w:eastAsia="zh-CN"/>
        </w:rPr>
        <w:t xml:space="preserve">5.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款约定由发包人提供的材料和工程设备外，承包人负责采购、运输和 保管完成本合同工作所需的材料和工程设备。承包人应对其采购的材料和工程设备负责。</w:t>
      </w:r>
    </w:p>
    <w:p w14:paraId="00B6A2D6">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5.1.2</w:t>
      </w:r>
      <w:r>
        <w:rPr>
          <w:rFonts w:ascii="宋体" w:hAnsi="宋体" w:eastAsia="宋体" w:cs="宋体"/>
          <w:color w:val="auto"/>
          <w:sz w:val="20"/>
          <w:szCs w:val="20"/>
          <w:highlight w:val="none"/>
          <w:lang w:val="zh-CN" w:eastAsia="zh-CN" w:bidi="zh-CN"/>
        </w:rPr>
        <w:t>承包人应按专用合同条款的约定，将各项材料和工程设备的供货人及品种、规 格、数量和供货时间等报送监理人审批。承包人应向监理人提交其负责提供的材料和工程 设备的质量证明文件，并满足合同约定的质量标准。</w:t>
      </w:r>
    </w:p>
    <w:p w14:paraId="3D30AEE9">
      <w:pPr>
        <w:pStyle w:val="39"/>
        <w:spacing w:after="120"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5.1.3</w:t>
      </w:r>
      <w:r>
        <w:rPr>
          <w:rFonts w:ascii="宋体" w:hAnsi="宋体" w:eastAsia="宋体" w:cs="宋体"/>
          <w:color w:val="auto"/>
          <w:sz w:val="20"/>
          <w:szCs w:val="20"/>
          <w:highlight w:val="none"/>
          <w:lang w:val="zh-CN" w:eastAsia="zh-CN" w:bidi="zh-CN"/>
        </w:rPr>
        <w:t>对承包人提供的材料和工程设备，承包人应会同监理人进行检验和交货验收, 查验材料合格证明和产品合格证书，并按合同约定和监理人指示，进行材料的抽样检验和工程设备的检验测试，检验和测试结果应提交监理人，所需费用由承包人承担。</w:t>
      </w:r>
    </w:p>
    <w:p w14:paraId="2D9AEBE3">
      <w:pPr>
        <w:pStyle w:val="39"/>
        <w:keepNext/>
        <w:keepLines/>
        <w:spacing w:before="240" w:after="64" w:line="317" w:lineRule="auto"/>
        <w:outlineLvl w:val="5"/>
        <w:rPr>
          <w:rFonts w:ascii="宋体" w:hAnsi="宋体" w:eastAsia="宋体"/>
          <w:b/>
          <w:color w:val="auto"/>
          <w:sz w:val="28"/>
          <w:szCs w:val="28"/>
          <w:highlight w:val="none"/>
          <w:lang w:eastAsia="zh-CN"/>
        </w:rPr>
      </w:pPr>
      <w:bookmarkStart w:id="268" w:name="_Toc1820"/>
      <w:bookmarkStart w:id="269" w:name="_Toc8797"/>
      <w:r>
        <w:rPr>
          <w:rFonts w:ascii="宋体" w:hAnsi="宋体" w:eastAsia="宋体"/>
          <w:b/>
          <w:color w:val="auto"/>
          <w:sz w:val="24"/>
          <w:szCs w:val="24"/>
          <w:highlight w:val="none"/>
          <w:lang w:eastAsia="zh-CN"/>
        </w:rPr>
        <w:t>5.2发包人提供的材料和工程设备</w:t>
      </w:r>
      <w:bookmarkEnd w:id="268"/>
      <w:bookmarkEnd w:id="269"/>
    </w:p>
    <w:p w14:paraId="44517EB2">
      <w:pPr>
        <w:pStyle w:val="39"/>
        <w:spacing w:line="36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5. 2.1发包人提供的材料和工程设备，应在专用合同条款中写明材料和工程设备的名称、规格、数量、价格、交货方式、交货地点和计划交货日期等。</w:t>
      </w:r>
    </w:p>
    <w:p w14:paraId="1B388DD2">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5. 2.2</w:t>
      </w:r>
      <w:r>
        <w:rPr>
          <w:rFonts w:ascii="宋体" w:hAnsi="宋体" w:eastAsia="宋体" w:cs="宋体"/>
          <w:color w:val="auto"/>
          <w:sz w:val="20"/>
          <w:szCs w:val="20"/>
          <w:highlight w:val="none"/>
          <w:lang w:val="zh-CN" w:eastAsia="zh-CN" w:bidi="zh-CN"/>
        </w:rPr>
        <w:t>承包人应根据合同进度计划的安排，向监理人报送要求发包人交货的日期计划。发包人应按照监理人与合同双方当事人商定的交货日期，向承包人提交材料和工程设备。</w:t>
      </w:r>
    </w:p>
    <w:p w14:paraId="1729454E">
      <w:pPr>
        <w:pStyle w:val="39"/>
        <w:spacing w:line="36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5.2.3</w:t>
      </w:r>
      <w:r>
        <w:rPr>
          <w:rFonts w:ascii="宋体" w:hAnsi="宋体" w:eastAsia="宋体" w:cs="宋体"/>
          <w:color w:val="auto"/>
          <w:sz w:val="20"/>
          <w:szCs w:val="20"/>
          <w:highlight w:val="none"/>
          <w:lang w:val="zh-CN" w:eastAsia="zh-CN" w:bidi="zh-CN"/>
        </w:rPr>
        <w:t>发包人应在材料和工程设备到货</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天前通知承包人，承包人应会同监理人在约定的时间内，赴交货地点共同进行验收。发包人提供的材料和工程设备运至交货地点验收后，由承包人负责接收、卸货、运输和保管。</w:t>
      </w:r>
    </w:p>
    <w:p w14:paraId="3CA33F5C">
      <w:pPr>
        <w:pStyle w:val="39"/>
        <w:spacing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5. 2.4</w:t>
      </w:r>
      <w:r>
        <w:rPr>
          <w:rFonts w:ascii="宋体" w:hAnsi="宋体" w:eastAsia="宋体" w:cs="宋体"/>
          <w:color w:val="auto"/>
          <w:sz w:val="20"/>
          <w:szCs w:val="20"/>
          <w:highlight w:val="none"/>
          <w:lang w:val="zh-CN" w:eastAsia="zh-CN" w:bidi="zh-CN"/>
        </w:rPr>
        <w:t>发包人要求向承包人提前交货的，承包人不得拒绝，但发包人应承担承包人由此增加的费用。</w:t>
      </w:r>
    </w:p>
    <w:p w14:paraId="635DCB65">
      <w:pPr>
        <w:pStyle w:val="39"/>
        <w:spacing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5. 2.5</w:t>
      </w:r>
      <w:r>
        <w:rPr>
          <w:rFonts w:ascii="宋体" w:hAnsi="宋体" w:eastAsia="宋体" w:cs="宋体"/>
          <w:color w:val="auto"/>
          <w:sz w:val="20"/>
          <w:szCs w:val="20"/>
          <w:highlight w:val="none"/>
          <w:lang w:val="zh-CN" w:eastAsia="zh-CN" w:bidi="zh-CN"/>
        </w:rPr>
        <w:t>承包人要求更改交货日期或地点的，应事先报请监理人批准。由于承包人要求更改交货时间或地点所增加的费用和（或）工期延误由承包人承担。</w:t>
      </w:r>
    </w:p>
    <w:p w14:paraId="062F6AF0">
      <w:pPr>
        <w:pStyle w:val="39"/>
        <w:spacing w:after="120" w:line="35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5. 2.6</w:t>
      </w:r>
      <w:r>
        <w:rPr>
          <w:rFonts w:ascii="宋体" w:hAnsi="宋体" w:eastAsia="宋体" w:cs="宋体"/>
          <w:color w:val="auto"/>
          <w:sz w:val="20"/>
          <w:szCs w:val="20"/>
          <w:highlight w:val="none"/>
          <w:lang w:val="zh-CN" w:eastAsia="zh-CN" w:bidi="zh-CN"/>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7EB6B781">
      <w:pPr>
        <w:pStyle w:val="39"/>
        <w:keepNext/>
        <w:keepLines/>
        <w:spacing w:before="240" w:after="64" w:line="317" w:lineRule="auto"/>
        <w:outlineLvl w:val="5"/>
        <w:rPr>
          <w:rFonts w:ascii="宋体" w:hAnsi="宋体" w:eastAsia="宋体"/>
          <w:b/>
          <w:color w:val="auto"/>
          <w:sz w:val="28"/>
          <w:szCs w:val="28"/>
          <w:highlight w:val="none"/>
          <w:lang w:eastAsia="zh-CN"/>
        </w:rPr>
      </w:pPr>
      <w:bookmarkStart w:id="270" w:name="_Toc13486"/>
      <w:bookmarkStart w:id="271" w:name="_Toc17034"/>
      <w:r>
        <w:rPr>
          <w:rFonts w:ascii="宋体" w:hAnsi="宋体" w:eastAsia="宋体"/>
          <w:b/>
          <w:color w:val="auto"/>
          <w:sz w:val="24"/>
          <w:szCs w:val="24"/>
          <w:highlight w:val="none"/>
          <w:lang w:eastAsia="zh-CN"/>
        </w:rPr>
        <w:t>5.3材料和工程设备专用于合同工程</w:t>
      </w:r>
      <w:bookmarkEnd w:id="270"/>
      <w:bookmarkEnd w:id="271"/>
    </w:p>
    <w:p w14:paraId="4951FC07">
      <w:pPr>
        <w:pStyle w:val="39"/>
        <w:spacing w:line="35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5.3.1</w:t>
      </w:r>
      <w:r>
        <w:rPr>
          <w:rFonts w:ascii="宋体" w:hAnsi="宋体" w:eastAsia="宋体" w:cs="宋体"/>
          <w:color w:val="auto"/>
          <w:sz w:val="20"/>
          <w:szCs w:val="20"/>
          <w:highlight w:val="none"/>
          <w:lang w:val="zh-CN" w:eastAsia="zh-CN" w:bidi="zh-CN"/>
        </w:rPr>
        <w:t>运入施工场地的材料、工程设备，包括备品备件、安装专用工器具与随机资料，必须专用于合同工程，未经监理人同意，承包人不得运出施工场地或挪作他用。</w:t>
      </w:r>
    </w:p>
    <w:p w14:paraId="24EC54C1">
      <w:pPr>
        <w:pStyle w:val="39"/>
        <w:spacing w:after="120" w:line="36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5.3.2</w:t>
      </w:r>
      <w:r>
        <w:rPr>
          <w:rFonts w:ascii="宋体" w:hAnsi="宋体" w:eastAsia="宋体" w:cs="宋体"/>
          <w:color w:val="auto"/>
          <w:sz w:val="20"/>
          <w:szCs w:val="20"/>
          <w:highlight w:val="none"/>
          <w:lang w:val="zh-CN" w:eastAsia="zh-CN" w:bidi="zh-CN"/>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721EFD3">
      <w:pPr>
        <w:pStyle w:val="39"/>
        <w:keepNext/>
        <w:keepLines/>
        <w:spacing w:before="240" w:after="64" w:line="317" w:lineRule="auto"/>
        <w:outlineLvl w:val="5"/>
        <w:rPr>
          <w:rFonts w:ascii="宋体" w:hAnsi="宋体" w:eastAsia="宋体"/>
          <w:b/>
          <w:color w:val="auto"/>
          <w:sz w:val="24"/>
          <w:szCs w:val="24"/>
          <w:highlight w:val="none"/>
          <w:lang w:eastAsia="zh-CN"/>
        </w:rPr>
      </w:pPr>
      <w:bookmarkStart w:id="272" w:name="_Toc17737"/>
      <w:bookmarkStart w:id="273" w:name="_Toc31625"/>
      <w:r>
        <w:rPr>
          <w:rFonts w:ascii="宋体" w:hAnsi="宋体" w:eastAsia="宋体"/>
          <w:b/>
          <w:color w:val="auto"/>
          <w:sz w:val="24"/>
          <w:szCs w:val="24"/>
          <w:highlight w:val="none"/>
          <w:lang w:eastAsia="zh-CN"/>
        </w:rPr>
        <w:t>5.4禁止使用不合格的材料和工程设备</w:t>
      </w:r>
      <w:bookmarkEnd w:id="272"/>
      <w:bookmarkEnd w:id="273"/>
    </w:p>
    <w:p w14:paraId="5729FCFB">
      <w:pPr>
        <w:pStyle w:val="39"/>
        <w:spacing w:after="80" w:line="362" w:lineRule="exact"/>
        <w:ind w:firstLine="420"/>
        <w:jc w:val="both"/>
        <w:rPr>
          <w:rFonts w:hint="default" w:ascii="Times New Roman" w:hAnsi="Times New Roman" w:eastAsia="宋体" w:cs="Times New Roman"/>
          <w:color w:val="auto"/>
          <w:sz w:val="20"/>
          <w:szCs w:val="20"/>
          <w:highlight w:val="none"/>
          <w:lang w:val="zh-CN" w:eastAsia="zh-CN" w:bidi="zh-CN"/>
        </w:rPr>
      </w:pPr>
      <w:r>
        <w:rPr>
          <w:rFonts w:hint="default" w:ascii="Times New Roman" w:hAnsi="Times New Roman" w:eastAsia="宋体" w:cs="Times New Roman"/>
          <w:color w:val="auto"/>
          <w:sz w:val="20"/>
          <w:szCs w:val="20"/>
          <w:highlight w:val="none"/>
          <w:lang w:val="zh-CN" w:eastAsia="zh-CN" w:bidi="zh-CN"/>
        </w:rPr>
        <w:t>5.4.1监理人有权拒绝承包人提供的不合格材料或工程设备，并要求承包人立即进行更换。监理人应在更换后再次进行检查和检验，由此增加的费用和（或）工期延误由承包 人承担。</w:t>
      </w:r>
    </w:p>
    <w:p w14:paraId="6723CC97">
      <w:pPr>
        <w:pStyle w:val="39"/>
        <w:spacing w:after="80" w:line="362" w:lineRule="exact"/>
        <w:ind w:firstLine="420"/>
        <w:jc w:val="both"/>
        <w:rPr>
          <w:rFonts w:hint="default" w:ascii="Times New Roman" w:hAnsi="Times New Roman" w:eastAsia="宋体" w:cs="Times New Roman"/>
          <w:color w:val="auto"/>
          <w:sz w:val="20"/>
          <w:szCs w:val="20"/>
          <w:highlight w:val="none"/>
          <w:lang w:val="zh-CN" w:eastAsia="zh-CN" w:bidi="zh-CN"/>
        </w:rPr>
      </w:pPr>
      <w:r>
        <w:rPr>
          <w:rFonts w:hint="default" w:ascii="Times New Roman" w:hAnsi="Times New Roman" w:eastAsia="宋体" w:cs="Times New Roman"/>
          <w:color w:val="auto"/>
          <w:sz w:val="20"/>
          <w:szCs w:val="20"/>
          <w:highlight w:val="none"/>
          <w:lang w:val="zh-CN" w:eastAsia="zh-CN" w:bidi="zh-CN"/>
        </w:rPr>
        <w:t>5.4.2监理人发现承包人使用了不合格的材料和工程设备，应即时发出指示要求承包人立即改正，并禁止在工程中继续使用不合格的材料和工程设备。</w:t>
      </w:r>
    </w:p>
    <w:p w14:paraId="2C28B5C8">
      <w:pPr>
        <w:pStyle w:val="39"/>
        <w:spacing w:line="362" w:lineRule="exact"/>
        <w:ind w:firstLine="420"/>
        <w:jc w:val="both"/>
        <w:rPr>
          <w:rFonts w:hint="default" w:ascii="Times New Roman" w:hAnsi="Times New Roman" w:eastAsia="宋体" w:cs="Times New Roman"/>
          <w:color w:val="auto"/>
          <w:sz w:val="20"/>
          <w:szCs w:val="20"/>
          <w:highlight w:val="none"/>
          <w:lang w:val="zh-CN" w:eastAsia="zh-CN" w:bidi="zh-CN"/>
        </w:rPr>
      </w:pPr>
      <w:r>
        <w:rPr>
          <w:rFonts w:hint="default" w:ascii="Times New Roman" w:hAnsi="Times New Roman" w:cs="Times New Roman"/>
          <w:color w:val="auto"/>
          <w:sz w:val="20"/>
          <w:szCs w:val="20"/>
          <w:highlight w:val="none"/>
          <w:lang w:eastAsia="zh-CN"/>
        </w:rPr>
        <w:t>5.4.3</w:t>
      </w:r>
      <w:r>
        <w:rPr>
          <w:rFonts w:hint="default" w:ascii="Times New Roman" w:hAnsi="Times New Roman" w:eastAsia="宋体" w:cs="Times New Roman"/>
          <w:color w:val="auto"/>
          <w:sz w:val="20"/>
          <w:szCs w:val="20"/>
          <w:highlight w:val="none"/>
          <w:lang w:val="zh-CN" w:eastAsia="zh-CN" w:bidi="zh-CN"/>
        </w:rPr>
        <w:t>发包人提供的材料或工程设备不符合合同要求的，承包人有权拒绝，并可要求发包人更换，由此增加的费用和（或）工期延误由发包人承担。</w:t>
      </w:r>
    </w:p>
    <w:p w14:paraId="3B0BCB4F">
      <w:pPr>
        <w:pStyle w:val="39"/>
        <w:keepNext/>
        <w:keepLines/>
        <w:spacing w:before="280" w:after="290" w:line="372" w:lineRule="auto"/>
        <w:outlineLvl w:val="4"/>
        <w:rPr>
          <w:b/>
          <w:color w:val="auto"/>
          <w:sz w:val="30"/>
          <w:szCs w:val="30"/>
          <w:highlight w:val="none"/>
          <w:lang w:eastAsia="zh-CN"/>
        </w:rPr>
      </w:pPr>
      <w:bookmarkStart w:id="274" w:name="_Toc51"/>
      <w:bookmarkStart w:id="275" w:name="_Toc21098"/>
      <w:r>
        <w:rPr>
          <w:rFonts w:hint="eastAsia"/>
          <w:b/>
          <w:color w:val="auto"/>
          <w:sz w:val="30"/>
          <w:szCs w:val="30"/>
          <w:highlight w:val="none"/>
          <w:lang w:eastAsia="zh-CN"/>
        </w:rPr>
        <w:t>6.施工设备和临时设施</w:t>
      </w:r>
      <w:bookmarkEnd w:id="274"/>
      <w:bookmarkEnd w:id="275"/>
    </w:p>
    <w:p w14:paraId="12FB5FB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76" w:name="_Toc27995"/>
      <w:bookmarkStart w:id="277" w:name="_Toc20146"/>
      <w:r>
        <w:rPr>
          <w:rFonts w:ascii="宋体" w:hAnsi="宋体" w:eastAsia="宋体"/>
          <w:b/>
          <w:bCs/>
          <w:color w:val="auto"/>
          <w:sz w:val="24"/>
          <w:szCs w:val="24"/>
          <w:highlight w:val="none"/>
          <w:lang w:eastAsia="zh-CN"/>
        </w:rPr>
        <w:t>6.1承包人提供的施工设备和临时设施</w:t>
      </w:r>
      <w:bookmarkEnd w:id="276"/>
      <w:bookmarkEnd w:id="277"/>
    </w:p>
    <w:p w14:paraId="3400D798">
      <w:pPr>
        <w:pStyle w:val="39"/>
        <w:spacing w:line="36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6.1.1</w:t>
      </w:r>
      <w:r>
        <w:rPr>
          <w:rFonts w:ascii="宋体" w:hAnsi="宋体" w:eastAsia="宋体" w:cs="宋体"/>
          <w:color w:val="auto"/>
          <w:sz w:val="20"/>
          <w:szCs w:val="20"/>
          <w:highlight w:val="none"/>
          <w:lang w:val="zh-CN" w:eastAsia="zh-CN" w:bidi="zh-CN"/>
        </w:rPr>
        <w:t>承包人应按合同进度计划的要求，及时配置施工设备和修建临时设施。进入施工场地的承包人设备需经监理人核查后才能投入使用。承包人更换合同约定的承包人设备的，应报监理人批准。</w:t>
      </w:r>
    </w:p>
    <w:p w14:paraId="52B5B77F">
      <w:pPr>
        <w:pStyle w:val="39"/>
        <w:spacing w:after="140" w:line="37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6.1.2</w:t>
      </w:r>
      <w:r>
        <w:rPr>
          <w:rFonts w:ascii="宋体" w:hAnsi="宋体" w:eastAsia="宋体" w:cs="宋体"/>
          <w:color w:val="auto"/>
          <w:sz w:val="20"/>
          <w:szCs w:val="20"/>
          <w:highlight w:val="none"/>
          <w:lang w:val="zh-CN" w:eastAsia="zh-CN" w:bidi="zh-CN"/>
        </w:rPr>
        <w:t>除专用合同条款另有约定外，承包人应自行承担修建临时设施的费用，需要临时占地的，应由发包人办理申请手续并承担相应费用。</w:t>
      </w:r>
    </w:p>
    <w:p w14:paraId="339F317B">
      <w:pPr>
        <w:pStyle w:val="39"/>
        <w:keepNext/>
        <w:keepLines/>
        <w:spacing w:before="240" w:after="64" w:line="317" w:lineRule="auto"/>
        <w:outlineLvl w:val="5"/>
        <w:rPr>
          <w:rFonts w:ascii="宋体" w:hAnsi="宋体" w:eastAsia="宋体"/>
          <w:color w:val="auto"/>
          <w:sz w:val="28"/>
          <w:szCs w:val="28"/>
          <w:highlight w:val="none"/>
          <w:lang w:eastAsia="zh-CN"/>
        </w:rPr>
      </w:pPr>
      <w:bookmarkStart w:id="278" w:name="_Toc3638"/>
      <w:bookmarkStart w:id="279" w:name="_Toc21811"/>
      <w:r>
        <w:rPr>
          <w:rFonts w:ascii="宋体" w:hAnsi="宋体" w:eastAsia="宋体"/>
          <w:b/>
          <w:bCs/>
          <w:color w:val="auto"/>
          <w:sz w:val="24"/>
          <w:szCs w:val="24"/>
          <w:highlight w:val="none"/>
          <w:lang w:eastAsia="zh-CN"/>
        </w:rPr>
        <w:t>6.2发包人提供的施工设备和临时设施</w:t>
      </w:r>
      <w:bookmarkEnd w:id="278"/>
      <w:bookmarkEnd w:id="279"/>
    </w:p>
    <w:p w14:paraId="76C9E4CA">
      <w:pPr>
        <w:pStyle w:val="39"/>
        <w:spacing w:after="140" w:line="37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发包人提供的施工设备或临时设施在专用合同条款中约定。</w:t>
      </w:r>
    </w:p>
    <w:p w14:paraId="4CF726F0">
      <w:pPr>
        <w:pStyle w:val="39"/>
        <w:keepNext/>
        <w:keepLines/>
        <w:spacing w:before="240" w:after="64" w:line="317" w:lineRule="auto"/>
        <w:outlineLvl w:val="5"/>
        <w:rPr>
          <w:rFonts w:ascii="宋体" w:hAnsi="宋体" w:eastAsia="宋体"/>
          <w:color w:val="auto"/>
          <w:sz w:val="28"/>
          <w:szCs w:val="28"/>
          <w:highlight w:val="none"/>
          <w:lang w:eastAsia="zh-CN"/>
        </w:rPr>
      </w:pPr>
      <w:bookmarkStart w:id="280" w:name="_Toc27792"/>
      <w:bookmarkStart w:id="281" w:name="_Toc5476"/>
      <w:r>
        <w:rPr>
          <w:rFonts w:ascii="宋体" w:hAnsi="宋体" w:eastAsia="宋体"/>
          <w:b/>
          <w:bCs/>
          <w:color w:val="auto"/>
          <w:sz w:val="24"/>
          <w:szCs w:val="24"/>
          <w:highlight w:val="none"/>
          <w:lang w:eastAsia="zh-CN"/>
        </w:rPr>
        <w:t>6.3要求承包人增加或更换施工设备</w:t>
      </w:r>
      <w:bookmarkEnd w:id="280"/>
      <w:bookmarkEnd w:id="281"/>
    </w:p>
    <w:p w14:paraId="49841B48">
      <w:pPr>
        <w:pStyle w:val="39"/>
        <w:spacing w:after="140" w:line="36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承包人使用的施工设备不能满足合同进度计划和（或）质量要求时，监理人有权要求承包人增加或更换施工设备，承包人应及时增加或更换，由此增加的费用和（或）工期延误由承包人承担。</w:t>
      </w:r>
    </w:p>
    <w:p w14:paraId="601F5C76">
      <w:pPr>
        <w:pStyle w:val="39"/>
        <w:keepNext/>
        <w:keepLines/>
        <w:spacing w:before="240" w:after="64" w:line="317" w:lineRule="auto"/>
        <w:outlineLvl w:val="5"/>
        <w:rPr>
          <w:rFonts w:ascii="宋体" w:hAnsi="宋体" w:eastAsia="宋体"/>
          <w:color w:val="auto"/>
          <w:sz w:val="28"/>
          <w:szCs w:val="28"/>
          <w:highlight w:val="none"/>
          <w:lang w:eastAsia="zh-CN"/>
        </w:rPr>
      </w:pPr>
      <w:bookmarkStart w:id="282" w:name="_Toc3317"/>
      <w:bookmarkStart w:id="283" w:name="_Toc7333"/>
      <w:r>
        <w:rPr>
          <w:rFonts w:ascii="宋体" w:hAnsi="宋体" w:eastAsia="宋体"/>
          <w:b/>
          <w:bCs/>
          <w:color w:val="auto"/>
          <w:sz w:val="24"/>
          <w:szCs w:val="24"/>
          <w:highlight w:val="none"/>
          <w:lang w:eastAsia="zh-CN"/>
        </w:rPr>
        <w:t>6.4施工设备和临时设施专用于合同工程</w:t>
      </w:r>
      <w:bookmarkEnd w:id="282"/>
      <w:bookmarkEnd w:id="283"/>
    </w:p>
    <w:p w14:paraId="7B96180F">
      <w:pPr>
        <w:pStyle w:val="39"/>
        <w:spacing w:after="140" w:line="365" w:lineRule="exact"/>
        <w:ind w:firstLine="42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4.1除合同另有约定外，运入施工场地的所有施工设备以及在施工场地建设的临时设施应专用于合同工程。未经监理人同意，不得将上述施工设备和临时设施中的任何部分运出施工场地或挪作他用。</w:t>
      </w:r>
    </w:p>
    <w:p w14:paraId="0C01C566">
      <w:pPr>
        <w:pStyle w:val="39"/>
        <w:tabs>
          <w:tab w:val="left" w:pos="754"/>
        </w:tabs>
        <w:spacing w:after="300" w:line="370" w:lineRule="exact"/>
        <w:ind w:left="420"/>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6.</w:t>
      </w:r>
      <w:r>
        <w:rPr>
          <w:color w:val="auto"/>
          <w:sz w:val="20"/>
          <w:szCs w:val="20"/>
          <w:highlight w:val="none"/>
          <w:lang w:eastAsia="zh-CN"/>
        </w:rPr>
        <w:t>4.2</w:t>
      </w:r>
      <w:r>
        <w:rPr>
          <w:rFonts w:ascii="宋体" w:hAnsi="宋体" w:eastAsia="宋体" w:cs="宋体"/>
          <w:color w:val="auto"/>
          <w:sz w:val="20"/>
          <w:szCs w:val="20"/>
          <w:highlight w:val="none"/>
          <w:lang w:val="zh-CN" w:eastAsia="zh-CN" w:bidi="zh-CN"/>
        </w:rPr>
        <w:t>经监理人同意，承包人可根据合同进度计划撤走闲置的施工设备。</w:t>
      </w:r>
    </w:p>
    <w:p w14:paraId="2ADCF249">
      <w:pPr>
        <w:pStyle w:val="39"/>
        <w:keepNext/>
        <w:keepLines/>
        <w:spacing w:before="280" w:after="290" w:line="372" w:lineRule="auto"/>
        <w:outlineLvl w:val="4"/>
        <w:rPr>
          <w:rFonts w:hint="eastAsia"/>
          <w:b/>
          <w:color w:val="auto"/>
          <w:sz w:val="30"/>
          <w:szCs w:val="30"/>
          <w:highlight w:val="none"/>
          <w:lang w:eastAsia="zh-CN"/>
        </w:rPr>
      </w:pPr>
      <w:bookmarkStart w:id="284" w:name="_Toc16092"/>
      <w:bookmarkStart w:id="285" w:name="_Toc9877"/>
      <w:r>
        <w:rPr>
          <w:rFonts w:hint="eastAsia"/>
          <w:b/>
          <w:color w:val="auto"/>
          <w:sz w:val="30"/>
          <w:szCs w:val="30"/>
          <w:highlight w:val="none"/>
          <w:lang w:eastAsia="zh-CN"/>
        </w:rPr>
        <w:t>7.交通运输</w:t>
      </w:r>
      <w:bookmarkEnd w:id="284"/>
      <w:bookmarkEnd w:id="285"/>
    </w:p>
    <w:p w14:paraId="6DBE807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86" w:name="_Toc1049"/>
      <w:bookmarkStart w:id="287" w:name="_Toc24462"/>
      <w:r>
        <w:rPr>
          <w:rFonts w:ascii="宋体" w:hAnsi="宋体" w:eastAsia="宋体"/>
          <w:b/>
          <w:bCs/>
          <w:color w:val="auto"/>
          <w:sz w:val="24"/>
          <w:szCs w:val="24"/>
          <w:highlight w:val="none"/>
          <w:lang w:eastAsia="zh-CN"/>
        </w:rPr>
        <w:t>7.1道路通行权和场外设施</w:t>
      </w:r>
      <w:bookmarkEnd w:id="286"/>
      <w:bookmarkEnd w:id="287"/>
    </w:p>
    <w:p w14:paraId="12715DD3">
      <w:pPr>
        <w:pStyle w:val="39"/>
        <w:spacing w:after="140" w:line="359"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5036CE7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88" w:name="_Toc10816"/>
      <w:bookmarkStart w:id="289" w:name="_Toc19250"/>
      <w:r>
        <w:rPr>
          <w:rFonts w:ascii="宋体" w:hAnsi="宋体" w:eastAsia="宋体"/>
          <w:b/>
          <w:bCs/>
          <w:color w:val="auto"/>
          <w:sz w:val="24"/>
          <w:szCs w:val="24"/>
          <w:highlight w:val="none"/>
          <w:lang w:eastAsia="zh-CN"/>
        </w:rPr>
        <w:t>7.2场内施工道路</w:t>
      </w:r>
      <w:bookmarkEnd w:id="288"/>
      <w:bookmarkEnd w:id="289"/>
    </w:p>
    <w:p w14:paraId="65D21767">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7.2.1</w:t>
      </w:r>
      <w:r>
        <w:rPr>
          <w:rFonts w:ascii="宋体" w:hAnsi="宋体" w:eastAsia="宋体" w:cs="宋体"/>
          <w:color w:val="auto"/>
          <w:sz w:val="20"/>
          <w:szCs w:val="20"/>
          <w:highlight w:val="none"/>
          <w:lang w:val="zh-CN" w:eastAsia="zh-CN" w:bidi="zh-CN"/>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14:paraId="7B1A4899">
      <w:pPr>
        <w:pStyle w:val="39"/>
        <w:spacing w:after="140" w:line="37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7.2.2</w:t>
      </w:r>
      <w:r>
        <w:rPr>
          <w:rFonts w:ascii="宋体" w:hAnsi="宋体" w:eastAsia="宋体" w:cs="宋体"/>
          <w:color w:val="auto"/>
          <w:sz w:val="20"/>
          <w:szCs w:val="20"/>
          <w:highlight w:val="none"/>
          <w:lang w:val="zh-CN" w:eastAsia="zh-CN" w:bidi="zh-CN"/>
        </w:rPr>
        <w:t>承包人修建的临时道路和交通设施，应免费提供发包人、监理人，以及与本合 同有关的其他承包人使用。</w:t>
      </w:r>
    </w:p>
    <w:p w14:paraId="5F59DD5C">
      <w:pPr>
        <w:pStyle w:val="39"/>
        <w:keepNext/>
        <w:keepLines/>
        <w:spacing w:before="240" w:after="64" w:line="317" w:lineRule="auto"/>
        <w:outlineLvl w:val="5"/>
        <w:rPr>
          <w:rFonts w:ascii="宋体" w:hAnsi="宋体" w:eastAsia="宋体"/>
          <w:color w:val="auto"/>
          <w:sz w:val="28"/>
          <w:szCs w:val="28"/>
          <w:highlight w:val="none"/>
          <w:lang w:eastAsia="zh-CN"/>
        </w:rPr>
      </w:pPr>
      <w:bookmarkStart w:id="290" w:name="_Toc10661"/>
      <w:bookmarkStart w:id="291" w:name="_Toc3148"/>
      <w:r>
        <w:rPr>
          <w:rFonts w:ascii="宋体" w:hAnsi="宋体" w:eastAsia="宋体"/>
          <w:b/>
          <w:bCs/>
          <w:color w:val="auto"/>
          <w:sz w:val="24"/>
          <w:szCs w:val="24"/>
          <w:highlight w:val="none"/>
          <w:lang w:eastAsia="zh-CN"/>
        </w:rPr>
        <w:t>7.3场外交通</w:t>
      </w:r>
      <w:bookmarkEnd w:id="290"/>
      <w:bookmarkEnd w:id="291"/>
    </w:p>
    <w:p w14:paraId="3696481E">
      <w:pPr>
        <w:pStyle w:val="39"/>
        <w:spacing w:line="37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7.3.1</w:t>
      </w:r>
      <w:r>
        <w:rPr>
          <w:rFonts w:ascii="宋体" w:hAnsi="宋体" w:eastAsia="宋体" w:cs="宋体"/>
          <w:color w:val="auto"/>
          <w:sz w:val="20"/>
          <w:szCs w:val="20"/>
          <w:highlight w:val="none"/>
          <w:lang w:val="zh-CN" w:eastAsia="zh-CN" w:bidi="zh-CN"/>
        </w:rPr>
        <w:t>承包人车辆外出行驶所需的场外公共道路的通行费、养路费和税款等由承包人承担。</w:t>
      </w:r>
    </w:p>
    <w:p w14:paraId="1B7B084E">
      <w:pPr>
        <w:pStyle w:val="39"/>
        <w:spacing w:after="140"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7.3.2</w:t>
      </w:r>
      <w:r>
        <w:rPr>
          <w:rFonts w:ascii="宋体" w:hAnsi="宋体" w:eastAsia="宋体" w:cs="宋体"/>
          <w:color w:val="auto"/>
          <w:sz w:val="20"/>
          <w:szCs w:val="20"/>
          <w:highlight w:val="none"/>
          <w:lang w:val="zh-CN" w:eastAsia="zh-CN" w:bidi="zh-CN"/>
        </w:rPr>
        <w:t>承包人应遵守有关交通法规，严格按照道路和桥梁的限制荷重安全行驶，并服从交通管理部门的检查和监督</w:t>
      </w:r>
      <w:r>
        <w:rPr>
          <w:rFonts w:hint="eastAsia" w:eastAsia="宋体"/>
          <w:color w:val="auto"/>
          <w:sz w:val="20"/>
          <w:szCs w:val="20"/>
          <w:highlight w:val="none"/>
          <w:lang w:eastAsia="zh-CN"/>
        </w:rPr>
        <w:t>。</w:t>
      </w:r>
    </w:p>
    <w:p w14:paraId="513DFAF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92" w:name="_Toc13667"/>
      <w:bookmarkStart w:id="293" w:name="_Toc3101"/>
      <w:r>
        <w:rPr>
          <w:rFonts w:ascii="宋体" w:hAnsi="宋体" w:eastAsia="宋体"/>
          <w:b/>
          <w:bCs/>
          <w:color w:val="auto"/>
          <w:sz w:val="24"/>
          <w:szCs w:val="24"/>
          <w:highlight w:val="none"/>
          <w:lang w:eastAsia="zh-CN"/>
        </w:rPr>
        <w:t>7.4超大件和超重件的运输</w:t>
      </w:r>
      <w:bookmarkEnd w:id="292"/>
      <w:bookmarkEnd w:id="293"/>
    </w:p>
    <w:p w14:paraId="696B865E">
      <w:pPr>
        <w:pStyle w:val="39"/>
        <w:spacing w:after="120" w:line="347"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14:paraId="70AC539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94" w:name="_Toc24619"/>
      <w:bookmarkStart w:id="295" w:name="_Toc19355"/>
      <w:r>
        <w:rPr>
          <w:rFonts w:ascii="宋体" w:hAnsi="宋体" w:eastAsia="宋体"/>
          <w:b/>
          <w:bCs/>
          <w:color w:val="auto"/>
          <w:sz w:val="24"/>
          <w:szCs w:val="24"/>
          <w:highlight w:val="none"/>
          <w:lang w:eastAsia="zh-CN"/>
        </w:rPr>
        <w:t>7.5道路和桥梁的损坏责任</w:t>
      </w:r>
      <w:bookmarkEnd w:id="294"/>
      <w:bookmarkEnd w:id="295"/>
    </w:p>
    <w:p w14:paraId="3CCCF001">
      <w:pPr>
        <w:pStyle w:val="39"/>
        <w:spacing w:after="120" w:line="353"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因承包人运输造成施工场地内外公共道路和桥梁损坏的，由承包人承担修复损坏的全部费用和可能引起的赔偿。</w:t>
      </w:r>
    </w:p>
    <w:p w14:paraId="30481B8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296" w:name="_Toc22863"/>
      <w:bookmarkStart w:id="297" w:name="_Toc4201"/>
      <w:r>
        <w:rPr>
          <w:rFonts w:ascii="宋体" w:hAnsi="宋体" w:eastAsia="宋体"/>
          <w:b/>
          <w:bCs/>
          <w:color w:val="auto"/>
          <w:sz w:val="24"/>
          <w:szCs w:val="24"/>
          <w:highlight w:val="none"/>
          <w:lang w:eastAsia="zh-CN"/>
        </w:rPr>
        <w:t>7.6水路和航空运输</w:t>
      </w:r>
      <w:bookmarkEnd w:id="296"/>
      <w:bookmarkEnd w:id="297"/>
    </w:p>
    <w:p w14:paraId="19A69E32">
      <w:pPr>
        <w:pStyle w:val="39"/>
        <w:spacing w:after="260" w:line="35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本条上述各款的内容适用于水路运输和航空运输，其中“道路” 一词的涵义包括河道、 航线、船闸、机场、码头、堤防以及水路或航空运输中其他相似结构物；“车辆” 一词的涵义包括船舶和飞机等。</w:t>
      </w:r>
    </w:p>
    <w:p w14:paraId="5B7F307C">
      <w:pPr>
        <w:pStyle w:val="39"/>
        <w:keepNext/>
        <w:keepLines/>
        <w:spacing w:before="280" w:after="290" w:line="372" w:lineRule="auto"/>
        <w:outlineLvl w:val="4"/>
        <w:rPr>
          <w:rFonts w:hint="eastAsia"/>
          <w:b/>
          <w:color w:val="auto"/>
          <w:sz w:val="30"/>
          <w:szCs w:val="30"/>
          <w:highlight w:val="none"/>
          <w:lang w:eastAsia="zh-CN"/>
        </w:rPr>
      </w:pPr>
      <w:bookmarkStart w:id="298" w:name="_Toc14288"/>
      <w:bookmarkStart w:id="299" w:name="_Toc5865"/>
      <w:r>
        <w:rPr>
          <w:rFonts w:hint="eastAsia"/>
          <w:b/>
          <w:color w:val="auto"/>
          <w:sz w:val="30"/>
          <w:szCs w:val="30"/>
          <w:highlight w:val="none"/>
          <w:lang w:eastAsia="zh-CN"/>
        </w:rPr>
        <w:t>8.测量放线</w:t>
      </w:r>
      <w:bookmarkEnd w:id="298"/>
      <w:bookmarkEnd w:id="299"/>
    </w:p>
    <w:p w14:paraId="7D8C601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00" w:name="_Toc31642"/>
      <w:bookmarkStart w:id="301" w:name="_Toc2102"/>
      <w:r>
        <w:rPr>
          <w:rFonts w:ascii="宋体" w:hAnsi="宋体" w:eastAsia="宋体"/>
          <w:b/>
          <w:bCs/>
          <w:color w:val="auto"/>
          <w:sz w:val="24"/>
          <w:szCs w:val="24"/>
          <w:highlight w:val="none"/>
          <w:lang w:eastAsia="zh-CN"/>
        </w:rPr>
        <w:t>8.1施工控制网</w:t>
      </w:r>
      <w:bookmarkEnd w:id="300"/>
      <w:bookmarkEnd w:id="301"/>
    </w:p>
    <w:p w14:paraId="339744F2">
      <w:pPr>
        <w:pStyle w:val="39"/>
        <w:spacing w:line="35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8.1.1</w:t>
      </w:r>
      <w:r>
        <w:rPr>
          <w:rFonts w:ascii="宋体" w:hAnsi="宋体" w:eastAsia="宋体" w:cs="宋体"/>
          <w:color w:val="auto"/>
          <w:sz w:val="20"/>
          <w:szCs w:val="20"/>
          <w:highlight w:val="none"/>
          <w:lang w:val="zh-CN" w:eastAsia="zh-CN" w:bidi="zh-CN"/>
        </w:rPr>
        <w:t>除专用条款另有约定外，施工控制网由承包人负责测设，发包人应在本合同协议书签订后的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天内，向承包人提供测量基准点、基准线和水准点及其相关资料。承包人应在收到上述资料后的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天内，将施测的施工控制网资料提交监理人审批。监理人应在收到报批件后的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天内批复承包人。</w:t>
      </w:r>
    </w:p>
    <w:p w14:paraId="0ACF56E6">
      <w:pPr>
        <w:pStyle w:val="39"/>
        <w:spacing w:after="120" w:line="35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8.1.2</w:t>
      </w:r>
      <w:r>
        <w:rPr>
          <w:rFonts w:ascii="宋体" w:hAnsi="宋体" w:eastAsia="宋体" w:cs="宋体"/>
          <w:color w:val="auto"/>
          <w:sz w:val="20"/>
          <w:szCs w:val="20"/>
          <w:highlight w:val="none"/>
          <w:lang w:val="zh-CN" w:eastAsia="zh-CN" w:bidi="zh-CN"/>
        </w:rPr>
        <w:t>承包人应负责管理施工控制网点。施工控制网点丢失或损坏的，承包人应及时修复。承包人应承担施工控制网点的管理与修复费用，并在工程竣工后将施工控制网点移交发包人。</w:t>
      </w:r>
    </w:p>
    <w:p w14:paraId="7182E53E">
      <w:pPr>
        <w:pStyle w:val="39"/>
        <w:keepNext/>
        <w:keepLines/>
        <w:spacing w:before="240" w:after="64" w:line="317" w:lineRule="auto"/>
        <w:outlineLvl w:val="5"/>
        <w:rPr>
          <w:rFonts w:ascii="宋体" w:hAnsi="宋体" w:eastAsia="宋体"/>
          <w:color w:val="auto"/>
          <w:sz w:val="28"/>
          <w:szCs w:val="28"/>
          <w:highlight w:val="none"/>
          <w:lang w:eastAsia="zh-CN"/>
        </w:rPr>
      </w:pPr>
      <w:bookmarkStart w:id="302" w:name="_Toc1652"/>
      <w:bookmarkStart w:id="303" w:name="_Toc28653"/>
      <w:r>
        <w:rPr>
          <w:rFonts w:ascii="宋体" w:hAnsi="宋体" w:eastAsia="宋体"/>
          <w:b/>
          <w:bCs/>
          <w:color w:val="auto"/>
          <w:sz w:val="24"/>
          <w:szCs w:val="24"/>
          <w:highlight w:val="none"/>
          <w:lang w:eastAsia="zh-CN"/>
        </w:rPr>
        <w:t>8.2施工测量</w:t>
      </w:r>
      <w:bookmarkEnd w:id="302"/>
      <w:bookmarkEnd w:id="303"/>
    </w:p>
    <w:p w14:paraId="47AD1D1F">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8.2.1</w:t>
      </w:r>
      <w:r>
        <w:rPr>
          <w:rFonts w:ascii="宋体" w:hAnsi="宋体" w:eastAsia="宋体" w:cs="宋体"/>
          <w:color w:val="auto"/>
          <w:sz w:val="20"/>
          <w:szCs w:val="20"/>
          <w:highlight w:val="none"/>
          <w:lang w:val="zh-CN" w:eastAsia="zh-CN" w:bidi="zh-CN"/>
        </w:rPr>
        <w:t>承包人应负责施工过程中的全部施工测量放线工作，并配置合格的人员、仪 器、设备和其他物品。</w:t>
      </w:r>
    </w:p>
    <w:p w14:paraId="1D5D98D1">
      <w:pPr>
        <w:pStyle w:val="39"/>
        <w:spacing w:after="120"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8.2.2</w:t>
      </w:r>
      <w:r>
        <w:rPr>
          <w:rFonts w:ascii="宋体" w:hAnsi="宋体" w:eastAsia="宋体" w:cs="宋体"/>
          <w:color w:val="auto"/>
          <w:sz w:val="20"/>
          <w:szCs w:val="20"/>
          <w:highlight w:val="none"/>
          <w:lang w:val="zh-CN" w:eastAsia="zh-CN" w:bidi="zh-CN"/>
        </w:rPr>
        <w:t>监理人可以指示承包人进行抽样复测，当复测中发现错误或出现超过合同约定的误差时，承包人应按监理人指示进行修正或补测，并承担相应的复测费用。</w:t>
      </w:r>
    </w:p>
    <w:p w14:paraId="0B89082B">
      <w:pPr>
        <w:pStyle w:val="39"/>
        <w:keepNext/>
        <w:keepLines/>
        <w:spacing w:before="240" w:after="64" w:line="317" w:lineRule="auto"/>
        <w:outlineLvl w:val="5"/>
        <w:rPr>
          <w:rFonts w:ascii="宋体" w:hAnsi="宋体" w:eastAsia="宋体"/>
          <w:color w:val="auto"/>
          <w:sz w:val="28"/>
          <w:szCs w:val="28"/>
          <w:highlight w:val="none"/>
          <w:lang w:eastAsia="zh-CN"/>
        </w:rPr>
      </w:pPr>
      <w:bookmarkStart w:id="304" w:name="_Toc25597"/>
      <w:bookmarkStart w:id="305" w:name="_Toc19152"/>
      <w:r>
        <w:rPr>
          <w:rFonts w:ascii="宋体" w:hAnsi="宋体" w:eastAsia="宋体"/>
          <w:b/>
          <w:bCs/>
          <w:color w:val="auto"/>
          <w:sz w:val="24"/>
          <w:szCs w:val="24"/>
          <w:highlight w:val="none"/>
          <w:lang w:eastAsia="zh-CN"/>
        </w:rPr>
        <w:t>8.3基准资料错误的责任</w:t>
      </w:r>
      <w:bookmarkEnd w:id="304"/>
      <w:bookmarkEnd w:id="305"/>
    </w:p>
    <w:p w14:paraId="62A5C6FB">
      <w:pPr>
        <w:pStyle w:val="39"/>
        <w:spacing w:after="120"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0620439">
      <w:pPr>
        <w:pStyle w:val="39"/>
        <w:keepNext/>
        <w:keepLines/>
        <w:spacing w:before="240" w:after="64" w:line="317" w:lineRule="auto"/>
        <w:outlineLvl w:val="5"/>
        <w:rPr>
          <w:rFonts w:ascii="宋体" w:hAnsi="宋体" w:eastAsia="宋体"/>
          <w:color w:val="auto"/>
          <w:sz w:val="28"/>
          <w:szCs w:val="28"/>
          <w:highlight w:val="none"/>
          <w:lang w:eastAsia="zh-CN"/>
        </w:rPr>
      </w:pPr>
      <w:bookmarkStart w:id="306" w:name="_Toc28096"/>
      <w:bookmarkStart w:id="307" w:name="_Toc5765"/>
      <w:r>
        <w:rPr>
          <w:rFonts w:ascii="宋体" w:hAnsi="宋体" w:eastAsia="宋体"/>
          <w:b/>
          <w:bCs/>
          <w:color w:val="auto"/>
          <w:sz w:val="24"/>
          <w:szCs w:val="24"/>
          <w:highlight w:val="none"/>
          <w:lang w:eastAsia="zh-CN"/>
        </w:rPr>
        <w:t>8.4监理人使用施工控制网</w:t>
      </w:r>
      <w:bookmarkEnd w:id="306"/>
      <w:bookmarkEnd w:id="307"/>
    </w:p>
    <w:p w14:paraId="59F12E30">
      <w:pPr>
        <w:pStyle w:val="39"/>
        <w:spacing w:after="120" w:line="35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监理人需要使用施工控制网的，承包人应提供必要的协助，发包人不再为此支付费用。</w:t>
      </w:r>
    </w:p>
    <w:p w14:paraId="1BBF8302">
      <w:pPr>
        <w:pStyle w:val="39"/>
        <w:keepNext/>
        <w:keepLines/>
        <w:spacing w:before="240" w:after="64" w:line="317" w:lineRule="auto"/>
        <w:outlineLvl w:val="5"/>
        <w:rPr>
          <w:rFonts w:ascii="宋体" w:hAnsi="宋体" w:eastAsia="宋体"/>
          <w:color w:val="auto"/>
          <w:sz w:val="28"/>
          <w:szCs w:val="28"/>
          <w:highlight w:val="none"/>
          <w:lang w:eastAsia="zh-CN"/>
        </w:rPr>
      </w:pPr>
      <w:bookmarkStart w:id="308" w:name="_Toc6294"/>
      <w:bookmarkStart w:id="309" w:name="_Toc25010"/>
      <w:r>
        <w:rPr>
          <w:rFonts w:ascii="宋体" w:hAnsi="宋体" w:eastAsia="宋体"/>
          <w:b/>
          <w:bCs/>
          <w:color w:val="auto"/>
          <w:sz w:val="24"/>
          <w:szCs w:val="24"/>
          <w:highlight w:val="none"/>
          <w:lang w:eastAsia="zh-CN"/>
        </w:rPr>
        <w:t>8.5补充地质勘探</w:t>
      </w:r>
      <w:bookmarkEnd w:id="308"/>
      <w:bookmarkEnd w:id="309"/>
    </w:p>
    <w:p w14:paraId="3CE60AA9">
      <w:pPr>
        <w:pStyle w:val="39"/>
        <w:spacing w:after="300"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14:paraId="2B0CD770">
      <w:pPr>
        <w:pStyle w:val="39"/>
        <w:keepNext/>
        <w:keepLines/>
        <w:spacing w:before="280" w:after="290" w:line="372" w:lineRule="auto"/>
        <w:outlineLvl w:val="4"/>
        <w:rPr>
          <w:rFonts w:hint="eastAsia"/>
          <w:b/>
          <w:color w:val="auto"/>
          <w:sz w:val="30"/>
          <w:szCs w:val="30"/>
          <w:highlight w:val="none"/>
          <w:lang w:eastAsia="zh-CN"/>
        </w:rPr>
      </w:pPr>
      <w:bookmarkStart w:id="310" w:name="_Toc4565"/>
      <w:bookmarkStart w:id="311" w:name="_Toc19273"/>
      <w:r>
        <w:rPr>
          <w:rFonts w:hint="eastAsia"/>
          <w:b/>
          <w:color w:val="auto"/>
          <w:sz w:val="30"/>
          <w:szCs w:val="30"/>
          <w:highlight w:val="none"/>
          <w:lang w:eastAsia="zh-CN"/>
        </w:rPr>
        <w:t>9.施工安全、治安保卫和环境保护</w:t>
      </w:r>
      <w:bookmarkEnd w:id="310"/>
      <w:bookmarkEnd w:id="311"/>
    </w:p>
    <w:p w14:paraId="101058C2">
      <w:pPr>
        <w:pStyle w:val="39"/>
        <w:keepNext/>
        <w:keepLines/>
        <w:spacing w:before="240" w:after="64" w:line="317" w:lineRule="auto"/>
        <w:outlineLvl w:val="5"/>
        <w:rPr>
          <w:rFonts w:ascii="宋体" w:hAnsi="宋体" w:eastAsia="宋体"/>
          <w:color w:val="auto"/>
          <w:sz w:val="28"/>
          <w:szCs w:val="28"/>
          <w:highlight w:val="none"/>
          <w:lang w:eastAsia="zh-CN"/>
        </w:rPr>
      </w:pPr>
      <w:bookmarkStart w:id="312" w:name="_Toc4828"/>
      <w:bookmarkStart w:id="313" w:name="_Toc23240"/>
      <w:r>
        <w:rPr>
          <w:rFonts w:ascii="宋体" w:hAnsi="宋体" w:eastAsia="宋体"/>
          <w:b/>
          <w:bCs/>
          <w:color w:val="auto"/>
          <w:sz w:val="24"/>
          <w:szCs w:val="24"/>
          <w:highlight w:val="none"/>
          <w:lang w:eastAsia="zh-CN"/>
        </w:rPr>
        <w:t>9.1发包人的施工安全责任</w:t>
      </w:r>
      <w:bookmarkEnd w:id="312"/>
      <w:bookmarkEnd w:id="313"/>
    </w:p>
    <w:p w14:paraId="20E89511">
      <w:pPr>
        <w:pStyle w:val="39"/>
        <w:spacing w:line="35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9.1.1</w:t>
      </w:r>
      <w:r>
        <w:rPr>
          <w:rFonts w:ascii="宋体" w:hAnsi="宋体" w:eastAsia="宋体" w:cs="宋体"/>
          <w:color w:val="auto"/>
          <w:sz w:val="20"/>
          <w:szCs w:val="20"/>
          <w:highlight w:val="none"/>
          <w:lang w:val="zh-CN" w:eastAsia="zh-CN" w:bidi="zh-CN"/>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3AEDD3DB">
      <w:pPr>
        <w:pStyle w:val="39"/>
        <w:spacing w:line="37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9.1.2</w:t>
      </w:r>
      <w:r>
        <w:rPr>
          <w:rFonts w:ascii="宋体" w:hAnsi="宋体" w:eastAsia="宋体" w:cs="宋体"/>
          <w:color w:val="auto"/>
          <w:sz w:val="20"/>
          <w:szCs w:val="20"/>
          <w:highlight w:val="none"/>
          <w:lang w:val="zh-CN" w:eastAsia="zh-CN" w:bidi="zh-CN"/>
        </w:rPr>
        <w:t>发包人应对其现场机构雇佣的全部人员的工伤事故承担责任，但由于承包人原因造成发包人人员工伤的，应由承包人承担责任。</w:t>
      </w:r>
    </w:p>
    <w:p w14:paraId="0EF94FFB">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发包人应负责赔偿以下各种情况造成的第三者人身伤亡和财产损失：</w:t>
      </w:r>
    </w:p>
    <w:p w14:paraId="7F22BC9A">
      <w:pPr>
        <w:pStyle w:val="39"/>
        <w:keepNext w:val="0"/>
        <w:keepLines w:val="0"/>
        <w:pageBreakBefore w:val="0"/>
        <w:widowControl w:val="0"/>
        <w:numPr>
          <w:ilvl w:val="0"/>
          <w:numId w:val="7"/>
        </w:numPr>
        <w:tabs>
          <w:tab w:val="left" w:pos="898"/>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工程或工程的任何部分对土地的占用所造成的第三者财产损失；</w:t>
      </w:r>
    </w:p>
    <w:p w14:paraId="5C9FCAF3">
      <w:pPr>
        <w:pStyle w:val="39"/>
        <w:keepNext w:val="0"/>
        <w:keepLines w:val="0"/>
        <w:pageBreakBefore w:val="0"/>
        <w:widowControl w:val="0"/>
        <w:numPr>
          <w:ilvl w:val="0"/>
          <w:numId w:val="7"/>
        </w:numPr>
        <w:tabs>
          <w:tab w:val="left" w:pos="898"/>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由于发包人原因在施工场地及其毗邻地带造成的第三者人身伤亡和财产损失。</w:t>
      </w:r>
    </w:p>
    <w:p w14:paraId="11BC54B4">
      <w:pPr>
        <w:pStyle w:val="39"/>
        <w:spacing w:line="36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9.1.4</w:t>
      </w:r>
      <w:r>
        <w:rPr>
          <w:rFonts w:ascii="宋体" w:hAnsi="宋体" w:eastAsia="宋体" w:cs="宋体"/>
          <w:color w:val="auto"/>
          <w:sz w:val="20"/>
          <w:szCs w:val="20"/>
          <w:highlight w:val="none"/>
          <w:lang w:val="zh-CN" w:eastAsia="zh-CN" w:bidi="zh-CN"/>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14:paraId="5BCBBE14">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9.1.5</w:t>
      </w:r>
      <w:r>
        <w:rPr>
          <w:rFonts w:ascii="宋体" w:hAnsi="宋体" w:eastAsia="宋体" w:cs="宋体"/>
          <w:color w:val="auto"/>
          <w:sz w:val="20"/>
          <w:szCs w:val="20"/>
          <w:highlight w:val="none"/>
          <w:lang w:val="zh-CN" w:eastAsia="zh-CN" w:bidi="zh-CN"/>
        </w:rPr>
        <w:t>发包人按照已标价工程量清单所列金额和合同约定的计量支付规定，支付安全作业环境及安全施工措施所需费用。</w:t>
      </w:r>
    </w:p>
    <w:p w14:paraId="0545E682">
      <w:pPr>
        <w:pStyle w:val="39"/>
        <w:spacing w:line="37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9.1.6</w:t>
      </w:r>
      <w:r>
        <w:rPr>
          <w:rFonts w:ascii="宋体" w:hAnsi="宋体" w:eastAsia="宋体" w:cs="宋体"/>
          <w:color w:val="auto"/>
          <w:sz w:val="20"/>
          <w:szCs w:val="20"/>
          <w:highlight w:val="none"/>
          <w:lang w:val="zh-CN" w:eastAsia="zh-CN" w:bidi="zh-CN"/>
        </w:rPr>
        <w:t>发包人负责组织工程参建单位编制保证安全生产的措施方案。工程开工前，就 落实安全生产的措施进行全面系统的布置，进一步明确承包人的安全生产责任。</w:t>
      </w:r>
    </w:p>
    <w:p w14:paraId="58D34AB1">
      <w:pPr>
        <w:pStyle w:val="39"/>
        <w:spacing w:after="160" w:line="37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9. 1. </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发包人负责在拆除工程和爆破工程施工</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天前向有关部门或机构报送相关备案资料。</w:t>
      </w:r>
    </w:p>
    <w:p w14:paraId="380FEC9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14" w:name="_Toc15371"/>
      <w:bookmarkStart w:id="315" w:name="_Toc15887"/>
      <w:r>
        <w:rPr>
          <w:rFonts w:ascii="宋体" w:hAnsi="宋体" w:eastAsia="宋体"/>
          <w:b/>
          <w:bCs/>
          <w:color w:val="auto"/>
          <w:sz w:val="24"/>
          <w:szCs w:val="24"/>
          <w:highlight w:val="none"/>
          <w:lang w:eastAsia="zh-CN"/>
        </w:rPr>
        <w:t>9.2承包人的施工安全责任</w:t>
      </w:r>
      <w:bookmarkEnd w:id="314"/>
      <w:bookmarkEnd w:id="315"/>
    </w:p>
    <w:p w14:paraId="63FD5D26">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9. 2.1</w:t>
      </w:r>
      <w:r>
        <w:rPr>
          <w:rFonts w:ascii="宋体" w:hAnsi="宋体" w:eastAsia="宋体" w:cs="宋体"/>
          <w:color w:val="auto"/>
          <w:sz w:val="20"/>
          <w:szCs w:val="20"/>
          <w:highlight w:val="none"/>
          <w:lang w:val="zh-CN" w:eastAsia="zh-CN" w:bidi="zh-CN"/>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14:paraId="75820137">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9. 2.2</w:t>
      </w:r>
      <w:r>
        <w:rPr>
          <w:rFonts w:ascii="宋体" w:hAnsi="宋体" w:eastAsia="宋体" w:cs="宋体"/>
          <w:color w:val="auto"/>
          <w:sz w:val="20"/>
          <w:szCs w:val="20"/>
          <w:highlight w:val="none"/>
          <w:lang w:val="zh-CN" w:eastAsia="zh-CN" w:bidi="zh-CN"/>
        </w:rPr>
        <w:t>承包人应加强施工作业安全管理，特别应加强易燃、易爆材料、火工器材、有毒与腐蚀性材料和其他危险品的管理，以及对爆破作业和地下工程施工等危险作业的管理。</w:t>
      </w:r>
    </w:p>
    <w:p w14:paraId="0BA883A8">
      <w:pPr>
        <w:pStyle w:val="39"/>
        <w:spacing w:line="363"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9.2.3</w:t>
      </w:r>
      <w:r>
        <w:rPr>
          <w:rFonts w:ascii="宋体" w:hAnsi="宋体" w:eastAsia="宋体" w:cs="宋体"/>
          <w:color w:val="auto"/>
          <w:sz w:val="20"/>
          <w:szCs w:val="20"/>
          <w:highlight w:val="none"/>
          <w:lang w:val="zh-CN" w:eastAsia="zh-CN" w:bidi="zh-CN"/>
        </w:rPr>
        <w:t>承包人应严格按照国家安全标准制定施工安全操作规程，配备必要的安全生产 和劳动保护设施，加强对承包人人员的安全教育，并发放安全工作手册和劳动保护用具。</w:t>
      </w:r>
    </w:p>
    <w:p w14:paraId="64A87C85">
      <w:pPr>
        <w:pStyle w:val="39"/>
        <w:spacing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9. 2.4</w:t>
      </w:r>
      <w:r>
        <w:rPr>
          <w:rFonts w:ascii="宋体" w:hAnsi="宋体" w:eastAsia="宋体" w:cs="宋体"/>
          <w:color w:val="auto"/>
          <w:sz w:val="20"/>
          <w:szCs w:val="20"/>
          <w:highlight w:val="none"/>
          <w:lang w:val="zh-CN" w:eastAsia="zh-CN" w:bidi="zh-CN"/>
        </w:rPr>
        <w:t>承包人应按监理人的指示制定应对灾害的紧急预案，报送监理人审批。承包人还应按预案做好安全检查，配置必要的救助物资和器材，切实保护好有关人员的人身和财产安全。</w:t>
      </w:r>
    </w:p>
    <w:p w14:paraId="28B2D597">
      <w:pPr>
        <w:pStyle w:val="39"/>
        <w:spacing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9. 2.5</w:t>
      </w:r>
      <w:r>
        <w:rPr>
          <w:rFonts w:ascii="宋体" w:hAnsi="宋体" w:eastAsia="宋体" w:cs="宋体"/>
          <w:color w:val="auto"/>
          <w:sz w:val="20"/>
          <w:szCs w:val="20"/>
          <w:highlight w:val="none"/>
          <w:lang w:val="zh-CN" w:eastAsia="zh-CN" w:bidi="zh-CN"/>
        </w:rPr>
        <w:t>合同约定的安全作业环境及安全施工措施所需费用应遵守有关规定，并包括在相关工作的合同价格中。因采取合同未约定的安全作业环境及安全施工措施增加的费用，由监理人按第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w:t>
      </w:r>
    </w:p>
    <w:p w14:paraId="5366B706">
      <w:pPr>
        <w:pStyle w:val="39"/>
        <w:spacing w:line="356"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9. 2.6</w:t>
      </w:r>
      <w:r>
        <w:rPr>
          <w:rFonts w:ascii="宋体" w:hAnsi="宋体" w:eastAsia="宋体" w:cs="宋体"/>
          <w:color w:val="auto"/>
          <w:sz w:val="20"/>
          <w:szCs w:val="20"/>
          <w:highlight w:val="none"/>
          <w:lang w:val="zh-CN" w:eastAsia="zh-CN" w:bidi="zh-CN"/>
        </w:rPr>
        <w:t>承包人应对其履行合同所雇佣的全部人员，包括分包人人员的工伤事故承担责任，但由于发包人原因造成承包人人员工伤事故的，应由发包人承担责任。</w:t>
      </w:r>
    </w:p>
    <w:p w14:paraId="2F9BEE35">
      <w:pPr>
        <w:pStyle w:val="39"/>
        <w:spacing w:line="37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9. 2. </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由于承包人原因在施工场地内及其毗邻地带造成的第三者人员伤亡和财产损失，由承包人负责赔偿。</w:t>
      </w:r>
    </w:p>
    <w:p w14:paraId="1F26FF6A">
      <w:pPr>
        <w:pStyle w:val="39"/>
        <w:spacing w:line="36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9. 2. </w:t>
      </w:r>
      <w:r>
        <w:rPr>
          <w:color w:val="auto"/>
          <w:sz w:val="20"/>
          <w:szCs w:val="20"/>
          <w:highlight w:val="none"/>
          <w:lang w:val="zh-CN" w:eastAsia="zh-CN" w:bidi="zh-CN"/>
        </w:rPr>
        <w:t>8</w:t>
      </w:r>
      <w:r>
        <w:rPr>
          <w:rFonts w:ascii="宋体" w:hAnsi="宋体" w:eastAsia="宋体" w:cs="宋体"/>
          <w:color w:val="auto"/>
          <w:sz w:val="20"/>
          <w:szCs w:val="20"/>
          <w:highlight w:val="none"/>
          <w:lang w:val="zh-CN" w:eastAsia="zh-CN" w:bidi="zh-CN"/>
        </w:rPr>
        <w:t>承包人已标价工程量清单应包含工程安全作业环境及安全施工措施所需费用。</w:t>
      </w:r>
    </w:p>
    <w:p w14:paraId="21D8C2E1">
      <w:pPr>
        <w:pStyle w:val="39"/>
        <w:spacing w:line="36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9.2.9</w:t>
      </w:r>
      <w:r>
        <w:rPr>
          <w:rFonts w:ascii="宋体" w:hAnsi="宋体" w:eastAsia="宋体" w:cs="宋体"/>
          <w:color w:val="auto"/>
          <w:sz w:val="20"/>
          <w:szCs w:val="20"/>
          <w:highlight w:val="none"/>
          <w:lang w:val="zh-CN" w:eastAsia="zh-CN" w:bidi="zh-CN"/>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14:paraId="60845E4B">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9. 2. </w:t>
      </w:r>
      <w:r>
        <w:rPr>
          <w:color w:val="auto"/>
          <w:sz w:val="20"/>
          <w:szCs w:val="20"/>
          <w:highlight w:val="none"/>
          <w:lang w:val="zh-CN" w:eastAsia="zh-CN" w:bidi="zh-CN"/>
        </w:rPr>
        <w:t>10</w:t>
      </w:r>
      <w:r>
        <w:rPr>
          <w:rFonts w:ascii="宋体" w:hAnsi="宋体" w:eastAsia="宋体" w:cs="宋体"/>
          <w:color w:val="auto"/>
          <w:sz w:val="20"/>
          <w:szCs w:val="20"/>
          <w:highlight w:val="none"/>
          <w:lang w:val="zh-CN" w:eastAsia="zh-CN" w:bidi="zh-CN"/>
        </w:rPr>
        <w:t>承包人应设立安全生产管理机构，施工现场应有专职安全生产管理人员。</w:t>
      </w:r>
    </w:p>
    <w:p w14:paraId="2B0552D7">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9. 2.11</w:t>
      </w:r>
      <w:r>
        <w:rPr>
          <w:rFonts w:ascii="宋体" w:hAnsi="宋体" w:eastAsia="宋体" w:cs="宋体"/>
          <w:color w:val="auto"/>
          <w:sz w:val="20"/>
          <w:szCs w:val="20"/>
          <w:highlight w:val="none"/>
          <w:lang w:val="zh-CN" w:eastAsia="zh-CN" w:bidi="zh-CN"/>
        </w:rPr>
        <w:t>承包人应负责对特种作业人员进行专门的安全作业培训，并保证特种作业人员持证上岗。</w:t>
      </w:r>
    </w:p>
    <w:p w14:paraId="1E7E99AA">
      <w:pPr>
        <w:pStyle w:val="39"/>
        <w:spacing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9. 2. </w:t>
      </w:r>
      <w:r>
        <w:rPr>
          <w:color w:val="auto"/>
          <w:sz w:val="20"/>
          <w:szCs w:val="20"/>
          <w:highlight w:val="none"/>
          <w:lang w:val="zh-CN" w:eastAsia="zh-CN" w:bidi="zh-CN"/>
        </w:rPr>
        <w:t>12</w:t>
      </w:r>
      <w:r>
        <w:rPr>
          <w:rFonts w:ascii="宋体" w:hAnsi="宋体" w:eastAsia="宋体" w:cs="宋体"/>
          <w:color w:val="auto"/>
          <w:sz w:val="20"/>
          <w:szCs w:val="20"/>
          <w:highlight w:val="none"/>
          <w:lang w:val="zh-CN" w:eastAsia="zh-CN" w:bidi="zh-CN"/>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color w:val="auto"/>
          <w:sz w:val="20"/>
          <w:szCs w:val="20"/>
          <w:highlight w:val="none"/>
          <w:lang w:val="zh-CN" w:eastAsia="zh-CN" w:bidi="zh-CN"/>
        </w:rPr>
        <w:t>1/2</w:t>
      </w:r>
      <w:r>
        <w:rPr>
          <w:rFonts w:ascii="宋体" w:hAnsi="宋体" w:eastAsia="宋体" w:cs="宋体"/>
          <w:color w:val="auto"/>
          <w:sz w:val="20"/>
          <w:szCs w:val="20"/>
          <w:highlight w:val="none"/>
          <w:lang w:val="zh-CN" w:eastAsia="zh-CN" w:bidi="zh-CN"/>
        </w:rPr>
        <w:t>人员应经发包人同意。</w:t>
      </w:r>
    </w:p>
    <w:p w14:paraId="5EBBD190">
      <w:pPr>
        <w:pStyle w:val="39"/>
        <w:spacing w:after="140"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9. 2. </w:t>
      </w:r>
      <w:r>
        <w:rPr>
          <w:color w:val="auto"/>
          <w:sz w:val="20"/>
          <w:szCs w:val="20"/>
          <w:highlight w:val="none"/>
          <w:lang w:val="zh-CN" w:eastAsia="zh-CN" w:bidi="zh-CN"/>
        </w:rPr>
        <w:t>13</w:t>
      </w:r>
      <w:r>
        <w:rPr>
          <w:rFonts w:ascii="宋体" w:hAnsi="宋体" w:eastAsia="宋体" w:cs="宋体"/>
          <w:color w:val="auto"/>
          <w:sz w:val="20"/>
          <w:szCs w:val="20"/>
          <w:highlight w:val="none"/>
          <w:lang w:val="zh-CN" w:eastAsia="zh-CN" w:bidi="zh-CN"/>
        </w:rPr>
        <w:t>承包人在使用施工起重机构和整体提升脚手架、模板等自升式架设设施前, 应组织有关单位进行验收。</w:t>
      </w:r>
    </w:p>
    <w:p w14:paraId="297D82CA">
      <w:pPr>
        <w:pStyle w:val="39"/>
        <w:keepNext/>
        <w:keepLines/>
        <w:spacing w:before="240" w:after="64" w:line="317" w:lineRule="auto"/>
        <w:outlineLvl w:val="5"/>
        <w:rPr>
          <w:rFonts w:ascii="宋体" w:hAnsi="宋体" w:eastAsia="宋体"/>
          <w:color w:val="auto"/>
          <w:sz w:val="28"/>
          <w:szCs w:val="28"/>
          <w:highlight w:val="none"/>
          <w:lang w:eastAsia="zh-CN"/>
        </w:rPr>
      </w:pPr>
      <w:bookmarkStart w:id="316" w:name="_Toc18916"/>
      <w:bookmarkStart w:id="317" w:name="_Toc5467"/>
      <w:r>
        <w:rPr>
          <w:rFonts w:ascii="宋体" w:hAnsi="宋体" w:eastAsia="宋体"/>
          <w:b/>
          <w:bCs/>
          <w:color w:val="auto"/>
          <w:sz w:val="24"/>
          <w:szCs w:val="24"/>
          <w:highlight w:val="none"/>
          <w:lang w:eastAsia="zh-CN"/>
        </w:rPr>
        <w:t>9.3治安保卫</w:t>
      </w:r>
      <w:bookmarkEnd w:id="316"/>
      <w:bookmarkEnd w:id="317"/>
    </w:p>
    <w:p w14:paraId="5B5F3D0C">
      <w:pPr>
        <w:pStyle w:val="39"/>
        <w:spacing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9.3.1</w:t>
      </w:r>
      <w:r>
        <w:rPr>
          <w:rFonts w:ascii="宋体" w:hAnsi="宋体" w:eastAsia="宋体" w:cs="宋体"/>
          <w:color w:val="auto"/>
          <w:sz w:val="20"/>
          <w:szCs w:val="20"/>
          <w:highlight w:val="none"/>
          <w:lang w:val="zh-CN" w:eastAsia="zh-CN" w:bidi="zh-CN"/>
        </w:rPr>
        <w:t>除合同另有约定外，发包人应与当地公安部门协商，在现场建立治安管理机构或联防组织，统一管理施工场地的治安保卫事项，履行合同工程的治安保卫职责。</w:t>
      </w:r>
    </w:p>
    <w:p w14:paraId="0620D1A3">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9. 3.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发包人和承包人除应协助现场治安管理机构或联防组织维护施工场地的社会治安外，还应做好包括生活区在内的各自管辖区的治安保卫工作。</w:t>
      </w:r>
    </w:p>
    <w:p w14:paraId="01E7230C">
      <w:pPr>
        <w:pStyle w:val="39"/>
        <w:spacing w:after="140"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9.3.3</w:t>
      </w:r>
      <w:r>
        <w:rPr>
          <w:rFonts w:ascii="宋体" w:hAnsi="宋体" w:eastAsia="宋体" w:cs="宋体"/>
          <w:color w:val="auto"/>
          <w:sz w:val="20"/>
          <w:szCs w:val="20"/>
          <w:highlight w:val="none"/>
          <w:lang w:val="zh-CN" w:eastAsia="zh-CN" w:bidi="zh-CN"/>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2419757">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18" w:name="_Toc1162"/>
      <w:bookmarkStart w:id="319" w:name="_Toc15828"/>
      <w:r>
        <w:rPr>
          <w:rFonts w:ascii="宋体" w:hAnsi="宋体" w:eastAsia="宋体"/>
          <w:b/>
          <w:bCs/>
          <w:color w:val="auto"/>
          <w:sz w:val="24"/>
          <w:szCs w:val="24"/>
          <w:highlight w:val="none"/>
          <w:lang w:eastAsia="zh-CN"/>
        </w:rPr>
        <w:t>9.4环境保护</w:t>
      </w:r>
      <w:bookmarkEnd w:id="318"/>
      <w:bookmarkEnd w:id="319"/>
    </w:p>
    <w:p w14:paraId="7A395E5F">
      <w:pPr>
        <w:pStyle w:val="39"/>
        <w:spacing w:line="37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9.4.1</w:t>
      </w:r>
      <w:r>
        <w:rPr>
          <w:rFonts w:ascii="宋体" w:hAnsi="宋体" w:eastAsia="宋体" w:cs="宋体"/>
          <w:color w:val="auto"/>
          <w:sz w:val="20"/>
          <w:szCs w:val="20"/>
          <w:highlight w:val="none"/>
          <w:lang w:val="zh-CN" w:eastAsia="zh-CN" w:bidi="zh-CN"/>
        </w:rPr>
        <w:t>承包人在施工过程中，应遵守有关环境保护的法律，履行合同约定的环境保护义务，并对违反法律和合同约定义务所造成的环境破坏、人身伤害和财产损失负责。</w:t>
      </w:r>
    </w:p>
    <w:p w14:paraId="7D1A2A39">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9. 4.2</w:t>
      </w:r>
      <w:r>
        <w:rPr>
          <w:rFonts w:ascii="宋体" w:hAnsi="宋体" w:eastAsia="宋体" w:cs="宋体"/>
          <w:color w:val="auto"/>
          <w:sz w:val="20"/>
          <w:szCs w:val="20"/>
          <w:highlight w:val="none"/>
          <w:lang w:val="zh-CN" w:eastAsia="zh-CN" w:bidi="zh-CN"/>
        </w:rPr>
        <w:t>承包人应按合同约定的环保工作内容，编制施工环保措施计划，报送监理人审批。</w:t>
      </w:r>
    </w:p>
    <w:p w14:paraId="4CB6E3F6">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9.4.3</w:t>
      </w:r>
      <w:r>
        <w:rPr>
          <w:rFonts w:ascii="宋体" w:hAnsi="宋体" w:eastAsia="宋体" w:cs="宋体"/>
          <w:color w:val="auto"/>
          <w:sz w:val="20"/>
          <w:szCs w:val="20"/>
          <w:highlight w:val="none"/>
          <w:lang w:val="zh-CN" w:eastAsia="zh-CN" w:bidi="zh-CN"/>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40FC5323">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9.4.4</w:t>
      </w:r>
      <w:r>
        <w:rPr>
          <w:rFonts w:ascii="宋体" w:hAnsi="宋体" w:eastAsia="宋体" w:cs="宋体"/>
          <w:color w:val="auto"/>
          <w:sz w:val="20"/>
          <w:szCs w:val="20"/>
          <w:highlight w:val="none"/>
          <w:lang w:val="zh-CN" w:eastAsia="zh-CN" w:bidi="zh-CN"/>
        </w:rPr>
        <w:t>承包人应按合同约定采取有效措施，对施工开挖的边坡及时进行支护，维护排 水设施，并进行水土保护，避免因施工造成的地质灾害。</w:t>
      </w:r>
    </w:p>
    <w:p w14:paraId="0D0AED28">
      <w:pPr>
        <w:pStyle w:val="39"/>
        <w:spacing w:after="140"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9. 4.5</w:t>
      </w:r>
      <w:r>
        <w:rPr>
          <w:rFonts w:ascii="宋体" w:hAnsi="宋体" w:eastAsia="宋体" w:cs="宋体"/>
          <w:color w:val="auto"/>
          <w:sz w:val="20"/>
          <w:szCs w:val="20"/>
          <w:highlight w:val="none"/>
          <w:lang w:val="zh-CN" w:eastAsia="zh-CN" w:bidi="zh-CN"/>
        </w:rPr>
        <w:t>承包人应按国家饮用水管理标准定期对饮用水源进行监测，防止施工活动污染</w:t>
      </w:r>
    </w:p>
    <w:p w14:paraId="67F5CFBC">
      <w:pPr>
        <w:pStyle w:val="39"/>
        <w:spacing w:after="1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饮用水源。</w:t>
      </w:r>
    </w:p>
    <w:p w14:paraId="4D80B119">
      <w:pPr>
        <w:pStyle w:val="39"/>
        <w:spacing w:after="120"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9. 4.6</w:t>
      </w:r>
      <w:r>
        <w:rPr>
          <w:rFonts w:ascii="宋体" w:hAnsi="宋体" w:eastAsia="宋体" w:cs="宋体"/>
          <w:color w:val="auto"/>
          <w:sz w:val="20"/>
          <w:szCs w:val="20"/>
          <w:highlight w:val="none"/>
          <w:lang w:val="zh-CN" w:eastAsia="zh-CN" w:bidi="zh-CN"/>
        </w:rPr>
        <w:t>承包人应按合同约定，加强对噪声、粉尘、废气、废水和废油的控制，努力降低噪声，控制粉尘和废气浓度，做好废水和废油的治理和排放。</w:t>
      </w:r>
    </w:p>
    <w:p w14:paraId="7E53013E">
      <w:pPr>
        <w:pStyle w:val="39"/>
        <w:keepNext/>
        <w:keepLines/>
        <w:spacing w:before="240" w:after="64" w:line="317" w:lineRule="auto"/>
        <w:outlineLvl w:val="5"/>
        <w:rPr>
          <w:rFonts w:ascii="宋体" w:hAnsi="宋体" w:eastAsia="宋体"/>
          <w:color w:val="auto"/>
          <w:sz w:val="28"/>
          <w:szCs w:val="28"/>
          <w:highlight w:val="none"/>
          <w:lang w:eastAsia="zh-CN"/>
        </w:rPr>
      </w:pPr>
      <w:bookmarkStart w:id="320" w:name="_Toc26333"/>
      <w:bookmarkStart w:id="321" w:name="_Toc25627"/>
      <w:r>
        <w:rPr>
          <w:rFonts w:ascii="宋体" w:hAnsi="宋体" w:eastAsia="宋体"/>
          <w:b/>
          <w:bCs/>
          <w:color w:val="auto"/>
          <w:sz w:val="24"/>
          <w:szCs w:val="24"/>
          <w:highlight w:val="none"/>
          <w:lang w:eastAsia="zh-CN"/>
        </w:rPr>
        <w:t>9.5事故处理</w:t>
      </w:r>
      <w:bookmarkEnd w:id="320"/>
      <w:bookmarkEnd w:id="321"/>
    </w:p>
    <w:p w14:paraId="4EF0CD87">
      <w:pPr>
        <w:pStyle w:val="39"/>
        <w:spacing w:line="37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9. 5.1</w:t>
      </w:r>
      <w:r>
        <w:rPr>
          <w:rFonts w:ascii="宋体" w:hAnsi="宋体" w:eastAsia="宋体" w:cs="宋体"/>
          <w:color w:val="auto"/>
          <w:sz w:val="20"/>
          <w:szCs w:val="20"/>
          <w:highlight w:val="none"/>
          <w:lang w:val="zh-CN" w:eastAsia="zh-CN" w:bidi="zh-CN"/>
        </w:rPr>
        <w:t>发包人负责组织参建单位制定本工程的质量与安全事故应急预案，建立质量与安全事故应急处置指挥部。</w:t>
      </w:r>
    </w:p>
    <w:p w14:paraId="034E351D">
      <w:pPr>
        <w:pStyle w:val="39"/>
        <w:spacing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9. 5.2</w:t>
      </w:r>
      <w:r>
        <w:rPr>
          <w:rFonts w:ascii="宋体" w:hAnsi="宋体" w:eastAsia="宋体" w:cs="宋体"/>
          <w:color w:val="auto"/>
          <w:sz w:val="20"/>
          <w:szCs w:val="20"/>
          <w:highlight w:val="none"/>
          <w:lang w:val="zh-CN" w:eastAsia="zh-CN" w:bidi="zh-CN"/>
        </w:rPr>
        <w:t>承包人应对施工现场易发生重大事故的部位、环节的进行监控，配备救援器材、设备，并定期组织演练。</w:t>
      </w:r>
    </w:p>
    <w:p w14:paraId="13613638">
      <w:pPr>
        <w:pStyle w:val="39"/>
        <w:spacing w:after="120" w:line="374"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9.5.3</w:t>
      </w:r>
      <w:r>
        <w:rPr>
          <w:rFonts w:ascii="宋体" w:hAnsi="宋体" w:eastAsia="宋体" w:cs="宋体"/>
          <w:color w:val="auto"/>
          <w:sz w:val="20"/>
          <w:szCs w:val="20"/>
          <w:highlight w:val="none"/>
          <w:lang w:val="zh-CN" w:eastAsia="zh-CN" w:bidi="zh-CN"/>
        </w:rPr>
        <w:t>工程开工前，承包人应根据本工程特点制定施工现场施工质量与安全事故应急预案，并报发包人备案。</w:t>
      </w:r>
    </w:p>
    <w:p w14:paraId="7D5FB8FC">
      <w:pPr>
        <w:pStyle w:val="39"/>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9. 5.4</w:t>
      </w:r>
      <w:r>
        <w:rPr>
          <w:rFonts w:ascii="宋体" w:hAnsi="宋体" w:eastAsia="宋体" w:cs="宋体"/>
          <w:color w:val="auto"/>
          <w:sz w:val="20"/>
          <w:szCs w:val="20"/>
          <w:highlight w:val="none"/>
          <w:lang w:val="zh-CN" w:eastAsia="zh-CN" w:bidi="zh-CN"/>
        </w:rPr>
        <w:t>施工过程中发生事故时，发包人、承包人应立即启动应急预案。</w:t>
      </w:r>
    </w:p>
    <w:p w14:paraId="495CF558">
      <w:pPr>
        <w:pStyle w:val="39"/>
        <w:spacing w:after="120" w:line="367"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9. 5.5</w:t>
      </w:r>
      <w:r>
        <w:rPr>
          <w:rFonts w:ascii="宋体" w:hAnsi="宋体" w:eastAsia="宋体" w:cs="宋体"/>
          <w:color w:val="auto"/>
          <w:sz w:val="20"/>
          <w:szCs w:val="20"/>
          <w:highlight w:val="none"/>
          <w:lang w:val="zh-CN" w:eastAsia="zh-CN" w:bidi="zh-CN"/>
        </w:rPr>
        <w:t>事故调查处理由发包人按相关规定履行手续，承包人应配合。</w:t>
      </w:r>
    </w:p>
    <w:p w14:paraId="6846E74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22" w:name="_Toc7010"/>
      <w:bookmarkStart w:id="323" w:name="_Toc17153"/>
      <w:r>
        <w:rPr>
          <w:rFonts w:ascii="宋体" w:hAnsi="宋体" w:eastAsia="宋体"/>
          <w:b/>
          <w:bCs/>
          <w:color w:val="auto"/>
          <w:sz w:val="24"/>
          <w:szCs w:val="24"/>
          <w:highlight w:val="none"/>
          <w:lang w:eastAsia="zh-CN"/>
        </w:rPr>
        <w:t>9.6水土保持</w:t>
      </w:r>
      <w:bookmarkEnd w:id="322"/>
      <w:bookmarkEnd w:id="323"/>
    </w:p>
    <w:p w14:paraId="3446959E">
      <w:pPr>
        <w:pStyle w:val="39"/>
        <w:spacing w:line="379"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9. 6.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发包人应及时向承包人提供水土保持方案。</w:t>
      </w:r>
    </w:p>
    <w:p w14:paraId="4E6DB085">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9. 6.2</w:t>
      </w:r>
      <w:r>
        <w:rPr>
          <w:rFonts w:ascii="宋体" w:hAnsi="宋体" w:eastAsia="宋体" w:cs="宋体"/>
          <w:color w:val="auto"/>
          <w:sz w:val="20"/>
          <w:szCs w:val="20"/>
          <w:highlight w:val="none"/>
          <w:lang w:val="zh-CN" w:eastAsia="zh-CN" w:bidi="zh-CN"/>
        </w:rPr>
        <w:t>承包人在施工过程中，应遵守有关水土保持的法律法规和规章，履行合同约定的水土保持义务，并对其违反法律和合同约定义务所造成的水土流失灾害、人身伤害和财 产损失负责。</w:t>
      </w:r>
    </w:p>
    <w:p w14:paraId="34345923">
      <w:pPr>
        <w:pStyle w:val="39"/>
        <w:spacing w:after="120" w:line="367"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9.6.3</w:t>
      </w:r>
      <w:r>
        <w:rPr>
          <w:rFonts w:ascii="宋体" w:hAnsi="宋体" w:eastAsia="宋体" w:cs="宋体"/>
          <w:color w:val="auto"/>
          <w:sz w:val="20"/>
          <w:szCs w:val="20"/>
          <w:highlight w:val="none"/>
          <w:lang w:val="zh-CN" w:eastAsia="zh-CN" w:bidi="zh-CN"/>
        </w:rPr>
        <w:t>承包人的水土保持措施计划，应满足技术标准和要求（合同技术条款）约定的要求。</w:t>
      </w:r>
    </w:p>
    <w:p w14:paraId="1F92F1D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24" w:name="_Toc7075"/>
      <w:bookmarkStart w:id="325" w:name="_Toc14186"/>
      <w:r>
        <w:rPr>
          <w:rFonts w:ascii="宋体" w:hAnsi="宋体" w:eastAsia="宋体"/>
          <w:b/>
          <w:bCs/>
          <w:color w:val="auto"/>
          <w:sz w:val="24"/>
          <w:szCs w:val="24"/>
          <w:highlight w:val="none"/>
          <w:lang w:eastAsia="zh-CN"/>
        </w:rPr>
        <w:t>9.7文明工地</w:t>
      </w:r>
      <w:bookmarkEnd w:id="324"/>
      <w:bookmarkEnd w:id="325"/>
    </w:p>
    <w:p w14:paraId="163C3E76">
      <w:pPr>
        <w:pStyle w:val="39"/>
        <w:spacing w:line="37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9.7.1</w:t>
      </w:r>
      <w:r>
        <w:rPr>
          <w:rFonts w:ascii="宋体" w:hAnsi="宋体" w:eastAsia="宋体" w:cs="宋体"/>
          <w:color w:val="auto"/>
          <w:sz w:val="20"/>
          <w:szCs w:val="20"/>
          <w:highlight w:val="none"/>
          <w:lang w:val="zh-CN" w:eastAsia="zh-CN" w:bidi="zh-CN"/>
        </w:rPr>
        <w:t>发包人应按专用合同条款的约定，负责建立创建文明建设工地的组织机构，制定创建文明建设工地的规划和办法。</w:t>
      </w:r>
    </w:p>
    <w:p w14:paraId="4767C270">
      <w:pPr>
        <w:pStyle w:val="39"/>
        <w:spacing w:after="120" w:line="37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9.7.2</w:t>
      </w:r>
      <w:r>
        <w:rPr>
          <w:rFonts w:ascii="宋体" w:hAnsi="宋体" w:eastAsia="宋体" w:cs="宋体"/>
          <w:color w:val="auto"/>
          <w:sz w:val="20"/>
          <w:szCs w:val="20"/>
          <w:highlight w:val="none"/>
          <w:lang w:val="zh-CN" w:eastAsia="zh-CN" w:bidi="zh-CN"/>
        </w:rPr>
        <w:t>承包人应按创建文明建设工地的规划和办法，履行职责，承担相应责任。所需费用应含在已标价工程量清单中。</w:t>
      </w:r>
    </w:p>
    <w:p w14:paraId="68F5082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26" w:name="_Toc31570"/>
      <w:bookmarkStart w:id="327" w:name="_Toc18724"/>
      <w:r>
        <w:rPr>
          <w:rFonts w:ascii="宋体" w:hAnsi="宋体" w:eastAsia="宋体"/>
          <w:b/>
          <w:bCs/>
          <w:color w:val="auto"/>
          <w:sz w:val="24"/>
          <w:szCs w:val="24"/>
          <w:highlight w:val="none"/>
          <w:lang w:eastAsia="zh-CN"/>
        </w:rPr>
        <w:t>9.8防汛度汛</w:t>
      </w:r>
      <w:bookmarkEnd w:id="326"/>
      <w:bookmarkEnd w:id="327"/>
    </w:p>
    <w:p w14:paraId="11BF8D0F">
      <w:pPr>
        <w:pStyle w:val="39"/>
        <w:spacing w:line="382"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9. 8.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发包人负责组织工程参建单位编制本工程的度汛方案和措施。</w:t>
      </w:r>
    </w:p>
    <w:p w14:paraId="4EFAF5C1">
      <w:pPr>
        <w:pStyle w:val="39"/>
        <w:spacing w:after="280" w:line="365"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9.8.2</w:t>
      </w:r>
      <w:r>
        <w:rPr>
          <w:rFonts w:ascii="宋体" w:hAnsi="宋体" w:eastAsia="宋体" w:cs="宋体"/>
          <w:color w:val="auto"/>
          <w:sz w:val="20"/>
          <w:szCs w:val="20"/>
          <w:highlight w:val="none"/>
          <w:lang w:val="zh-CN" w:eastAsia="zh-CN" w:bidi="zh-CN"/>
        </w:rPr>
        <w:t>承包人应根据发包人编制的本工程度汛方案和措施，制定相应的度汛方案，报发包人批准后实施。</w:t>
      </w:r>
    </w:p>
    <w:p w14:paraId="44F0E0ED">
      <w:pPr>
        <w:pStyle w:val="39"/>
        <w:keepNext/>
        <w:keepLines/>
        <w:spacing w:before="280" w:after="290" w:line="372" w:lineRule="auto"/>
        <w:outlineLvl w:val="4"/>
        <w:rPr>
          <w:rFonts w:hint="eastAsia"/>
          <w:b/>
          <w:color w:val="auto"/>
          <w:sz w:val="30"/>
          <w:szCs w:val="30"/>
          <w:highlight w:val="none"/>
          <w:lang w:eastAsia="zh-CN"/>
        </w:rPr>
      </w:pPr>
      <w:bookmarkStart w:id="328" w:name="_Toc736"/>
      <w:bookmarkStart w:id="329" w:name="_Toc27334"/>
      <w:r>
        <w:rPr>
          <w:rFonts w:hint="eastAsia"/>
          <w:b/>
          <w:color w:val="auto"/>
          <w:sz w:val="30"/>
          <w:szCs w:val="30"/>
          <w:highlight w:val="none"/>
          <w:lang w:eastAsia="zh-CN"/>
        </w:rPr>
        <w:t>10.进度计划</w:t>
      </w:r>
      <w:bookmarkEnd w:id="328"/>
      <w:bookmarkEnd w:id="329"/>
    </w:p>
    <w:p w14:paraId="19E6047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30" w:name="_Toc22110"/>
      <w:bookmarkStart w:id="331" w:name="_Toc24722"/>
      <w:r>
        <w:rPr>
          <w:rFonts w:ascii="宋体" w:hAnsi="宋体" w:eastAsia="宋体"/>
          <w:b/>
          <w:bCs/>
          <w:color w:val="auto"/>
          <w:sz w:val="24"/>
          <w:szCs w:val="24"/>
          <w:highlight w:val="none"/>
          <w:lang w:eastAsia="zh-CN"/>
        </w:rPr>
        <w:t>10.1合同进度计划</w:t>
      </w:r>
      <w:bookmarkEnd w:id="330"/>
      <w:bookmarkEnd w:id="331"/>
    </w:p>
    <w:p w14:paraId="3CDF5862">
      <w:pPr>
        <w:pStyle w:val="39"/>
        <w:spacing w:after="120"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14:paraId="51E47C7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32" w:name="_Toc25418"/>
      <w:bookmarkStart w:id="333" w:name="_Toc29147"/>
      <w:r>
        <w:rPr>
          <w:rFonts w:ascii="宋体" w:hAnsi="宋体" w:eastAsia="宋体"/>
          <w:b/>
          <w:bCs/>
          <w:color w:val="auto"/>
          <w:sz w:val="24"/>
          <w:szCs w:val="24"/>
          <w:highlight w:val="none"/>
          <w:lang w:eastAsia="zh-CN"/>
        </w:rPr>
        <w:t>10.2合同进度计划的修订</w:t>
      </w:r>
      <w:bookmarkEnd w:id="332"/>
      <w:bookmarkEnd w:id="333"/>
    </w:p>
    <w:p w14:paraId="786197E1">
      <w:pPr>
        <w:pStyle w:val="39"/>
        <w:spacing w:line="367"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不论何种原因造成工程的实际进度与第</w:t>
      </w:r>
      <w:r>
        <w:rPr>
          <w:color w:val="auto"/>
          <w:sz w:val="20"/>
          <w:szCs w:val="20"/>
          <w:highlight w:val="none"/>
          <w:lang w:eastAsia="zh-CN"/>
        </w:rPr>
        <w:t xml:space="preserve">10.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 xml:space="preserve">款的合同进度计划不符时，承包人均应在 </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天内向监理人提交修订合同进度计划的申请报告，并附有关措施和相关资料，报监理人审批；监理人应在收到申请报告后的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天内批复。当监理人认为需要修订合同进度计划 时，承包人应按监理人的指示，在</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天内向监理人提交修订的合同进度计划，并附调整计 划的相关资料，提交监理人审批。监理人应在收到进度计划后的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天内批复。</w:t>
      </w:r>
    </w:p>
    <w:p w14:paraId="2DD8A68B">
      <w:pPr>
        <w:pStyle w:val="39"/>
        <w:spacing w:after="160" w:line="35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color w:val="auto"/>
          <w:sz w:val="20"/>
          <w:szCs w:val="20"/>
          <w:highlight w:val="none"/>
          <w:lang w:eastAsia="zh-CN"/>
        </w:rPr>
        <w:t xml:space="preserve">11.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款的约定办理；由于承包人原因造成施工进度延迟，应按第</w:t>
      </w:r>
      <w:r>
        <w:rPr>
          <w:rFonts w:hint="eastAsia" w:eastAsia="宋体"/>
          <w:color w:val="auto"/>
          <w:sz w:val="20"/>
          <w:szCs w:val="20"/>
          <w:highlight w:val="none"/>
          <w:lang w:eastAsia="zh-CN"/>
        </w:rPr>
        <w:t>11</w:t>
      </w:r>
      <w:r>
        <w:rPr>
          <w:color w:val="auto"/>
          <w:sz w:val="20"/>
          <w:szCs w:val="20"/>
          <w:highlight w:val="none"/>
          <w:lang w:eastAsia="zh-CN"/>
        </w:rPr>
        <w:t xml:space="preserve">.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款的约定办理。</w:t>
      </w:r>
    </w:p>
    <w:p w14:paraId="646D448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34" w:name="_Toc18906"/>
      <w:bookmarkStart w:id="335" w:name="_Toc26771"/>
      <w:r>
        <w:rPr>
          <w:rFonts w:ascii="宋体" w:hAnsi="宋体" w:eastAsia="宋体"/>
          <w:b/>
          <w:bCs/>
          <w:color w:val="auto"/>
          <w:sz w:val="24"/>
          <w:szCs w:val="24"/>
          <w:highlight w:val="none"/>
          <w:lang w:eastAsia="zh-CN"/>
        </w:rPr>
        <w:t>10.3单位工程进度计划</w:t>
      </w:r>
      <w:bookmarkEnd w:id="334"/>
      <w:bookmarkEnd w:id="335"/>
    </w:p>
    <w:p w14:paraId="243BCF05">
      <w:pPr>
        <w:pStyle w:val="39"/>
        <w:spacing w:after="160" w:line="35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监理人认为有必要时，承包人应按监理人指示的内容和期限，并根据合同进度计划的进度控制要求，编制单位工程进度计划，提交监理人审批。</w:t>
      </w:r>
    </w:p>
    <w:p w14:paraId="5748FAE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36" w:name="_Toc14560"/>
      <w:bookmarkStart w:id="337" w:name="_Toc18335"/>
      <w:r>
        <w:rPr>
          <w:rFonts w:ascii="宋体" w:hAnsi="宋体" w:eastAsia="宋体"/>
          <w:b/>
          <w:bCs/>
          <w:color w:val="auto"/>
          <w:sz w:val="24"/>
          <w:szCs w:val="24"/>
          <w:highlight w:val="none"/>
          <w:lang w:eastAsia="zh-CN"/>
        </w:rPr>
        <w:t>10.4提交资金流估算表</w:t>
      </w:r>
      <w:bookmarkEnd w:id="336"/>
      <w:bookmarkEnd w:id="337"/>
    </w:p>
    <w:p w14:paraId="34602825">
      <w:pPr>
        <w:pStyle w:val="39"/>
        <w:spacing w:after="340" w:line="35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承包人应在按第</w:t>
      </w:r>
      <w:r>
        <w:rPr>
          <w:color w:val="auto"/>
          <w:sz w:val="20"/>
          <w:szCs w:val="20"/>
          <w:highlight w:val="none"/>
          <w:lang w:eastAsia="zh-CN"/>
        </w:rPr>
        <w:t xml:space="preserve">10.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6680FC95">
      <w:pPr>
        <w:pStyle w:val="39"/>
        <w:tabs>
          <w:tab w:val="left" w:pos="3329"/>
        </w:tabs>
        <w:spacing w:after="100" w:line="350" w:lineRule="exact"/>
        <w:jc w:val="center"/>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资金流估算表（参考格式）</w:t>
      </w:r>
      <w:r>
        <w:rPr>
          <w:rFonts w:ascii="宋体" w:hAnsi="宋体" w:eastAsia="宋体" w:cs="宋体"/>
          <w:color w:val="auto"/>
          <w:sz w:val="20"/>
          <w:szCs w:val="20"/>
          <w:highlight w:val="none"/>
          <w:lang w:val="zh-CN" w:eastAsia="zh-CN" w:bidi="zh-CN"/>
        </w:rPr>
        <w:tab/>
      </w:r>
      <w:r>
        <w:rPr>
          <w:rFonts w:ascii="宋体" w:hAnsi="宋体" w:eastAsia="宋体" w:cs="宋体"/>
          <w:color w:val="auto"/>
          <w:sz w:val="20"/>
          <w:szCs w:val="20"/>
          <w:highlight w:val="none"/>
          <w:lang w:val="zh-CN" w:eastAsia="zh-CN" w:bidi="zh-CN"/>
        </w:rPr>
        <w:t>金额单位</w:t>
      </w:r>
    </w:p>
    <w:tbl>
      <w:tblPr>
        <w:tblStyle w:val="27"/>
        <w:tblW w:w="8351" w:type="dxa"/>
        <w:jc w:val="center"/>
        <w:tblLayout w:type="fixed"/>
        <w:tblCellMar>
          <w:top w:w="0" w:type="dxa"/>
          <w:left w:w="10" w:type="dxa"/>
          <w:bottom w:w="0" w:type="dxa"/>
          <w:right w:w="10" w:type="dxa"/>
        </w:tblCellMar>
      </w:tblPr>
      <w:tblGrid>
        <w:gridCol w:w="293"/>
        <w:gridCol w:w="283"/>
        <w:gridCol w:w="1022"/>
        <w:gridCol w:w="1416"/>
        <w:gridCol w:w="1022"/>
        <w:gridCol w:w="1018"/>
        <w:gridCol w:w="1022"/>
        <w:gridCol w:w="451"/>
        <w:gridCol w:w="682"/>
        <w:gridCol w:w="1142"/>
      </w:tblGrid>
      <w:tr w14:paraId="44332E05">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val="0"/>
            <w:vAlign w:val="center"/>
          </w:tcPr>
          <w:p w14:paraId="4E49B946">
            <w:pPr>
              <w:pStyle w:val="39"/>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年</w:t>
            </w:r>
          </w:p>
        </w:tc>
        <w:tc>
          <w:tcPr>
            <w:tcW w:w="283" w:type="dxa"/>
            <w:tcBorders>
              <w:top w:val="single" w:color="auto" w:sz="4" w:space="0"/>
              <w:left w:val="single" w:color="auto" w:sz="4" w:space="0"/>
            </w:tcBorders>
            <w:shd w:val="clear" w:color="auto" w:fill="FFFFFF"/>
            <w:noWrap w:val="0"/>
            <w:vAlign w:val="center"/>
          </w:tcPr>
          <w:p w14:paraId="71E8D758">
            <w:pPr>
              <w:pStyle w:val="39"/>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月</w:t>
            </w:r>
          </w:p>
        </w:tc>
        <w:tc>
          <w:tcPr>
            <w:tcW w:w="1022" w:type="dxa"/>
            <w:tcBorders>
              <w:top w:val="single" w:color="auto" w:sz="4" w:space="0"/>
              <w:left w:val="single" w:color="auto" w:sz="4" w:space="0"/>
            </w:tcBorders>
            <w:shd w:val="clear" w:color="auto" w:fill="FFFFFF"/>
            <w:noWrap w:val="0"/>
            <w:vAlign w:val="center"/>
          </w:tcPr>
          <w:p w14:paraId="618AA7D3">
            <w:pPr>
              <w:pStyle w:val="39"/>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工程预付款</w:t>
            </w:r>
          </w:p>
        </w:tc>
        <w:tc>
          <w:tcPr>
            <w:tcW w:w="1416" w:type="dxa"/>
            <w:tcBorders>
              <w:top w:val="single" w:color="auto" w:sz="4" w:space="0"/>
              <w:left w:val="single" w:color="auto" w:sz="4" w:space="0"/>
            </w:tcBorders>
            <w:shd w:val="clear" w:color="auto" w:fill="FFFFFF"/>
            <w:noWrap w:val="0"/>
            <w:vAlign w:val="center"/>
          </w:tcPr>
          <w:p w14:paraId="63A7E8B9">
            <w:pPr>
              <w:pStyle w:val="39"/>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完成工作量付款</w:t>
            </w:r>
          </w:p>
        </w:tc>
        <w:tc>
          <w:tcPr>
            <w:tcW w:w="1022" w:type="dxa"/>
            <w:tcBorders>
              <w:top w:val="single" w:color="auto" w:sz="4" w:space="0"/>
              <w:left w:val="single" w:color="auto" w:sz="4" w:space="0"/>
            </w:tcBorders>
            <w:shd w:val="clear" w:color="auto" w:fill="FFFFFF"/>
            <w:noWrap w:val="0"/>
            <w:vAlign w:val="center"/>
          </w:tcPr>
          <w:p w14:paraId="706965C9">
            <w:pPr>
              <w:pStyle w:val="39"/>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保留金扣留</w:t>
            </w:r>
          </w:p>
        </w:tc>
        <w:tc>
          <w:tcPr>
            <w:tcW w:w="1018" w:type="dxa"/>
            <w:tcBorders>
              <w:top w:val="single" w:color="auto" w:sz="4" w:space="0"/>
              <w:left w:val="single" w:color="auto" w:sz="4" w:space="0"/>
            </w:tcBorders>
            <w:shd w:val="clear" w:color="auto" w:fill="FFFFFF"/>
            <w:noWrap w:val="0"/>
            <w:vAlign w:val="center"/>
          </w:tcPr>
          <w:p w14:paraId="50548238">
            <w:pPr>
              <w:pStyle w:val="39"/>
              <w:jc w:val="right"/>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材料款扣除</w:t>
            </w:r>
          </w:p>
        </w:tc>
        <w:tc>
          <w:tcPr>
            <w:tcW w:w="1022" w:type="dxa"/>
            <w:tcBorders>
              <w:top w:val="single" w:color="auto" w:sz="4" w:space="0"/>
              <w:left w:val="single" w:color="auto" w:sz="4" w:space="0"/>
            </w:tcBorders>
            <w:shd w:val="clear" w:color="auto" w:fill="FFFFFF"/>
            <w:noWrap w:val="0"/>
            <w:vAlign w:val="center"/>
          </w:tcPr>
          <w:p w14:paraId="09E65F5A">
            <w:pPr>
              <w:pStyle w:val="39"/>
              <w:jc w:val="right"/>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预付款扣还</w:t>
            </w:r>
          </w:p>
        </w:tc>
        <w:tc>
          <w:tcPr>
            <w:tcW w:w="451" w:type="dxa"/>
            <w:tcBorders>
              <w:top w:val="single" w:color="auto" w:sz="4" w:space="0"/>
              <w:left w:val="single" w:color="auto" w:sz="4" w:space="0"/>
            </w:tcBorders>
            <w:shd w:val="clear" w:color="auto" w:fill="FFFFFF"/>
            <w:noWrap w:val="0"/>
            <w:vAlign w:val="center"/>
          </w:tcPr>
          <w:p w14:paraId="51561CC2">
            <w:pPr>
              <w:pStyle w:val="39"/>
              <w:jc w:val="right"/>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其他</w:t>
            </w:r>
          </w:p>
        </w:tc>
        <w:tc>
          <w:tcPr>
            <w:tcW w:w="682" w:type="dxa"/>
            <w:tcBorders>
              <w:top w:val="single" w:color="auto" w:sz="4" w:space="0"/>
              <w:left w:val="single" w:color="auto" w:sz="4" w:space="0"/>
            </w:tcBorders>
            <w:shd w:val="clear" w:color="auto" w:fill="FFFFFF"/>
            <w:noWrap w:val="0"/>
            <w:vAlign w:val="center"/>
          </w:tcPr>
          <w:p w14:paraId="3F6E475D">
            <w:pPr>
              <w:pStyle w:val="39"/>
              <w:jc w:val="right"/>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应收款</w:t>
            </w:r>
          </w:p>
        </w:tc>
        <w:tc>
          <w:tcPr>
            <w:tcW w:w="1142" w:type="dxa"/>
            <w:tcBorders>
              <w:top w:val="single" w:color="auto" w:sz="4" w:space="0"/>
              <w:left w:val="single" w:color="auto" w:sz="4" w:space="0"/>
              <w:right w:val="single" w:color="auto" w:sz="4" w:space="0"/>
            </w:tcBorders>
            <w:shd w:val="clear" w:color="auto" w:fill="FFFFFF"/>
            <w:noWrap w:val="0"/>
            <w:vAlign w:val="center"/>
          </w:tcPr>
          <w:p w14:paraId="5FFB44E6">
            <w:pPr>
              <w:pStyle w:val="39"/>
              <w:jc w:val="right"/>
              <w:rPr>
                <w:rFonts w:ascii="宋体" w:hAnsi="宋体" w:eastAsia="宋体" w:cs="宋体"/>
                <w:color w:val="auto"/>
                <w:sz w:val="18"/>
                <w:szCs w:val="18"/>
                <w:highlight w:val="none"/>
                <w:lang w:val="zh-CN" w:eastAsia="zh-CN" w:bidi="zh-CN"/>
              </w:rPr>
            </w:pPr>
            <w:r>
              <w:rPr>
                <w:rFonts w:ascii="宋体" w:hAnsi="宋体" w:eastAsia="宋体" w:cs="宋体"/>
                <w:color w:val="auto"/>
                <w:sz w:val="18"/>
                <w:szCs w:val="18"/>
                <w:highlight w:val="none"/>
                <w:lang w:val="zh-CN" w:eastAsia="zh-CN" w:bidi="zh-CN"/>
              </w:rPr>
              <w:t>累计应收款</w:t>
            </w:r>
          </w:p>
        </w:tc>
      </w:tr>
      <w:tr w14:paraId="71AD63C8">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val="0"/>
            <w:vAlign w:val="top"/>
          </w:tcPr>
          <w:p w14:paraId="3F509DF6">
            <w:pPr>
              <w:pStyle w:val="39"/>
              <w:rPr>
                <w:color w:val="auto"/>
                <w:sz w:val="18"/>
                <w:szCs w:val="18"/>
                <w:highlight w:val="none"/>
              </w:rPr>
            </w:pPr>
          </w:p>
        </w:tc>
        <w:tc>
          <w:tcPr>
            <w:tcW w:w="283" w:type="dxa"/>
            <w:tcBorders>
              <w:top w:val="single" w:color="auto" w:sz="4" w:space="0"/>
              <w:left w:val="single" w:color="auto" w:sz="4" w:space="0"/>
            </w:tcBorders>
            <w:shd w:val="clear" w:color="auto" w:fill="FFFFFF"/>
            <w:noWrap w:val="0"/>
            <w:vAlign w:val="top"/>
          </w:tcPr>
          <w:p w14:paraId="0975A6AF">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221415B6">
            <w:pPr>
              <w:pStyle w:val="39"/>
              <w:rPr>
                <w:color w:val="auto"/>
                <w:sz w:val="18"/>
                <w:szCs w:val="18"/>
                <w:highlight w:val="none"/>
              </w:rPr>
            </w:pPr>
          </w:p>
        </w:tc>
        <w:tc>
          <w:tcPr>
            <w:tcW w:w="1416" w:type="dxa"/>
            <w:tcBorders>
              <w:top w:val="single" w:color="auto" w:sz="4" w:space="0"/>
              <w:left w:val="single" w:color="auto" w:sz="4" w:space="0"/>
            </w:tcBorders>
            <w:shd w:val="clear" w:color="auto" w:fill="FFFFFF"/>
            <w:noWrap w:val="0"/>
            <w:vAlign w:val="top"/>
          </w:tcPr>
          <w:p w14:paraId="373C6E90">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38C03825">
            <w:pPr>
              <w:pStyle w:val="39"/>
              <w:rPr>
                <w:color w:val="auto"/>
                <w:sz w:val="18"/>
                <w:szCs w:val="18"/>
                <w:highlight w:val="none"/>
              </w:rPr>
            </w:pPr>
          </w:p>
        </w:tc>
        <w:tc>
          <w:tcPr>
            <w:tcW w:w="1018" w:type="dxa"/>
            <w:tcBorders>
              <w:top w:val="single" w:color="auto" w:sz="4" w:space="0"/>
              <w:left w:val="single" w:color="auto" w:sz="4" w:space="0"/>
            </w:tcBorders>
            <w:shd w:val="clear" w:color="auto" w:fill="FFFFFF"/>
            <w:noWrap w:val="0"/>
            <w:vAlign w:val="top"/>
          </w:tcPr>
          <w:p w14:paraId="2935DB24">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3AE0C374">
            <w:pPr>
              <w:pStyle w:val="39"/>
              <w:rPr>
                <w:color w:val="auto"/>
                <w:sz w:val="18"/>
                <w:szCs w:val="18"/>
                <w:highlight w:val="none"/>
              </w:rPr>
            </w:pPr>
          </w:p>
        </w:tc>
        <w:tc>
          <w:tcPr>
            <w:tcW w:w="451" w:type="dxa"/>
            <w:tcBorders>
              <w:top w:val="single" w:color="auto" w:sz="4" w:space="0"/>
              <w:left w:val="single" w:color="auto" w:sz="4" w:space="0"/>
            </w:tcBorders>
            <w:shd w:val="clear" w:color="auto" w:fill="FFFFFF"/>
            <w:noWrap w:val="0"/>
            <w:vAlign w:val="top"/>
          </w:tcPr>
          <w:p w14:paraId="7C11D912">
            <w:pPr>
              <w:pStyle w:val="39"/>
              <w:rPr>
                <w:color w:val="auto"/>
                <w:sz w:val="18"/>
                <w:szCs w:val="18"/>
                <w:highlight w:val="none"/>
              </w:rPr>
            </w:pPr>
          </w:p>
        </w:tc>
        <w:tc>
          <w:tcPr>
            <w:tcW w:w="682" w:type="dxa"/>
            <w:tcBorders>
              <w:top w:val="single" w:color="auto" w:sz="4" w:space="0"/>
              <w:left w:val="single" w:color="auto" w:sz="4" w:space="0"/>
            </w:tcBorders>
            <w:shd w:val="clear" w:color="auto" w:fill="FFFFFF"/>
            <w:noWrap w:val="0"/>
            <w:vAlign w:val="top"/>
          </w:tcPr>
          <w:p w14:paraId="14BFFAFF">
            <w:pPr>
              <w:pStyle w:val="39"/>
              <w:rPr>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272D1C21">
            <w:pPr>
              <w:pStyle w:val="39"/>
              <w:rPr>
                <w:color w:val="auto"/>
                <w:sz w:val="18"/>
                <w:szCs w:val="18"/>
                <w:highlight w:val="none"/>
              </w:rPr>
            </w:pPr>
          </w:p>
        </w:tc>
      </w:tr>
      <w:tr w14:paraId="6AF78358">
        <w:tblPrEx>
          <w:tblCellMar>
            <w:top w:w="0" w:type="dxa"/>
            <w:left w:w="10" w:type="dxa"/>
            <w:bottom w:w="0" w:type="dxa"/>
            <w:right w:w="10" w:type="dxa"/>
          </w:tblCellMar>
        </w:tblPrEx>
        <w:trPr>
          <w:trHeight w:val="456" w:hRule="exact"/>
          <w:jc w:val="center"/>
        </w:trPr>
        <w:tc>
          <w:tcPr>
            <w:tcW w:w="293" w:type="dxa"/>
            <w:tcBorders>
              <w:top w:val="single" w:color="auto" w:sz="4" w:space="0"/>
              <w:left w:val="single" w:color="auto" w:sz="4" w:space="0"/>
            </w:tcBorders>
            <w:shd w:val="clear" w:color="auto" w:fill="FFFFFF"/>
            <w:noWrap w:val="0"/>
            <w:vAlign w:val="top"/>
          </w:tcPr>
          <w:p w14:paraId="423FBC45">
            <w:pPr>
              <w:pStyle w:val="39"/>
              <w:rPr>
                <w:color w:val="auto"/>
                <w:sz w:val="18"/>
                <w:szCs w:val="18"/>
                <w:highlight w:val="none"/>
              </w:rPr>
            </w:pPr>
          </w:p>
        </w:tc>
        <w:tc>
          <w:tcPr>
            <w:tcW w:w="283" w:type="dxa"/>
            <w:tcBorders>
              <w:top w:val="single" w:color="auto" w:sz="4" w:space="0"/>
              <w:left w:val="single" w:color="auto" w:sz="4" w:space="0"/>
            </w:tcBorders>
            <w:shd w:val="clear" w:color="auto" w:fill="FFFFFF"/>
            <w:noWrap w:val="0"/>
            <w:vAlign w:val="top"/>
          </w:tcPr>
          <w:p w14:paraId="4B36F87C">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3D27CD3C">
            <w:pPr>
              <w:pStyle w:val="39"/>
              <w:rPr>
                <w:color w:val="auto"/>
                <w:sz w:val="18"/>
                <w:szCs w:val="18"/>
                <w:highlight w:val="none"/>
              </w:rPr>
            </w:pPr>
          </w:p>
        </w:tc>
        <w:tc>
          <w:tcPr>
            <w:tcW w:w="1416" w:type="dxa"/>
            <w:tcBorders>
              <w:top w:val="single" w:color="auto" w:sz="4" w:space="0"/>
              <w:left w:val="single" w:color="auto" w:sz="4" w:space="0"/>
            </w:tcBorders>
            <w:shd w:val="clear" w:color="auto" w:fill="FFFFFF"/>
            <w:noWrap w:val="0"/>
            <w:vAlign w:val="top"/>
          </w:tcPr>
          <w:p w14:paraId="790BE3FD">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084E0C64">
            <w:pPr>
              <w:pStyle w:val="39"/>
              <w:rPr>
                <w:color w:val="auto"/>
                <w:sz w:val="18"/>
                <w:szCs w:val="18"/>
                <w:highlight w:val="none"/>
              </w:rPr>
            </w:pPr>
          </w:p>
        </w:tc>
        <w:tc>
          <w:tcPr>
            <w:tcW w:w="1018" w:type="dxa"/>
            <w:tcBorders>
              <w:top w:val="single" w:color="auto" w:sz="4" w:space="0"/>
              <w:left w:val="single" w:color="auto" w:sz="4" w:space="0"/>
            </w:tcBorders>
            <w:shd w:val="clear" w:color="auto" w:fill="FFFFFF"/>
            <w:noWrap w:val="0"/>
            <w:vAlign w:val="top"/>
          </w:tcPr>
          <w:p w14:paraId="330A9EAF">
            <w:pPr>
              <w:pStyle w:val="39"/>
              <w:rPr>
                <w:color w:val="auto"/>
                <w:sz w:val="18"/>
                <w:szCs w:val="18"/>
                <w:highlight w:val="none"/>
              </w:rPr>
            </w:pPr>
          </w:p>
        </w:tc>
        <w:tc>
          <w:tcPr>
            <w:tcW w:w="1022" w:type="dxa"/>
            <w:tcBorders>
              <w:top w:val="single" w:color="auto" w:sz="4" w:space="0"/>
              <w:left w:val="single" w:color="auto" w:sz="4" w:space="0"/>
            </w:tcBorders>
            <w:shd w:val="clear" w:color="auto" w:fill="FFFFFF"/>
            <w:noWrap w:val="0"/>
            <w:vAlign w:val="top"/>
          </w:tcPr>
          <w:p w14:paraId="6592EA51">
            <w:pPr>
              <w:pStyle w:val="39"/>
              <w:rPr>
                <w:color w:val="auto"/>
                <w:sz w:val="18"/>
                <w:szCs w:val="18"/>
                <w:highlight w:val="none"/>
              </w:rPr>
            </w:pPr>
          </w:p>
        </w:tc>
        <w:tc>
          <w:tcPr>
            <w:tcW w:w="451" w:type="dxa"/>
            <w:tcBorders>
              <w:top w:val="single" w:color="auto" w:sz="4" w:space="0"/>
              <w:left w:val="single" w:color="auto" w:sz="4" w:space="0"/>
            </w:tcBorders>
            <w:shd w:val="clear" w:color="auto" w:fill="FFFFFF"/>
            <w:noWrap w:val="0"/>
            <w:vAlign w:val="top"/>
          </w:tcPr>
          <w:p w14:paraId="4D01DA34">
            <w:pPr>
              <w:pStyle w:val="39"/>
              <w:rPr>
                <w:color w:val="auto"/>
                <w:sz w:val="18"/>
                <w:szCs w:val="18"/>
                <w:highlight w:val="none"/>
              </w:rPr>
            </w:pPr>
          </w:p>
        </w:tc>
        <w:tc>
          <w:tcPr>
            <w:tcW w:w="682" w:type="dxa"/>
            <w:tcBorders>
              <w:top w:val="single" w:color="auto" w:sz="4" w:space="0"/>
              <w:left w:val="single" w:color="auto" w:sz="4" w:space="0"/>
            </w:tcBorders>
            <w:shd w:val="clear" w:color="auto" w:fill="FFFFFF"/>
            <w:noWrap w:val="0"/>
            <w:vAlign w:val="top"/>
          </w:tcPr>
          <w:p w14:paraId="74AC9131">
            <w:pPr>
              <w:pStyle w:val="39"/>
              <w:rPr>
                <w:color w:val="auto"/>
                <w:sz w:val="18"/>
                <w:szCs w:val="18"/>
                <w:highlight w:val="none"/>
              </w:rPr>
            </w:pPr>
          </w:p>
        </w:tc>
        <w:tc>
          <w:tcPr>
            <w:tcW w:w="1142" w:type="dxa"/>
            <w:tcBorders>
              <w:top w:val="single" w:color="auto" w:sz="4" w:space="0"/>
              <w:left w:val="single" w:color="auto" w:sz="4" w:space="0"/>
              <w:right w:val="single" w:color="auto" w:sz="4" w:space="0"/>
            </w:tcBorders>
            <w:shd w:val="clear" w:color="auto" w:fill="FFFFFF"/>
            <w:noWrap w:val="0"/>
            <w:vAlign w:val="top"/>
          </w:tcPr>
          <w:p w14:paraId="5B5AEBFD">
            <w:pPr>
              <w:pStyle w:val="39"/>
              <w:rPr>
                <w:color w:val="auto"/>
                <w:sz w:val="18"/>
                <w:szCs w:val="18"/>
                <w:highlight w:val="none"/>
              </w:rPr>
            </w:pPr>
          </w:p>
        </w:tc>
      </w:tr>
      <w:tr w14:paraId="13483E99">
        <w:tblPrEx>
          <w:tblCellMar>
            <w:top w:w="0" w:type="dxa"/>
            <w:left w:w="10" w:type="dxa"/>
            <w:bottom w:w="0" w:type="dxa"/>
            <w:right w:w="10" w:type="dxa"/>
          </w:tblCellMar>
        </w:tblPrEx>
        <w:trPr>
          <w:trHeight w:val="461" w:hRule="exact"/>
          <w:jc w:val="center"/>
        </w:trPr>
        <w:tc>
          <w:tcPr>
            <w:tcW w:w="293" w:type="dxa"/>
            <w:tcBorders>
              <w:top w:val="single" w:color="auto" w:sz="4" w:space="0"/>
              <w:left w:val="single" w:color="auto" w:sz="4" w:space="0"/>
              <w:bottom w:val="single" w:color="auto" w:sz="4" w:space="0"/>
            </w:tcBorders>
            <w:shd w:val="clear" w:color="auto" w:fill="FFFFFF"/>
            <w:noWrap w:val="0"/>
            <w:vAlign w:val="top"/>
          </w:tcPr>
          <w:p w14:paraId="6F6ACBC9">
            <w:pPr>
              <w:pStyle w:val="39"/>
              <w:rPr>
                <w:color w:val="auto"/>
                <w:sz w:val="18"/>
                <w:szCs w:val="18"/>
                <w:highlight w:val="none"/>
              </w:rPr>
            </w:pPr>
          </w:p>
        </w:tc>
        <w:tc>
          <w:tcPr>
            <w:tcW w:w="283" w:type="dxa"/>
            <w:tcBorders>
              <w:top w:val="single" w:color="auto" w:sz="4" w:space="0"/>
              <w:left w:val="single" w:color="auto" w:sz="4" w:space="0"/>
              <w:bottom w:val="single" w:color="auto" w:sz="4" w:space="0"/>
            </w:tcBorders>
            <w:shd w:val="clear" w:color="auto" w:fill="FFFFFF"/>
            <w:noWrap w:val="0"/>
            <w:vAlign w:val="top"/>
          </w:tcPr>
          <w:p w14:paraId="3E14FA06">
            <w:pPr>
              <w:pStyle w:val="39"/>
              <w:rPr>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2885AFE0">
            <w:pPr>
              <w:pStyle w:val="39"/>
              <w:rPr>
                <w:color w:val="auto"/>
                <w:sz w:val="18"/>
                <w:szCs w:val="18"/>
                <w:highlight w:val="none"/>
              </w:rPr>
            </w:pPr>
          </w:p>
        </w:tc>
        <w:tc>
          <w:tcPr>
            <w:tcW w:w="1416" w:type="dxa"/>
            <w:tcBorders>
              <w:top w:val="single" w:color="auto" w:sz="4" w:space="0"/>
              <w:left w:val="single" w:color="auto" w:sz="4" w:space="0"/>
              <w:bottom w:val="single" w:color="auto" w:sz="4" w:space="0"/>
            </w:tcBorders>
            <w:shd w:val="clear" w:color="auto" w:fill="FFFFFF"/>
            <w:noWrap w:val="0"/>
            <w:vAlign w:val="top"/>
          </w:tcPr>
          <w:p w14:paraId="4A66F2C3">
            <w:pPr>
              <w:pStyle w:val="39"/>
              <w:rPr>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6AE84DB2">
            <w:pPr>
              <w:pStyle w:val="39"/>
              <w:rPr>
                <w:color w:val="auto"/>
                <w:sz w:val="18"/>
                <w:szCs w:val="18"/>
                <w:highlight w:val="none"/>
              </w:rPr>
            </w:pPr>
          </w:p>
        </w:tc>
        <w:tc>
          <w:tcPr>
            <w:tcW w:w="1018" w:type="dxa"/>
            <w:tcBorders>
              <w:top w:val="single" w:color="auto" w:sz="4" w:space="0"/>
              <w:left w:val="single" w:color="auto" w:sz="4" w:space="0"/>
              <w:bottom w:val="single" w:color="auto" w:sz="4" w:space="0"/>
            </w:tcBorders>
            <w:shd w:val="clear" w:color="auto" w:fill="FFFFFF"/>
            <w:noWrap w:val="0"/>
            <w:vAlign w:val="top"/>
          </w:tcPr>
          <w:p w14:paraId="28C08FE9">
            <w:pPr>
              <w:pStyle w:val="39"/>
              <w:rPr>
                <w:color w:val="auto"/>
                <w:sz w:val="18"/>
                <w:szCs w:val="18"/>
                <w:highlight w:val="none"/>
              </w:rPr>
            </w:pPr>
          </w:p>
        </w:tc>
        <w:tc>
          <w:tcPr>
            <w:tcW w:w="1022" w:type="dxa"/>
            <w:tcBorders>
              <w:top w:val="single" w:color="auto" w:sz="4" w:space="0"/>
              <w:left w:val="single" w:color="auto" w:sz="4" w:space="0"/>
              <w:bottom w:val="single" w:color="auto" w:sz="4" w:space="0"/>
            </w:tcBorders>
            <w:shd w:val="clear" w:color="auto" w:fill="FFFFFF"/>
            <w:noWrap w:val="0"/>
            <w:vAlign w:val="top"/>
          </w:tcPr>
          <w:p w14:paraId="3704C806">
            <w:pPr>
              <w:pStyle w:val="39"/>
              <w:rPr>
                <w:color w:val="auto"/>
                <w:sz w:val="18"/>
                <w:szCs w:val="18"/>
                <w:highlight w:val="none"/>
              </w:rPr>
            </w:pPr>
          </w:p>
        </w:tc>
        <w:tc>
          <w:tcPr>
            <w:tcW w:w="451" w:type="dxa"/>
            <w:tcBorders>
              <w:top w:val="single" w:color="auto" w:sz="4" w:space="0"/>
              <w:left w:val="single" w:color="auto" w:sz="4" w:space="0"/>
              <w:bottom w:val="single" w:color="auto" w:sz="4" w:space="0"/>
            </w:tcBorders>
            <w:shd w:val="clear" w:color="auto" w:fill="FFFFFF"/>
            <w:noWrap w:val="0"/>
            <w:vAlign w:val="top"/>
          </w:tcPr>
          <w:p w14:paraId="7E6DB74C">
            <w:pPr>
              <w:pStyle w:val="39"/>
              <w:rPr>
                <w:color w:val="auto"/>
                <w:sz w:val="18"/>
                <w:szCs w:val="18"/>
                <w:highlight w:val="none"/>
              </w:rPr>
            </w:pPr>
          </w:p>
        </w:tc>
        <w:tc>
          <w:tcPr>
            <w:tcW w:w="682" w:type="dxa"/>
            <w:tcBorders>
              <w:top w:val="single" w:color="auto" w:sz="4" w:space="0"/>
              <w:left w:val="single" w:color="auto" w:sz="4" w:space="0"/>
              <w:bottom w:val="single" w:color="auto" w:sz="4" w:space="0"/>
            </w:tcBorders>
            <w:shd w:val="clear" w:color="auto" w:fill="FFFFFF"/>
            <w:noWrap w:val="0"/>
            <w:vAlign w:val="top"/>
          </w:tcPr>
          <w:p w14:paraId="73612FF5">
            <w:pPr>
              <w:pStyle w:val="39"/>
              <w:rPr>
                <w:color w:val="auto"/>
                <w:sz w:val="18"/>
                <w:szCs w:val="18"/>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3FFC156">
            <w:pPr>
              <w:pStyle w:val="39"/>
              <w:rPr>
                <w:color w:val="auto"/>
                <w:sz w:val="18"/>
                <w:szCs w:val="18"/>
                <w:highlight w:val="none"/>
              </w:rPr>
            </w:pPr>
          </w:p>
        </w:tc>
      </w:tr>
    </w:tbl>
    <w:p w14:paraId="1390ED87">
      <w:pPr>
        <w:pStyle w:val="39"/>
        <w:spacing w:after="579" w:line="1" w:lineRule="exact"/>
        <w:rPr>
          <w:color w:val="auto"/>
          <w:highlight w:val="none"/>
        </w:rPr>
      </w:pPr>
    </w:p>
    <w:p w14:paraId="03C65122">
      <w:pPr>
        <w:pStyle w:val="39"/>
        <w:rPr>
          <w:rFonts w:eastAsia="宋体"/>
          <w:color w:val="auto"/>
          <w:highlight w:val="none"/>
          <w:lang w:eastAsia="zh-CN"/>
        </w:rPr>
      </w:pPr>
    </w:p>
    <w:p w14:paraId="2025456D">
      <w:pPr>
        <w:pStyle w:val="39"/>
        <w:keepNext/>
        <w:keepLines/>
        <w:spacing w:before="280" w:after="290" w:line="372" w:lineRule="auto"/>
        <w:outlineLvl w:val="4"/>
        <w:rPr>
          <w:b/>
          <w:color w:val="auto"/>
          <w:sz w:val="28"/>
          <w:highlight w:val="none"/>
        </w:rPr>
      </w:pPr>
      <w:bookmarkStart w:id="338" w:name="_Toc22545"/>
      <w:bookmarkStart w:id="339" w:name="_Toc25497"/>
      <w:r>
        <w:rPr>
          <w:rFonts w:hint="eastAsia"/>
          <w:b/>
          <w:color w:val="auto"/>
          <w:sz w:val="30"/>
          <w:szCs w:val="30"/>
          <w:highlight w:val="none"/>
          <w:lang w:eastAsia="zh-CN"/>
        </w:rPr>
        <w:t>11. 开工和竣工（完工）</w:t>
      </w:r>
      <w:bookmarkEnd w:id="338"/>
      <w:bookmarkEnd w:id="339"/>
    </w:p>
    <w:p w14:paraId="3BC947F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40" w:name="_Toc30831"/>
      <w:bookmarkStart w:id="341" w:name="_Toc7233"/>
      <w:r>
        <w:rPr>
          <w:rFonts w:ascii="宋体" w:hAnsi="宋体" w:eastAsia="宋体"/>
          <w:b/>
          <w:bCs/>
          <w:color w:val="auto"/>
          <w:sz w:val="24"/>
          <w:szCs w:val="24"/>
          <w:highlight w:val="none"/>
          <w:lang w:eastAsia="zh-CN"/>
        </w:rPr>
        <w:t>11.1 开工</w:t>
      </w:r>
      <w:bookmarkEnd w:id="340"/>
      <w:bookmarkEnd w:id="341"/>
    </w:p>
    <w:p w14:paraId="40C8E5BC">
      <w:pPr>
        <w:pStyle w:val="39"/>
        <w:spacing w:line="351" w:lineRule="exact"/>
        <w:ind w:firstLine="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.1.1</w:t>
      </w:r>
      <w:r>
        <w:rPr>
          <w:rFonts w:ascii="宋体" w:hAnsi="宋体" w:eastAsia="宋体" w:cs="宋体"/>
          <w:color w:val="auto"/>
          <w:sz w:val="20"/>
          <w:szCs w:val="20"/>
          <w:highlight w:val="none"/>
          <w:lang w:val="zh-CN" w:eastAsia="zh-CN" w:bidi="zh-CN"/>
        </w:rPr>
        <w:t>监理人应在开工日期</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天前向承包人发出开工通知。监理人在发出开工通知前应获得发包人同意。工期自监理人发出的开工通知中载明的开工日期起计算。承包人应 在开工日期后尽快施工。</w:t>
      </w:r>
    </w:p>
    <w:p w14:paraId="014AF220">
      <w:pPr>
        <w:pStyle w:val="39"/>
        <w:spacing w:line="351" w:lineRule="exact"/>
        <w:ind w:firstLine="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 xml:space="preserve">. 1.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承包人应按第</w:t>
      </w:r>
      <w:r>
        <w:rPr>
          <w:color w:val="auto"/>
          <w:sz w:val="20"/>
          <w:szCs w:val="20"/>
          <w:highlight w:val="none"/>
          <w:lang w:eastAsia="zh-CN"/>
        </w:rPr>
        <w:t xml:space="preserve">10.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14:paraId="4CA18FA8">
      <w:pPr>
        <w:pStyle w:val="39"/>
        <w:spacing w:line="351" w:lineRule="exact"/>
        <w:ind w:firstLine="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.1.3</w:t>
      </w:r>
      <w:r>
        <w:rPr>
          <w:rFonts w:ascii="宋体" w:hAnsi="宋体" w:eastAsia="宋体" w:cs="宋体"/>
          <w:color w:val="auto"/>
          <w:sz w:val="20"/>
          <w:szCs w:val="20"/>
          <w:highlight w:val="none"/>
          <w:lang w:val="zh-CN" w:eastAsia="zh-CN" w:bidi="zh-CN"/>
        </w:rPr>
        <w:t>若发包人未能按合同约定向承包人提供开工的必要条件，承包人有权要求延 长工期。监理人应在收到承包人的书面要求后，按第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款的约定，与合同双方商定或确定增加的费用和延长的工期。</w:t>
      </w:r>
    </w:p>
    <w:p w14:paraId="0919EA71">
      <w:pPr>
        <w:pStyle w:val="39"/>
        <w:spacing w:after="140" w:line="351" w:lineRule="exact"/>
        <w:ind w:firstLine="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 1.4</w:t>
      </w:r>
      <w:r>
        <w:rPr>
          <w:rFonts w:ascii="宋体" w:hAnsi="宋体" w:eastAsia="宋体" w:cs="宋体"/>
          <w:color w:val="auto"/>
          <w:sz w:val="20"/>
          <w:szCs w:val="20"/>
          <w:highlight w:val="none"/>
          <w:lang w:val="zh-CN" w:eastAsia="zh-CN" w:bidi="zh-CN"/>
        </w:rPr>
        <w:t>承包人在接到开工通知后</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天内未按进度计划要求及时进场组织施工，监理人可通知承包人在接到通知后</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天内提交一份说明其进场延误的书面报告，报送监理人。书面报告应说明不能及时进场的原因和补救措施，由此增加的费用和工期延误责任由承包人承担。</w:t>
      </w:r>
    </w:p>
    <w:p w14:paraId="77676DB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42" w:name="_Toc10054"/>
      <w:bookmarkStart w:id="343" w:name="_Toc21224"/>
      <w:r>
        <w:rPr>
          <w:rFonts w:ascii="宋体" w:hAnsi="宋体" w:eastAsia="宋体"/>
          <w:b/>
          <w:bCs/>
          <w:color w:val="auto"/>
          <w:sz w:val="24"/>
          <w:szCs w:val="24"/>
          <w:highlight w:val="none"/>
          <w:lang w:eastAsia="zh-CN"/>
        </w:rPr>
        <w:t>11.2竣工(完工)</w:t>
      </w:r>
      <w:bookmarkEnd w:id="342"/>
      <w:bookmarkEnd w:id="343"/>
    </w:p>
    <w:p w14:paraId="15AD6A56">
      <w:pPr>
        <w:pStyle w:val="39"/>
        <w:spacing w:after="140" w:line="36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承包人应在第</w:t>
      </w:r>
      <w:r>
        <w:rPr>
          <w:color w:val="auto"/>
          <w:sz w:val="20"/>
          <w:szCs w:val="20"/>
          <w:highlight w:val="none"/>
          <w:lang w:eastAsia="zh-CN"/>
        </w:rPr>
        <w:t xml:space="preserve">1.1. 4.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目约定的期限内完成合同工程。合同工程实际完工时间在合同工程完工证书中明确</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以完工验收鉴定书或竣工验收鉴定书标明的验收日期为准，没有标明验收日期的则以印发鉴定书的日期为准</w:t>
      </w:r>
      <w:r>
        <w:rPr>
          <w:rFonts w:hint="eastAsia" w:ascii="宋体" w:hAnsi="宋体" w:eastAsia="宋体" w:cs="宋体"/>
          <w:color w:val="auto"/>
          <w:sz w:val="20"/>
          <w:szCs w:val="20"/>
          <w:highlight w:val="none"/>
          <w:lang w:val="zh-CN" w:eastAsia="zh-CN" w:bidi="zh-CN"/>
        </w:rPr>
        <w:t>）</w:t>
      </w:r>
      <w:r>
        <w:rPr>
          <w:rFonts w:hint="eastAsia" w:eastAsia="宋体"/>
          <w:color w:val="auto"/>
          <w:sz w:val="20"/>
          <w:szCs w:val="20"/>
          <w:highlight w:val="none"/>
          <w:lang w:eastAsia="zh-CN"/>
        </w:rPr>
        <w:t>。</w:t>
      </w:r>
    </w:p>
    <w:p w14:paraId="26953101">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44" w:name="_Toc2288"/>
      <w:bookmarkStart w:id="345" w:name="_Toc16053"/>
      <w:r>
        <w:rPr>
          <w:rFonts w:ascii="宋体" w:hAnsi="宋体" w:eastAsia="宋体"/>
          <w:b/>
          <w:bCs/>
          <w:color w:val="auto"/>
          <w:sz w:val="24"/>
          <w:szCs w:val="24"/>
          <w:highlight w:val="none"/>
          <w:lang w:eastAsia="zh-CN"/>
        </w:rPr>
        <w:t>11.3发包人的工期延误</w:t>
      </w:r>
      <w:bookmarkEnd w:id="344"/>
      <w:bookmarkEnd w:id="345"/>
    </w:p>
    <w:p w14:paraId="3FE0DBFE">
      <w:pPr>
        <w:pStyle w:val="39"/>
        <w:spacing w:after="140" w:line="36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在履行合同过程中，由于发包人的下列原因造成工期延误的，承包人有权要求发包人延长工期和(或)增加费用，并支付合理利润。需要修订合同进度计划的，按照第</w:t>
      </w:r>
      <w:r>
        <w:rPr>
          <w:color w:val="auto"/>
          <w:sz w:val="20"/>
          <w:szCs w:val="20"/>
          <w:highlight w:val="none"/>
          <w:lang w:eastAsia="zh-CN"/>
        </w:rPr>
        <w:t xml:space="preserve">10.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款的约定办理。</w:t>
      </w:r>
    </w:p>
    <w:p w14:paraId="61288A16">
      <w:pPr>
        <w:pStyle w:val="39"/>
        <w:keepNext w:val="0"/>
        <w:keepLines w:val="0"/>
        <w:pageBreakBefore w:val="0"/>
        <w:widowControl w:val="0"/>
        <w:numPr>
          <w:ilvl w:val="0"/>
          <w:numId w:val="8"/>
        </w:numPr>
        <w:tabs>
          <w:tab w:val="left" w:pos="923"/>
        </w:tabs>
        <w:kinsoku/>
        <w:wordWrap/>
        <w:overflowPunct/>
        <w:topLinePunct w:val="0"/>
        <w:autoSpaceDE/>
        <w:autoSpaceDN/>
        <w:bidi w:val="0"/>
        <w:adjustRightInd/>
        <w:snapToGrid/>
        <w:spacing w:line="377" w:lineRule="auto"/>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增加合同工作内容；</w:t>
      </w:r>
    </w:p>
    <w:p w14:paraId="0F4595E4">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改变合同中任何一项工作的质量要求或其他特性；</w:t>
      </w:r>
    </w:p>
    <w:p w14:paraId="2A0CBE91">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发包人迟延提供材料、工程设备或变更交货地点的；</w:t>
      </w:r>
    </w:p>
    <w:p w14:paraId="27AF3B28">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因发包人原因导致的暂停施工；</w:t>
      </w:r>
    </w:p>
    <w:p w14:paraId="2E6C89CF">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提供图纸延误；</w:t>
      </w:r>
    </w:p>
    <w:p w14:paraId="61BDDB02">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未按合同约定及时支付预付款、进度款；</w:t>
      </w:r>
    </w:p>
    <w:p w14:paraId="10429491">
      <w:pPr>
        <w:pStyle w:val="39"/>
        <w:keepNext w:val="0"/>
        <w:keepLines w:val="0"/>
        <w:pageBreakBefore w:val="0"/>
        <w:widowControl w:val="0"/>
        <w:numPr>
          <w:ilvl w:val="0"/>
          <w:numId w:val="8"/>
        </w:numPr>
        <w:tabs>
          <w:tab w:val="left" w:pos="903"/>
        </w:tabs>
        <w:kinsoku/>
        <w:wordWrap/>
        <w:overflowPunct/>
        <w:topLinePunct w:val="0"/>
        <w:autoSpaceDE/>
        <w:autoSpaceDN/>
        <w:bidi w:val="0"/>
        <w:adjustRightInd/>
        <w:snapToGrid/>
        <w:spacing w:line="377"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发包人造成工期延误的其他原因。</w:t>
      </w:r>
    </w:p>
    <w:p w14:paraId="12D2419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46" w:name="_Toc14002"/>
      <w:bookmarkStart w:id="347" w:name="_Toc16342"/>
      <w:r>
        <w:rPr>
          <w:rFonts w:ascii="宋体" w:hAnsi="宋体" w:eastAsia="宋体"/>
          <w:b/>
          <w:bCs/>
          <w:color w:val="auto"/>
          <w:sz w:val="24"/>
          <w:szCs w:val="24"/>
          <w:highlight w:val="none"/>
          <w:lang w:eastAsia="zh-CN"/>
        </w:rPr>
        <w:t>11.4异常恶劣的气候条件</w:t>
      </w:r>
      <w:bookmarkEnd w:id="346"/>
      <w:bookmarkEnd w:id="347"/>
    </w:p>
    <w:p w14:paraId="4AEC891C">
      <w:pPr>
        <w:pStyle w:val="39"/>
        <w:spacing w:line="368" w:lineRule="exact"/>
        <w:ind w:firstLine="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.4.1</w:t>
      </w:r>
      <w:r>
        <w:rPr>
          <w:rFonts w:ascii="宋体" w:hAnsi="宋体" w:eastAsia="宋体" w:cs="宋体"/>
          <w:color w:val="auto"/>
          <w:sz w:val="20"/>
          <w:szCs w:val="20"/>
          <w:highlight w:val="none"/>
          <w:lang w:val="zh-CN" w:eastAsia="zh-CN" w:bidi="zh-CN"/>
        </w:rPr>
        <w:t>当工程所在地发生危及施工安全的异常恶劣气候时，发包人和承包人应按本合同通用合同条款第</w:t>
      </w:r>
      <w:r>
        <w:rPr>
          <w:color w:val="auto"/>
          <w:sz w:val="20"/>
          <w:szCs w:val="20"/>
          <w:highlight w:val="none"/>
          <w:lang w:val="zh-CN" w:eastAsia="zh-CN" w:bidi="zh-CN"/>
        </w:rPr>
        <w:t>12</w:t>
      </w:r>
      <w:r>
        <w:rPr>
          <w:rFonts w:ascii="宋体" w:hAnsi="宋体" w:eastAsia="宋体" w:cs="宋体"/>
          <w:color w:val="auto"/>
          <w:sz w:val="20"/>
          <w:szCs w:val="20"/>
          <w:highlight w:val="none"/>
          <w:lang w:val="zh-CN" w:eastAsia="zh-CN" w:bidi="zh-CN"/>
        </w:rPr>
        <w:t>条的约定，及时采取暂停施工或部分暂停施工措施。异常恶劣气候条件解除后，承包人应及时安排复工。</w:t>
      </w:r>
    </w:p>
    <w:p w14:paraId="03C3257D">
      <w:pPr>
        <w:pStyle w:val="39"/>
        <w:spacing w:after="140" w:line="360" w:lineRule="exact"/>
        <w:ind w:firstLine="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.4.2</w:t>
      </w:r>
      <w:r>
        <w:rPr>
          <w:rFonts w:ascii="宋体" w:hAnsi="宋体" w:eastAsia="宋体" w:cs="宋体"/>
          <w:color w:val="auto"/>
          <w:sz w:val="20"/>
          <w:szCs w:val="20"/>
          <w:highlight w:val="none"/>
          <w:lang w:val="zh-CN" w:eastAsia="zh-CN" w:bidi="zh-CN"/>
        </w:rPr>
        <w:t>异常恶劣气候条件造成的工期延误和工程损坏，应由发包人与承包人参照本合同通用合同条款第</w:t>
      </w:r>
      <w:r>
        <w:rPr>
          <w:color w:val="auto"/>
          <w:sz w:val="20"/>
          <w:szCs w:val="20"/>
          <w:highlight w:val="none"/>
          <w:lang w:eastAsia="zh-CN"/>
        </w:rPr>
        <w:t xml:space="preserve">21.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款的约定共同协商处理。</w:t>
      </w:r>
    </w:p>
    <w:p w14:paraId="290B4EE8">
      <w:pPr>
        <w:pStyle w:val="39"/>
        <w:spacing w:line="377" w:lineRule="auto"/>
        <w:ind w:firstLine="420"/>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11</w:t>
      </w:r>
      <w:r>
        <w:rPr>
          <w:color w:val="auto"/>
          <w:sz w:val="20"/>
          <w:szCs w:val="20"/>
          <w:highlight w:val="none"/>
          <w:lang w:eastAsia="zh-CN"/>
        </w:rPr>
        <w:t xml:space="preserve">.4.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本合同工程界定异常恶劣气候条件的范围在专用合同条款中约定。</w:t>
      </w:r>
    </w:p>
    <w:p w14:paraId="4F30CF9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48" w:name="_Toc3143"/>
      <w:bookmarkStart w:id="349" w:name="_Toc25687"/>
      <w:r>
        <w:rPr>
          <w:rFonts w:ascii="宋体" w:hAnsi="宋体" w:eastAsia="宋体"/>
          <w:b/>
          <w:bCs/>
          <w:color w:val="auto"/>
          <w:sz w:val="24"/>
          <w:szCs w:val="24"/>
          <w:highlight w:val="none"/>
          <w:lang w:eastAsia="zh-CN"/>
        </w:rPr>
        <w:t>11.5承包人工期延误</w:t>
      </w:r>
      <w:bookmarkEnd w:id="348"/>
      <w:bookmarkEnd w:id="349"/>
    </w:p>
    <w:p w14:paraId="35263905">
      <w:pPr>
        <w:pStyle w:val="39"/>
        <w:spacing w:after="140" w:line="35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5768CC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50" w:name="_Toc7970"/>
      <w:bookmarkStart w:id="351" w:name="_Toc26906"/>
      <w:r>
        <w:rPr>
          <w:rFonts w:ascii="宋体" w:hAnsi="宋体" w:eastAsia="宋体"/>
          <w:b/>
          <w:bCs/>
          <w:color w:val="auto"/>
          <w:sz w:val="24"/>
          <w:szCs w:val="24"/>
          <w:highlight w:val="none"/>
          <w:lang w:eastAsia="zh-CN"/>
        </w:rPr>
        <w:t>11.6工期提前</w:t>
      </w:r>
      <w:bookmarkEnd w:id="350"/>
      <w:bookmarkEnd w:id="351"/>
    </w:p>
    <w:p w14:paraId="2CBEB06C">
      <w:pPr>
        <w:pStyle w:val="39"/>
        <w:spacing w:line="35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14:paraId="3E725E70">
      <w:pPr>
        <w:pStyle w:val="39"/>
        <w:spacing w:after="140" w:line="359"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发包人要求提前完工的，双方协商一致后应签订提前完工协议，协议内容包括：</w:t>
      </w:r>
    </w:p>
    <w:p w14:paraId="5BA49A12">
      <w:pPr>
        <w:pStyle w:val="39"/>
        <w:keepNext w:val="0"/>
        <w:keepLines w:val="0"/>
        <w:pageBreakBefore w:val="0"/>
        <w:widowControl w:val="0"/>
        <w:numPr>
          <w:ilvl w:val="0"/>
          <w:numId w:val="9"/>
        </w:numPr>
        <w:tabs>
          <w:tab w:val="left" w:pos="903"/>
        </w:tabs>
        <w:kinsoku/>
        <w:wordWrap/>
        <w:overflowPunct/>
        <w:topLinePunct w:val="0"/>
        <w:autoSpaceDE/>
        <w:autoSpaceDN/>
        <w:bidi w:val="0"/>
        <w:adjustRightInd/>
        <w:snapToGrid/>
        <w:spacing w:line="374"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提前的时间和修订后的进度计划。</w:t>
      </w:r>
    </w:p>
    <w:p w14:paraId="02076D94">
      <w:pPr>
        <w:pStyle w:val="39"/>
        <w:keepNext w:val="0"/>
        <w:keepLines w:val="0"/>
        <w:pageBreakBefore w:val="0"/>
        <w:widowControl w:val="0"/>
        <w:numPr>
          <w:ilvl w:val="0"/>
          <w:numId w:val="9"/>
        </w:numPr>
        <w:tabs>
          <w:tab w:val="left" w:pos="903"/>
        </w:tabs>
        <w:kinsoku/>
        <w:wordWrap/>
        <w:overflowPunct/>
        <w:topLinePunct w:val="0"/>
        <w:autoSpaceDE/>
        <w:autoSpaceDN/>
        <w:bidi w:val="0"/>
        <w:adjustRightInd/>
        <w:snapToGrid/>
        <w:spacing w:line="374" w:lineRule="auto"/>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承包人的赶工措施。</w:t>
      </w:r>
    </w:p>
    <w:p w14:paraId="4CC755D4">
      <w:pPr>
        <w:pStyle w:val="39"/>
        <w:keepNext w:val="0"/>
        <w:keepLines w:val="0"/>
        <w:pageBreakBefore w:val="0"/>
        <w:widowControl w:val="0"/>
        <w:numPr>
          <w:ilvl w:val="0"/>
          <w:numId w:val="9"/>
        </w:numPr>
        <w:tabs>
          <w:tab w:val="left" w:pos="923"/>
        </w:tabs>
        <w:kinsoku/>
        <w:wordWrap/>
        <w:overflowPunct/>
        <w:topLinePunct w:val="0"/>
        <w:autoSpaceDE/>
        <w:autoSpaceDN/>
        <w:bidi w:val="0"/>
        <w:adjustRightInd/>
        <w:snapToGrid/>
        <w:spacing w:line="362"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发包人为赶工提供的条件。</w:t>
      </w:r>
    </w:p>
    <w:p w14:paraId="1EE658CB">
      <w:pPr>
        <w:pStyle w:val="39"/>
        <w:keepNext w:val="0"/>
        <w:keepLines w:val="0"/>
        <w:pageBreakBefore w:val="0"/>
        <w:widowControl w:val="0"/>
        <w:numPr>
          <w:ilvl w:val="0"/>
          <w:numId w:val="9"/>
        </w:numPr>
        <w:tabs>
          <w:tab w:val="left" w:pos="923"/>
        </w:tabs>
        <w:kinsoku/>
        <w:wordWrap/>
        <w:overflowPunct/>
        <w:topLinePunct w:val="0"/>
        <w:autoSpaceDE/>
        <w:autoSpaceDN/>
        <w:bidi w:val="0"/>
        <w:adjustRightInd/>
        <w:snapToGrid/>
        <w:spacing w:after="280" w:line="362"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赶工费用(包括利润和奖金)</w:t>
      </w:r>
    </w:p>
    <w:p w14:paraId="2BF12133">
      <w:pPr>
        <w:pStyle w:val="39"/>
        <w:keepNext/>
        <w:keepLines/>
        <w:spacing w:before="280" w:after="290" w:line="372" w:lineRule="auto"/>
        <w:outlineLvl w:val="4"/>
        <w:rPr>
          <w:b/>
          <w:color w:val="auto"/>
          <w:sz w:val="28"/>
          <w:highlight w:val="none"/>
          <w:lang w:eastAsia="zh-CN"/>
        </w:rPr>
      </w:pPr>
      <w:bookmarkStart w:id="352" w:name="_Toc23145"/>
      <w:bookmarkStart w:id="353" w:name="_Toc1785"/>
      <w:r>
        <w:rPr>
          <w:rFonts w:hint="eastAsia"/>
          <w:b/>
          <w:color w:val="auto"/>
          <w:sz w:val="30"/>
          <w:szCs w:val="30"/>
          <w:highlight w:val="none"/>
          <w:lang w:eastAsia="zh-CN"/>
        </w:rPr>
        <w:t>12.暂停施工</w:t>
      </w:r>
      <w:bookmarkEnd w:id="352"/>
      <w:bookmarkEnd w:id="353"/>
    </w:p>
    <w:p w14:paraId="1E749A37">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54" w:name="_Toc4974"/>
      <w:bookmarkStart w:id="355" w:name="_Toc19874"/>
      <w:r>
        <w:rPr>
          <w:rFonts w:ascii="宋体" w:hAnsi="宋体" w:eastAsia="宋体"/>
          <w:b/>
          <w:bCs/>
          <w:color w:val="auto"/>
          <w:sz w:val="24"/>
          <w:szCs w:val="24"/>
          <w:highlight w:val="none"/>
          <w:lang w:eastAsia="zh-CN"/>
        </w:rPr>
        <w:t>12.1承包人暂停施工的责任</w:t>
      </w:r>
      <w:bookmarkEnd w:id="354"/>
      <w:bookmarkEnd w:id="355"/>
    </w:p>
    <w:p w14:paraId="62F240DE">
      <w:pPr>
        <w:pStyle w:val="39"/>
        <w:spacing w:line="362" w:lineRule="exact"/>
        <w:ind w:firstLine="44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因下列暂停施工增加的费用和(或)工期延误由承包人承担：</w:t>
      </w:r>
    </w:p>
    <w:p w14:paraId="0AC8329B">
      <w:pPr>
        <w:pStyle w:val="39"/>
        <w:keepNext w:val="0"/>
        <w:keepLines w:val="0"/>
        <w:pageBreakBefore w:val="0"/>
        <w:widowControl w:val="0"/>
        <w:numPr>
          <w:ilvl w:val="0"/>
          <w:numId w:val="10"/>
        </w:numPr>
        <w:tabs>
          <w:tab w:val="left" w:pos="92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承包人违约引起的暂停施工；</w:t>
      </w:r>
    </w:p>
    <w:p w14:paraId="4CA0752E">
      <w:pPr>
        <w:pStyle w:val="39"/>
        <w:keepNext w:val="0"/>
        <w:keepLines w:val="0"/>
        <w:pageBreakBefore w:val="0"/>
        <w:widowControl w:val="0"/>
        <w:numPr>
          <w:ilvl w:val="0"/>
          <w:numId w:val="10"/>
        </w:numPr>
        <w:tabs>
          <w:tab w:val="left" w:pos="92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由于承包人原因为工程合理施工和安全保障所必需的暂停施工；</w:t>
      </w:r>
    </w:p>
    <w:p w14:paraId="1F1122B3">
      <w:pPr>
        <w:pStyle w:val="39"/>
        <w:keepNext w:val="0"/>
        <w:keepLines w:val="0"/>
        <w:pageBreakBefore w:val="0"/>
        <w:widowControl w:val="0"/>
        <w:numPr>
          <w:ilvl w:val="0"/>
          <w:numId w:val="10"/>
        </w:numPr>
        <w:tabs>
          <w:tab w:val="left" w:pos="92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承包人擅自暂停施工；</w:t>
      </w:r>
    </w:p>
    <w:p w14:paraId="180A525D">
      <w:pPr>
        <w:pStyle w:val="39"/>
        <w:keepNext w:val="0"/>
        <w:keepLines w:val="0"/>
        <w:pageBreakBefore w:val="0"/>
        <w:widowControl w:val="0"/>
        <w:numPr>
          <w:ilvl w:val="0"/>
          <w:numId w:val="10"/>
        </w:numPr>
        <w:tabs>
          <w:tab w:val="left" w:pos="92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承包人其他原因引起的暂停施工；</w:t>
      </w:r>
    </w:p>
    <w:p w14:paraId="0D940805">
      <w:pPr>
        <w:pStyle w:val="39"/>
        <w:keepNext w:val="0"/>
        <w:keepLines w:val="0"/>
        <w:pageBreakBefore w:val="0"/>
        <w:widowControl w:val="0"/>
        <w:numPr>
          <w:ilvl w:val="0"/>
          <w:numId w:val="10"/>
        </w:numPr>
        <w:tabs>
          <w:tab w:val="left" w:pos="923"/>
        </w:tabs>
        <w:kinsoku/>
        <w:wordWrap/>
        <w:overflowPunct/>
        <w:topLinePunct w:val="0"/>
        <w:autoSpaceDE/>
        <w:autoSpaceDN/>
        <w:bidi w:val="0"/>
        <w:adjustRightInd/>
        <w:snapToGrid/>
        <w:spacing w:after="120"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专用合同条款约定由承包人承担的其他暂停施工。</w:t>
      </w:r>
    </w:p>
    <w:p w14:paraId="0C17F71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56" w:name="_Toc29330"/>
      <w:bookmarkStart w:id="357" w:name="_Toc3255"/>
      <w:r>
        <w:rPr>
          <w:rFonts w:ascii="宋体" w:hAnsi="宋体" w:eastAsia="宋体"/>
          <w:b/>
          <w:bCs/>
          <w:color w:val="auto"/>
          <w:sz w:val="24"/>
          <w:szCs w:val="24"/>
          <w:highlight w:val="none"/>
          <w:lang w:eastAsia="zh-CN"/>
        </w:rPr>
        <w:t>12.2发包人暂停施工的责任</w:t>
      </w:r>
      <w:bookmarkEnd w:id="356"/>
      <w:bookmarkEnd w:id="357"/>
    </w:p>
    <w:p w14:paraId="26342A33">
      <w:pPr>
        <w:pStyle w:val="39"/>
        <w:spacing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由于发包人原因引起的暂停施工造成工期延误的，承包人有权要求发包人延长工期和 (或)增加费用，并支付合理利润。属于下列任何一种情况引起的暂停施工，均为发包人的责任：</w:t>
      </w:r>
    </w:p>
    <w:p w14:paraId="3BF821D1">
      <w:pPr>
        <w:pStyle w:val="39"/>
        <w:keepNext w:val="0"/>
        <w:keepLines w:val="0"/>
        <w:pageBreakBefore w:val="0"/>
        <w:widowControl w:val="0"/>
        <w:numPr>
          <w:ilvl w:val="0"/>
          <w:numId w:val="11"/>
        </w:numPr>
        <w:tabs>
          <w:tab w:val="left" w:pos="923"/>
        </w:tabs>
        <w:kinsoku/>
        <w:wordWrap/>
        <w:overflowPunct/>
        <w:topLinePunct w:val="0"/>
        <w:autoSpaceDE/>
        <w:autoSpaceDN/>
        <w:bidi w:val="0"/>
        <w:adjustRightInd/>
        <w:snapToGrid/>
        <w:spacing w:line="36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由于发包人违约引起的暂停施工。</w:t>
      </w:r>
    </w:p>
    <w:p w14:paraId="7896F8A9">
      <w:pPr>
        <w:pStyle w:val="39"/>
        <w:keepNext w:val="0"/>
        <w:keepLines w:val="0"/>
        <w:pageBreakBefore w:val="0"/>
        <w:widowControl w:val="0"/>
        <w:numPr>
          <w:ilvl w:val="0"/>
          <w:numId w:val="11"/>
        </w:numPr>
        <w:tabs>
          <w:tab w:val="left" w:pos="923"/>
        </w:tabs>
        <w:kinsoku/>
        <w:wordWrap/>
        <w:overflowPunct/>
        <w:topLinePunct w:val="0"/>
        <w:autoSpaceDE/>
        <w:autoSpaceDN/>
        <w:bidi w:val="0"/>
        <w:adjustRightInd/>
        <w:snapToGrid/>
        <w:spacing w:line="362"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由于不可抗力的自然或社会因素引起的暂停施工。</w:t>
      </w:r>
    </w:p>
    <w:p w14:paraId="339BF1D9">
      <w:pPr>
        <w:pStyle w:val="39"/>
        <w:keepNext w:val="0"/>
        <w:keepLines w:val="0"/>
        <w:pageBreakBefore w:val="0"/>
        <w:widowControl w:val="0"/>
        <w:numPr>
          <w:ilvl w:val="0"/>
          <w:numId w:val="11"/>
        </w:numPr>
        <w:tabs>
          <w:tab w:val="left" w:pos="923"/>
        </w:tabs>
        <w:kinsoku/>
        <w:wordWrap/>
        <w:overflowPunct/>
        <w:topLinePunct w:val="0"/>
        <w:autoSpaceDE/>
        <w:autoSpaceDN/>
        <w:bidi w:val="0"/>
        <w:adjustRightInd/>
        <w:snapToGrid/>
        <w:spacing w:after="120" w:line="362"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专用合同条款中约定的其它由于发包人原因引起的暂停施工。</w:t>
      </w:r>
    </w:p>
    <w:p w14:paraId="35BF5C37">
      <w:pPr>
        <w:pStyle w:val="39"/>
        <w:tabs>
          <w:tab w:val="left" w:pos="923"/>
        </w:tabs>
        <w:spacing w:after="120" w:line="362" w:lineRule="exact"/>
        <w:ind w:left="440"/>
        <w:rPr>
          <w:rFonts w:ascii="宋体" w:hAnsi="宋体" w:eastAsia="宋体" w:cs="宋体"/>
          <w:color w:val="auto"/>
          <w:sz w:val="20"/>
          <w:szCs w:val="20"/>
          <w:highlight w:val="none"/>
          <w:lang w:val="zh-CN" w:eastAsia="zh-CN" w:bidi="zh-CN"/>
        </w:rPr>
      </w:pPr>
    </w:p>
    <w:p w14:paraId="0D491C8E">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58" w:name="_Toc5708"/>
      <w:bookmarkStart w:id="359" w:name="_Toc31404"/>
      <w:r>
        <w:rPr>
          <w:rFonts w:ascii="宋体" w:hAnsi="宋体" w:eastAsia="宋体"/>
          <w:b/>
          <w:bCs/>
          <w:color w:val="auto"/>
          <w:sz w:val="24"/>
          <w:szCs w:val="24"/>
          <w:highlight w:val="none"/>
          <w:lang w:eastAsia="zh-CN"/>
        </w:rPr>
        <w:t>12.3监理人暂停施工指示</w:t>
      </w:r>
      <w:bookmarkEnd w:id="358"/>
      <w:bookmarkEnd w:id="359"/>
    </w:p>
    <w:p w14:paraId="2B7998D1">
      <w:pPr>
        <w:pStyle w:val="39"/>
        <w:spacing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12.3.1</w:t>
      </w:r>
      <w:r>
        <w:rPr>
          <w:rFonts w:ascii="宋体" w:hAnsi="宋体" w:eastAsia="宋体" w:cs="宋体"/>
          <w:color w:val="auto"/>
          <w:sz w:val="20"/>
          <w:szCs w:val="20"/>
          <w:highlight w:val="none"/>
          <w:lang w:val="zh-CN" w:eastAsia="zh-CN" w:bidi="zh-CN"/>
        </w:rPr>
        <w:t>监理人认为有必要时，可向承包人作出暂停施工的指示，承包人应按监理人指示暂停施工。不论由于何种原因引起的暂停施工，暂停施工期间承包人应负责妥善保护工程并提供安全保障。</w:t>
      </w:r>
    </w:p>
    <w:p w14:paraId="547CB3BD">
      <w:pPr>
        <w:pStyle w:val="39"/>
        <w:spacing w:after="120"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12.3.2</w:t>
      </w:r>
      <w:r>
        <w:rPr>
          <w:rFonts w:ascii="宋体" w:hAnsi="宋体" w:eastAsia="宋体" w:cs="宋体"/>
          <w:color w:val="auto"/>
          <w:sz w:val="20"/>
          <w:szCs w:val="20"/>
          <w:highlight w:val="none"/>
          <w:lang w:val="zh-CN" w:eastAsia="zh-CN" w:bidi="zh-CN"/>
        </w:rPr>
        <w:t>由于发包人的原因发生暂停施工的紧急情况，且监理人未及时下达暂停施工指示的，承包人可先暂停施工，并及时向监理人提出暂停施工的书面请求。监理人应在接到书面请求后的</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小时内予以答复，逾期未答复的，视为同意承包人的暂停施工请求。</w:t>
      </w:r>
    </w:p>
    <w:p w14:paraId="29A6CC9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60" w:name="_Toc3808"/>
      <w:bookmarkStart w:id="361" w:name="_Toc15263"/>
      <w:r>
        <w:rPr>
          <w:rFonts w:ascii="宋体" w:hAnsi="宋体" w:eastAsia="宋体"/>
          <w:b/>
          <w:bCs/>
          <w:color w:val="auto"/>
          <w:sz w:val="24"/>
          <w:szCs w:val="24"/>
          <w:highlight w:val="none"/>
          <w:lang w:eastAsia="zh-CN"/>
        </w:rPr>
        <w:t>12.4暂停施工后的复工</w:t>
      </w:r>
      <w:bookmarkEnd w:id="360"/>
      <w:bookmarkEnd w:id="361"/>
    </w:p>
    <w:p w14:paraId="1DA1B1FA">
      <w:pPr>
        <w:pStyle w:val="39"/>
        <w:spacing w:after="120" w:line="35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621B7FF2">
      <w:pPr>
        <w:pStyle w:val="39"/>
        <w:spacing w:after="120" w:line="359"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12.</w:t>
      </w:r>
      <w:r>
        <w:rPr>
          <w:rFonts w:ascii="宋体" w:hAnsi="宋体" w:eastAsia="宋体" w:cs="宋体"/>
          <w:color w:val="auto"/>
          <w:sz w:val="20"/>
          <w:szCs w:val="20"/>
          <w:highlight w:val="none"/>
          <w:lang w:val="zh-CN" w:eastAsia="zh-CN" w:bidi="zh-CN"/>
        </w:rPr>
        <w:t>4. 2承包人无故拖延和拒绝复工的，由此增加的费用和工期延误由承包人承担</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因发包人原因无法按时复工的，承包人有权要求发包人延长工期和(或)增加费用，并支付合理利润。</w:t>
      </w:r>
    </w:p>
    <w:p w14:paraId="5A53974E">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62" w:name="_Toc22777"/>
      <w:bookmarkStart w:id="363" w:name="_Toc24141"/>
      <w:r>
        <w:rPr>
          <w:rFonts w:ascii="宋体" w:hAnsi="宋体" w:eastAsia="宋体"/>
          <w:b/>
          <w:bCs/>
          <w:color w:val="auto"/>
          <w:sz w:val="24"/>
          <w:szCs w:val="24"/>
          <w:highlight w:val="none"/>
          <w:lang w:eastAsia="zh-CN"/>
        </w:rPr>
        <w:t>12.5暂停施工持续56天以上</w:t>
      </w:r>
      <w:bookmarkEnd w:id="362"/>
      <w:bookmarkEnd w:id="363"/>
    </w:p>
    <w:p w14:paraId="73A0A7A1">
      <w:pPr>
        <w:pStyle w:val="39"/>
        <w:spacing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12.5.1</w:t>
      </w:r>
      <w:r>
        <w:rPr>
          <w:rFonts w:ascii="宋体" w:hAnsi="宋体" w:eastAsia="宋体" w:cs="宋体"/>
          <w:color w:val="auto"/>
          <w:sz w:val="20"/>
          <w:szCs w:val="20"/>
          <w:highlight w:val="none"/>
          <w:lang w:val="zh-CN" w:eastAsia="zh-CN" w:bidi="zh-CN"/>
        </w:rPr>
        <w:t>监理人发出暂停施工指示后</w:t>
      </w:r>
      <w:r>
        <w:rPr>
          <w:color w:val="auto"/>
          <w:sz w:val="20"/>
          <w:szCs w:val="20"/>
          <w:highlight w:val="none"/>
          <w:lang w:val="zh-CN" w:eastAsia="zh-CN" w:bidi="zh-CN"/>
        </w:rPr>
        <w:t>56</w:t>
      </w:r>
      <w:r>
        <w:rPr>
          <w:rFonts w:ascii="宋体" w:hAnsi="宋体" w:eastAsia="宋体" w:cs="宋体"/>
          <w:color w:val="auto"/>
          <w:sz w:val="20"/>
          <w:szCs w:val="20"/>
          <w:highlight w:val="none"/>
          <w:lang w:val="zh-CN" w:eastAsia="zh-CN" w:bidi="zh-CN"/>
        </w:rPr>
        <w:t>天内未向承包人发出复工通知，除了该项停工属于第</w:t>
      </w:r>
      <w:r>
        <w:rPr>
          <w:color w:val="auto"/>
          <w:sz w:val="20"/>
          <w:szCs w:val="20"/>
          <w:highlight w:val="none"/>
          <w:lang w:eastAsia="zh-CN"/>
        </w:rPr>
        <w:t>12.1</w:t>
      </w:r>
      <w:r>
        <w:rPr>
          <w:rFonts w:ascii="宋体" w:hAnsi="宋体" w:eastAsia="宋体" w:cs="宋体"/>
          <w:color w:val="auto"/>
          <w:sz w:val="20"/>
          <w:szCs w:val="20"/>
          <w:highlight w:val="none"/>
          <w:lang w:val="zh-CN" w:eastAsia="zh-CN" w:bidi="zh-CN"/>
        </w:rPr>
        <w:t xml:space="preserve">款的情况外，承包人可向监理人提交书面通知，要求监理人在收到书面通知后 </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天内准许已暂停施工的工程或其中一部分工程继续施工。如监理人逾期不予批准，则承包人可以通知监理人，将工程受影响的部分视为按第</w:t>
      </w:r>
      <w:r>
        <w:rPr>
          <w:color w:val="auto"/>
          <w:sz w:val="20"/>
          <w:szCs w:val="20"/>
          <w:highlight w:val="none"/>
          <w:lang w:eastAsia="zh-CN"/>
        </w:rPr>
        <w:t xml:space="preserve">15.1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项的可取消工作。如暂停 施工影响到整个工程，可视为发包人违约，应按第</w:t>
      </w:r>
      <w:r>
        <w:rPr>
          <w:color w:val="auto"/>
          <w:sz w:val="20"/>
          <w:szCs w:val="20"/>
          <w:highlight w:val="none"/>
          <w:lang w:eastAsia="zh-CN"/>
        </w:rPr>
        <w:t xml:space="preserve">22.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款的约定办理。</w:t>
      </w:r>
    </w:p>
    <w:p w14:paraId="1537DDA2">
      <w:pPr>
        <w:pStyle w:val="39"/>
        <w:spacing w:after="280"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12.5.2</w:t>
      </w:r>
      <w:r>
        <w:rPr>
          <w:rFonts w:ascii="宋体" w:hAnsi="宋体" w:eastAsia="宋体" w:cs="宋体"/>
          <w:color w:val="auto"/>
          <w:sz w:val="20"/>
          <w:szCs w:val="20"/>
          <w:highlight w:val="none"/>
          <w:lang w:val="zh-CN" w:eastAsia="zh-CN" w:bidi="zh-CN"/>
        </w:rPr>
        <w:t>由于承包人责任引起的暂停施工，如承包人在收到监理人暂停施工指示后</w:t>
      </w:r>
      <w:r>
        <w:rPr>
          <w:color w:val="auto"/>
          <w:sz w:val="20"/>
          <w:szCs w:val="20"/>
          <w:highlight w:val="none"/>
          <w:lang w:val="zh-CN" w:eastAsia="zh-CN" w:bidi="zh-CN"/>
        </w:rPr>
        <w:t xml:space="preserve">56 </w:t>
      </w:r>
      <w:r>
        <w:rPr>
          <w:rFonts w:ascii="宋体" w:hAnsi="宋体" w:eastAsia="宋体" w:cs="宋体"/>
          <w:color w:val="auto"/>
          <w:sz w:val="20"/>
          <w:szCs w:val="20"/>
          <w:highlight w:val="none"/>
          <w:lang w:val="zh-CN" w:eastAsia="zh-CN" w:bidi="zh-CN"/>
        </w:rPr>
        <w:t>天内不认真采取有效的复工措施，造成工期延误，可视为承包人违约，应按第</w:t>
      </w:r>
      <w:r>
        <w:rPr>
          <w:color w:val="auto"/>
          <w:sz w:val="20"/>
          <w:szCs w:val="20"/>
          <w:highlight w:val="none"/>
          <w:lang w:eastAsia="zh-CN"/>
        </w:rPr>
        <w:t>22.1</w:t>
      </w:r>
      <w:r>
        <w:rPr>
          <w:rFonts w:ascii="宋体" w:hAnsi="宋体" w:eastAsia="宋体" w:cs="宋体"/>
          <w:color w:val="auto"/>
          <w:sz w:val="20"/>
          <w:szCs w:val="20"/>
          <w:highlight w:val="none"/>
          <w:lang w:val="zh-CN" w:eastAsia="zh-CN" w:bidi="zh-CN"/>
        </w:rPr>
        <w:t>款的约定办理。</w:t>
      </w:r>
    </w:p>
    <w:p w14:paraId="5227DAEC">
      <w:pPr>
        <w:pStyle w:val="39"/>
        <w:keepNext/>
        <w:keepLines/>
        <w:spacing w:before="280" w:after="290" w:line="372" w:lineRule="auto"/>
        <w:outlineLvl w:val="4"/>
        <w:rPr>
          <w:rFonts w:hint="eastAsia"/>
          <w:b/>
          <w:color w:val="auto"/>
          <w:sz w:val="30"/>
          <w:szCs w:val="30"/>
          <w:highlight w:val="none"/>
          <w:lang w:eastAsia="zh-CN"/>
        </w:rPr>
      </w:pPr>
      <w:bookmarkStart w:id="364" w:name="_Toc17342"/>
      <w:bookmarkStart w:id="365" w:name="_Toc12738"/>
      <w:r>
        <w:rPr>
          <w:rFonts w:hint="eastAsia"/>
          <w:b/>
          <w:color w:val="auto"/>
          <w:sz w:val="30"/>
          <w:szCs w:val="30"/>
          <w:highlight w:val="none"/>
          <w:lang w:eastAsia="zh-CN"/>
        </w:rPr>
        <w:t>13.工程质量</w:t>
      </w:r>
      <w:bookmarkEnd w:id="364"/>
      <w:bookmarkEnd w:id="365"/>
    </w:p>
    <w:p w14:paraId="0949FE6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66" w:name="_Toc20658"/>
      <w:bookmarkStart w:id="367" w:name="_Toc27290"/>
      <w:r>
        <w:rPr>
          <w:rFonts w:ascii="宋体" w:hAnsi="宋体" w:eastAsia="宋体"/>
          <w:b/>
          <w:bCs/>
          <w:color w:val="auto"/>
          <w:sz w:val="24"/>
          <w:szCs w:val="24"/>
          <w:highlight w:val="none"/>
          <w:lang w:eastAsia="zh-CN"/>
        </w:rPr>
        <w:t>13.1工程质量要求</w:t>
      </w:r>
      <w:bookmarkEnd w:id="366"/>
      <w:bookmarkEnd w:id="367"/>
    </w:p>
    <w:p w14:paraId="275C8865">
      <w:pPr>
        <w:pStyle w:val="39"/>
        <w:tabs>
          <w:tab w:val="left" w:pos="820"/>
        </w:tabs>
        <w:spacing w:line="374" w:lineRule="exact"/>
        <w:ind w:left="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13.1.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工程质量验收按合同约定验收标准执行。</w:t>
      </w:r>
    </w:p>
    <w:p w14:paraId="648378F4">
      <w:pPr>
        <w:pStyle w:val="39"/>
        <w:spacing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13.1.2</w:t>
      </w:r>
      <w:r>
        <w:rPr>
          <w:rFonts w:ascii="宋体" w:hAnsi="宋体" w:eastAsia="宋体" w:cs="宋体"/>
          <w:color w:val="auto"/>
          <w:sz w:val="20"/>
          <w:szCs w:val="20"/>
          <w:highlight w:val="none"/>
          <w:lang w:val="zh-CN" w:eastAsia="zh-CN" w:bidi="zh-CN"/>
        </w:rPr>
        <w:t>因承包人原因造成工程质量达不到合同约定验收标准的，监理人有权要求承包人返工直至符合合同要求为止，由此造成的费用增加和（或）工期延误由承包人承担。</w:t>
      </w:r>
    </w:p>
    <w:p w14:paraId="29504620">
      <w:pPr>
        <w:pStyle w:val="39"/>
        <w:spacing w:after="160"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13.1.3</w:t>
      </w:r>
      <w:r>
        <w:rPr>
          <w:rFonts w:ascii="宋体" w:hAnsi="宋体" w:eastAsia="宋体" w:cs="宋体"/>
          <w:color w:val="auto"/>
          <w:sz w:val="20"/>
          <w:szCs w:val="20"/>
          <w:highlight w:val="none"/>
          <w:lang w:val="zh-CN" w:eastAsia="zh-CN" w:bidi="zh-CN"/>
        </w:rPr>
        <w:t>因发包人原因造成工程质量达不到合同约定验收标准的，发包人应承担由于承包人返工造成的费用增加和（或）工期延误，并支付承包人合理利润。</w:t>
      </w:r>
    </w:p>
    <w:p w14:paraId="79A812E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68" w:name="_Toc13661"/>
      <w:bookmarkStart w:id="369" w:name="_Toc2240"/>
      <w:r>
        <w:rPr>
          <w:rFonts w:ascii="宋体" w:hAnsi="宋体" w:eastAsia="宋体"/>
          <w:b/>
          <w:bCs/>
          <w:color w:val="auto"/>
          <w:sz w:val="24"/>
          <w:szCs w:val="24"/>
          <w:highlight w:val="none"/>
          <w:lang w:eastAsia="zh-CN"/>
        </w:rPr>
        <w:t>13.2承包人的质量管理</w:t>
      </w:r>
      <w:bookmarkEnd w:id="368"/>
      <w:bookmarkEnd w:id="369"/>
    </w:p>
    <w:p w14:paraId="02A2580B">
      <w:pPr>
        <w:pStyle w:val="39"/>
        <w:spacing w:line="361"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13.2.1</w:t>
      </w:r>
      <w:r>
        <w:rPr>
          <w:rFonts w:ascii="宋体" w:hAnsi="宋体" w:eastAsia="宋体" w:cs="宋体"/>
          <w:color w:val="auto"/>
          <w:sz w:val="20"/>
          <w:szCs w:val="20"/>
          <w:highlight w:val="none"/>
          <w:lang w:val="zh-CN" w:eastAsia="zh-CN" w:bidi="zh-CN"/>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14:paraId="5BD77DE6">
      <w:pPr>
        <w:pStyle w:val="39"/>
        <w:spacing w:after="240" w:line="36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13.2. 2承包人应加强对施工人员的质量教育和技术培训，定期考核施工人员的劳动 技能，严格执行规范和操作规程。</w:t>
      </w:r>
    </w:p>
    <w:p w14:paraId="708D3226">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70" w:name="_Toc2146"/>
      <w:bookmarkStart w:id="371" w:name="_Toc12230"/>
      <w:r>
        <w:rPr>
          <w:rFonts w:ascii="宋体" w:hAnsi="宋体" w:eastAsia="宋体"/>
          <w:b/>
          <w:bCs/>
          <w:color w:val="auto"/>
          <w:sz w:val="24"/>
          <w:szCs w:val="24"/>
          <w:highlight w:val="none"/>
          <w:lang w:eastAsia="zh-CN"/>
        </w:rPr>
        <w:t>13.3承包人的质量检查</w:t>
      </w:r>
      <w:bookmarkEnd w:id="370"/>
      <w:bookmarkEnd w:id="371"/>
    </w:p>
    <w:p w14:paraId="17DC322D">
      <w:pPr>
        <w:pStyle w:val="39"/>
        <w:spacing w:after="160"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承包人应按合同约定对材料、工程设备以及工程的所有部位及其施工工艺进行全过程的质量检查和检验，并作详细记录，编制工程质量报表，报送监理人审查。</w:t>
      </w:r>
    </w:p>
    <w:p w14:paraId="35500B6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72" w:name="_Toc18770"/>
      <w:bookmarkStart w:id="373" w:name="_Toc2204"/>
      <w:r>
        <w:rPr>
          <w:rFonts w:ascii="宋体" w:hAnsi="宋体" w:eastAsia="宋体"/>
          <w:b/>
          <w:bCs/>
          <w:color w:val="auto"/>
          <w:sz w:val="24"/>
          <w:szCs w:val="24"/>
          <w:highlight w:val="none"/>
          <w:lang w:eastAsia="zh-CN"/>
        </w:rPr>
        <w:t>13.4监理人的质量检查</w:t>
      </w:r>
      <w:bookmarkEnd w:id="372"/>
      <w:bookmarkEnd w:id="373"/>
    </w:p>
    <w:p w14:paraId="2F8C5409">
      <w:pPr>
        <w:pStyle w:val="39"/>
        <w:spacing w:after="160" w:line="35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4A30878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74" w:name="_Toc7241"/>
      <w:bookmarkStart w:id="375" w:name="_Toc26317"/>
      <w:r>
        <w:rPr>
          <w:rFonts w:ascii="宋体" w:hAnsi="宋体" w:eastAsia="宋体"/>
          <w:b/>
          <w:bCs/>
          <w:color w:val="auto"/>
          <w:sz w:val="24"/>
          <w:szCs w:val="24"/>
          <w:highlight w:val="none"/>
          <w:lang w:eastAsia="zh-CN"/>
        </w:rPr>
        <w:t>13.5工程隐蔽部位覆盖前的检查</w:t>
      </w:r>
      <w:bookmarkEnd w:id="374"/>
      <w:bookmarkEnd w:id="375"/>
    </w:p>
    <w:p w14:paraId="435933A3">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w:t>
      </w:r>
      <w:r>
        <w:rPr>
          <w:color w:val="auto"/>
          <w:sz w:val="20"/>
          <w:szCs w:val="20"/>
          <w:highlight w:val="none"/>
        </w:rPr>
        <w:t xml:space="preserve">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通知监理人检查</w:t>
      </w:r>
    </w:p>
    <w:p w14:paraId="37AFCB5C">
      <w:pPr>
        <w:pStyle w:val="39"/>
        <w:spacing w:after="160" w:line="35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766D573E">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13.5.2</w:t>
      </w:r>
      <w:r>
        <w:rPr>
          <w:rFonts w:ascii="宋体" w:hAnsi="宋体" w:eastAsia="宋体" w:cs="宋体"/>
          <w:color w:val="auto"/>
          <w:sz w:val="20"/>
          <w:szCs w:val="20"/>
          <w:highlight w:val="none"/>
          <w:lang w:val="zh-CN" w:eastAsia="zh-CN" w:bidi="zh-CN"/>
        </w:rPr>
        <w:t>监理人未到场检查</w:t>
      </w:r>
    </w:p>
    <w:p w14:paraId="32980CAC">
      <w:pPr>
        <w:pStyle w:val="39"/>
        <w:spacing w:line="35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监理人未按第</w:t>
      </w:r>
      <w:r>
        <w:rPr>
          <w:color w:val="auto"/>
          <w:sz w:val="20"/>
          <w:szCs w:val="20"/>
          <w:highlight w:val="none"/>
          <w:lang w:eastAsia="zh-CN"/>
        </w:rPr>
        <w:t>13.5.1</w:t>
      </w:r>
      <w:r>
        <w:rPr>
          <w:rFonts w:ascii="宋体" w:hAnsi="宋体" w:eastAsia="宋体" w:cs="宋体"/>
          <w:color w:val="auto"/>
          <w:sz w:val="20"/>
          <w:szCs w:val="20"/>
          <w:highlight w:val="none"/>
          <w:lang w:val="zh-CN" w:eastAsia="zh-CN" w:bidi="zh-CN"/>
        </w:rPr>
        <w:t>项约定的时间进行检查的，除监理人另有指示外，承包人可自行完成覆盖工作，并作相应记录报送监理人，监理人应签字确认。监理人事后对检查记录有疑问的，可按第</w:t>
      </w:r>
      <w:r>
        <w:rPr>
          <w:color w:val="auto"/>
          <w:sz w:val="20"/>
          <w:szCs w:val="20"/>
          <w:highlight w:val="none"/>
          <w:lang w:eastAsia="zh-CN"/>
        </w:rPr>
        <w:t>13.5.3</w:t>
      </w:r>
      <w:r>
        <w:rPr>
          <w:rFonts w:ascii="宋体" w:hAnsi="宋体" w:eastAsia="宋体" w:cs="宋体"/>
          <w:color w:val="auto"/>
          <w:sz w:val="20"/>
          <w:szCs w:val="20"/>
          <w:highlight w:val="none"/>
          <w:lang w:val="zh-CN" w:eastAsia="zh-CN" w:bidi="zh-CN"/>
        </w:rPr>
        <w:t>项的约定重新检查。</w:t>
      </w:r>
    </w:p>
    <w:p w14:paraId="7CCCAE07">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13.5.3</w:t>
      </w:r>
      <w:r>
        <w:rPr>
          <w:rFonts w:ascii="宋体" w:hAnsi="宋体" w:eastAsia="宋体" w:cs="宋体"/>
          <w:color w:val="auto"/>
          <w:sz w:val="20"/>
          <w:szCs w:val="20"/>
          <w:highlight w:val="none"/>
          <w:lang w:val="zh-CN" w:eastAsia="zh-CN" w:bidi="zh-CN"/>
        </w:rPr>
        <w:t>监理人重新检查</w:t>
      </w:r>
    </w:p>
    <w:p w14:paraId="5D24F435">
      <w:pPr>
        <w:pStyle w:val="39"/>
        <w:spacing w:line="35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承包人按第</w:t>
      </w:r>
      <w:r>
        <w:rPr>
          <w:color w:val="auto"/>
          <w:sz w:val="20"/>
          <w:szCs w:val="20"/>
          <w:highlight w:val="none"/>
          <w:lang w:eastAsia="zh-CN"/>
        </w:rPr>
        <w:t xml:space="preserve">13. 5.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项或第</w:t>
      </w:r>
      <w:r>
        <w:rPr>
          <w:color w:val="auto"/>
          <w:sz w:val="20"/>
          <w:szCs w:val="20"/>
          <w:highlight w:val="none"/>
          <w:lang w:eastAsia="zh-CN"/>
        </w:rPr>
        <w:t xml:space="preserve">13. 5.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A0B69AB">
      <w:pPr>
        <w:pStyle w:val="39"/>
        <w:spacing w:line="35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13.5.4</w:t>
      </w:r>
      <w:r>
        <w:rPr>
          <w:rFonts w:ascii="宋体" w:hAnsi="宋体" w:eastAsia="宋体" w:cs="宋体"/>
          <w:color w:val="auto"/>
          <w:sz w:val="20"/>
          <w:szCs w:val="20"/>
          <w:highlight w:val="none"/>
          <w:lang w:val="zh-CN" w:eastAsia="zh-CN" w:bidi="zh-CN"/>
        </w:rPr>
        <w:t>承包人私自覆盖</w:t>
      </w:r>
    </w:p>
    <w:p w14:paraId="0ECD09D1">
      <w:pPr>
        <w:pStyle w:val="39"/>
        <w:spacing w:after="120" w:line="355"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承包人未通知监理人到场检查，私自将工程隐蔽部位覆盖的，监理人有权指示承包人钻孔探测或揭开检查，由此增加的费用和（或）工期延误由承包人承担。</w:t>
      </w:r>
    </w:p>
    <w:p w14:paraId="5EB930A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76" w:name="_Toc8767"/>
      <w:bookmarkStart w:id="377" w:name="_Toc20718"/>
      <w:r>
        <w:rPr>
          <w:rFonts w:ascii="宋体" w:hAnsi="宋体" w:eastAsia="宋体"/>
          <w:b/>
          <w:bCs/>
          <w:color w:val="auto"/>
          <w:sz w:val="24"/>
          <w:szCs w:val="24"/>
          <w:highlight w:val="none"/>
          <w:lang w:eastAsia="zh-CN"/>
        </w:rPr>
        <w:t>13.6清除不合格工程</w:t>
      </w:r>
      <w:bookmarkEnd w:id="376"/>
      <w:bookmarkEnd w:id="377"/>
    </w:p>
    <w:p w14:paraId="274AA7E0">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13.6.1</w:t>
      </w:r>
      <w:r>
        <w:rPr>
          <w:rFonts w:ascii="宋体" w:hAnsi="宋体" w:eastAsia="宋体" w:cs="宋体"/>
          <w:color w:val="auto"/>
          <w:sz w:val="20"/>
          <w:szCs w:val="20"/>
          <w:highlight w:val="none"/>
          <w:lang w:val="zh-CN" w:eastAsia="zh-CN" w:bidi="zh-CN"/>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14:paraId="0B4FA40E">
      <w:pPr>
        <w:pStyle w:val="39"/>
        <w:spacing w:line="38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13.6.2</w:t>
      </w:r>
      <w:r>
        <w:rPr>
          <w:rFonts w:ascii="宋体" w:hAnsi="宋体" w:eastAsia="宋体" w:cs="宋体"/>
          <w:color w:val="auto"/>
          <w:sz w:val="20"/>
          <w:szCs w:val="20"/>
          <w:highlight w:val="none"/>
          <w:lang w:val="zh-CN" w:eastAsia="zh-CN" w:bidi="zh-CN"/>
        </w:rPr>
        <w:t>由于发包人提供的材料或工程设备不合格造成的工程不合格，需要承包人采取措施补救的，发包人应承担由此增加的费用和（或）工期延误，并支付承包人合理利润。</w:t>
      </w:r>
    </w:p>
    <w:p w14:paraId="53B52D3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78" w:name="_Toc15031"/>
      <w:bookmarkStart w:id="379" w:name="_Toc3553"/>
      <w:r>
        <w:rPr>
          <w:rFonts w:ascii="宋体" w:hAnsi="宋体" w:eastAsia="宋体"/>
          <w:b/>
          <w:bCs/>
          <w:color w:val="auto"/>
          <w:sz w:val="24"/>
          <w:szCs w:val="24"/>
          <w:highlight w:val="none"/>
          <w:lang w:eastAsia="zh-CN"/>
        </w:rPr>
        <w:t>13.7质量评定</w:t>
      </w:r>
      <w:bookmarkEnd w:id="378"/>
      <w:bookmarkEnd w:id="379"/>
    </w:p>
    <w:p w14:paraId="6CEE7FFD">
      <w:pPr>
        <w:pStyle w:val="39"/>
        <w:spacing w:line="37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13.7.1</w:t>
      </w:r>
      <w:r>
        <w:rPr>
          <w:rFonts w:ascii="宋体" w:hAnsi="宋体" w:eastAsia="宋体" w:cs="宋体"/>
          <w:color w:val="auto"/>
          <w:sz w:val="20"/>
          <w:szCs w:val="20"/>
          <w:highlight w:val="none"/>
          <w:lang w:val="zh-CN" w:eastAsia="zh-CN" w:bidi="zh-CN"/>
        </w:rPr>
        <w:t>发包人应组织承包人进行工程项目划分，并确定单位工程、主要分部工程、重要隐蔽单元工程和关键部位单元工程。</w:t>
      </w:r>
    </w:p>
    <w:p w14:paraId="10527E3E">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13.7.2</w:t>
      </w:r>
      <w:r>
        <w:rPr>
          <w:rFonts w:ascii="宋体" w:hAnsi="宋体" w:eastAsia="宋体" w:cs="宋体"/>
          <w:color w:val="auto"/>
          <w:sz w:val="20"/>
          <w:szCs w:val="20"/>
          <w:highlight w:val="none"/>
          <w:lang w:val="zh-CN" w:eastAsia="zh-CN" w:bidi="zh-CN"/>
        </w:rPr>
        <w:t>工程实施过程中，单位工程、主要分部工程、重要隐蔽单元工程和关键部位单元工程的项目划分需要调整时，承包人应报发包人确认。</w:t>
      </w:r>
    </w:p>
    <w:p w14:paraId="0F378102">
      <w:pPr>
        <w:pStyle w:val="39"/>
        <w:spacing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13.7.3</w:t>
      </w:r>
      <w:r>
        <w:rPr>
          <w:rFonts w:ascii="宋体" w:hAnsi="宋体" w:eastAsia="宋体" w:cs="宋体"/>
          <w:color w:val="auto"/>
          <w:sz w:val="20"/>
          <w:szCs w:val="20"/>
          <w:highlight w:val="none"/>
          <w:lang w:val="zh-CN" w:eastAsia="zh-CN" w:bidi="zh-CN"/>
        </w:rPr>
        <w:t>承包人应在单元（工序）工程质量自评合格后，报监理人核定质量等级并签证认可。</w:t>
      </w:r>
    </w:p>
    <w:p w14:paraId="302E2B2B">
      <w:pPr>
        <w:pStyle w:val="39"/>
        <w:spacing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13.7.4</w:t>
      </w:r>
      <w:r>
        <w:rPr>
          <w:rFonts w:ascii="宋体" w:hAnsi="宋体" w:eastAsia="宋体" w:cs="宋体"/>
          <w:color w:val="auto"/>
          <w:sz w:val="20"/>
          <w:szCs w:val="20"/>
          <w:highlight w:val="none"/>
          <w:lang w:val="zh-CN" w:eastAsia="zh-CN" w:bidi="zh-CN"/>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14:paraId="407596D8">
      <w:pPr>
        <w:pStyle w:val="39"/>
        <w:spacing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13.7.5</w:t>
      </w:r>
      <w:r>
        <w:rPr>
          <w:rFonts w:ascii="宋体" w:hAnsi="宋体" w:eastAsia="宋体" w:cs="宋体"/>
          <w:color w:val="auto"/>
          <w:sz w:val="20"/>
          <w:szCs w:val="20"/>
          <w:highlight w:val="none"/>
          <w:lang w:val="zh-CN" w:eastAsia="zh-CN" w:bidi="zh-CN"/>
        </w:rPr>
        <w:t>承包人应在分部工程质量自评合格后，报监理人复核和发包人认定。发包人负责按有关规定完成分部工程质量结论报工程质量监督机构核备（核定）手续。</w:t>
      </w:r>
    </w:p>
    <w:p w14:paraId="74830498">
      <w:pPr>
        <w:pStyle w:val="39"/>
        <w:spacing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13.7.6</w:t>
      </w:r>
      <w:r>
        <w:rPr>
          <w:rFonts w:ascii="宋体" w:hAnsi="宋体" w:eastAsia="宋体" w:cs="宋体"/>
          <w:color w:val="auto"/>
          <w:sz w:val="20"/>
          <w:szCs w:val="20"/>
          <w:highlight w:val="none"/>
          <w:lang w:val="zh-CN" w:eastAsia="zh-CN" w:bidi="zh-CN"/>
        </w:rPr>
        <w:t>承包人应在单位工程质量自评合格后，报监理人复核和发包人认定。发包人负责按有关规定完成单位工程质量结论报工程质量监督机构核定手续。</w:t>
      </w:r>
    </w:p>
    <w:p w14:paraId="047E398D">
      <w:pPr>
        <w:pStyle w:val="39"/>
        <w:spacing w:after="120"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13.7.7</w:t>
      </w:r>
      <w:r>
        <w:rPr>
          <w:rFonts w:ascii="宋体" w:hAnsi="宋体" w:eastAsia="宋体" w:cs="宋体"/>
          <w:color w:val="auto"/>
          <w:sz w:val="20"/>
          <w:szCs w:val="20"/>
          <w:highlight w:val="none"/>
          <w:lang w:val="zh-CN" w:eastAsia="zh-CN" w:bidi="zh-CN"/>
        </w:rPr>
        <w:t>除专用合同条款另有约定外，工程质量等级分为合格和优良，应分别达到约定的标准。</w:t>
      </w:r>
    </w:p>
    <w:p w14:paraId="0BF2FE2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80" w:name="_Toc15733"/>
      <w:bookmarkStart w:id="381" w:name="_Toc2231"/>
      <w:r>
        <w:rPr>
          <w:rFonts w:ascii="宋体" w:hAnsi="宋体" w:eastAsia="宋体"/>
          <w:b/>
          <w:bCs/>
          <w:color w:val="auto"/>
          <w:sz w:val="24"/>
          <w:szCs w:val="24"/>
          <w:highlight w:val="none"/>
          <w:lang w:eastAsia="zh-CN"/>
        </w:rPr>
        <w:t>13.8质量事故处理</w:t>
      </w:r>
      <w:bookmarkEnd w:id="380"/>
      <w:bookmarkEnd w:id="381"/>
    </w:p>
    <w:p w14:paraId="2729814A">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13.8.1</w:t>
      </w:r>
      <w:r>
        <w:rPr>
          <w:rFonts w:ascii="宋体" w:hAnsi="宋体" w:eastAsia="宋体" w:cs="宋体"/>
          <w:color w:val="auto"/>
          <w:sz w:val="20"/>
          <w:szCs w:val="20"/>
          <w:highlight w:val="none"/>
          <w:lang w:val="zh-CN" w:eastAsia="zh-CN" w:bidi="zh-CN"/>
        </w:rPr>
        <w:t>发生质量事故时，承包人应及时向发包人和监理人报告。</w:t>
      </w:r>
    </w:p>
    <w:p w14:paraId="17E090F4">
      <w:pPr>
        <w:pStyle w:val="39"/>
        <w:spacing w:line="362"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13.8.2</w:t>
      </w:r>
      <w:r>
        <w:rPr>
          <w:rFonts w:ascii="宋体" w:hAnsi="宋体" w:eastAsia="宋体" w:cs="宋体"/>
          <w:color w:val="auto"/>
          <w:sz w:val="20"/>
          <w:szCs w:val="20"/>
          <w:highlight w:val="none"/>
          <w:lang w:val="zh-CN" w:eastAsia="zh-CN" w:bidi="zh-CN"/>
        </w:rPr>
        <w:t>质量事故调查处理由发包人按相关规定履行手续，承包人应配合。</w:t>
      </w:r>
    </w:p>
    <w:p w14:paraId="4A43A91F">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13.8.3</w:t>
      </w:r>
      <w:r>
        <w:rPr>
          <w:rFonts w:ascii="宋体" w:hAnsi="宋体" w:eastAsia="宋体" w:cs="宋体"/>
          <w:color w:val="auto"/>
          <w:sz w:val="20"/>
          <w:szCs w:val="20"/>
          <w:highlight w:val="none"/>
          <w:lang w:val="zh-CN" w:eastAsia="zh-CN" w:bidi="zh-CN"/>
        </w:rPr>
        <w:t>承包人应对质量缺陷进行备案。发包人委托监理人对质量缺陷备案情况进行监督检查并履行相关手续。</w:t>
      </w:r>
    </w:p>
    <w:p w14:paraId="0C6E6F2C">
      <w:pPr>
        <w:pStyle w:val="39"/>
        <w:spacing w:after="240"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13.8.4</w:t>
      </w:r>
      <w:r>
        <w:rPr>
          <w:rFonts w:ascii="宋体" w:hAnsi="宋体" w:eastAsia="宋体" w:cs="宋体"/>
          <w:color w:val="auto"/>
          <w:sz w:val="20"/>
          <w:szCs w:val="20"/>
          <w:highlight w:val="none"/>
          <w:lang w:val="zh-CN" w:eastAsia="zh-CN" w:bidi="zh-CN"/>
        </w:rPr>
        <w:t>除专用合同条款另有约定外，工程竣工验收时，发包人负责向竣工验收委员会汇报并提交历次质量缺陷处理的备案资料。</w:t>
      </w:r>
    </w:p>
    <w:p w14:paraId="3A6B4B0B">
      <w:pPr>
        <w:pStyle w:val="39"/>
        <w:keepNext/>
        <w:keepLines/>
        <w:spacing w:before="280" w:after="290" w:line="372" w:lineRule="auto"/>
        <w:outlineLvl w:val="4"/>
        <w:rPr>
          <w:rFonts w:hint="eastAsia"/>
          <w:b/>
          <w:color w:val="auto"/>
          <w:sz w:val="30"/>
          <w:szCs w:val="30"/>
          <w:highlight w:val="none"/>
          <w:lang w:eastAsia="zh-CN"/>
        </w:rPr>
      </w:pPr>
      <w:bookmarkStart w:id="382" w:name="_Toc22547"/>
      <w:bookmarkStart w:id="383" w:name="_Toc12093"/>
      <w:r>
        <w:rPr>
          <w:rFonts w:hint="eastAsia"/>
          <w:b/>
          <w:color w:val="auto"/>
          <w:sz w:val="30"/>
          <w:szCs w:val="30"/>
          <w:highlight w:val="none"/>
          <w:lang w:eastAsia="zh-CN"/>
        </w:rPr>
        <w:t>14 .试验和检验</w:t>
      </w:r>
      <w:bookmarkEnd w:id="382"/>
      <w:bookmarkEnd w:id="383"/>
    </w:p>
    <w:p w14:paraId="1631641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84" w:name="_Toc4241"/>
      <w:bookmarkStart w:id="385" w:name="_Toc27541"/>
      <w:r>
        <w:rPr>
          <w:rFonts w:ascii="宋体" w:hAnsi="宋体" w:eastAsia="宋体"/>
          <w:b/>
          <w:bCs/>
          <w:color w:val="auto"/>
          <w:sz w:val="24"/>
          <w:szCs w:val="24"/>
          <w:highlight w:val="none"/>
          <w:lang w:eastAsia="zh-CN"/>
        </w:rPr>
        <w:t>14.1材料、工程设备和工程的试验和检验</w:t>
      </w:r>
      <w:bookmarkEnd w:id="384"/>
      <w:bookmarkEnd w:id="385"/>
    </w:p>
    <w:p w14:paraId="3D930F58">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w:t>
      </w:r>
      <w:r>
        <w:rPr>
          <w:rFonts w:hint="eastAsia"/>
          <w:color w:val="auto"/>
          <w:sz w:val="20"/>
          <w:szCs w:val="20"/>
          <w:highlight w:val="none"/>
          <w:lang w:val="en-US" w:eastAsia="zh-CN"/>
        </w:rPr>
        <w:t>1</w:t>
      </w:r>
      <w:r>
        <w:rPr>
          <w:rFonts w:ascii="宋体" w:hAnsi="宋体" w:eastAsia="宋体" w:cs="宋体"/>
          <w:color w:val="auto"/>
          <w:sz w:val="20"/>
          <w:szCs w:val="20"/>
          <w:highlight w:val="none"/>
          <w:lang w:val="zh-CN" w:eastAsia="zh-CN" w:bidi="zh-CN"/>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0E8A8CB">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14.1.2</w:t>
      </w:r>
      <w:r>
        <w:rPr>
          <w:rFonts w:ascii="宋体" w:hAnsi="宋体" w:eastAsia="宋体" w:cs="宋体"/>
          <w:color w:val="auto"/>
          <w:sz w:val="20"/>
          <w:szCs w:val="20"/>
          <w:highlight w:val="none"/>
          <w:lang w:val="zh-CN" w:eastAsia="zh-CN" w:bidi="zh-CN"/>
        </w:rPr>
        <w:t>监理人未按合同约定派员参加试验和检验的，除监理人另有指示外，承包人可自行试验和检验，并应立即将试验和检验结果报送监理人，监理人应签字确认。</w:t>
      </w:r>
    </w:p>
    <w:p w14:paraId="7B7AA55A">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14.1.3</w:t>
      </w:r>
      <w:r>
        <w:rPr>
          <w:rFonts w:ascii="宋体" w:hAnsi="宋体" w:eastAsia="宋体" w:cs="宋体"/>
          <w:color w:val="auto"/>
          <w:sz w:val="20"/>
          <w:szCs w:val="20"/>
          <w:highlight w:val="none"/>
          <w:lang w:val="zh-CN" w:eastAsia="zh-CN" w:bidi="zh-CN"/>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49DC8A3">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14.1.4</w:t>
      </w:r>
      <w:r>
        <w:rPr>
          <w:rFonts w:ascii="宋体" w:hAnsi="宋体" w:eastAsia="宋体" w:cs="宋体"/>
          <w:color w:val="auto"/>
          <w:sz w:val="20"/>
          <w:szCs w:val="20"/>
          <w:highlight w:val="none"/>
          <w:lang w:val="zh-CN" w:eastAsia="zh-CN" w:bidi="zh-CN"/>
        </w:rPr>
        <w:t>承包人应按相关规定和标准对水泥、钢材等原材料与中间产品质量进行检验, 并报监理人复核。</w:t>
      </w:r>
    </w:p>
    <w:p w14:paraId="2CC9867F">
      <w:pPr>
        <w:pStyle w:val="39"/>
        <w:spacing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14.1.5</w:t>
      </w:r>
      <w:r>
        <w:rPr>
          <w:rFonts w:ascii="宋体" w:hAnsi="宋体" w:eastAsia="宋体" w:cs="宋体"/>
          <w:color w:val="auto"/>
          <w:sz w:val="20"/>
          <w:szCs w:val="20"/>
          <w:highlight w:val="none"/>
          <w:lang w:val="zh-CN" w:eastAsia="zh-CN" w:bidi="zh-CN"/>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034C11CA">
      <w:pPr>
        <w:pStyle w:val="39"/>
        <w:spacing w:after="120" w:line="356"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14.1.6</w:t>
      </w:r>
      <w:r>
        <w:rPr>
          <w:rFonts w:ascii="宋体" w:hAnsi="宋体" w:eastAsia="宋体" w:cs="宋体"/>
          <w:color w:val="auto"/>
          <w:sz w:val="20"/>
          <w:szCs w:val="20"/>
          <w:highlight w:val="none"/>
          <w:lang w:val="zh-CN" w:eastAsia="zh-CN" w:bidi="zh-CN"/>
        </w:rPr>
        <w:t>对专用合同条款约定的试块、试件及有关材料，监理人实行见证取样。见证取样资料由承包人制备，记录应真实齐全，监理人、承包人等参与见证取样人员均应在相关文件上签字。</w:t>
      </w:r>
    </w:p>
    <w:p w14:paraId="06EA861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86" w:name="_Toc21718"/>
      <w:bookmarkStart w:id="387" w:name="_Toc6785"/>
      <w:r>
        <w:rPr>
          <w:rFonts w:ascii="宋体" w:hAnsi="宋体" w:eastAsia="宋体"/>
          <w:b/>
          <w:bCs/>
          <w:color w:val="auto"/>
          <w:sz w:val="24"/>
          <w:szCs w:val="24"/>
          <w:highlight w:val="none"/>
          <w:lang w:eastAsia="zh-CN"/>
        </w:rPr>
        <w:t>14.2现场材料试验</w:t>
      </w:r>
      <w:bookmarkEnd w:id="386"/>
      <w:bookmarkEnd w:id="387"/>
    </w:p>
    <w:p w14:paraId="5A7BADF9">
      <w:pPr>
        <w:pStyle w:val="39"/>
        <w:tabs>
          <w:tab w:val="left" w:pos="815"/>
        </w:tabs>
        <w:spacing w:line="362" w:lineRule="exact"/>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14.</w:t>
      </w:r>
      <w:r>
        <w:rPr>
          <w:color w:val="auto"/>
          <w:sz w:val="20"/>
          <w:szCs w:val="20"/>
          <w:highlight w:val="none"/>
          <w:lang w:eastAsia="zh-CN"/>
        </w:rPr>
        <w:t xml:space="preserve">2.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承包人根据合同约定或监理人指示进行的现场材料试验，应由承包人提供试 验场所、试验人员、试验设备器材以及其他必要的试验条件。</w:t>
      </w:r>
    </w:p>
    <w:p w14:paraId="09C654C8">
      <w:pPr>
        <w:pStyle w:val="39"/>
        <w:tabs>
          <w:tab w:val="left" w:pos="815"/>
        </w:tabs>
        <w:spacing w:after="120" w:line="367" w:lineRule="exact"/>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14.</w:t>
      </w:r>
      <w:r>
        <w:rPr>
          <w:color w:val="auto"/>
          <w:sz w:val="20"/>
          <w:szCs w:val="20"/>
          <w:highlight w:val="none"/>
          <w:lang w:eastAsia="zh-CN"/>
        </w:rPr>
        <w:t xml:space="preserve">2.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监理人在必要时可以使用承包人的试验场所、试验设备器材以及其他试验条件，进行以工程质量检查为目的的复核性材料试验，承包人应予以协助。</w:t>
      </w:r>
    </w:p>
    <w:p w14:paraId="3861C8F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88" w:name="_Toc15641"/>
      <w:bookmarkStart w:id="389" w:name="_Toc1471"/>
      <w:r>
        <w:rPr>
          <w:rFonts w:ascii="宋体" w:hAnsi="宋体" w:eastAsia="宋体"/>
          <w:b/>
          <w:bCs/>
          <w:color w:val="auto"/>
          <w:sz w:val="24"/>
          <w:szCs w:val="24"/>
          <w:highlight w:val="none"/>
          <w:lang w:eastAsia="zh-CN"/>
        </w:rPr>
        <w:t>14.3现场工艺试验</w:t>
      </w:r>
      <w:bookmarkEnd w:id="388"/>
      <w:bookmarkEnd w:id="389"/>
    </w:p>
    <w:p w14:paraId="051AD7C3">
      <w:pPr>
        <w:pStyle w:val="39"/>
        <w:spacing w:after="120"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承包人应按合同约定或监理人指示进行现场工艺试验。对大型的现场工艺试验，监理人认为必要时，应由承包人根据监理人提出的工艺试验要求，编制工艺试验措施计划，报送监理人审批。</w:t>
      </w:r>
    </w:p>
    <w:p w14:paraId="4AC404EA">
      <w:pPr>
        <w:pStyle w:val="39"/>
        <w:keepNext/>
        <w:keepLines/>
        <w:spacing w:before="280" w:after="290" w:line="372" w:lineRule="auto"/>
        <w:outlineLvl w:val="4"/>
        <w:rPr>
          <w:rFonts w:hint="eastAsia"/>
          <w:b/>
          <w:color w:val="auto"/>
          <w:sz w:val="30"/>
          <w:szCs w:val="30"/>
          <w:highlight w:val="none"/>
          <w:lang w:eastAsia="zh-CN"/>
        </w:rPr>
      </w:pPr>
      <w:bookmarkStart w:id="390" w:name="_Toc30084"/>
      <w:bookmarkStart w:id="391" w:name="_Toc29622"/>
      <w:r>
        <w:rPr>
          <w:rFonts w:hint="eastAsia"/>
          <w:b/>
          <w:color w:val="auto"/>
          <w:sz w:val="30"/>
          <w:szCs w:val="30"/>
          <w:highlight w:val="none"/>
          <w:lang w:eastAsia="zh-CN"/>
        </w:rPr>
        <w:t>15.变更</w:t>
      </w:r>
      <w:bookmarkEnd w:id="390"/>
      <w:bookmarkEnd w:id="391"/>
    </w:p>
    <w:p w14:paraId="3454614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92" w:name="_Toc1839"/>
      <w:bookmarkStart w:id="393" w:name="_Toc1883"/>
      <w:r>
        <w:rPr>
          <w:rFonts w:ascii="宋体" w:hAnsi="宋体" w:eastAsia="宋体"/>
          <w:b/>
          <w:bCs/>
          <w:color w:val="auto"/>
          <w:sz w:val="24"/>
          <w:szCs w:val="24"/>
          <w:highlight w:val="none"/>
          <w:lang w:eastAsia="zh-CN"/>
        </w:rPr>
        <w:t>15.1变更的范围和内容</w:t>
      </w:r>
      <w:bookmarkEnd w:id="392"/>
      <w:bookmarkEnd w:id="393"/>
    </w:p>
    <w:p w14:paraId="2A84C713">
      <w:pPr>
        <w:pStyle w:val="39"/>
        <w:spacing w:line="36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在履行合同中发生以下情形之一，应按照本条规定进行变更。</w:t>
      </w:r>
    </w:p>
    <w:p w14:paraId="2F1A9828">
      <w:pPr>
        <w:pStyle w:val="39"/>
        <w:keepNext w:val="0"/>
        <w:keepLines w:val="0"/>
        <w:pageBreakBefore w:val="0"/>
        <w:widowControl w:val="0"/>
        <w:numPr>
          <w:ilvl w:val="0"/>
          <w:numId w:val="12"/>
        </w:numPr>
        <w:tabs>
          <w:tab w:val="left" w:pos="923"/>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取消合同中任何一项工作，但被取消的工作不能转由发包人或其它人实施；</w:t>
      </w:r>
    </w:p>
    <w:p w14:paraId="0EC9171C">
      <w:pPr>
        <w:pStyle w:val="39"/>
        <w:keepNext w:val="0"/>
        <w:keepLines w:val="0"/>
        <w:pageBreakBefore w:val="0"/>
        <w:widowControl w:val="0"/>
        <w:numPr>
          <w:ilvl w:val="0"/>
          <w:numId w:val="12"/>
        </w:numPr>
        <w:tabs>
          <w:tab w:val="left" w:pos="923"/>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改变合同中任何一项工作的质量或其它特性；</w:t>
      </w:r>
    </w:p>
    <w:p w14:paraId="7EDC3E14">
      <w:pPr>
        <w:pStyle w:val="39"/>
        <w:keepNext w:val="0"/>
        <w:keepLines w:val="0"/>
        <w:pageBreakBefore w:val="0"/>
        <w:widowControl w:val="0"/>
        <w:numPr>
          <w:ilvl w:val="0"/>
          <w:numId w:val="12"/>
        </w:numPr>
        <w:tabs>
          <w:tab w:val="left" w:pos="923"/>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改变合同工程的基线、标高、位置或尺寸；</w:t>
      </w:r>
    </w:p>
    <w:p w14:paraId="21052141">
      <w:pPr>
        <w:pStyle w:val="39"/>
        <w:keepNext w:val="0"/>
        <w:keepLines w:val="0"/>
        <w:pageBreakBefore w:val="0"/>
        <w:widowControl w:val="0"/>
        <w:numPr>
          <w:ilvl w:val="0"/>
          <w:numId w:val="12"/>
        </w:numPr>
        <w:tabs>
          <w:tab w:val="left" w:pos="923"/>
        </w:tabs>
        <w:kinsoku/>
        <w:wordWrap/>
        <w:overflowPunct/>
        <w:topLinePunct w:val="0"/>
        <w:autoSpaceDE/>
        <w:autoSpaceDN/>
        <w:bidi w:val="0"/>
        <w:adjustRightInd/>
        <w:snapToGrid/>
        <w:spacing w:line="365"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改变合同中任何一项工作的施工时间或改变已批准的施工工艺或顺序；</w:t>
      </w:r>
    </w:p>
    <w:p w14:paraId="6433E7E5">
      <w:pPr>
        <w:pStyle w:val="39"/>
        <w:keepNext w:val="0"/>
        <w:keepLines w:val="0"/>
        <w:pageBreakBefore w:val="0"/>
        <w:widowControl w:val="0"/>
        <w:numPr>
          <w:ilvl w:val="0"/>
          <w:numId w:val="12"/>
        </w:numPr>
        <w:tabs>
          <w:tab w:val="left" w:pos="923"/>
        </w:tabs>
        <w:kinsoku/>
        <w:wordWrap/>
        <w:overflowPunct/>
        <w:topLinePunct w:val="0"/>
        <w:autoSpaceDE/>
        <w:autoSpaceDN/>
        <w:bidi w:val="0"/>
        <w:adjustRightInd/>
        <w:snapToGrid/>
        <w:spacing w:line="365"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为完成工程需要追加的额外工作；</w:t>
      </w:r>
    </w:p>
    <w:p w14:paraId="36362527">
      <w:pPr>
        <w:pStyle w:val="39"/>
        <w:keepNext w:val="0"/>
        <w:keepLines w:val="0"/>
        <w:pageBreakBefore w:val="0"/>
        <w:widowControl w:val="0"/>
        <w:numPr>
          <w:ilvl w:val="0"/>
          <w:numId w:val="12"/>
        </w:numPr>
        <w:tabs>
          <w:tab w:val="left" w:pos="920"/>
        </w:tabs>
        <w:kinsoku/>
        <w:wordWrap/>
        <w:overflowPunct/>
        <w:topLinePunct w:val="0"/>
        <w:autoSpaceDE/>
        <w:autoSpaceDN/>
        <w:bidi w:val="0"/>
        <w:adjustRightInd/>
        <w:snapToGrid/>
        <w:spacing w:line="365"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增加或减少专用合同条款中约定的关键项目工程量超过其工程总量的一定数量的百分比。</w:t>
      </w:r>
    </w:p>
    <w:p w14:paraId="6A532FB9">
      <w:pPr>
        <w:pStyle w:val="39"/>
        <w:spacing w:line="365"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上述第(</w:t>
      </w:r>
      <w:r>
        <w:rPr>
          <w:color w:val="auto"/>
          <w:sz w:val="20"/>
          <w:szCs w:val="20"/>
          <w:highlight w:val="none"/>
          <w:lang w:val="zh-CN" w:eastAsia="zh-CN" w:bidi="zh-CN"/>
        </w:rPr>
        <w:t>1) ~ (6)</w:t>
      </w:r>
      <w:r>
        <w:rPr>
          <w:rFonts w:ascii="宋体" w:hAnsi="宋体" w:eastAsia="宋体" w:cs="宋体"/>
          <w:color w:val="auto"/>
          <w:sz w:val="20"/>
          <w:szCs w:val="20"/>
          <w:highlight w:val="none"/>
          <w:lang w:val="zh-CN" w:eastAsia="zh-CN" w:bidi="zh-CN"/>
        </w:rPr>
        <w:t>目的变更内容引起工程施工组织和进度计划发生实质性变动和影响其原定的价格时，才予调整该项目的单价。第(</w:t>
      </w:r>
      <w:r>
        <w:rPr>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目情形下单价调整方式在专用合同条款中约定。</w:t>
      </w:r>
    </w:p>
    <w:p w14:paraId="0468911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94" w:name="_Toc22109"/>
      <w:bookmarkStart w:id="395" w:name="_Toc3458"/>
      <w:r>
        <w:rPr>
          <w:rFonts w:ascii="宋体" w:hAnsi="宋体" w:eastAsia="宋体"/>
          <w:b/>
          <w:bCs/>
          <w:color w:val="auto"/>
          <w:sz w:val="24"/>
          <w:szCs w:val="24"/>
          <w:highlight w:val="none"/>
          <w:lang w:eastAsia="zh-CN"/>
        </w:rPr>
        <w:t>15.2变更权</w:t>
      </w:r>
      <w:bookmarkEnd w:id="394"/>
      <w:bookmarkEnd w:id="395"/>
    </w:p>
    <w:p w14:paraId="6581E094">
      <w:pPr>
        <w:pStyle w:val="39"/>
        <w:spacing w:after="240" w:line="374"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在履行合同过程中，经发包人同意，监理人可按第</w:t>
      </w:r>
      <w:r>
        <w:rPr>
          <w:color w:val="auto"/>
          <w:sz w:val="20"/>
          <w:szCs w:val="20"/>
          <w:highlight w:val="none"/>
          <w:lang w:eastAsia="zh-CN"/>
        </w:rPr>
        <w:t xml:space="preserve">15.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款约定的变更程序向承包人作出变更指示，承包人应遵照执行。没有监理人的变更指示，承包人不得擅自变更。</w:t>
      </w:r>
    </w:p>
    <w:p w14:paraId="096BBEBC">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96" w:name="_Toc9973"/>
      <w:bookmarkStart w:id="397" w:name="_Toc16694"/>
      <w:r>
        <w:rPr>
          <w:rFonts w:ascii="宋体" w:hAnsi="宋体" w:eastAsia="宋体"/>
          <w:b/>
          <w:bCs/>
          <w:color w:val="auto"/>
          <w:sz w:val="24"/>
          <w:szCs w:val="24"/>
          <w:highlight w:val="none"/>
          <w:lang w:eastAsia="zh-CN"/>
        </w:rPr>
        <w:t>15.3变更程序</w:t>
      </w:r>
      <w:bookmarkEnd w:id="396"/>
      <w:bookmarkEnd w:id="397"/>
    </w:p>
    <w:p w14:paraId="5A7334B6">
      <w:pPr>
        <w:pStyle w:val="39"/>
        <w:spacing w:line="352" w:lineRule="exact"/>
        <w:ind w:firstLine="420"/>
        <w:rPr>
          <w:rFonts w:ascii="宋体" w:hAnsi="宋体" w:eastAsia="宋体" w:cs="宋体"/>
          <w:color w:val="auto"/>
          <w:sz w:val="20"/>
          <w:szCs w:val="20"/>
          <w:highlight w:val="none"/>
          <w:lang w:val="zh-CN" w:eastAsia="zh-CN" w:bidi="zh-CN"/>
        </w:rPr>
      </w:pPr>
      <w:r>
        <w:rPr>
          <w:color w:val="auto"/>
          <w:sz w:val="20"/>
          <w:szCs w:val="20"/>
          <w:highlight w:val="none"/>
        </w:rPr>
        <w:t>15.3.1</w:t>
      </w:r>
      <w:r>
        <w:rPr>
          <w:rFonts w:ascii="宋体" w:hAnsi="宋体" w:eastAsia="宋体" w:cs="宋体"/>
          <w:color w:val="auto"/>
          <w:sz w:val="20"/>
          <w:szCs w:val="20"/>
          <w:highlight w:val="none"/>
          <w:lang w:val="zh-CN" w:eastAsia="zh-CN" w:bidi="zh-CN"/>
        </w:rPr>
        <w:t>变更的提出</w:t>
      </w:r>
    </w:p>
    <w:p w14:paraId="78073098">
      <w:pPr>
        <w:pStyle w:val="39"/>
        <w:keepNext w:val="0"/>
        <w:keepLines w:val="0"/>
        <w:pageBreakBefore w:val="0"/>
        <w:widowControl w:val="0"/>
        <w:numPr>
          <w:ilvl w:val="0"/>
          <w:numId w:val="13"/>
        </w:numPr>
        <w:tabs>
          <w:tab w:val="left" w:pos="918"/>
        </w:tabs>
        <w:kinsoku/>
        <w:wordWrap/>
        <w:overflowPunct/>
        <w:topLinePunct w:val="0"/>
        <w:autoSpaceDE/>
        <w:autoSpaceDN/>
        <w:bidi w:val="0"/>
        <w:adjustRightInd/>
        <w:snapToGrid/>
        <w:spacing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在合同履行过程中，可能发生第</w:t>
      </w:r>
      <w:r>
        <w:rPr>
          <w:color w:val="auto"/>
          <w:sz w:val="20"/>
          <w:szCs w:val="20"/>
          <w:highlight w:val="none"/>
          <w:lang w:eastAsia="zh-CN"/>
        </w:rPr>
        <w:t>15.1</w:t>
      </w:r>
      <w:r>
        <w:rPr>
          <w:rFonts w:ascii="宋体" w:hAnsi="宋体" w:eastAsia="宋体" w:cs="宋体"/>
          <w:color w:val="auto"/>
          <w:sz w:val="20"/>
          <w:szCs w:val="20"/>
          <w:highlight w:val="none"/>
          <w:lang w:val="zh-CN" w:eastAsia="zh-CN" w:bidi="zh-CN"/>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color w:val="auto"/>
          <w:sz w:val="20"/>
          <w:szCs w:val="20"/>
          <w:highlight w:val="none"/>
          <w:lang w:eastAsia="zh-CN"/>
        </w:rPr>
        <w:t xml:space="preserve">15. </w:t>
      </w:r>
      <w:r>
        <w:rPr>
          <w:color w:val="auto"/>
          <w:sz w:val="20"/>
          <w:szCs w:val="20"/>
          <w:highlight w:val="none"/>
        </w:rPr>
        <w:t xml:space="preserve">3.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项约定发出变更指示。</w:t>
      </w:r>
    </w:p>
    <w:p w14:paraId="135F3579">
      <w:pPr>
        <w:pStyle w:val="39"/>
        <w:keepNext w:val="0"/>
        <w:keepLines w:val="0"/>
        <w:pageBreakBefore w:val="0"/>
        <w:widowControl w:val="0"/>
        <w:numPr>
          <w:ilvl w:val="0"/>
          <w:numId w:val="13"/>
        </w:numPr>
        <w:tabs>
          <w:tab w:val="left" w:pos="901"/>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在合同履行过程中，发生第</w:t>
      </w:r>
      <w:r>
        <w:rPr>
          <w:color w:val="auto"/>
          <w:sz w:val="20"/>
          <w:szCs w:val="20"/>
          <w:highlight w:val="none"/>
          <w:lang w:eastAsia="zh-CN"/>
        </w:rPr>
        <w:t xml:space="preserve">15.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款约定情形的，监理人应按照第</w:t>
      </w:r>
      <w:r>
        <w:rPr>
          <w:color w:val="auto"/>
          <w:sz w:val="20"/>
          <w:szCs w:val="20"/>
          <w:highlight w:val="none"/>
          <w:lang w:eastAsia="zh-CN"/>
        </w:rPr>
        <w:t xml:space="preserve">15. 3.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项约定向承包人发出变更指示。</w:t>
      </w:r>
    </w:p>
    <w:p w14:paraId="45487D7A">
      <w:pPr>
        <w:pStyle w:val="39"/>
        <w:keepNext w:val="0"/>
        <w:keepLines w:val="0"/>
        <w:pageBreakBefore w:val="0"/>
        <w:widowControl w:val="0"/>
        <w:numPr>
          <w:ilvl w:val="0"/>
          <w:numId w:val="13"/>
        </w:numPr>
        <w:tabs>
          <w:tab w:val="left" w:pos="922"/>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承包人收到监理人按合同约定发出的图纸和文件，经检查认为其中存在第</w:t>
      </w:r>
      <w:r>
        <w:rPr>
          <w:color w:val="auto"/>
          <w:sz w:val="20"/>
          <w:szCs w:val="20"/>
          <w:highlight w:val="none"/>
          <w:lang w:eastAsia="zh-CN"/>
        </w:rPr>
        <w:t xml:space="preserve">15.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 约定情形的，可向监理人提出书面变更建议。变更建议应阐明要求变更的依据，并附必要的图纸和说明。监理人收到承包人书面建议后，应与发包人共同研究，确认存在变更的，应在收到承包人书面建议后的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天内作出变更指示。经研究后不同意作为变更的，应由监理人书面答复承包人。</w:t>
      </w:r>
    </w:p>
    <w:p w14:paraId="18257D72">
      <w:pPr>
        <w:pStyle w:val="39"/>
        <w:keepNext w:val="0"/>
        <w:keepLines w:val="0"/>
        <w:pageBreakBefore w:val="0"/>
        <w:widowControl w:val="0"/>
        <w:numPr>
          <w:ilvl w:val="0"/>
          <w:numId w:val="13"/>
        </w:numPr>
        <w:tabs>
          <w:tab w:val="left" w:pos="922"/>
        </w:tabs>
        <w:kinsoku/>
        <w:wordWrap/>
        <w:overflowPunct/>
        <w:topLinePunct w:val="0"/>
        <w:autoSpaceDE/>
        <w:autoSpaceDN/>
        <w:bidi w:val="0"/>
        <w:adjustRightInd/>
        <w:snapToGrid/>
        <w:spacing w:after="80"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若承包人收到监理人的变更意向书后认为难以实施此项变更，应立即通知监理人, 说明原因并附详细依据。监理人与承包人和发包人协商后确定撤销、改变或不改变原变更 意向书。</w:t>
      </w:r>
    </w:p>
    <w:p w14:paraId="612AF0E6">
      <w:pPr>
        <w:pStyle w:val="39"/>
        <w:ind w:firstLine="440"/>
        <w:jc w:val="both"/>
        <w:rPr>
          <w:color w:val="auto"/>
          <w:sz w:val="20"/>
          <w:szCs w:val="20"/>
          <w:highlight w:val="none"/>
        </w:rPr>
      </w:pPr>
      <w:r>
        <w:rPr>
          <w:color w:val="auto"/>
          <w:sz w:val="20"/>
          <w:szCs w:val="20"/>
          <w:highlight w:val="none"/>
        </w:rPr>
        <w:t>15.3.2</w:t>
      </w:r>
      <w:r>
        <w:rPr>
          <w:rFonts w:ascii="宋体" w:hAnsi="宋体" w:eastAsia="宋体" w:cs="宋体"/>
          <w:color w:val="auto"/>
          <w:sz w:val="20"/>
          <w:szCs w:val="20"/>
          <w:highlight w:val="none"/>
          <w:lang w:val="zh-CN" w:eastAsia="zh-CN" w:bidi="zh-CN"/>
        </w:rPr>
        <w:t>变更估价</w:t>
      </w:r>
    </w:p>
    <w:p w14:paraId="11E2414E">
      <w:pPr>
        <w:pStyle w:val="39"/>
        <w:keepNext w:val="0"/>
        <w:keepLines w:val="0"/>
        <w:pageBreakBefore w:val="0"/>
        <w:widowControl w:val="0"/>
        <w:numPr>
          <w:ilvl w:val="0"/>
          <w:numId w:val="14"/>
        </w:numPr>
        <w:kinsoku/>
        <w:wordWrap/>
        <w:overflowPunct/>
        <w:topLinePunct w:val="0"/>
        <w:autoSpaceDE/>
        <w:autoSpaceDN/>
        <w:bidi w:val="0"/>
        <w:adjustRightInd/>
        <w:snapToGrid/>
        <w:spacing w:line="353"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除专用合同条款对期限另有约定外，承包人应在收到变更指示或变更意向书后的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天内，向监理人提交变更报价书，报价内容应根据第</w:t>
      </w:r>
      <w:r>
        <w:rPr>
          <w:color w:val="auto"/>
          <w:sz w:val="20"/>
          <w:szCs w:val="20"/>
          <w:highlight w:val="none"/>
          <w:lang w:eastAsia="zh-CN"/>
        </w:rPr>
        <w:t xml:space="preserve">15.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款约定的估价原则，详细开列变更工作的价格组成及其依据，并附必要的施工方法说明和有关图纸。</w:t>
      </w:r>
    </w:p>
    <w:p w14:paraId="126E0335">
      <w:pPr>
        <w:pStyle w:val="39"/>
        <w:keepNext w:val="0"/>
        <w:keepLines w:val="0"/>
        <w:pageBreakBefore w:val="0"/>
        <w:widowControl w:val="0"/>
        <w:numPr>
          <w:ilvl w:val="0"/>
          <w:numId w:val="14"/>
        </w:numPr>
        <w:tabs>
          <w:tab w:val="left" w:pos="915"/>
        </w:tabs>
        <w:kinsoku/>
        <w:wordWrap/>
        <w:overflowPunct/>
        <w:topLinePunct w:val="0"/>
        <w:autoSpaceDE/>
        <w:autoSpaceDN/>
        <w:bidi w:val="0"/>
        <w:adjustRightInd/>
        <w:snapToGrid/>
        <w:spacing w:line="361"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变更工作影响工期的，承包人应提出调整工期的具体细节。监理人认为有必要时, 可要求承包人提交要求提前或延长工期的施工进度计划及相应施工措施等详细资料。</w:t>
      </w:r>
    </w:p>
    <w:p w14:paraId="7E89AC11">
      <w:pPr>
        <w:pStyle w:val="39"/>
        <w:keepNext w:val="0"/>
        <w:keepLines w:val="0"/>
        <w:pageBreakBefore w:val="0"/>
        <w:widowControl w:val="0"/>
        <w:numPr>
          <w:ilvl w:val="0"/>
          <w:numId w:val="14"/>
        </w:numPr>
        <w:tabs>
          <w:tab w:val="left" w:pos="920"/>
        </w:tabs>
        <w:kinsoku/>
        <w:wordWrap/>
        <w:overflowPunct/>
        <w:topLinePunct w:val="0"/>
        <w:autoSpaceDE/>
        <w:autoSpaceDN/>
        <w:bidi w:val="0"/>
        <w:adjustRightInd/>
        <w:snapToGrid/>
        <w:spacing w:after="120" w:line="361"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除专用合同条款对期限另有约定外，监理人收到承包人变更报价书后的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天内，根据第</w:t>
      </w:r>
      <w:r>
        <w:rPr>
          <w:color w:val="auto"/>
          <w:sz w:val="20"/>
          <w:szCs w:val="20"/>
          <w:highlight w:val="none"/>
          <w:lang w:eastAsia="zh-CN"/>
        </w:rPr>
        <w:t xml:space="preserve">15.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款约定的估价原则，按照第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款商定或确定变更价格。</w:t>
      </w:r>
    </w:p>
    <w:p w14:paraId="741F3651">
      <w:pPr>
        <w:pStyle w:val="39"/>
        <w:spacing w:line="377" w:lineRule="auto"/>
        <w:ind w:firstLine="440"/>
        <w:jc w:val="both"/>
        <w:rPr>
          <w:color w:val="auto"/>
          <w:sz w:val="20"/>
          <w:szCs w:val="20"/>
          <w:highlight w:val="none"/>
        </w:rPr>
      </w:pPr>
      <w:r>
        <w:rPr>
          <w:color w:val="auto"/>
          <w:sz w:val="20"/>
          <w:szCs w:val="20"/>
          <w:highlight w:val="none"/>
        </w:rPr>
        <w:t>15.3.3</w:t>
      </w:r>
      <w:r>
        <w:rPr>
          <w:rFonts w:ascii="宋体" w:hAnsi="宋体" w:eastAsia="宋体" w:cs="宋体"/>
          <w:color w:val="auto"/>
          <w:sz w:val="20"/>
          <w:szCs w:val="20"/>
          <w:highlight w:val="none"/>
          <w:lang w:val="zh-CN" w:eastAsia="zh-CN" w:bidi="zh-CN"/>
        </w:rPr>
        <w:t>变更指示</w:t>
      </w:r>
    </w:p>
    <w:p w14:paraId="060344B8">
      <w:pPr>
        <w:pStyle w:val="39"/>
        <w:keepNext w:val="0"/>
        <w:keepLines w:val="0"/>
        <w:pageBreakBefore w:val="0"/>
        <w:widowControl w:val="0"/>
        <w:numPr>
          <w:ilvl w:val="0"/>
          <w:numId w:val="15"/>
        </w:numPr>
        <w:tabs>
          <w:tab w:val="left" w:pos="923"/>
        </w:tabs>
        <w:kinsoku/>
        <w:wordWrap/>
        <w:overflowPunct/>
        <w:topLinePunct w:val="0"/>
        <w:autoSpaceDE/>
        <w:autoSpaceDN/>
        <w:bidi w:val="0"/>
        <w:adjustRightInd/>
        <w:snapToGrid/>
        <w:spacing w:line="37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变更指示只能由监理人发出。</w:t>
      </w:r>
    </w:p>
    <w:p w14:paraId="3E29E9DA">
      <w:pPr>
        <w:pStyle w:val="39"/>
        <w:keepNext w:val="0"/>
        <w:keepLines w:val="0"/>
        <w:pageBreakBefore w:val="0"/>
        <w:widowControl w:val="0"/>
        <w:numPr>
          <w:ilvl w:val="0"/>
          <w:numId w:val="15"/>
        </w:numPr>
        <w:tabs>
          <w:tab w:val="left" w:pos="922"/>
        </w:tabs>
        <w:kinsoku/>
        <w:wordWrap/>
        <w:overflowPunct/>
        <w:topLinePunct w:val="0"/>
        <w:autoSpaceDE/>
        <w:autoSpaceDN/>
        <w:bidi w:val="0"/>
        <w:adjustRightInd/>
        <w:snapToGrid/>
        <w:spacing w:after="120" w:line="37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变更指示应说明变更的目的、范围、变更内容以及变更的工程量及其进度和技术要求，并附有关图纸和文件。承包人收到变更指示后，应按变更指示进行变更工作。</w:t>
      </w:r>
    </w:p>
    <w:p w14:paraId="7201DE4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398" w:name="_Toc10251"/>
      <w:bookmarkStart w:id="399" w:name="_Toc10744"/>
      <w:r>
        <w:rPr>
          <w:rFonts w:ascii="宋体" w:hAnsi="宋体" w:eastAsia="宋体"/>
          <w:b/>
          <w:bCs/>
          <w:color w:val="auto"/>
          <w:sz w:val="24"/>
          <w:szCs w:val="24"/>
          <w:highlight w:val="none"/>
          <w:lang w:eastAsia="zh-CN"/>
        </w:rPr>
        <w:t>15.4变更的估价原则</w:t>
      </w:r>
      <w:bookmarkEnd w:id="398"/>
      <w:bookmarkEnd w:id="399"/>
    </w:p>
    <w:p w14:paraId="2E4A0E04">
      <w:pPr>
        <w:pStyle w:val="39"/>
        <w:spacing w:after="120" w:line="358"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除专用合同条款另有约定外，因变更引起的价格调整按照本款约定处理。</w:t>
      </w:r>
    </w:p>
    <w:p w14:paraId="3A75DB48">
      <w:pPr>
        <w:pStyle w:val="39"/>
        <w:spacing w:line="374"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15.4.1</w:t>
      </w:r>
      <w:r>
        <w:rPr>
          <w:rFonts w:ascii="宋体" w:hAnsi="宋体" w:eastAsia="宋体" w:cs="宋体"/>
          <w:color w:val="auto"/>
          <w:sz w:val="20"/>
          <w:szCs w:val="20"/>
          <w:highlight w:val="none"/>
          <w:lang w:val="zh-CN" w:eastAsia="zh-CN" w:bidi="zh-CN"/>
        </w:rPr>
        <w:t>已标价工程量清单中有适用于变更工作的子目的，采用该子目的单价。</w:t>
      </w:r>
    </w:p>
    <w:p w14:paraId="31797F1A">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15.4.2</w:t>
      </w:r>
      <w:r>
        <w:rPr>
          <w:rFonts w:ascii="宋体" w:hAnsi="宋体" w:eastAsia="宋体" w:cs="宋体"/>
          <w:color w:val="auto"/>
          <w:sz w:val="20"/>
          <w:szCs w:val="20"/>
          <w:highlight w:val="none"/>
          <w:lang w:val="zh-CN" w:eastAsia="zh-CN" w:bidi="zh-CN"/>
        </w:rPr>
        <w:t>已标价工程量清单中无适用于变更工作的子目，但有类似子目的，可在合理范围内参照类似子目的单价，由监理人按第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款商定或确定变更工作的单价。</w:t>
      </w:r>
    </w:p>
    <w:p w14:paraId="66A77B34">
      <w:pPr>
        <w:pStyle w:val="39"/>
        <w:spacing w:after="120"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15.4.3</w:t>
      </w:r>
      <w:r>
        <w:rPr>
          <w:rFonts w:ascii="宋体" w:hAnsi="宋体" w:eastAsia="宋体" w:cs="宋体"/>
          <w:color w:val="auto"/>
          <w:sz w:val="20"/>
          <w:szCs w:val="20"/>
          <w:highlight w:val="none"/>
          <w:lang w:val="zh-CN" w:eastAsia="zh-CN" w:bidi="zh-CN"/>
        </w:rPr>
        <w:t>已标价工程量清单中无适用或类似子目的单价，可按照成本加利润的原则，由监理人按第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款商定或确定变更工作的单价。</w:t>
      </w:r>
    </w:p>
    <w:p w14:paraId="4E06F825">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00" w:name="_Toc12394"/>
      <w:bookmarkStart w:id="401" w:name="_Toc29953"/>
      <w:r>
        <w:rPr>
          <w:rFonts w:ascii="宋体" w:hAnsi="宋体" w:eastAsia="宋体"/>
          <w:b/>
          <w:bCs/>
          <w:color w:val="auto"/>
          <w:sz w:val="24"/>
          <w:szCs w:val="24"/>
          <w:highlight w:val="none"/>
          <w:lang w:eastAsia="zh-CN"/>
        </w:rPr>
        <w:t>15.5承包人的合理化建议</w:t>
      </w:r>
      <w:bookmarkEnd w:id="400"/>
      <w:bookmarkEnd w:id="401"/>
    </w:p>
    <w:p w14:paraId="4F37B9F2">
      <w:pPr>
        <w:pStyle w:val="39"/>
        <w:tabs>
          <w:tab w:val="left" w:pos="854"/>
        </w:tabs>
        <w:spacing w:line="365" w:lineRule="exact"/>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15.</w:t>
      </w:r>
      <w:r>
        <w:rPr>
          <w:color w:val="auto"/>
          <w:sz w:val="20"/>
          <w:szCs w:val="20"/>
          <w:highlight w:val="none"/>
          <w:lang w:eastAsia="zh-CN"/>
        </w:rPr>
        <w:t xml:space="preserve">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color w:val="auto"/>
          <w:sz w:val="20"/>
          <w:szCs w:val="20"/>
          <w:highlight w:val="none"/>
          <w:lang w:eastAsia="zh-CN"/>
        </w:rPr>
        <w:t xml:space="preserve">15. 3.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项约定向承包人发出变更指示。</w:t>
      </w:r>
    </w:p>
    <w:p w14:paraId="7DDBEAB4">
      <w:pPr>
        <w:pStyle w:val="39"/>
        <w:spacing w:after="120" w:line="37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15.5.2</w:t>
      </w:r>
      <w:r>
        <w:rPr>
          <w:rFonts w:ascii="宋体" w:hAnsi="宋体" w:eastAsia="宋体" w:cs="宋体"/>
          <w:color w:val="auto"/>
          <w:sz w:val="20"/>
          <w:szCs w:val="20"/>
          <w:highlight w:val="none"/>
          <w:lang w:val="zh-CN" w:eastAsia="zh-CN" w:bidi="zh-CN"/>
        </w:rPr>
        <w:t>承包人提出的合理化建议降低了合同价格、缩短了工期或者提高了工程经济效益的，发包人可按国家有关规定在专用合同条款中约定给予奖励。</w:t>
      </w:r>
    </w:p>
    <w:p w14:paraId="4D2BB7CC">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02" w:name="_Toc22693"/>
      <w:bookmarkStart w:id="403" w:name="_Toc16479"/>
      <w:r>
        <w:rPr>
          <w:rFonts w:ascii="宋体" w:hAnsi="宋体" w:eastAsia="宋体"/>
          <w:b/>
          <w:bCs/>
          <w:color w:val="auto"/>
          <w:sz w:val="24"/>
          <w:szCs w:val="24"/>
          <w:highlight w:val="none"/>
          <w:lang w:eastAsia="zh-CN"/>
        </w:rPr>
        <w:t>15.6暂列金额</w:t>
      </w:r>
      <w:bookmarkEnd w:id="402"/>
      <w:bookmarkEnd w:id="403"/>
    </w:p>
    <w:p w14:paraId="42F569AA">
      <w:pPr>
        <w:pStyle w:val="39"/>
        <w:spacing w:after="120" w:line="365"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暂列金额只能按照监理人的指示使用，并对合同价格进行相应调整。</w:t>
      </w:r>
    </w:p>
    <w:p w14:paraId="55A6A0A7">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04" w:name="_Toc7883"/>
      <w:bookmarkStart w:id="405" w:name="_Toc29723"/>
      <w:r>
        <w:rPr>
          <w:rFonts w:ascii="宋体" w:hAnsi="宋体" w:eastAsia="宋体"/>
          <w:b/>
          <w:bCs/>
          <w:color w:val="auto"/>
          <w:sz w:val="24"/>
          <w:szCs w:val="24"/>
          <w:highlight w:val="none"/>
          <w:lang w:eastAsia="zh-CN"/>
        </w:rPr>
        <w:t>15.7计日工</w:t>
      </w:r>
      <w:bookmarkEnd w:id="404"/>
      <w:bookmarkEnd w:id="405"/>
    </w:p>
    <w:p w14:paraId="16D7FF54">
      <w:pPr>
        <w:pStyle w:val="39"/>
        <w:spacing w:line="38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eastAsia="zh-CN" w:bidi="zh-CN"/>
        </w:rPr>
        <w:t>15.7.1</w:t>
      </w:r>
      <w:r>
        <w:rPr>
          <w:rFonts w:ascii="宋体" w:hAnsi="宋体" w:eastAsia="宋体" w:cs="宋体"/>
          <w:color w:val="auto"/>
          <w:sz w:val="20"/>
          <w:szCs w:val="20"/>
          <w:highlight w:val="none"/>
          <w:lang w:val="zh-CN" w:eastAsia="zh-CN" w:bidi="zh-CN"/>
        </w:rPr>
        <w:t>发包人认为有必要时，由监理人通知承包人以计日工方式实施变更的零星工作。其价款按列入已标价工程量清单中的计日工计价子目及其单价进行计算。</w:t>
      </w:r>
    </w:p>
    <w:p w14:paraId="3FA21185">
      <w:pPr>
        <w:pStyle w:val="39"/>
        <w:spacing w:line="37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15.7.2</w:t>
      </w:r>
      <w:r>
        <w:rPr>
          <w:rFonts w:ascii="宋体" w:hAnsi="宋体" w:eastAsia="宋体" w:cs="宋体"/>
          <w:color w:val="auto"/>
          <w:sz w:val="20"/>
          <w:szCs w:val="20"/>
          <w:highlight w:val="none"/>
          <w:lang w:val="zh-CN" w:eastAsia="zh-CN" w:bidi="zh-CN"/>
        </w:rPr>
        <w:t>采用计日工计价的任何一项变更工作，应从暂列金额中支付，承包人应在该项变更的实施过程中，每天提交以下报表和有关凭证报送监理人审批：</w:t>
      </w:r>
    </w:p>
    <w:p w14:paraId="6A0AF83E">
      <w:pPr>
        <w:pStyle w:val="39"/>
        <w:keepNext w:val="0"/>
        <w:keepLines w:val="0"/>
        <w:pageBreakBefore w:val="0"/>
        <w:widowControl w:val="0"/>
        <w:numPr>
          <w:ilvl w:val="0"/>
          <w:numId w:val="16"/>
        </w:numPr>
        <w:tabs>
          <w:tab w:val="left" w:pos="903"/>
        </w:tabs>
        <w:kinsoku/>
        <w:wordWrap/>
        <w:overflowPunct/>
        <w:topLinePunct w:val="0"/>
        <w:autoSpaceDE/>
        <w:autoSpaceDN/>
        <w:bidi w:val="0"/>
        <w:adjustRightInd/>
        <w:snapToGrid/>
        <w:spacing w:line="372"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工作名称、内容和数量；</w:t>
      </w:r>
    </w:p>
    <w:p w14:paraId="022842EF">
      <w:pPr>
        <w:pStyle w:val="39"/>
        <w:keepNext w:val="0"/>
        <w:keepLines w:val="0"/>
        <w:pageBreakBefore w:val="0"/>
        <w:widowControl w:val="0"/>
        <w:numPr>
          <w:ilvl w:val="0"/>
          <w:numId w:val="16"/>
        </w:numPr>
        <w:tabs>
          <w:tab w:val="left" w:pos="903"/>
        </w:tabs>
        <w:kinsoku/>
        <w:wordWrap/>
        <w:overflowPunct/>
        <w:topLinePunct w:val="0"/>
        <w:autoSpaceDE/>
        <w:autoSpaceDN/>
        <w:bidi w:val="0"/>
        <w:adjustRightInd/>
        <w:snapToGrid/>
        <w:spacing w:line="365"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投入该工作所有人员的姓名、工种、级别和耗用工时；</w:t>
      </w:r>
    </w:p>
    <w:p w14:paraId="0C068009">
      <w:pPr>
        <w:pStyle w:val="39"/>
        <w:keepNext w:val="0"/>
        <w:keepLines w:val="0"/>
        <w:pageBreakBefore w:val="0"/>
        <w:widowControl w:val="0"/>
        <w:numPr>
          <w:ilvl w:val="0"/>
          <w:numId w:val="16"/>
        </w:numPr>
        <w:tabs>
          <w:tab w:val="left" w:pos="903"/>
        </w:tabs>
        <w:kinsoku/>
        <w:wordWrap/>
        <w:overflowPunct/>
        <w:topLinePunct w:val="0"/>
        <w:autoSpaceDE/>
        <w:autoSpaceDN/>
        <w:bidi w:val="0"/>
        <w:adjustRightInd/>
        <w:snapToGrid/>
        <w:spacing w:line="365"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投入该工作的材料类别和数量；</w:t>
      </w:r>
    </w:p>
    <w:p w14:paraId="7EFB0A29">
      <w:pPr>
        <w:pStyle w:val="39"/>
        <w:keepNext w:val="0"/>
        <w:keepLines w:val="0"/>
        <w:pageBreakBefore w:val="0"/>
        <w:widowControl w:val="0"/>
        <w:numPr>
          <w:ilvl w:val="0"/>
          <w:numId w:val="16"/>
        </w:numPr>
        <w:tabs>
          <w:tab w:val="left" w:pos="903"/>
        </w:tabs>
        <w:kinsoku/>
        <w:wordWrap/>
        <w:overflowPunct/>
        <w:topLinePunct w:val="0"/>
        <w:autoSpaceDE/>
        <w:autoSpaceDN/>
        <w:bidi w:val="0"/>
        <w:adjustRightInd/>
        <w:snapToGrid/>
        <w:spacing w:line="365"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投入该工作的施工设备型号、台数和耗用台时；</w:t>
      </w:r>
    </w:p>
    <w:p w14:paraId="544CACCA">
      <w:pPr>
        <w:pStyle w:val="39"/>
        <w:keepNext w:val="0"/>
        <w:keepLines w:val="0"/>
        <w:pageBreakBefore w:val="0"/>
        <w:widowControl w:val="0"/>
        <w:numPr>
          <w:ilvl w:val="0"/>
          <w:numId w:val="16"/>
        </w:numPr>
        <w:tabs>
          <w:tab w:val="left" w:pos="903"/>
        </w:tabs>
        <w:kinsoku/>
        <w:wordWrap/>
        <w:overflowPunct/>
        <w:topLinePunct w:val="0"/>
        <w:autoSpaceDE/>
        <w:autoSpaceDN/>
        <w:bidi w:val="0"/>
        <w:adjustRightInd/>
        <w:snapToGrid/>
        <w:spacing w:line="365"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监理人要求提交的其他资料和凭证。</w:t>
      </w:r>
    </w:p>
    <w:p w14:paraId="4D50EAC5">
      <w:pPr>
        <w:pStyle w:val="39"/>
        <w:spacing w:after="80"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15.7.3</w:t>
      </w:r>
      <w:r>
        <w:rPr>
          <w:rFonts w:ascii="宋体" w:hAnsi="宋体" w:eastAsia="宋体" w:cs="宋体"/>
          <w:color w:val="auto"/>
          <w:sz w:val="20"/>
          <w:szCs w:val="20"/>
          <w:highlight w:val="none"/>
          <w:lang w:val="zh-CN" w:eastAsia="zh-CN" w:bidi="zh-CN"/>
        </w:rPr>
        <w:t>计日工由承包人汇总后，按第</w:t>
      </w:r>
      <w:r>
        <w:rPr>
          <w:color w:val="auto"/>
          <w:sz w:val="20"/>
          <w:szCs w:val="20"/>
          <w:highlight w:val="none"/>
          <w:lang w:eastAsia="zh-CN"/>
        </w:rPr>
        <w:t>17.3.2</w:t>
      </w:r>
      <w:r>
        <w:rPr>
          <w:rFonts w:ascii="宋体" w:hAnsi="宋体" w:eastAsia="宋体" w:cs="宋体"/>
          <w:color w:val="auto"/>
          <w:sz w:val="20"/>
          <w:szCs w:val="20"/>
          <w:highlight w:val="none"/>
          <w:lang w:val="zh-CN" w:eastAsia="zh-CN" w:bidi="zh-CN"/>
        </w:rPr>
        <w:t>项的约定列入进度付款申请单，由监理人复核并经发包人同意后列入进度付款。</w:t>
      </w:r>
    </w:p>
    <w:p w14:paraId="66C3A0B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06" w:name="_Toc12325"/>
      <w:bookmarkStart w:id="407" w:name="_Toc7350"/>
      <w:r>
        <w:rPr>
          <w:rFonts w:ascii="宋体" w:hAnsi="宋体" w:eastAsia="宋体"/>
          <w:b/>
          <w:bCs/>
          <w:color w:val="auto"/>
          <w:sz w:val="24"/>
          <w:szCs w:val="24"/>
          <w:highlight w:val="none"/>
          <w:lang w:eastAsia="zh-CN"/>
        </w:rPr>
        <w:t>15.8暂估价</w:t>
      </w:r>
      <w:bookmarkEnd w:id="406"/>
      <w:bookmarkEnd w:id="407"/>
    </w:p>
    <w:p w14:paraId="25F7EE8C">
      <w:pPr>
        <w:pStyle w:val="39"/>
        <w:spacing w:after="80" w:line="374"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14:paraId="341DD1F2">
      <w:pPr>
        <w:pStyle w:val="39"/>
        <w:spacing w:after="80" w:line="374"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9615F47">
      <w:pPr>
        <w:pStyle w:val="39"/>
        <w:spacing w:after="80" w:line="374"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B99E0E8">
      <w:pPr>
        <w:pStyle w:val="39"/>
        <w:keepNext/>
        <w:keepLines/>
        <w:spacing w:before="280" w:after="290" w:line="372" w:lineRule="auto"/>
        <w:outlineLvl w:val="4"/>
        <w:rPr>
          <w:rFonts w:hint="eastAsia"/>
          <w:b/>
          <w:color w:val="auto"/>
          <w:sz w:val="30"/>
          <w:szCs w:val="30"/>
          <w:highlight w:val="none"/>
          <w:lang w:eastAsia="zh-CN"/>
        </w:rPr>
      </w:pPr>
      <w:bookmarkStart w:id="408" w:name="_Toc27561"/>
      <w:bookmarkStart w:id="409" w:name="_Toc19365"/>
      <w:r>
        <w:rPr>
          <w:rFonts w:hint="eastAsia"/>
          <w:b/>
          <w:color w:val="auto"/>
          <w:sz w:val="30"/>
          <w:szCs w:val="30"/>
          <w:highlight w:val="none"/>
          <w:lang w:eastAsia="zh-CN"/>
        </w:rPr>
        <w:t>16 .价格调整</w:t>
      </w:r>
      <w:bookmarkEnd w:id="408"/>
      <w:bookmarkEnd w:id="409"/>
    </w:p>
    <w:p w14:paraId="7418438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10" w:name="_Toc18960"/>
      <w:bookmarkStart w:id="411" w:name="_Toc14215"/>
      <w:r>
        <w:rPr>
          <w:rFonts w:ascii="宋体" w:hAnsi="宋体" w:eastAsia="宋体"/>
          <w:b/>
          <w:bCs/>
          <w:color w:val="auto"/>
          <w:sz w:val="24"/>
          <w:szCs w:val="24"/>
          <w:highlight w:val="none"/>
          <w:lang w:eastAsia="zh-CN"/>
        </w:rPr>
        <w:t>16.1物价波动引起的价格调整</w:t>
      </w:r>
      <w:bookmarkEnd w:id="410"/>
      <w:bookmarkEnd w:id="411"/>
    </w:p>
    <w:p w14:paraId="471C4575">
      <w:pPr>
        <w:pStyle w:val="39"/>
        <w:spacing w:line="347"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由于物价波动原因引起合同价格需要调整的，其价格调整方式在专用合同条款中约定</w:t>
      </w:r>
      <w:r>
        <w:rPr>
          <w:rFonts w:hint="eastAsia" w:ascii="宋体" w:hAnsi="宋体" w:eastAsia="宋体" w:cs="宋体"/>
          <w:color w:val="auto"/>
          <w:sz w:val="20"/>
          <w:szCs w:val="20"/>
          <w:highlight w:val="none"/>
          <w:lang w:val="zh-CN" w:eastAsia="zh-CN" w:bidi="zh-CN"/>
        </w:rPr>
        <w:t>；</w:t>
      </w:r>
      <w:r>
        <w:rPr>
          <w:rFonts w:ascii="宋体" w:hAnsi="宋体" w:eastAsia="宋体" w:cs="宋体"/>
          <w:color w:val="auto"/>
          <w:sz w:val="20"/>
          <w:szCs w:val="20"/>
          <w:highlight w:val="none"/>
          <w:lang w:val="zh-CN" w:eastAsia="zh-CN" w:bidi="zh-CN"/>
        </w:rPr>
        <w:t>除专用合同条款另有约定外，因物价波动引起的价格调整按照本款约定处理。</w:t>
      </w:r>
    </w:p>
    <w:p w14:paraId="0606FD6E">
      <w:pPr>
        <w:pStyle w:val="39"/>
        <w:tabs>
          <w:tab w:val="left" w:pos="839"/>
        </w:tabs>
        <w:spacing w:line="347" w:lineRule="exact"/>
        <w:ind w:left="42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16.</w:t>
      </w:r>
      <w:r>
        <w:rPr>
          <w:color w:val="auto"/>
          <w:sz w:val="20"/>
          <w:szCs w:val="20"/>
          <w:highlight w:val="none"/>
          <w:lang w:eastAsia="zh-CN"/>
        </w:rPr>
        <w:t xml:space="preserve">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采用价格指数调整价格差额</w:t>
      </w:r>
    </w:p>
    <w:p w14:paraId="0552B051">
      <w:pPr>
        <w:pStyle w:val="39"/>
        <w:tabs>
          <w:tab w:val="left" w:pos="839"/>
        </w:tabs>
        <w:spacing w:line="347" w:lineRule="exact"/>
        <w:ind w:left="420"/>
        <w:jc w:val="both"/>
        <w:rPr>
          <w:color w:val="auto"/>
          <w:sz w:val="20"/>
          <w:szCs w:val="20"/>
          <w:highlight w:val="none"/>
          <w:lang w:eastAsia="zh-CN"/>
        </w:rPr>
      </w:pPr>
      <w:r>
        <w:rPr>
          <w:rFonts w:hint="eastAsia" w:eastAsia="宋体"/>
          <w:color w:val="auto"/>
          <w:sz w:val="20"/>
          <w:szCs w:val="20"/>
          <w:highlight w:val="none"/>
          <w:lang w:eastAsia="zh-CN"/>
        </w:rPr>
        <w:t xml:space="preserve">16. </w:t>
      </w:r>
      <w:r>
        <w:rPr>
          <w:color w:val="auto"/>
          <w:sz w:val="20"/>
          <w:szCs w:val="20"/>
          <w:highlight w:val="none"/>
          <w:lang w:eastAsia="zh-CN"/>
        </w:rPr>
        <w:t xml:space="preserve">1. 1.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价格调整公式</w:t>
      </w:r>
    </w:p>
    <w:p w14:paraId="3F21A9C3">
      <w:pPr>
        <w:pStyle w:val="39"/>
        <w:spacing w:after="140" w:line="347"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因人工、材料和设备等价格波动影响合同价格时，根据投标函附录中的价格指数和权重表约定的数据，按以下公式计算差额并调整合同价格。</w:t>
      </w:r>
    </w:p>
    <w:p w14:paraId="14AB316F">
      <w:pPr>
        <w:pStyle w:val="39"/>
        <w:ind w:firstLine="420"/>
        <w:rPr>
          <w:rFonts w:ascii="宋体" w:hAnsi="宋体" w:eastAsia="宋体" w:cs="宋体"/>
          <w:color w:val="auto"/>
          <w:sz w:val="20"/>
          <w:szCs w:val="20"/>
          <w:highlight w:val="none"/>
          <w:lang w:eastAsia="zh-CN" w:bidi="zh-CN"/>
        </w:rPr>
      </w:pPr>
      <w:r>
        <w:rPr>
          <w:rFonts w:ascii="宋体" w:hAnsi="宋体" w:eastAsia="宋体" w:cs="宋体"/>
          <w:color w:val="auto"/>
          <w:position w:val="-34"/>
          <w:szCs w:val="20"/>
          <w:highlight w:val="none"/>
          <w:lang w:val="zh-CN" w:eastAsia="zh-CN" w:bidi="zh-CN"/>
        </w:rPr>
        <w:drawing>
          <wp:inline distT="0" distB="0" distL="114300" distR="114300">
            <wp:extent cx="4110990" cy="629285"/>
            <wp:effectExtent l="0" t="0" r="3810" b="184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3"/>
                    <a:stretch>
                      <a:fillRect/>
                    </a:stretch>
                  </pic:blipFill>
                  <pic:spPr>
                    <a:xfrm>
                      <a:off x="0" y="0"/>
                      <a:ext cx="4110990" cy="629285"/>
                    </a:xfrm>
                    <a:prstGeom prst="rect">
                      <a:avLst/>
                    </a:prstGeom>
                    <a:noFill/>
                    <a:ln>
                      <a:noFill/>
                    </a:ln>
                  </pic:spPr>
                </pic:pic>
              </a:graphicData>
            </a:graphic>
          </wp:inline>
        </w:drawing>
      </w:r>
    </w:p>
    <w:p w14:paraId="23F56D23">
      <w:pPr>
        <w:pStyle w:val="39"/>
        <w:spacing w:line="374" w:lineRule="exact"/>
        <w:ind w:firstLine="420"/>
        <w:rPr>
          <w:rFonts w:ascii="宋体" w:hAnsi="宋体" w:eastAsia="宋体" w:cs="宋体"/>
          <w:color w:val="auto"/>
          <w:sz w:val="20"/>
          <w:szCs w:val="20"/>
          <w:highlight w:val="none"/>
          <w:lang w:eastAsia="zh-CN" w:bidi="zh-CN"/>
        </w:rPr>
      </w:pPr>
    </w:p>
    <w:p w14:paraId="45F4A711">
      <w:pPr>
        <w:pStyle w:val="39"/>
        <w:spacing w:line="374" w:lineRule="exact"/>
        <w:ind w:firstLine="420"/>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式中： △P -- 需调整的价格差额；</w:t>
      </w:r>
    </w:p>
    <w:p w14:paraId="66B29860">
      <w:pPr>
        <w:pStyle w:val="39"/>
        <w:spacing w:line="374" w:lineRule="exact"/>
        <w:ind w:firstLine="420"/>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0FAA203">
      <w:pPr>
        <w:pStyle w:val="39"/>
        <w:spacing w:line="374" w:lineRule="exact"/>
        <w:ind w:firstLine="420"/>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A -- 定值权重(即不调部分的权重)；</w:t>
      </w:r>
    </w:p>
    <w:p w14:paraId="7B59BF10">
      <w:pPr>
        <w:pStyle w:val="39"/>
        <w:spacing w:line="374" w:lineRule="exact"/>
        <w:ind w:firstLine="420"/>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B1；B2；B3·····Bn -- 各可调因子的变值权重(即可调部分的权重)为各可调因子在投标函投标总报价中所占的比例；</w:t>
      </w:r>
    </w:p>
    <w:p w14:paraId="23573DA8">
      <w:pPr>
        <w:pStyle w:val="39"/>
        <w:spacing w:line="374" w:lineRule="exact"/>
        <w:ind w:firstLine="420"/>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Ft1；Ft2；Ft3·····Ftn -- 各可调因子的现行价格指数，指第17.3.3项、第17.5.2项和第17.6.2项约定的付款证书相关周期最后一天的前42天的各可调因子的价格指数；</w:t>
      </w:r>
    </w:p>
    <w:p w14:paraId="2D9CD1DA">
      <w:pPr>
        <w:pStyle w:val="39"/>
        <w:spacing w:line="374" w:lineRule="exact"/>
        <w:ind w:firstLine="420"/>
        <w:jc w:val="both"/>
        <w:rPr>
          <w:rFonts w:ascii="宋体" w:hAnsi="宋体" w:eastAsia="宋体" w:cs="宋体"/>
          <w:color w:val="auto"/>
          <w:sz w:val="20"/>
          <w:szCs w:val="20"/>
          <w:highlight w:val="none"/>
          <w:lang w:eastAsia="zh-CN" w:bidi="zh-CN"/>
        </w:rPr>
      </w:pPr>
      <w:r>
        <w:rPr>
          <w:rFonts w:hint="eastAsia" w:ascii="宋体" w:hAnsi="宋体" w:eastAsia="宋体" w:cs="宋体"/>
          <w:color w:val="auto"/>
          <w:sz w:val="20"/>
          <w:szCs w:val="20"/>
          <w:highlight w:val="none"/>
          <w:lang w:eastAsia="zh-CN" w:bidi="zh-CN"/>
        </w:rPr>
        <w:t>Fo1；Fo2; Fo3·····Fon -- 各可调因子的基本价格指数，指基准日期的各可调因子的价格指数。</w:t>
      </w:r>
    </w:p>
    <w:p w14:paraId="14A2CDAD">
      <w:pPr>
        <w:pStyle w:val="39"/>
        <w:spacing w:after="120" w:line="35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6CA8F87">
      <w:pPr>
        <w:pStyle w:val="39"/>
        <w:spacing w:line="379"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16.1.1.2</w:t>
      </w:r>
      <w:r>
        <w:rPr>
          <w:rFonts w:ascii="宋体" w:hAnsi="宋体" w:eastAsia="宋体" w:cs="宋体"/>
          <w:color w:val="auto"/>
          <w:sz w:val="20"/>
          <w:szCs w:val="20"/>
          <w:highlight w:val="none"/>
          <w:lang w:val="zh-CN" w:eastAsia="zh-CN" w:bidi="zh-CN"/>
        </w:rPr>
        <w:t>暂时确定调整差额</w:t>
      </w:r>
    </w:p>
    <w:p w14:paraId="38B0BFE1">
      <w:pPr>
        <w:pStyle w:val="39"/>
        <w:spacing w:after="120"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在计算调整差额时得不到现行价格指数的，可暂用上一次价格指数计算，并在以后的付款中再按实际价格指数进行调整。</w:t>
      </w:r>
    </w:p>
    <w:p w14:paraId="0BAA7E5C">
      <w:pPr>
        <w:pStyle w:val="39"/>
        <w:spacing w:line="386" w:lineRule="auto"/>
        <w:ind w:firstLine="440"/>
        <w:jc w:val="both"/>
        <w:rPr>
          <w:color w:val="auto"/>
          <w:sz w:val="20"/>
          <w:szCs w:val="20"/>
          <w:highlight w:val="none"/>
          <w:lang w:eastAsia="zh-CN"/>
        </w:rPr>
      </w:pPr>
      <w:r>
        <w:rPr>
          <w:color w:val="auto"/>
          <w:sz w:val="20"/>
          <w:szCs w:val="20"/>
          <w:highlight w:val="none"/>
          <w:lang w:eastAsia="zh-CN"/>
        </w:rPr>
        <w:t>16.1.1.3</w:t>
      </w:r>
      <w:r>
        <w:rPr>
          <w:rFonts w:ascii="宋体" w:hAnsi="宋体" w:eastAsia="宋体" w:cs="宋体"/>
          <w:color w:val="auto"/>
          <w:sz w:val="20"/>
          <w:szCs w:val="20"/>
          <w:highlight w:val="none"/>
          <w:lang w:val="zh-CN" w:eastAsia="zh-CN" w:bidi="zh-CN"/>
        </w:rPr>
        <w:t>权重的调整</w:t>
      </w:r>
    </w:p>
    <w:p w14:paraId="70F0119F">
      <w:pPr>
        <w:pStyle w:val="39"/>
        <w:spacing w:after="120" w:line="37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按第</w:t>
      </w:r>
      <w:r>
        <w:rPr>
          <w:color w:val="auto"/>
          <w:sz w:val="20"/>
          <w:szCs w:val="20"/>
          <w:highlight w:val="none"/>
          <w:lang w:eastAsia="zh-CN"/>
        </w:rPr>
        <w:t xml:space="preserve">15.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款约定的变更导致原定合同中的权重不合理时，由监理人与承包人和发包人协商后进行调整。</w:t>
      </w:r>
    </w:p>
    <w:p w14:paraId="027CBA0C">
      <w:pPr>
        <w:pStyle w:val="39"/>
        <w:spacing w:line="374" w:lineRule="auto"/>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16.1.1.4</w:t>
      </w:r>
      <w:r>
        <w:rPr>
          <w:rFonts w:ascii="宋体" w:hAnsi="宋体" w:eastAsia="宋体" w:cs="宋体"/>
          <w:color w:val="auto"/>
          <w:sz w:val="20"/>
          <w:szCs w:val="20"/>
          <w:highlight w:val="none"/>
          <w:lang w:val="zh-CN" w:eastAsia="zh-CN" w:bidi="zh-CN"/>
        </w:rPr>
        <w:t>承包人工期延误后的价格调整</w:t>
      </w:r>
    </w:p>
    <w:p w14:paraId="56C6AE01">
      <w:pPr>
        <w:pStyle w:val="39"/>
        <w:spacing w:after="120" w:line="35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由于承包人原因未在约定的工期内竣工的，则对原约定竣工日期后继续施工的工程, 在使用第</w:t>
      </w:r>
      <w:r>
        <w:rPr>
          <w:color w:val="auto"/>
          <w:sz w:val="20"/>
          <w:szCs w:val="20"/>
          <w:highlight w:val="none"/>
          <w:lang w:eastAsia="zh-CN"/>
        </w:rPr>
        <w:t xml:space="preserve">16. 1. 1.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目价格调整公式时，应采用原约定竣工日期与实际竣工日期的两个价格指数中较低的一个作为现行价格指数。</w:t>
      </w:r>
    </w:p>
    <w:p w14:paraId="3AB6EB55">
      <w:pPr>
        <w:pStyle w:val="39"/>
        <w:tabs>
          <w:tab w:val="left" w:pos="861"/>
        </w:tabs>
        <w:spacing w:line="374" w:lineRule="auto"/>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16.</w:t>
      </w:r>
      <w:r>
        <w:rPr>
          <w:color w:val="auto"/>
          <w:sz w:val="20"/>
          <w:szCs w:val="20"/>
          <w:highlight w:val="none"/>
          <w:lang w:eastAsia="zh-CN"/>
        </w:rPr>
        <w:t xml:space="preserve">1.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采用造价信息调整价格差额</w:t>
      </w:r>
    </w:p>
    <w:p w14:paraId="0D0C269B">
      <w:pPr>
        <w:pStyle w:val="39"/>
        <w:spacing w:line="35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 数量，作为调整工程合同价格差额的依据。</w:t>
      </w:r>
    </w:p>
    <w:p w14:paraId="1C1E9E21">
      <w:pPr>
        <w:pStyle w:val="39"/>
        <w:spacing w:after="160" w:line="359"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工程造价信息的来源以及价格调整的项目和系数在专用合同条款中约定。</w:t>
      </w:r>
    </w:p>
    <w:p w14:paraId="4BBFC67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12" w:name="_Toc28930"/>
      <w:bookmarkStart w:id="413" w:name="_Toc7410"/>
      <w:r>
        <w:rPr>
          <w:rFonts w:ascii="宋体" w:hAnsi="宋体" w:eastAsia="宋体"/>
          <w:b/>
          <w:bCs/>
          <w:color w:val="auto"/>
          <w:sz w:val="24"/>
          <w:szCs w:val="24"/>
          <w:highlight w:val="none"/>
          <w:lang w:eastAsia="zh-CN"/>
        </w:rPr>
        <w:t>16.2法律变化引起的价格调整</w:t>
      </w:r>
      <w:bookmarkEnd w:id="412"/>
      <w:bookmarkEnd w:id="413"/>
    </w:p>
    <w:p w14:paraId="1C20C5E3">
      <w:pPr>
        <w:pStyle w:val="39"/>
        <w:spacing w:after="300" w:line="34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在基准日后，因法律变化导致承包人在合同履行中所需要的工程费用发生除第</w:t>
      </w:r>
      <w:r>
        <w:rPr>
          <w:color w:val="auto"/>
          <w:sz w:val="20"/>
          <w:szCs w:val="20"/>
          <w:highlight w:val="none"/>
          <w:lang w:eastAsia="zh-CN"/>
        </w:rPr>
        <w:t xml:space="preserve">16.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款约定以外的增减时，监理人应根据法律、国家或省、自治区、直辖市有关部门的规定，按第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款商定或确定需调整的合同价款。</w:t>
      </w:r>
    </w:p>
    <w:p w14:paraId="073509DB">
      <w:pPr>
        <w:pStyle w:val="39"/>
        <w:keepNext/>
        <w:keepLines/>
        <w:spacing w:before="280" w:after="290" w:line="372" w:lineRule="auto"/>
        <w:outlineLvl w:val="4"/>
        <w:rPr>
          <w:rFonts w:hint="eastAsia"/>
          <w:b/>
          <w:color w:val="auto"/>
          <w:sz w:val="30"/>
          <w:szCs w:val="30"/>
          <w:highlight w:val="none"/>
          <w:lang w:eastAsia="zh-CN"/>
        </w:rPr>
      </w:pPr>
      <w:bookmarkStart w:id="414" w:name="_Toc22434"/>
      <w:bookmarkStart w:id="415" w:name="_Toc14140"/>
      <w:r>
        <w:rPr>
          <w:rFonts w:hint="eastAsia"/>
          <w:b/>
          <w:color w:val="auto"/>
          <w:sz w:val="30"/>
          <w:szCs w:val="30"/>
          <w:highlight w:val="none"/>
          <w:lang w:eastAsia="zh-CN"/>
        </w:rPr>
        <w:t>17.计量与支付</w:t>
      </w:r>
      <w:bookmarkEnd w:id="414"/>
      <w:bookmarkEnd w:id="415"/>
    </w:p>
    <w:p w14:paraId="3F75609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16" w:name="_Toc2880"/>
      <w:bookmarkStart w:id="417" w:name="_Toc22528"/>
      <w:r>
        <w:rPr>
          <w:rFonts w:ascii="宋体" w:hAnsi="宋体" w:eastAsia="宋体"/>
          <w:b/>
          <w:bCs/>
          <w:color w:val="auto"/>
          <w:sz w:val="24"/>
          <w:szCs w:val="24"/>
          <w:highlight w:val="none"/>
          <w:lang w:eastAsia="zh-CN"/>
        </w:rPr>
        <w:t>17.1计量</w:t>
      </w:r>
      <w:bookmarkEnd w:id="416"/>
      <w:bookmarkEnd w:id="417"/>
    </w:p>
    <w:p w14:paraId="4D95237D">
      <w:pPr>
        <w:pStyle w:val="39"/>
        <w:tabs>
          <w:tab w:val="left" w:pos="841"/>
        </w:tabs>
        <w:spacing w:line="374" w:lineRule="auto"/>
        <w:rPr>
          <w:color w:val="auto"/>
          <w:sz w:val="20"/>
          <w:szCs w:val="20"/>
          <w:highlight w:val="none"/>
          <w:lang w:eastAsia="zh-CN"/>
        </w:rPr>
      </w:pPr>
      <w:r>
        <w:rPr>
          <w:rFonts w:hint="eastAsia" w:eastAsia="宋体"/>
          <w:color w:val="auto"/>
          <w:sz w:val="20"/>
          <w:szCs w:val="20"/>
          <w:highlight w:val="none"/>
          <w:lang w:eastAsia="zh-CN"/>
        </w:rPr>
        <w:t xml:space="preserve">        17.</w:t>
      </w:r>
      <w:r>
        <w:rPr>
          <w:color w:val="auto"/>
          <w:sz w:val="20"/>
          <w:szCs w:val="20"/>
          <w:highlight w:val="none"/>
          <w:lang w:eastAsia="zh-CN"/>
        </w:rPr>
        <w:t xml:space="preserve">1.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计量单位</w:t>
      </w:r>
    </w:p>
    <w:p w14:paraId="22D83F11">
      <w:pPr>
        <w:pStyle w:val="39"/>
        <w:spacing w:after="120" w:line="359"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计量采用国家法定的计量单位。</w:t>
      </w:r>
    </w:p>
    <w:p w14:paraId="019B3E42">
      <w:pPr>
        <w:pStyle w:val="39"/>
        <w:tabs>
          <w:tab w:val="left" w:pos="841"/>
        </w:tabs>
        <w:spacing w:line="374" w:lineRule="auto"/>
        <w:ind w:left="420"/>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17.</w:t>
      </w:r>
      <w:r>
        <w:rPr>
          <w:color w:val="auto"/>
          <w:sz w:val="20"/>
          <w:szCs w:val="20"/>
          <w:highlight w:val="none"/>
          <w:lang w:eastAsia="zh-CN"/>
        </w:rPr>
        <w:t xml:space="preserve">1.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计量方法</w:t>
      </w:r>
    </w:p>
    <w:p w14:paraId="5E7D8619">
      <w:pPr>
        <w:pStyle w:val="39"/>
        <w:spacing w:after="120" w:line="359"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结算工程量应按工程量清单中约定的方法计算。</w:t>
      </w:r>
    </w:p>
    <w:p w14:paraId="52C8858C">
      <w:pPr>
        <w:pStyle w:val="39"/>
        <w:spacing w:line="374" w:lineRule="auto"/>
        <w:ind w:firstLine="420"/>
        <w:rPr>
          <w:color w:val="auto"/>
          <w:sz w:val="20"/>
          <w:szCs w:val="20"/>
          <w:highlight w:val="none"/>
          <w:lang w:eastAsia="zh-CN"/>
        </w:rPr>
      </w:pPr>
      <w:r>
        <w:rPr>
          <w:color w:val="auto"/>
          <w:sz w:val="20"/>
          <w:szCs w:val="20"/>
          <w:highlight w:val="none"/>
          <w:lang w:eastAsia="zh-CN"/>
        </w:rPr>
        <w:t xml:space="preserve">17. 1.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计量周期</w:t>
      </w:r>
    </w:p>
    <w:p w14:paraId="0FD5E185">
      <w:pPr>
        <w:pStyle w:val="39"/>
        <w:spacing w:after="120" w:line="35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除专用合同条款另有约定外，单价子目已完成工程量按月计量，总价子目的计量周期 按批准的支付分解报告确定。</w:t>
      </w:r>
    </w:p>
    <w:p w14:paraId="5F558D25">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rPr>
        <w:t>17.1.4</w:t>
      </w:r>
      <w:r>
        <w:rPr>
          <w:rFonts w:ascii="宋体" w:hAnsi="宋体" w:eastAsia="宋体" w:cs="宋体"/>
          <w:color w:val="auto"/>
          <w:sz w:val="20"/>
          <w:szCs w:val="20"/>
          <w:highlight w:val="none"/>
          <w:lang w:val="zh-CN" w:eastAsia="zh-CN" w:bidi="zh-CN"/>
        </w:rPr>
        <w:t>单价子目的计量</w:t>
      </w:r>
    </w:p>
    <w:p w14:paraId="57A80CBE">
      <w:pPr>
        <w:pStyle w:val="39"/>
        <w:keepNext w:val="0"/>
        <w:keepLines w:val="0"/>
        <w:pageBreakBefore w:val="0"/>
        <w:widowControl w:val="0"/>
        <w:numPr>
          <w:ilvl w:val="0"/>
          <w:numId w:val="17"/>
        </w:numPr>
        <w:tabs>
          <w:tab w:val="left" w:pos="920"/>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已标价工程量清单中的单价子目工程量为估算工程量。结算工程量是承包人实际完成的，并按合同约定的计量方法进行计量的工程量。</w:t>
      </w:r>
    </w:p>
    <w:p w14:paraId="727C0024">
      <w:pPr>
        <w:pStyle w:val="39"/>
        <w:keepNext w:val="0"/>
        <w:keepLines w:val="0"/>
        <w:pageBreakBefore w:val="0"/>
        <w:widowControl w:val="0"/>
        <w:numPr>
          <w:ilvl w:val="0"/>
          <w:numId w:val="17"/>
        </w:numPr>
        <w:tabs>
          <w:tab w:val="left" w:pos="920"/>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承包人对已完成的工程进行计量，向监理人提交进度付款申请单、已完成工程量报表和有关计量资料。</w:t>
      </w:r>
    </w:p>
    <w:p w14:paraId="6E530552">
      <w:pPr>
        <w:pStyle w:val="39"/>
        <w:keepNext w:val="0"/>
        <w:keepLines w:val="0"/>
        <w:pageBreakBefore w:val="0"/>
        <w:widowControl w:val="0"/>
        <w:numPr>
          <w:ilvl w:val="0"/>
          <w:numId w:val="17"/>
        </w:numPr>
        <w:tabs>
          <w:tab w:val="left" w:pos="483"/>
        </w:tabs>
        <w:kinsoku/>
        <w:wordWrap/>
        <w:overflowPunct/>
        <w:topLinePunct w:val="0"/>
        <w:autoSpaceDE/>
        <w:autoSpaceDN/>
        <w:bidi w:val="0"/>
        <w:adjustRightInd/>
        <w:snapToGrid/>
        <w:spacing w:line="360"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监理人对承包人提交的工程量报表进行复核，以确定实际完成的工程量。对数量有异议的，可要求承包人按第</w:t>
      </w:r>
      <w:r>
        <w:rPr>
          <w:color w:val="auto"/>
          <w:sz w:val="20"/>
          <w:szCs w:val="20"/>
          <w:highlight w:val="none"/>
          <w:lang w:eastAsia="zh-CN"/>
        </w:rPr>
        <w:t xml:space="preserve">8.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款约定进行共同复核和抽样复测。承包人应协助监理人进行复核并按监理人要求提供补充计量资料。承包人未按监理人要求参加复核，监理人复核或修正的工程量视为承包人实际完成的工程量。</w:t>
      </w:r>
    </w:p>
    <w:p w14:paraId="4BFF1246">
      <w:pPr>
        <w:pStyle w:val="39"/>
        <w:keepNext w:val="0"/>
        <w:keepLines w:val="0"/>
        <w:pageBreakBefore w:val="0"/>
        <w:widowControl w:val="0"/>
        <w:numPr>
          <w:ilvl w:val="0"/>
          <w:numId w:val="17"/>
        </w:numPr>
        <w:tabs>
          <w:tab w:val="left" w:pos="899"/>
        </w:tabs>
        <w:kinsoku/>
        <w:wordWrap/>
        <w:overflowPunct/>
        <w:topLinePunct w:val="0"/>
        <w:autoSpaceDE/>
        <w:autoSpaceDN/>
        <w:bidi w:val="0"/>
        <w:adjustRightInd/>
        <w:snapToGrid/>
        <w:spacing w:line="36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监理人认为有必要时，可通知承包人共同进行联合测量、计量，承包人应遵照执行。</w:t>
      </w:r>
    </w:p>
    <w:p w14:paraId="4CBED9E1">
      <w:pPr>
        <w:pStyle w:val="39"/>
        <w:keepNext w:val="0"/>
        <w:keepLines w:val="0"/>
        <w:pageBreakBefore w:val="0"/>
        <w:widowControl w:val="0"/>
        <w:numPr>
          <w:ilvl w:val="0"/>
          <w:numId w:val="17"/>
        </w:numPr>
        <w:tabs>
          <w:tab w:val="left" w:pos="902"/>
        </w:tabs>
        <w:kinsoku/>
        <w:wordWrap/>
        <w:overflowPunct/>
        <w:topLinePunct w:val="0"/>
        <w:autoSpaceDE/>
        <w:autoSpaceDN/>
        <w:bidi w:val="0"/>
        <w:adjustRightInd/>
        <w:snapToGrid/>
        <w:spacing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3F7AA51B">
      <w:pPr>
        <w:pStyle w:val="39"/>
        <w:keepNext w:val="0"/>
        <w:keepLines w:val="0"/>
        <w:pageBreakBefore w:val="0"/>
        <w:widowControl w:val="0"/>
        <w:numPr>
          <w:ilvl w:val="0"/>
          <w:numId w:val="17"/>
        </w:numPr>
        <w:tabs>
          <w:tab w:val="left" w:pos="902"/>
        </w:tabs>
        <w:kinsoku/>
        <w:wordWrap/>
        <w:overflowPunct/>
        <w:topLinePunct w:val="0"/>
        <w:autoSpaceDE/>
        <w:autoSpaceDN/>
        <w:bidi w:val="0"/>
        <w:adjustRightInd/>
        <w:snapToGrid/>
        <w:spacing w:line="359"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监理人应在收到承包人提交的工程量报表后的</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天内进行复核，监理人未在约定时间内复核的，承包人提交的工程量报表中的工程量视为承包人实际完成的工程量，据此计算工程价款。</w:t>
      </w:r>
    </w:p>
    <w:p w14:paraId="42C58276">
      <w:pPr>
        <w:pStyle w:val="39"/>
        <w:spacing w:line="35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17.1.5</w:t>
      </w:r>
      <w:r>
        <w:rPr>
          <w:rFonts w:ascii="宋体" w:hAnsi="宋体" w:eastAsia="宋体" w:cs="宋体"/>
          <w:color w:val="auto"/>
          <w:sz w:val="20"/>
          <w:szCs w:val="20"/>
          <w:highlight w:val="none"/>
          <w:lang w:val="zh-CN" w:eastAsia="zh-CN" w:bidi="zh-CN"/>
        </w:rPr>
        <w:t>总价子目的计量</w:t>
      </w:r>
    </w:p>
    <w:p w14:paraId="079C6256">
      <w:pPr>
        <w:pStyle w:val="39"/>
        <w:spacing w:line="354"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总价子目的分解和计量按照下述约定进行。</w:t>
      </w:r>
    </w:p>
    <w:p w14:paraId="7F5A2CC0">
      <w:pPr>
        <w:pStyle w:val="39"/>
        <w:keepNext w:val="0"/>
        <w:keepLines w:val="0"/>
        <w:pageBreakBefore w:val="0"/>
        <w:widowControl w:val="0"/>
        <w:numPr>
          <w:ilvl w:val="0"/>
          <w:numId w:val="18"/>
        </w:numPr>
        <w:tabs>
          <w:tab w:val="left" w:pos="899"/>
        </w:tabs>
        <w:kinsoku/>
        <w:wordWrap/>
        <w:overflowPunct/>
        <w:topLinePunct w:val="0"/>
        <w:autoSpaceDE/>
        <w:autoSpaceDN/>
        <w:bidi w:val="0"/>
        <w:adjustRightInd/>
        <w:snapToGrid/>
        <w:spacing w:line="36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总价子目的计量和支付应以总价为基础，不因第</w:t>
      </w:r>
      <w:r>
        <w:rPr>
          <w:color w:val="auto"/>
          <w:sz w:val="20"/>
          <w:szCs w:val="20"/>
          <w:highlight w:val="none"/>
          <w:lang w:eastAsia="zh-CN"/>
        </w:rPr>
        <w:t>16.1</w:t>
      </w:r>
      <w:r>
        <w:rPr>
          <w:rFonts w:ascii="宋体" w:hAnsi="宋体" w:eastAsia="宋体" w:cs="宋体"/>
          <w:color w:val="auto"/>
          <w:sz w:val="20"/>
          <w:szCs w:val="20"/>
          <w:highlight w:val="none"/>
          <w:lang w:val="zh-CN" w:eastAsia="zh-CN" w:bidi="zh-CN"/>
        </w:rPr>
        <w:t>款中的因素而进行调整。承包人实际完成的工程量，是进行工程目标管理和控制进度支付的依据。</w:t>
      </w:r>
    </w:p>
    <w:p w14:paraId="086AA159">
      <w:pPr>
        <w:pStyle w:val="39"/>
        <w:keepNext w:val="0"/>
        <w:keepLines w:val="0"/>
        <w:pageBreakBefore w:val="0"/>
        <w:widowControl w:val="0"/>
        <w:numPr>
          <w:ilvl w:val="0"/>
          <w:numId w:val="18"/>
        </w:numPr>
        <w:tabs>
          <w:tab w:val="left" w:pos="899"/>
        </w:tabs>
        <w:kinsoku/>
        <w:wordWrap/>
        <w:overflowPunct/>
        <w:topLinePunct w:val="0"/>
        <w:autoSpaceDE/>
        <w:autoSpaceDN/>
        <w:bidi w:val="0"/>
        <w:adjustRightInd/>
        <w:snapToGrid/>
        <w:spacing w:line="356"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承包人应按工程量清单的要求对总价子目进行分解，并在签订协议书后的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2DBF092D">
      <w:pPr>
        <w:pStyle w:val="39"/>
        <w:keepNext w:val="0"/>
        <w:keepLines w:val="0"/>
        <w:pageBreakBefore w:val="0"/>
        <w:widowControl w:val="0"/>
        <w:numPr>
          <w:ilvl w:val="0"/>
          <w:numId w:val="18"/>
        </w:numPr>
        <w:tabs>
          <w:tab w:val="left" w:pos="899"/>
        </w:tabs>
        <w:kinsoku/>
        <w:wordWrap/>
        <w:overflowPunct/>
        <w:topLinePunct w:val="0"/>
        <w:autoSpaceDE/>
        <w:autoSpaceDN/>
        <w:bidi w:val="0"/>
        <w:adjustRightInd/>
        <w:snapToGrid/>
        <w:spacing w:line="326"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监理人对承包人提交的上述资料进行复核，以确定分阶段实际完成的工程量和工程形象目标。对其有异议的，可要求承包人按第</w:t>
      </w:r>
      <w:r>
        <w:rPr>
          <w:color w:val="auto"/>
          <w:sz w:val="20"/>
          <w:szCs w:val="20"/>
          <w:highlight w:val="none"/>
          <w:lang w:eastAsia="zh-CN"/>
        </w:rPr>
        <w:t xml:space="preserve">8.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款约定进行共同复核和抽样复测。</w:t>
      </w:r>
    </w:p>
    <w:p w14:paraId="265E05FB">
      <w:pPr>
        <w:pStyle w:val="39"/>
        <w:keepNext w:val="0"/>
        <w:keepLines w:val="0"/>
        <w:pageBreakBefore w:val="0"/>
        <w:widowControl w:val="0"/>
        <w:numPr>
          <w:ilvl w:val="0"/>
          <w:numId w:val="18"/>
        </w:numPr>
        <w:tabs>
          <w:tab w:val="left" w:pos="899"/>
        </w:tabs>
        <w:kinsoku/>
        <w:wordWrap/>
        <w:overflowPunct/>
        <w:topLinePunct w:val="0"/>
        <w:autoSpaceDE/>
        <w:autoSpaceDN/>
        <w:bidi w:val="0"/>
        <w:adjustRightInd/>
        <w:snapToGrid/>
        <w:spacing w:after="140" w:line="377"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除按照第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条约定的变更外，总价子目的工程量是承包人用于结算的最终工程量。</w:t>
      </w:r>
    </w:p>
    <w:p w14:paraId="34E24B71">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18" w:name="_Toc6104"/>
      <w:bookmarkStart w:id="419" w:name="_Toc28029"/>
      <w:r>
        <w:rPr>
          <w:rFonts w:ascii="宋体" w:hAnsi="宋体" w:eastAsia="宋体"/>
          <w:b/>
          <w:bCs/>
          <w:color w:val="auto"/>
          <w:sz w:val="24"/>
          <w:szCs w:val="24"/>
          <w:highlight w:val="none"/>
          <w:lang w:eastAsia="zh-CN"/>
        </w:rPr>
        <w:t>17.2预付款</w:t>
      </w:r>
      <w:bookmarkEnd w:id="418"/>
      <w:bookmarkEnd w:id="419"/>
    </w:p>
    <w:p w14:paraId="007DFCA3">
      <w:pPr>
        <w:pStyle w:val="39"/>
        <w:spacing w:line="394" w:lineRule="auto"/>
        <w:ind w:firstLine="440"/>
        <w:jc w:val="both"/>
        <w:rPr>
          <w:color w:val="auto"/>
          <w:sz w:val="20"/>
          <w:szCs w:val="20"/>
          <w:highlight w:val="none"/>
          <w:lang w:eastAsia="zh-CN"/>
        </w:rPr>
      </w:pPr>
      <w:r>
        <w:rPr>
          <w:color w:val="auto"/>
          <w:sz w:val="20"/>
          <w:szCs w:val="20"/>
          <w:highlight w:val="none"/>
          <w:lang w:eastAsia="zh-CN"/>
        </w:rPr>
        <w:t>17.2.1</w:t>
      </w:r>
      <w:r>
        <w:rPr>
          <w:rFonts w:ascii="宋体" w:hAnsi="宋体" w:eastAsia="宋体" w:cs="宋体"/>
          <w:color w:val="auto"/>
          <w:sz w:val="20"/>
          <w:szCs w:val="20"/>
          <w:highlight w:val="none"/>
          <w:lang w:val="zh-CN" w:eastAsia="zh-CN" w:bidi="zh-CN"/>
        </w:rPr>
        <w:t>预付款</w:t>
      </w:r>
    </w:p>
    <w:p w14:paraId="2E149B53">
      <w:pPr>
        <w:pStyle w:val="39"/>
        <w:spacing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6265C04C">
      <w:pPr>
        <w:pStyle w:val="39"/>
        <w:spacing w:line="35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rPr>
        <w:t>17.2.2</w:t>
      </w:r>
      <w:r>
        <w:rPr>
          <w:rFonts w:ascii="宋体" w:hAnsi="宋体" w:eastAsia="宋体" w:cs="宋体"/>
          <w:color w:val="auto"/>
          <w:sz w:val="20"/>
          <w:szCs w:val="20"/>
          <w:highlight w:val="none"/>
          <w:lang w:val="zh-CN" w:eastAsia="zh-CN" w:bidi="zh-CN"/>
        </w:rPr>
        <w:t>预付款保函(担保)</w:t>
      </w:r>
    </w:p>
    <w:p w14:paraId="61754254">
      <w:pPr>
        <w:pStyle w:val="39"/>
        <w:keepNext w:val="0"/>
        <w:keepLines w:val="0"/>
        <w:pageBreakBefore w:val="0"/>
        <w:widowControl w:val="0"/>
        <w:numPr>
          <w:ilvl w:val="0"/>
          <w:numId w:val="19"/>
        </w:numPr>
        <w:tabs>
          <w:tab w:val="left" w:pos="899"/>
        </w:tabs>
        <w:kinsoku/>
        <w:wordWrap/>
        <w:overflowPunct/>
        <w:topLinePunct w:val="0"/>
        <w:autoSpaceDE/>
        <w:autoSpaceDN/>
        <w:bidi w:val="0"/>
        <w:adjustRightInd/>
        <w:snapToGrid/>
        <w:spacing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预付款保函(担保)在专用合同条款中约定</w:t>
      </w:r>
      <w:r>
        <w:rPr>
          <w:rFonts w:ascii="宋体" w:hAnsi="宋体" w:eastAsia="宋体" w:cs="宋体"/>
          <w:color w:val="auto"/>
          <w:sz w:val="20"/>
          <w:szCs w:val="20"/>
          <w:highlight w:val="none"/>
          <w:lang w:val="zh-CN" w:eastAsia="zh-CN" w:bidi="zh-CN"/>
        </w:rPr>
        <w:t>。</w:t>
      </w:r>
    </w:p>
    <w:p w14:paraId="0C633103">
      <w:pPr>
        <w:pStyle w:val="39"/>
        <w:keepNext w:val="0"/>
        <w:keepLines w:val="0"/>
        <w:pageBreakBefore w:val="0"/>
        <w:widowControl w:val="0"/>
        <w:numPr>
          <w:ilvl w:val="0"/>
          <w:numId w:val="19"/>
        </w:numPr>
        <w:tabs>
          <w:tab w:val="left" w:pos="903"/>
        </w:tabs>
        <w:kinsoku/>
        <w:wordWrap/>
        <w:overflowPunct/>
        <w:topLinePunct w:val="0"/>
        <w:autoSpaceDE/>
        <w:autoSpaceDN/>
        <w:bidi w:val="0"/>
        <w:adjustRightInd/>
        <w:snapToGrid/>
        <w:spacing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工程材料预付款的担保在专用合同条款中约定。</w:t>
      </w:r>
    </w:p>
    <w:p w14:paraId="75554664">
      <w:pPr>
        <w:pStyle w:val="39"/>
        <w:spacing w:line="35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17.2.3</w:t>
      </w:r>
      <w:r>
        <w:rPr>
          <w:rFonts w:ascii="宋体" w:hAnsi="宋体" w:eastAsia="宋体" w:cs="宋体"/>
          <w:color w:val="auto"/>
          <w:sz w:val="20"/>
          <w:szCs w:val="20"/>
          <w:highlight w:val="none"/>
          <w:lang w:val="zh-CN" w:eastAsia="zh-CN" w:bidi="zh-CN"/>
        </w:rPr>
        <w:t>预付款的扣回与还清</w:t>
      </w:r>
    </w:p>
    <w:p w14:paraId="088BE813">
      <w:pPr>
        <w:pStyle w:val="39"/>
        <w:spacing w:after="240" w:line="35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预付款在进度付款中扣回，扣回与还清办法在专用合同条款中约定。在颁发合同工程 完工证书前，由于不可抗力或其它原因解除合同时，预付款尚未扣清的，尚未扣清的预付款余额应作为承包人的到期应付款。</w:t>
      </w:r>
    </w:p>
    <w:p w14:paraId="11BC39C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20" w:name="_Toc12697"/>
      <w:bookmarkStart w:id="421" w:name="_Toc8678"/>
      <w:r>
        <w:rPr>
          <w:rFonts w:ascii="宋体" w:hAnsi="宋体" w:eastAsia="宋体"/>
          <w:b/>
          <w:bCs/>
          <w:color w:val="auto"/>
          <w:sz w:val="24"/>
          <w:szCs w:val="24"/>
          <w:highlight w:val="none"/>
          <w:lang w:eastAsia="zh-CN"/>
        </w:rPr>
        <w:t>17.3工程进度付款</w:t>
      </w:r>
      <w:bookmarkEnd w:id="420"/>
      <w:bookmarkEnd w:id="421"/>
    </w:p>
    <w:p w14:paraId="45632002">
      <w:pPr>
        <w:pStyle w:val="39"/>
        <w:spacing w:line="377" w:lineRule="auto"/>
        <w:ind w:firstLine="420"/>
        <w:rPr>
          <w:color w:val="auto"/>
          <w:sz w:val="20"/>
          <w:szCs w:val="20"/>
          <w:highlight w:val="none"/>
          <w:lang w:eastAsia="zh-CN"/>
        </w:rPr>
      </w:pPr>
      <w:r>
        <w:rPr>
          <w:color w:val="auto"/>
          <w:sz w:val="20"/>
          <w:szCs w:val="20"/>
          <w:highlight w:val="none"/>
          <w:lang w:eastAsia="zh-CN"/>
        </w:rPr>
        <w:t>17.3.1</w:t>
      </w:r>
      <w:r>
        <w:rPr>
          <w:rFonts w:ascii="宋体" w:hAnsi="宋体" w:eastAsia="宋体" w:cs="宋体"/>
          <w:color w:val="auto"/>
          <w:sz w:val="20"/>
          <w:szCs w:val="20"/>
          <w:highlight w:val="none"/>
          <w:lang w:val="zh-CN" w:eastAsia="zh-CN" w:bidi="zh-CN"/>
        </w:rPr>
        <w:t>付款周期</w:t>
      </w:r>
    </w:p>
    <w:p w14:paraId="228CF79A">
      <w:pPr>
        <w:pStyle w:val="39"/>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付款周期同计量周期。</w:t>
      </w:r>
    </w:p>
    <w:p w14:paraId="17247325">
      <w:pPr>
        <w:pStyle w:val="39"/>
        <w:spacing w:line="360"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17.3.2</w:t>
      </w:r>
      <w:r>
        <w:rPr>
          <w:rFonts w:ascii="宋体" w:hAnsi="宋体" w:eastAsia="宋体" w:cs="宋体"/>
          <w:color w:val="auto"/>
          <w:sz w:val="20"/>
          <w:szCs w:val="20"/>
          <w:highlight w:val="none"/>
          <w:lang w:val="zh-CN" w:eastAsia="zh-CN" w:bidi="zh-CN"/>
        </w:rPr>
        <w:t>进度付款申请单</w:t>
      </w:r>
    </w:p>
    <w:p w14:paraId="1141827F">
      <w:pPr>
        <w:pStyle w:val="39"/>
        <w:spacing w:line="36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6269491B">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60"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截至本次付款周期末已实施工程的价款；</w:t>
      </w:r>
    </w:p>
    <w:p w14:paraId="509F42A8">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58"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条应增加和扣减的变更金额；</w:t>
      </w:r>
    </w:p>
    <w:p w14:paraId="3AB95E4D">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58"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根据第</w:t>
      </w:r>
      <w:r>
        <w:rPr>
          <w:color w:val="auto"/>
          <w:sz w:val="20"/>
          <w:szCs w:val="20"/>
          <w:highlight w:val="none"/>
          <w:lang w:val="zh-CN" w:eastAsia="zh-CN" w:bidi="zh-CN"/>
        </w:rPr>
        <w:t>23</w:t>
      </w:r>
      <w:r>
        <w:rPr>
          <w:rFonts w:ascii="宋体" w:hAnsi="宋体" w:eastAsia="宋体" w:cs="宋体"/>
          <w:color w:val="auto"/>
          <w:sz w:val="20"/>
          <w:szCs w:val="20"/>
          <w:highlight w:val="none"/>
          <w:lang w:val="zh-CN" w:eastAsia="zh-CN" w:bidi="zh-CN"/>
        </w:rPr>
        <w:t>条应增加和扣减的索赔金额；</w:t>
      </w:r>
    </w:p>
    <w:p w14:paraId="71EE9EA4">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58"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根据第</w:t>
      </w:r>
      <w:r>
        <w:rPr>
          <w:color w:val="auto"/>
          <w:sz w:val="20"/>
          <w:szCs w:val="20"/>
          <w:highlight w:val="none"/>
          <w:lang w:eastAsia="zh-CN"/>
        </w:rPr>
        <w:t xml:space="preserve">17.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款约定应支付的预付款和扣减的返还预付款；</w:t>
      </w:r>
    </w:p>
    <w:p w14:paraId="49E64EBC">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58"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根据第</w:t>
      </w:r>
      <w:r>
        <w:rPr>
          <w:color w:val="auto"/>
          <w:sz w:val="20"/>
          <w:szCs w:val="20"/>
          <w:highlight w:val="none"/>
          <w:lang w:eastAsia="zh-CN"/>
        </w:rPr>
        <w:t xml:space="preserve">17.4.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项约定应扣减的质量保证金；</w:t>
      </w:r>
    </w:p>
    <w:p w14:paraId="42DC5BFC">
      <w:pPr>
        <w:pStyle w:val="39"/>
        <w:keepNext w:val="0"/>
        <w:keepLines w:val="0"/>
        <w:pageBreakBefore w:val="0"/>
        <w:widowControl w:val="0"/>
        <w:numPr>
          <w:ilvl w:val="0"/>
          <w:numId w:val="20"/>
        </w:numPr>
        <w:tabs>
          <w:tab w:val="left" w:pos="903"/>
        </w:tabs>
        <w:kinsoku/>
        <w:wordWrap/>
        <w:overflowPunct/>
        <w:topLinePunct w:val="0"/>
        <w:autoSpaceDE/>
        <w:autoSpaceDN/>
        <w:bidi w:val="0"/>
        <w:adjustRightInd/>
        <w:snapToGrid/>
        <w:spacing w:line="358" w:lineRule="exact"/>
        <w:ind w:left="0"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根据合同应增加和扣减的其他金额。</w:t>
      </w:r>
    </w:p>
    <w:p w14:paraId="333402F7">
      <w:pPr>
        <w:pStyle w:val="39"/>
        <w:spacing w:line="358"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17.3.3</w:t>
      </w:r>
      <w:r>
        <w:rPr>
          <w:rFonts w:ascii="宋体" w:hAnsi="宋体" w:eastAsia="宋体" w:cs="宋体"/>
          <w:color w:val="auto"/>
          <w:sz w:val="20"/>
          <w:szCs w:val="20"/>
          <w:highlight w:val="none"/>
          <w:lang w:val="zh-CN" w:eastAsia="zh-CN" w:bidi="zh-CN"/>
        </w:rPr>
        <w:t>进度付款证书和支付时间</w:t>
      </w:r>
    </w:p>
    <w:p w14:paraId="3A901370">
      <w:pPr>
        <w:pStyle w:val="39"/>
        <w:keepNext w:val="0"/>
        <w:keepLines w:val="0"/>
        <w:pageBreakBefore w:val="0"/>
        <w:widowControl w:val="0"/>
        <w:numPr>
          <w:ilvl w:val="0"/>
          <w:numId w:val="21"/>
        </w:numPr>
        <w:tabs>
          <w:tab w:val="left" w:pos="920"/>
        </w:tabs>
        <w:kinsoku/>
        <w:wordWrap/>
        <w:overflowPunct/>
        <w:topLinePunct w:val="0"/>
        <w:autoSpaceDE/>
        <w:autoSpaceDN/>
        <w:bidi w:val="0"/>
        <w:adjustRightInd/>
        <w:snapToGrid/>
        <w:spacing w:line="358"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监理人在收到承包人进度付款申请单以及相应的支持性证明文件后的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4707DD5">
      <w:pPr>
        <w:pStyle w:val="39"/>
        <w:keepNext w:val="0"/>
        <w:keepLines w:val="0"/>
        <w:pageBreakBefore w:val="0"/>
        <w:widowControl w:val="0"/>
        <w:numPr>
          <w:ilvl w:val="0"/>
          <w:numId w:val="21"/>
        </w:numPr>
        <w:tabs>
          <w:tab w:val="left" w:pos="922"/>
        </w:tabs>
        <w:kinsoku/>
        <w:wordWrap/>
        <w:overflowPunct/>
        <w:topLinePunct w:val="0"/>
        <w:autoSpaceDE/>
        <w:autoSpaceDN/>
        <w:bidi w:val="0"/>
        <w:adjustRightInd/>
        <w:snapToGrid/>
        <w:spacing w:line="367"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发包人应在监理人收到进度付款申请单后的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天内，将进度应付款支付给承包人。发包人不按期支付的，按专用合同条款的约定支付逾期付款违约金。</w:t>
      </w:r>
    </w:p>
    <w:p w14:paraId="4C275014">
      <w:pPr>
        <w:pStyle w:val="39"/>
        <w:keepNext w:val="0"/>
        <w:keepLines w:val="0"/>
        <w:pageBreakBefore w:val="0"/>
        <w:widowControl w:val="0"/>
        <w:numPr>
          <w:ilvl w:val="0"/>
          <w:numId w:val="21"/>
        </w:numPr>
        <w:tabs>
          <w:tab w:val="left" w:pos="922"/>
        </w:tabs>
        <w:kinsoku/>
        <w:wordWrap/>
        <w:overflowPunct/>
        <w:topLinePunct w:val="0"/>
        <w:autoSpaceDE/>
        <w:autoSpaceDN/>
        <w:bidi w:val="0"/>
        <w:adjustRightInd/>
        <w:snapToGrid/>
        <w:spacing w:line="367"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监理人出具进度付款证书，不应视为监理人已同意、批准或接受了承包人完成的该部分工作。</w:t>
      </w:r>
    </w:p>
    <w:p w14:paraId="370E4EAC">
      <w:pPr>
        <w:pStyle w:val="39"/>
        <w:keepNext w:val="0"/>
        <w:keepLines w:val="0"/>
        <w:pageBreakBefore w:val="0"/>
        <w:widowControl w:val="0"/>
        <w:numPr>
          <w:ilvl w:val="0"/>
          <w:numId w:val="21"/>
        </w:numPr>
        <w:tabs>
          <w:tab w:val="left" w:pos="918"/>
        </w:tabs>
        <w:kinsoku/>
        <w:wordWrap/>
        <w:overflowPunct/>
        <w:topLinePunct w:val="0"/>
        <w:autoSpaceDE/>
        <w:autoSpaceDN/>
        <w:bidi w:val="0"/>
        <w:adjustRightInd/>
        <w:snapToGrid/>
        <w:spacing w:line="367"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进度付款涉及政府投资资金的，按照国库集中支付等国家相关规定和专用合同条款的约定办理。</w:t>
      </w:r>
    </w:p>
    <w:p w14:paraId="253347F9">
      <w:pPr>
        <w:pStyle w:val="39"/>
        <w:spacing w:line="361"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17.3.4</w:t>
      </w:r>
      <w:r>
        <w:rPr>
          <w:rFonts w:ascii="宋体" w:hAnsi="宋体" w:eastAsia="宋体" w:cs="宋体"/>
          <w:color w:val="auto"/>
          <w:sz w:val="20"/>
          <w:szCs w:val="20"/>
          <w:highlight w:val="none"/>
          <w:lang w:val="zh-CN" w:eastAsia="zh-CN" w:bidi="zh-CN"/>
        </w:rPr>
        <w:t>工程进度付款的修正</w:t>
      </w:r>
    </w:p>
    <w:p w14:paraId="402F9506">
      <w:pPr>
        <w:pStyle w:val="39"/>
        <w:spacing w:after="120" w:line="36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在对以往历次已签发的进度付款证书进行汇总和复核中发现错、漏或重复的，监理人有权予以修正，承包人也有权提出修正申请。经双方复核同意的修正，应在本次进度付款中支付或扣除。</w:t>
      </w:r>
    </w:p>
    <w:p w14:paraId="22F95F3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22" w:name="_Toc16813"/>
      <w:bookmarkStart w:id="423" w:name="_Toc21441"/>
      <w:r>
        <w:rPr>
          <w:rFonts w:ascii="宋体" w:hAnsi="宋体" w:eastAsia="宋体"/>
          <w:b/>
          <w:bCs/>
          <w:color w:val="auto"/>
          <w:sz w:val="24"/>
          <w:szCs w:val="24"/>
          <w:highlight w:val="none"/>
          <w:lang w:eastAsia="zh-CN"/>
        </w:rPr>
        <w:t>17.4质量保证金</w:t>
      </w:r>
      <w:bookmarkEnd w:id="422"/>
      <w:bookmarkEnd w:id="423"/>
    </w:p>
    <w:p w14:paraId="278B3F29">
      <w:pPr>
        <w:pStyle w:val="39"/>
        <w:spacing w:line="36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17.4.1</w:t>
      </w:r>
      <w:r>
        <w:rPr>
          <w:rFonts w:ascii="宋体" w:hAnsi="宋体" w:eastAsia="宋体" w:cs="宋体"/>
          <w:color w:val="auto"/>
          <w:sz w:val="20"/>
          <w:szCs w:val="20"/>
          <w:highlight w:val="none"/>
          <w:lang w:val="zh-CN" w:eastAsia="zh-CN" w:bidi="zh-CN"/>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768511E5">
      <w:pPr>
        <w:pStyle w:val="39"/>
        <w:spacing w:after="120"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17.4.2</w:t>
      </w:r>
      <w:r>
        <w:rPr>
          <w:rFonts w:ascii="宋体" w:hAnsi="宋体" w:eastAsia="宋体" w:cs="宋体"/>
          <w:color w:val="auto"/>
          <w:sz w:val="20"/>
          <w:szCs w:val="20"/>
          <w:highlight w:val="none"/>
          <w:lang w:val="zh-CN" w:eastAsia="zh-CN" w:bidi="zh-CN"/>
        </w:rPr>
        <w:t>在第</w:t>
      </w:r>
      <w:r>
        <w:rPr>
          <w:color w:val="auto"/>
          <w:sz w:val="20"/>
          <w:szCs w:val="20"/>
          <w:highlight w:val="none"/>
          <w:lang w:eastAsia="zh-CN"/>
        </w:rPr>
        <w:t xml:space="preserve">1.1. 4.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目约定的缺陷责任期满时，承包人没有完成缺陷责任的，发包人有权扣留与未履行责任剩余工作所需金额相应的质量保证金余额，并有权根据第</w:t>
      </w:r>
      <w:r>
        <w:rPr>
          <w:color w:val="auto"/>
          <w:sz w:val="20"/>
          <w:szCs w:val="20"/>
          <w:highlight w:val="none"/>
          <w:lang w:eastAsia="zh-CN"/>
        </w:rPr>
        <w:t xml:space="preserve">19.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款约定要求延长缺陷责任期，直至完成剩余工作为止。</w:t>
      </w:r>
    </w:p>
    <w:p w14:paraId="20DF79B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24" w:name="_Toc9219"/>
      <w:bookmarkStart w:id="425" w:name="_Toc27971"/>
      <w:r>
        <w:rPr>
          <w:rFonts w:ascii="宋体" w:hAnsi="宋体" w:eastAsia="宋体"/>
          <w:b/>
          <w:bCs/>
          <w:color w:val="auto"/>
          <w:sz w:val="24"/>
          <w:szCs w:val="24"/>
          <w:highlight w:val="none"/>
          <w:lang w:eastAsia="zh-CN"/>
        </w:rPr>
        <w:t>17.5竣工结算(完工结算)</w:t>
      </w:r>
      <w:bookmarkEnd w:id="424"/>
      <w:bookmarkEnd w:id="425"/>
    </w:p>
    <w:p w14:paraId="5BF1100E">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17.5.1</w:t>
      </w:r>
      <w:r>
        <w:rPr>
          <w:rFonts w:ascii="宋体" w:hAnsi="宋体" w:eastAsia="宋体" w:cs="宋体"/>
          <w:color w:val="auto"/>
          <w:sz w:val="20"/>
          <w:szCs w:val="20"/>
          <w:highlight w:val="none"/>
          <w:lang w:val="zh-CN" w:eastAsia="zh-CN" w:bidi="zh-CN"/>
        </w:rPr>
        <w:t>竣工(完工)付款申请单</w:t>
      </w:r>
    </w:p>
    <w:p w14:paraId="04352DA1">
      <w:pPr>
        <w:pStyle w:val="39"/>
        <w:keepNext w:val="0"/>
        <w:keepLines w:val="0"/>
        <w:pageBreakBefore w:val="0"/>
        <w:widowControl w:val="0"/>
        <w:numPr>
          <w:ilvl w:val="0"/>
          <w:numId w:val="22"/>
        </w:numPr>
        <w:tabs>
          <w:tab w:val="left" w:pos="918"/>
        </w:tabs>
        <w:kinsoku/>
        <w:wordWrap/>
        <w:overflowPunct/>
        <w:topLinePunct w:val="0"/>
        <w:autoSpaceDE/>
        <w:autoSpaceDN/>
        <w:bidi w:val="0"/>
        <w:adjustRightInd/>
        <w:snapToGrid/>
        <w:spacing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承包人应在合同工程完工证书颁发后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7E5CDC04">
      <w:pPr>
        <w:pStyle w:val="39"/>
        <w:keepNext w:val="0"/>
        <w:keepLines w:val="0"/>
        <w:pageBreakBefore w:val="0"/>
        <w:widowControl w:val="0"/>
        <w:numPr>
          <w:ilvl w:val="0"/>
          <w:numId w:val="22"/>
        </w:numPr>
        <w:tabs>
          <w:tab w:val="left" w:pos="916"/>
        </w:tabs>
        <w:kinsoku/>
        <w:wordWrap/>
        <w:overflowPunct/>
        <w:topLinePunct w:val="0"/>
        <w:autoSpaceDE/>
        <w:autoSpaceDN/>
        <w:bidi w:val="0"/>
        <w:adjustRightInd/>
        <w:snapToGrid/>
        <w:spacing w:after="120" w:line="352" w:lineRule="exact"/>
        <w:ind w:left="0"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监理人对完工付款申请单有异议的，有权要求承包人进行修正和提供补充资料。经监理人和承包人协商后，由承包人向监理人提交修正后的完工付款申请单。</w:t>
      </w:r>
    </w:p>
    <w:p w14:paraId="2280469C">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17.5.2</w:t>
      </w:r>
      <w:r>
        <w:rPr>
          <w:rFonts w:ascii="宋体" w:hAnsi="宋体" w:eastAsia="宋体" w:cs="宋体"/>
          <w:color w:val="auto"/>
          <w:sz w:val="20"/>
          <w:szCs w:val="20"/>
          <w:highlight w:val="none"/>
          <w:lang w:val="zh-CN" w:eastAsia="zh-CN" w:bidi="zh-CN"/>
        </w:rPr>
        <w:t>竣工(完工)付款证书及支付时间</w:t>
      </w:r>
    </w:p>
    <w:p w14:paraId="54555DA0">
      <w:pPr>
        <w:pStyle w:val="39"/>
        <w:keepNext w:val="0"/>
        <w:keepLines w:val="0"/>
        <w:pageBreakBefore w:val="0"/>
        <w:widowControl w:val="0"/>
        <w:numPr>
          <w:ilvl w:val="0"/>
          <w:numId w:val="23"/>
        </w:numPr>
        <w:tabs>
          <w:tab w:val="left" w:pos="918"/>
        </w:tabs>
        <w:kinsoku/>
        <w:wordWrap/>
        <w:overflowPunct/>
        <w:topLinePunct w:val="0"/>
        <w:autoSpaceDE/>
        <w:autoSpaceDN/>
        <w:bidi w:val="0"/>
        <w:adjustRightInd/>
        <w:snapToGrid/>
        <w:spacing w:line="348"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监理人在收到承包人提交的完工付款申请单后的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天内完成核查，提出发包人到期应支付给承包人的价款送发包人审核并抄送承包人。发包人应在收到后</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为已经发包人同意。</w:t>
      </w:r>
    </w:p>
    <w:p w14:paraId="4EF8BAEB">
      <w:pPr>
        <w:pStyle w:val="39"/>
        <w:keepNext w:val="0"/>
        <w:keepLines w:val="0"/>
        <w:pageBreakBefore w:val="0"/>
        <w:widowControl w:val="0"/>
        <w:numPr>
          <w:ilvl w:val="0"/>
          <w:numId w:val="23"/>
        </w:numPr>
        <w:tabs>
          <w:tab w:val="left" w:pos="918"/>
        </w:tabs>
        <w:kinsoku/>
        <w:wordWrap/>
        <w:overflowPunct/>
        <w:topLinePunct w:val="0"/>
        <w:autoSpaceDE/>
        <w:autoSpaceDN/>
        <w:bidi w:val="0"/>
        <w:adjustRightInd/>
        <w:snapToGrid/>
        <w:spacing w:line="344"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发包人应在监理人出具完工付款证书后的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天内，将应支付款支付给承包人。发包人不按期支付的，按第</w:t>
      </w:r>
      <w:r>
        <w:rPr>
          <w:color w:val="auto"/>
          <w:sz w:val="20"/>
          <w:szCs w:val="20"/>
          <w:highlight w:val="none"/>
          <w:lang w:eastAsia="zh-CN"/>
        </w:rPr>
        <w:t xml:space="preserve">17.3.3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目的约定，将逾期付款违约金支付给承包人。</w:t>
      </w:r>
    </w:p>
    <w:p w14:paraId="0205A5C7">
      <w:pPr>
        <w:pStyle w:val="39"/>
        <w:keepNext w:val="0"/>
        <w:keepLines w:val="0"/>
        <w:pageBreakBefore w:val="0"/>
        <w:widowControl w:val="0"/>
        <w:numPr>
          <w:ilvl w:val="0"/>
          <w:numId w:val="23"/>
        </w:numPr>
        <w:tabs>
          <w:tab w:val="left" w:pos="914"/>
        </w:tabs>
        <w:kinsoku/>
        <w:wordWrap/>
        <w:overflowPunct/>
        <w:topLinePunct w:val="0"/>
        <w:autoSpaceDE/>
        <w:autoSpaceDN/>
        <w:bidi w:val="0"/>
        <w:adjustRightInd/>
        <w:snapToGrid/>
        <w:spacing w:after="120" w:line="344"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承包人对发包人签认的完工付款证书有异议的，发包人可出具完工付款申请单中承包人已同意部分的临时付款证书。存在争议的部分，按第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条的约定办理。</w:t>
      </w:r>
    </w:p>
    <w:p w14:paraId="0A5F8457">
      <w:pPr>
        <w:pStyle w:val="39"/>
        <w:keepNext w:val="0"/>
        <w:keepLines w:val="0"/>
        <w:pageBreakBefore w:val="0"/>
        <w:widowControl w:val="0"/>
        <w:numPr>
          <w:ilvl w:val="0"/>
          <w:numId w:val="23"/>
        </w:numPr>
        <w:tabs>
          <w:tab w:val="left" w:pos="922"/>
        </w:tabs>
        <w:kinsoku/>
        <w:wordWrap/>
        <w:overflowPunct/>
        <w:topLinePunct w:val="0"/>
        <w:autoSpaceDE/>
        <w:autoSpaceDN/>
        <w:bidi w:val="0"/>
        <w:adjustRightInd/>
        <w:snapToGrid/>
        <w:spacing w:line="360"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完工付款涉及政府投资资金的，按第</w:t>
      </w:r>
      <w:r>
        <w:rPr>
          <w:color w:val="auto"/>
          <w:sz w:val="20"/>
          <w:szCs w:val="20"/>
          <w:highlight w:val="none"/>
          <w:lang w:eastAsia="zh-CN"/>
        </w:rPr>
        <w:t xml:space="preserve">17.3.3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目的约定办理。</w:t>
      </w:r>
    </w:p>
    <w:p w14:paraId="40D4CD2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26" w:name="_Toc32378"/>
      <w:bookmarkStart w:id="427" w:name="_Toc12185"/>
      <w:r>
        <w:rPr>
          <w:rFonts w:ascii="宋体" w:hAnsi="宋体" w:eastAsia="宋体"/>
          <w:b/>
          <w:bCs/>
          <w:color w:val="auto"/>
          <w:sz w:val="24"/>
          <w:szCs w:val="24"/>
          <w:highlight w:val="none"/>
          <w:lang w:eastAsia="zh-CN"/>
        </w:rPr>
        <w:t>17.6最终结清</w:t>
      </w:r>
      <w:bookmarkEnd w:id="426"/>
      <w:bookmarkEnd w:id="427"/>
    </w:p>
    <w:p w14:paraId="000BBD88">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17.6.1</w:t>
      </w:r>
      <w:r>
        <w:rPr>
          <w:rFonts w:ascii="宋体" w:hAnsi="宋体" w:eastAsia="宋体" w:cs="宋体"/>
          <w:color w:val="auto"/>
          <w:sz w:val="20"/>
          <w:szCs w:val="20"/>
          <w:highlight w:val="none"/>
          <w:lang w:val="zh-CN" w:eastAsia="zh-CN" w:bidi="zh-CN"/>
        </w:rPr>
        <w:t>最终结清申请单</w:t>
      </w:r>
    </w:p>
    <w:p w14:paraId="53F0EA93">
      <w:pPr>
        <w:pStyle w:val="39"/>
        <w:keepNext w:val="0"/>
        <w:keepLines w:val="0"/>
        <w:pageBreakBefore w:val="0"/>
        <w:widowControl w:val="0"/>
        <w:numPr>
          <w:ilvl w:val="0"/>
          <w:numId w:val="24"/>
        </w:numPr>
        <w:tabs>
          <w:tab w:val="left" w:pos="894"/>
        </w:tabs>
        <w:kinsoku/>
        <w:wordWrap/>
        <w:overflowPunct/>
        <w:topLinePunct w:val="0"/>
        <w:autoSpaceDE/>
        <w:autoSpaceDN/>
        <w:bidi w:val="0"/>
        <w:adjustRightInd/>
        <w:snapToGrid/>
        <w:spacing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工程质量保修责任终止证书签发后，承包人应按监理人批准的格式提交最终结清申请单。提交最终结清申请单的份数在专用合同条款中约定。</w:t>
      </w:r>
    </w:p>
    <w:p w14:paraId="214BEF15">
      <w:pPr>
        <w:pStyle w:val="39"/>
        <w:keepNext w:val="0"/>
        <w:keepLines w:val="0"/>
        <w:pageBreakBefore w:val="0"/>
        <w:widowControl w:val="0"/>
        <w:numPr>
          <w:ilvl w:val="0"/>
          <w:numId w:val="24"/>
        </w:numPr>
        <w:tabs>
          <w:tab w:val="left" w:pos="918"/>
        </w:tabs>
        <w:kinsoku/>
        <w:wordWrap/>
        <w:overflowPunct/>
        <w:topLinePunct w:val="0"/>
        <w:autoSpaceDE/>
        <w:autoSpaceDN/>
        <w:bidi w:val="0"/>
        <w:adjustRightInd/>
        <w:snapToGrid/>
        <w:spacing w:after="120"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发包人对最终结清申请单内容有异议的，有权要求承包人进行修正和提供补充资料，由承包人向监理人提交修正后的最终结清申请单。</w:t>
      </w:r>
    </w:p>
    <w:p w14:paraId="59C46C0F">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17.6.2</w:t>
      </w:r>
      <w:r>
        <w:rPr>
          <w:rFonts w:ascii="宋体" w:hAnsi="宋体" w:eastAsia="宋体" w:cs="宋体"/>
          <w:color w:val="auto"/>
          <w:sz w:val="20"/>
          <w:szCs w:val="20"/>
          <w:highlight w:val="none"/>
          <w:lang w:val="zh-CN" w:eastAsia="zh-CN" w:bidi="zh-CN"/>
        </w:rPr>
        <w:t>最终结清证书和支付时间</w:t>
      </w:r>
    </w:p>
    <w:p w14:paraId="405E5B26">
      <w:pPr>
        <w:pStyle w:val="39"/>
        <w:keepNext w:val="0"/>
        <w:keepLines w:val="0"/>
        <w:pageBreakBefore w:val="0"/>
        <w:widowControl w:val="0"/>
        <w:numPr>
          <w:ilvl w:val="0"/>
          <w:numId w:val="25"/>
        </w:numPr>
        <w:tabs>
          <w:tab w:val="left" w:pos="918"/>
        </w:tabs>
        <w:kinsoku/>
        <w:wordWrap/>
        <w:overflowPunct/>
        <w:topLinePunct w:val="0"/>
        <w:autoSpaceDE/>
        <w:autoSpaceDN/>
        <w:bidi w:val="0"/>
        <w:adjustRightInd/>
        <w:snapToGrid/>
        <w:spacing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监理人收到承包人提交的最终结清申请单后的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天内，提出发包人应支付给承包人的价款送发包人审核并抄送承包人。发包人应在收到后</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698FC3B9">
      <w:pPr>
        <w:pStyle w:val="39"/>
        <w:keepNext w:val="0"/>
        <w:keepLines w:val="0"/>
        <w:pageBreakBefore w:val="0"/>
        <w:widowControl w:val="0"/>
        <w:numPr>
          <w:ilvl w:val="0"/>
          <w:numId w:val="25"/>
        </w:numPr>
        <w:tabs>
          <w:tab w:val="left" w:pos="918"/>
        </w:tabs>
        <w:kinsoku/>
        <w:wordWrap/>
        <w:overflowPunct/>
        <w:topLinePunct w:val="0"/>
        <w:autoSpaceDE/>
        <w:autoSpaceDN/>
        <w:bidi w:val="0"/>
        <w:adjustRightInd/>
        <w:snapToGrid/>
        <w:spacing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发包人应在监理人出具最终结清证书后的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天内，将应支付款支付给承包人。发包人不按期支付的，按第</w:t>
      </w:r>
      <w:r>
        <w:rPr>
          <w:color w:val="auto"/>
          <w:sz w:val="20"/>
          <w:szCs w:val="20"/>
          <w:highlight w:val="none"/>
          <w:lang w:eastAsia="zh-CN"/>
        </w:rPr>
        <w:t xml:space="preserve">17.3.3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目的约定，将逾期付款违约金支付给承包人。</w:t>
      </w:r>
    </w:p>
    <w:p w14:paraId="1E1E17A4">
      <w:pPr>
        <w:pStyle w:val="39"/>
        <w:keepNext w:val="0"/>
        <w:keepLines w:val="0"/>
        <w:pageBreakBefore w:val="0"/>
        <w:widowControl w:val="0"/>
        <w:numPr>
          <w:ilvl w:val="0"/>
          <w:numId w:val="25"/>
        </w:numPr>
        <w:tabs>
          <w:tab w:val="left" w:pos="922"/>
        </w:tabs>
        <w:kinsoku/>
        <w:wordWrap/>
        <w:overflowPunct/>
        <w:topLinePunct w:val="0"/>
        <w:autoSpaceDE/>
        <w:autoSpaceDN/>
        <w:bidi w:val="0"/>
        <w:adjustRightInd/>
        <w:snapToGrid/>
        <w:spacing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承包人对发包人签认的最终结清证书有异议的，按第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条的约定办理。</w:t>
      </w:r>
    </w:p>
    <w:p w14:paraId="54F4C10C">
      <w:pPr>
        <w:pStyle w:val="39"/>
        <w:keepNext w:val="0"/>
        <w:keepLines w:val="0"/>
        <w:pageBreakBefore w:val="0"/>
        <w:widowControl w:val="0"/>
        <w:numPr>
          <w:ilvl w:val="0"/>
          <w:numId w:val="25"/>
        </w:numPr>
        <w:tabs>
          <w:tab w:val="left" w:pos="922"/>
        </w:tabs>
        <w:kinsoku/>
        <w:wordWrap/>
        <w:overflowPunct/>
        <w:topLinePunct w:val="0"/>
        <w:autoSpaceDE/>
        <w:autoSpaceDN/>
        <w:bidi w:val="0"/>
        <w:adjustRightInd/>
        <w:snapToGrid/>
        <w:spacing w:after="120" w:line="346"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最终结清付款涉及政府投资资金的，按第</w:t>
      </w:r>
      <w:r>
        <w:rPr>
          <w:color w:val="auto"/>
          <w:sz w:val="20"/>
          <w:szCs w:val="20"/>
          <w:highlight w:val="none"/>
          <w:lang w:eastAsia="zh-CN"/>
        </w:rPr>
        <w:t xml:space="preserve">17.3.3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目的约定办理。</w:t>
      </w:r>
    </w:p>
    <w:p w14:paraId="514E143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28" w:name="_Toc10296"/>
      <w:bookmarkStart w:id="429" w:name="_Toc22670"/>
      <w:r>
        <w:rPr>
          <w:rFonts w:ascii="宋体" w:hAnsi="宋体" w:eastAsia="宋体"/>
          <w:b/>
          <w:bCs/>
          <w:color w:val="auto"/>
          <w:sz w:val="24"/>
          <w:szCs w:val="24"/>
          <w:highlight w:val="none"/>
          <w:lang w:eastAsia="zh-CN"/>
        </w:rPr>
        <w:t>17.7竣工财务决算</w:t>
      </w:r>
      <w:bookmarkEnd w:id="428"/>
      <w:bookmarkEnd w:id="429"/>
    </w:p>
    <w:p w14:paraId="19BB52DF">
      <w:pPr>
        <w:pStyle w:val="39"/>
        <w:spacing w:after="160" w:line="346"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发包人负责编制本工程项目竣工财务决算，承包人应按专用合同条款的约定提供竣工财务决算编制所需的相关材料。</w:t>
      </w:r>
    </w:p>
    <w:p w14:paraId="0E893E9F">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30" w:name="_Toc10587"/>
      <w:bookmarkStart w:id="431" w:name="_Toc10987"/>
      <w:r>
        <w:rPr>
          <w:rFonts w:ascii="宋体" w:hAnsi="宋体" w:eastAsia="宋体"/>
          <w:b/>
          <w:bCs/>
          <w:color w:val="auto"/>
          <w:sz w:val="24"/>
          <w:szCs w:val="24"/>
          <w:highlight w:val="none"/>
          <w:lang w:eastAsia="zh-CN"/>
        </w:rPr>
        <w:t>17.8竣工审计</w:t>
      </w:r>
      <w:bookmarkEnd w:id="430"/>
      <w:bookmarkEnd w:id="431"/>
    </w:p>
    <w:p w14:paraId="3DD4508B">
      <w:pPr>
        <w:pStyle w:val="39"/>
        <w:spacing w:after="300" w:line="362" w:lineRule="exact"/>
        <w:ind w:firstLine="420"/>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发包人负责完成本工程竣工审计手续，承包人应完成相关配合工作。</w:t>
      </w:r>
    </w:p>
    <w:p w14:paraId="5AACF2B3">
      <w:pPr>
        <w:pStyle w:val="39"/>
        <w:keepNext/>
        <w:keepLines/>
        <w:spacing w:before="280" w:after="290" w:line="372" w:lineRule="auto"/>
        <w:outlineLvl w:val="4"/>
        <w:rPr>
          <w:rFonts w:hint="eastAsia"/>
          <w:b/>
          <w:color w:val="auto"/>
          <w:sz w:val="30"/>
          <w:szCs w:val="30"/>
          <w:highlight w:val="none"/>
          <w:lang w:eastAsia="zh-CN"/>
        </w:rPr>
      </w:pPr>
      <w:bookmarkStart w:id="432" w:name="_Toc11740"/>
      <w:bookmarkStart w:id="433" w:name="_Toc24849"/>
      <w:r>
        <w:rPr>
          <w:rFonts w:hint="eastAsia"/>
          <w:b/>
          <w:color w:val="auto"/>
          <w:sz w:val="30"/>
          <w:szCs w:val="30"/>
          <w:highlight w:val="none"/>
          <w:lang w:eastAsia="zh-CN"/>
        </w:rPr>
        <w:t>18.竣工验收（验收）</w:t>
      </w:r>
      <w:bookmarkEnd w:id="432"/>
      <w:bookmarkEnd w:id="433"/>
    </w:p>
    <w:p w14:paraId="07C475B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34" w:name="_Toc14353"/>
      <w:bookmarkStart w:id="435" w:name="_Toc16294"/>
      <w:r>
        <w:rPr>
          <w:rFonts w:ascii="宋体" w:hAnsi="宋体" w:eastAsia="宋体"/>
          <w:b/>
          <w:bCs/>
          <w:color w:val="auto"/>
          <w:sz w:val="24"/>
          <w:szCs w:val="24"/>
          <w:highlight w:val="none"/>
          <w:lang w:eastAsia="zh-CN"/>
        </w:rPr>
        <w:t>18.1验收工作分类</w:t>
      </w:r>
      <w:bookmarkEnd w:id="434"/>
      <w:bookmarkEnd w:id="435"/>
    </w:p>
    <w:p w14:paraId="6219A1C0">
      <w:pPr>
        <w:pStyle w:val="39"/>
        <w:spacing w:after="160" w:line="35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04AF326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36" w:name="_Toc30354"/>
      <w:bookmarkStart w:id="437" w:name="_Toc27179"/>
      <w:r>
        <w:rPr>
          <w:rFonts w:ascii="宋体" w:hAnsi="宋体" w:eastAsia="宋体"/>
          <w:b/>
          <w:bCs/>
          <w:color w:val="auto"/>
          <w:sz w:val="24"/>
          <w:szCs w:val="24"/>
          <w:highlight w:val="none"/>
          <w:lang w:eastAsia="zh-CN"/>
        </w:rPr>
        <w:t>18.2分部工程验收</w:t>
      </w:r>
      <w:bookmarkEnd w:id="436"/>
      <w:bookmarkEnd w:id="437"/>
    </w:p>
    <w:p w14:paraId="653F4832">
      <w:pPr>
        <w:pStyle w:val="39"/>
        <w:spacing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18.2.1</w:t>
      </w:r>
      <w:r>
        <w:rPr>
          <w:rFonts w:ascii="宋体" w:hAnsi="宋体" w:eastAsia="宋体" w:cs="宋体"/>
          <w:color w:val="auto"/>
          <w:sz w:val="20"/>
          <w:szCs w:val="20"/>
          <w:highlight w:val="none"/>
          <w:lang w:val="zh-CN" w:eastAsia="zh-CN" w:bidi="zh-CN"/>
        </w:rPr>
        <w:t>分部工程具备验收条件时，承包人应向发包人提交验收申请报告，发包人应在收到验收申请报告之日起</w:t>
      </w:r>
      <w:r>
        <w:rPr>
          <w:color w:val="auto"/>
          <w:sz w:val="20"/>
          <w:szCs w:val="20"/>
          <w:highlight w:val="none"/>
          <w:lang w:val="zh-CN" w:eastAsia="zh-CN" w:bidi="zh-CN"/>
        </w:rPr>
        <w:t>10</w:t>
      </w:r>
      <w:r>
        <w:rPr>
          <w:rFonts w:ascii="宋体" w:hAnsi="宋体" w:eastAsia="宋体" w:cs="宋体"/>
          <w:color w:val="auto"/>
          <w:sz w:val="20"/>
          <w:szCs w:val="20"/>
          <w:highlight w:val="none"/>
          <w:lang w:val="zh-CN" w:eastAsia="zh-CN" w:bidi="zh-CN"/>
        </w:rPr>
        <w:t>个工作日内决定是否同意进行验收。</w:t>
      </w:r>
    </w:p>
    <w:p w14:paraId="21652928">
      <w:pPr>
        <w:pStyle w:val="39"/>
        <w:spacing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18.2.2</w:t>
      </w:r>
      <w:r>
        <w:rPr>
          <w:rFonts w:ascii="宋体" w:hAnsi="宋体" w:eastAsia="宋体" w:cs="宋体"/>
          <w:color w:val="auto"/>
          <w:sz w:val="20"/>
          <w:szCs w:val="20"/>
          <w:highlight w:val="none"/>
          <w:lang w:val="zh-CN" w:eastAsia="zh-CN" w:bidi="zh-CN"/>
        </w:rPr>
        <w:t>除专用合同条款另有约定外，监理人主持分部工程验收，承包人应派符合条件的代表参加验收工作组。</w:t>
      </w:r>
    </w:p>
    <w:p w14:paraId="71A33764">
      <w:pPr>
        <w:pStyle w:val="39"/>
        <w:spacing w:after="160"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18.2.3</w:t>
      </w:r>
      <w:r>
        <w:rPr>
          <w:rFonts w:ascii="宋体" w:hAnsi="宋体" w:eastAsia="宋体" w:cs="宋体"/>
          <w:color w:val="auto"/>
          <w:sz w:val="20"/>
          <w:szCs w:val="20"/>
          <w:highlight w:val="none"/>
          <w:lang w:val="zh-CN" w:eastAsia="zh-CN" w:bidi="zh-CN"/>
        </w:rPr>
        <w:t>分部工程验收通过后，发包人向承包人发送分部工程验收鉴定书。承包人应及时完成分部工程验收鉴定书载明应由承包人处理的遗留问题。</w:t>
      </w:r>
    </w:p>
    <w:p w14:paraId="0FDA441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38" w:name="_Toc1087"/>
      <w:bookmarkStart w:id="439" w:name="_Toc28258"/>
      <w:r>
        <w:rPr>
          <w:rFonts w:ascii="宋体" w:hAnsi="宋体" w:eastAsia="宋体"/>
          <w:b/>
          <w:bCs/>
          <w:color w:val="auto"/>
          <w:sz w:val="24"/>
          <w:szCs w:val="24"/>
          <w:highlight w:val="none"/>
          <w:lang w:eastAsia="zh-CN"/>
        </w:rPr>
        <w:t>18.3单位工程验收</w:t>
      </w:r>
      <w:bookmarkEnd w:id="438"/>
      <w:bookmarkEnd w:id="439"/>
    </w:p>
    <w:p w14:paraId="2E0D40AC">
      <w:pPr>
        <w:pStyle w:val="39"/>
        <w:spacing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18.3.1</w:t>
      </w:r>
      <w:r>
        <w:rPr>
          <w:rFonts w:ascii="宋体" w:hAnsi="宋体" w:eastAsia="宋体" w:cs="宋体"/>
          <w:color w:val="auto"/>
          <w:sz w:val="20"/>
          <w:szCs w:val="20"/>
          <w:highlight w:val="none"/>
          <w:lang w:val="zh-CN" w:eastAsia="zh-CN" w:bidi="zh-CN"/>
        </w:rPr>
        <w:t>单位工程具备验收条件时，承包人应向发包人提交验收申请报告，发包人应在收到验收申请报告之日起</w:t>
      </w:r>
      <w:r>
        <w:rPr>
          <w:color w:val="auto"/>
          <w:sz w:val="20"/>
          <w:szCs w:val="20"/>
          <w:highlight w:val="none"/>
          <w:lang w:val="zh-CN" w:eastAsia="zh-CN" w:bidi="zh-CN"/>
        </w:rPr>
        <w:t>10</w:t>
      </w:r>
      <w:r>
        <w:rPr>
          <w:rFonts w:ascii="宋体" w:hAnsi="宋体" w:eastAsia="宋体" w:cs="宋体"/>
          <w:color w:val="auto"/>
          <w:sz w:val="20"/>
          <w:szCs w:val="20"/>
          <w:highlight w:val="none"/>
          <w:lang w:val="zh-CN" w:eastAsia="zh-CN" w:bidi="zh-CN"/>
        </w:rPr>
        <w:t>个工作日内决定是否同意进行验收。</w:t>
      </w:r>
    </w:p>
    <w:p w14:paraId="687BC218">
      <w:pPr>
        <w:pStyle w:val="39"/>
        <w:spacing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18.3.2</w:t>
      </w:r>
      <w:r>
        <w:rPr>
          <w:rFonts w:ascii="宋体" w:hAnsi="宋体" w:eastAsia="宋体" w:cs="宋体"/>
          <w:color w:val="auto"/>
          <w:sz w:val="20"/>
          <w:szCs w:val="20"/>
          <w:highlight w:val="none"/>
          <w:lang w:val="zh-CN" w:eastAsia="zh-CN" w:bidi="zh-CN"/>
        </w:rPr>
        <w:t>发包人主持单位工程验收，承包人应派符合条件的代表参加验收工作组。</w:t>
      </w:r>
    </w:p>
    <w:p w14:paraId="51B1D732">
      <w:pPr>
        <w:pStyle w:val="39"/>
        <w:spacing w:after="100"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18.3.3</w:t>
      </w:r>
      <w:r>
        <w:rPr>
          <w:rFonts w:ascii="宋体" w:hAnsi="宋体" w:eastAsia="宋体" w:cs="宋体"/>
          <w:color w:val="auto"/>
          <w:sz w:val="20"/>
          <w:szCs w:val="20"/>
          <w:highlight w:val="none"/>
          <w:lang w:val="zh-CN" w:eastAsia="zh-CN" w:bidi="zh-CN"/>
        </w:rPr>
        <w:t>单位工程验收通过后，发包人向承包人发送单位工程验收鉴定书。承包人应及时完成单位工程验收鉴定书载明应由承包人处理的遗留问题。</w:t>
      </w:r>
    </w:p>
    <w:p w14:paraId="04E83E9E">
      <w:pPr>
        <w:pStyle w:val="39"/>
        <w:spacing w:after="160"/>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18.3.4</w:t>
      </w:r>
      <w:r>
        <w:rPr>
          <w:rFonts w:ascii="宋体" w:hAnsi="宋体" w:eastAsia="宋体" w:cs="宋体"/>
          <w:color w:val="auto"/>
          <w:sz w:val="20"/>
          <w:szCs w:val="20"/>
          <w:highlight w:val="none"/>
          <w:lang w:val="zh-CN" w:eastAsia="zh-CN" w:bidi="zh-CN"/>
        </w:rPr>
        <w:t>需提前投入使用的单位工程在专用合同条款中明确。</w:t>
      </w:r>
    </w:p>
    <w:p w14:paraId="27ED8B81">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40" w:name="_Toc19689"/>
      <w:bookmarkStart w:id="441" w:name="_Toc25546"/>
      <w:r>
        <w:rPr>
          <w:rFonts w:ascii="宋体" w:hAnsi="宋体" w:eastAsia="宋体"/>
          <w:b/>
          <w:bCs/>
          <w:color w:val="auto"/>
          <w:sz w:val="24"/>
          <w:szCs w:val="24"/>
          <w:highlight w:val="none"/>
          <w:lang w:eastAsia="zh-CN"/>
        </w:rPr>
        <w:t>18.4合同工程完工验收</w:t>
      </w:r>
      <w:bookmarkEnd w:id="440"/>
      <w:bookmarkEnd w:id="441"/>
    </w:p>
    <w:p w14:paraId="52FEB70A">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18.4.1</w:t>
      </w:r>
      <w:r>
        <w:rPr>
          <w:rFonts w:ascii="宋体" w:hAnsi="宋体" w:eastAsia="宋体" w:cs="宋体"/>
          <w:color w:val="auto"/>
          <w:sz w:val="20"/>
          <w:szCs w:val="20"/>
          <w:highlight w:val="none"/>
          <w:lang w:val="zh-CN" w:eastAsia="zh-CN" w:bidi="zh-CN"/>
        </w:rPr>
        <w:t>合同工程具备验收条件时，承包人应向发包人提交验收申请报告，发包人应在收到验收申请报告之日起</w:t>
      </w:r>
      <w:r>
        <w:rPr>
          <w:color w:val="auto"/>
          <w:sz w:val="20"/>
          <w:szCs w:val="20"/>
          <w:highlight w:val="none"/>
          <w:lang w:val="zh-CN" w:eastAsia="zh-CN" w:bidi="zh-CN"/>
        </w:rPr>
        <w:t>20</w:t>
      </w:r>
      <w:r>
        <w:rPr>
          <w:rFonts w:ascii="宋体" w:hAnsi="宋体" w:eastAsia="宋体" w:cs="宋体"/>
          <w:color w:val="auto"/>
          <w:sz w:val="20"/>
          <w:szCs w:val="20"/>
          <w:highlight w:val="none"/>
          <w:lang w:val="zh-CN" w:eastAsia="zh-CN" w:bidi="zh-CN"/>
        </w:rPr>
        <w:t>个工作日内决定是否同意进行验收。</w:t>
      </w:r>
    </w:p>
    <w:p w14:paraId="72206939">
      <w:pPr>
        <w:pStyle w:val="39"/>
        <w:spacing w:line="360"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18.4.2</w:t>
      </w:r>
      <w:r>
        <w:rPr>
          <w:rFonts w:ascii="宋体" w:hAnsi="宋体" w:eastAsia="宋体" w:cs="宋体"/>
          <w:color w:val="auto"/>
          <w:sz w:val="20"/>
          <w:szCs w:val="20"/>
          <w:highlight w:val="none"/>
          <w:lang w:val="zh-CN" w:eastAsia="zh-CN" w:bidi="zh-CN"/>
        </w:rPr>
        <w:t>发包人主持合同工程完工验收，承包人应派项目经理参加验收工作组。</w:t>
      </w:r>
    </w:p>
    <w:p w14:paraId="2F2F86BB">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18.4.3</w:t>
      </w:r>
      <w:r>
        <w:rPr>
          <w:rFonts w:ascii="宋体" w:hAnsi="宋体" w:eastAsia="宋体" w:cs="宋体"/>
          <w:color w:val="auto"/>
          <w:sz w:val="20"/>
          <w:szCs w:val="20"/>
          <w:highlight w:val="none"/>
          <w:lang w:val="zh-CN" w:eastAsia="zh-CN" w:bidi="zh-CN"/>
        </w:rPr>
        <w:t>合同工程完工验收通过后，发包人向承包人发送合同工程完工验收鉴定书。承包人应及时完成合同工程完工验收鉴定书载明应由承包人处理的遗留问题。</w:t>
      </w:r>
    </w:p>
    <w:p w14:paraId="30282928">
      <w:pPr>
        <w:pStyle w:val="39"/>
        <w:spacing w:after="160"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18.4.4</w:t>
      </w:r>
      <w:r>
        <w:rPr>
          <w:rFonts w:ascii="宋体" w:hAnsi="宋体" w:eastAsia="宋体" w:cs="宋体"/>
          <w:color w:val="auto"/>
          <w:sz w:val="20"/>
          <w:szCs w:val="20"/>
          <w:highlight w:val="none"/>
          <w:lang w:val="zh-CN" w:eastAsia="zh-CN" w:bidi="zh-CN"/>
        </w:rPr>
        <w:t>合同工程完工验收通过后，发包人与承包人应在</w:t>
      </w:r>
      <w:r>
        <w:rPr>
          <w:color w:val="auto"/>
          <w:sz w:val="20"/>
          <w:szCs w:val="20"/>
          <w:highlight w:val="none"/>
          <w:lang w:val="zh-CN" w:eastAsia="zh-CN" w:bidi="zh-CN"/>
        </w:rPr>
        <w:t>30</w:t>
      </w:r>
      <w:r>
        <w:rPr>
          <w:rFonts w:ascii="宋体" w:hAnsi="宋体" w:eastAsia="宋体" w:cs="宋体"/>
          <w:color w:val="auto"/>
          <w:sz w:val="20"/>
          <w:szCs w:val="20"/>
          <w:highlight w:val="none"/>
          <w:lang w:val="zh-CN" w:eastAsia="zh-CN" w:bidi="zh-CN"/>
        </w:rPr>
        <w:t>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w:t>
      </w:r>
      <w:r>
        <w:rPr>
          <w:color w:val="auto"/>
          <w:sz w:val="20"/>
          <w:szCs w:val="20"/>
          <w:highlight w:val="none"/>
          <w:lang w:val="zh-CN" w:eastAsia="zh-CN" w:bidi="zh-CN"/>
        </w:rPr>
        <w:t>30</w:t>
      </w:r>
      <w:r>
        <w:rPr>
          <w:rFonts w:ascii="宋体" w:hAnsi="宋体" w:eastAsia="宋体" w:cs="宋体"/>
          <w:color w:val="auto"/>
          <w:sz w:val="20"/>
          <w:szCs w:val="20"/>
          <w:highlight w:val="none"/>
          <w:lang w:val="zh-CN" w:eastAsia="zh-CN" w:bidi="zh-CN"/>
        </w:rPr>
        <w:t>个工作日内 向承包人颁发合同工程完工证书。</w:t>
      </w:r>
    </w:p>
    <w:p w14:paraId="0B51B473">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42" w:name="_Toc19552"/>
      <w:bookmarkStart w:id="443" w:name="_Toc16130"/>
      <w:r>
        <w:rPr>
          <w:rFonts w:ascii="宋体" w:hAnsi="宋体" w:eastAsia="宋体"/>
          <w:b/>
          <w:bCs/>
          <w:color w:val="auto"/>
          <w:sz w:val="24"/>
          <w:szCs w:val="24"/>
          <w:highlight w:val="none"/>
          <w:lang w:eastAsia="zh-CN"/>
        </w:rPr>
        <w:t>18.5阶段验收</w:t>
      </w:r>
      <w:bookmarkEnd w:id="442"/>
      <w:bookmarkEnd w:id="443"/>
    </w:p>
    <w:p w14:paraId="058E21DB">
      <w:pPr>
        <w:pStyle w:val="39"/>
        <w:spacing w:line="372"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18.5.1</w:t>
      </w:r>
      <w:r>
        <w:rPr>
          <w:rFonts w:ascii="宋体" w:hAnsi="宋体" w:eastAsia="宋体" w:cs="宋体"/>
          <w:color w:val="auto"/>
          <w:sz w:val="20"/>
          <w:szCs w:val="20"/>
          <w:highlight w:val="none"/>
          <w:lang w:val="zh-CN" w:eastAsia="zh-CN" w:bidi="zh-CN"/>
        </w:rPr>
        <w:t>工程建设具备阶段验收条件时，发包人负责提出阶段验收申请报告。承包人应派代表参加阶段验收，并作为被验收单位在验收鉴定书上签字。阶段验收的具体类别在专用合同条款中约定。</w:t>
      </w:r>
    </w:p>
    <w:p w14:paraId="22962A0E">
      <w:pPr>
        <w:pStyle w:val="39"/>
        <w:tabs>
          <w:tab w:val="left" w:pos="841"/>
        </w:tabs>
        <w:spacing w:after="140" w:line="355" w:lineRule="exact"/>
        <w:ind w:left="420"/>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18.</w:t>
      </w:r>
      <w:r>
        <w:rPr>
          <w:color w:val="auto"/>
          <w:sz w:val="20"/>
          <w:szCs w:val="20"/>
          <w:highlight w:val="none"/>
          <w:lang w:eastAsia="zh-CN"/>
        </w:rPr>
        <w:t xml:space="preserve">5.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承包人应及时完成阶段验收鉴定书载明应由承包人处理的遗留问题。</w:t>
      </w:r>
    </w:p>
    <w:p w14:paraId="46359E9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44" w:name="_Toc30266"/>
      <w:bookmarkStart w:id="445" w:name="_Toc30215"/>
      <w:r>
        <w:rPr>
          <w:rFonts w:ascii="宋体" w:hAnsi="宋体" w:eastAsia="宋体"/>
          <w:b/>
          <w:bCs/>
          <w:color w:val="auto"/>
          <w:sz w:val="24"/>
          <w:szCs w:val="24"/>
          <w:highlight w:val="none"/>
          <w:lang w:eastAsia="zh-CN"/>
        </w:rPr>
        <w:t>18.6专项验收</w:t>
      </w:r>
      <w:bookmarkEnd w:id="444"/>
      <w:bookmarkEnd w:id="445"/>
    </w:p>
    <w:p w14:paraId="53D978AD">
      <w:pPr>
        <w:pStyle w:val="39"/>
        <w:spacing w:line="35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18.6.1</w:t>
      </w:r>
      <w:r>
        <w:rPr>
          <w:rFonts w:ascii="宋体" w:hAnsi="宋体" w:eastAsia="宋体" w:cs="宋体"/>
          <w:color w:val="auto"/>
          <w:sz w:val="20"/>
          <w:szCs w:val="20"/>
          <w:highlight w:val="none"/>
          <w:lang w:val="zh-CN" w:eastAsia="zh-CN" w:bidi="zh-CN"/>
        </w:rPr>
        <w:t>发包人负责提出专项验收申请报告。承包人应按专项验收的相关规定参加专项验收。专项验收的具体类别在专用合同条款中约定。</w:t>
      </w:r>
    </w:p>
    <w:p w14:paraId="45B3DD8E">
      <w:pPr>
        <w:pStyle w:val="39"/>
        <w:spacing w:after="140" w:line="355"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18. 6.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承包应及时完成专项验收成果性文件载明应由承包人处理的遗留问题。</w:t>
      </w:r>
    </w:p>
    <w:p w14:paraId="6516445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46" w:name="_Toc4773"/>
      <w:bookmarkStart w:id="447" w:name="_Toc21858"/>
      <w:r>
        <w:rPr>
          <w:rFonts w:ascii="宋体" w:hAnsi="宋体" w:eastAsia="宋体"/>
          <w:b/>
          <w:bCs/>
          <w:color w:val="auto"/>
          <w:sz w:val="24"/>
          <w:szCs w:val="24"/>
          <w:highlight w:val="none"/>
          <w:lang w:eastAsia="zh-CN"/>
        </w:rPr>
        <w:t>18.7竣工验收</w:t>
      </w:r>
      <w:bookmarkEnd w:id="446"/>
      <w:bookmarkEnd w:id="447"/>
    </w:p>
    <w:p w14:paraId="75E3A29C">
      <w:pPr>
        <w:pStyle w:val="39"/>
        <w:spacing w:line="35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18.7.1</w:t>
      </w:r>
      <w:r>
        <w:rPr>
          <w:rFonts w:ascii="宋体" w:hAnsi="宋体" w:eastAsia="宋体" w:cs="宋体"/>
          <w:color w:val="auto"/>
          <w:sz w:val="20"/>
          <w:szCs w:val="20"/>
          <w:highlight w:val="none"/>
          <w:lang w:val="zh-CN" w:eastAsia="zh-CN" w:bidi="zh-CN"/>
        </w:rPr>
        <w:t>申请竣工验收前，发包人组织竣工验收自查，承包人应派项目经理或技术负责人参加。</w:t>
      </w:r>
    </w:p>
    <w:p w14:paraId="49997C34">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18.7.2</w:t>
      </w:r>
      <w:r>
        <w:rPr>
          <w:rFonts w:ascii="宋体" w:hAnsi="宋体" w:eastAsia="宋体" w:cs="宋体"/>
          <w:color w:val="auto"/>
          <w:sz w:val="20"/>
          <w:szCs w:val="20"/>
          <w:highlight w:val="none"/>
          <w:lang w:val="zh-CN" w:eastAsia="zh-CN" w:bidi="zh-CN"/>
        </w:rPr>
        <w:t>竣工验收分为竣工技术预验收和竣工验收两个阶段，发包人应通知承包人派法定代表人或项目经理参加技术预验收和竣工验收。</w:t>
      </w:r>
    </w:p>
    <w:p w14:paraId="25F67CEF">
      <w:pPr>
        <w:pStyle w:val="39"/>
        <w:spacing w:line="36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18.7.3</w:t>
      </w:r>
      <w:r>
        <w:rPr>
          <w:rFonts w:ascii="宋体" w:hAnsi="宋体" w:eastAsia="宋体" w:cs="宋体"/>
          <w:color w:val="auto"/>
          <w:sz w:val="20"/>
          <w:szCs w:val="20"/>
          <w:highlight w:val="none"/>
          <w:lang w:val="zh-CN" w:eastAsia="zh-CN" w:bidi="zh-CN"/>
        </w:rPr>
        <w:t>专用合同条款约定工程需要进行技术鉴定的，承包人应提交有关资料并完成配合工作。</w:t>
      </w:r>
    </w:p>
    <w:p w14:paraId="6760EF62">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18.7.4</w:t>
      </w:r>
      <w:r>
        <w:rPr>
          <w:rFonts w:ascii="宋体" w:hAnsi="宋体" w:eastAsia="宋体" w:cs="宋体"/>
          <w:color w:val="auto"/>
          <w:sz w:val="20"/>
          <w:szCs w:val="20"/>
          <w:highlight w:val="none"/>
          <w:lang w:val="zh-CN" w:eastAsia="zh-CN" w:bidi="zh-CN"/>
        </w:rPr>
        <w:t>竣工验收需要进行质量检测的，所需费用由发包人承担，但因承包人原因造成质量不合格的除外。</w:t>
      </w:r>
    </w:p>
    <w:p w14:paraId="125FDC79">
      <w:pPr>
        <w:pStyle w:val="39"/>
        <w:spacing w:after="140" w:line="35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18.7.5</w:t>
      </w:r>
      <w:r>
        <w:rPr>
          <w:rFonts w:ascii="宋体" w:hAnsi="宋体" w:eastAsia="宋体" w:cs="宋体"/>
          <w:color w:val="auto"/>
          <w:sz w:val="20"/>
          <w:szCs w:val="20"/>
          <w:highlight w:val="none"/>
          <w:lang w:val="zh-CN" w:eastAsia="zh-CN" w:bidi="zh-CN"/>
        </w:rPr>
        <w:t>工程质量保修期满以及竣工验收遗留问题和尾工处理完成并通过验收后，发包人负责将处理情况和验收成果报送竣工验收主持单位，申请领取工程竣工证书，并发送承包人。</w:t>
      </w:r>
    </w:p>
    <w:p w14:paraId="1AF3EE11">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48" w:name="_Toc25869"/>
      <w:bookmarkStart w:id="449" w:name="_Toc24862"/>
      <w:r>
        <w:rPr>
          <w:rFonts w:ascii="宋体" w:hAnsi="宋体" w:eastAsia="宋体"/>
          <w:b/>
          <w:bCs/>
          <w:color w:val="auto"/>
          <w:sz w:val="24"/>
          <w:szCs w:val="24"/>
          <w:highlight w:val="none"/>
          <w:lang w:eastAsia="zh-CN"/>
        </w:rPr>
        <w:t>18.8施工期运行</w:t>
      </w:r>
      <w:bookmarkEnd w:id="448"/>
      <w:bookmarkEnd w:id="449"/>
    </w:p>
    <w:p w14:paraId="705676F7">
      <w:pPr>
        <w:pStyle w:val="39"/>
        <w:spacing w:line="35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18.8.1</w:t>
      </w:r>
      <w:r>
        <w:rPr>
          <w:rFonts w:ascii="宋体" w:hAnsi="宋体" w:eastAsia="宋体" w:cs="宋体"/>
          <w:color w:val="auto"/>
          <w:sz w:val="20"/>
          <w:szCs w:val="20"/>
          <w:highlight w:val="none"/>
          <w:lang w:val="zh-CN" w:eastAsia="zh-CN" w:bidi="zh-CN"/>
        </w:rPr>
        <w:t>施工期运行是指合同工程尚未全部完工，其中某单位工程或部分工程已完工, 需要投入施工期运行的，经发包人按第</w:t>
      </w:r>
      <w:r>
        <w:rPr>
          <w:color w:val="auto"/>
          <w:sz w:val="20"/>
          <w:szCs w:val="20"/>
          <w:highlight w:val="none"/>
          <w:lang w:eastAsia="zh-CN"/>
        </w:rPr>
        <w:t xml:space="preserve">18.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款或第</w:t>
      </w:r>
      <w:r>
        <w:rPr>
          <w:color w:val="auto"/>
          <w:sz w:val="20"/>
          <w:szCs w:val="20"/>
          <w:highlight w:val="none"/>
          <w:lang w:eastAsia="zh-CN"/>
        </w:rPr>
        <w:t xml:space="preserve">18.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款的约定验收合格，证明能确保安全后，才能在施工期投入运行。需要在施工期运行的单位工程或部分工程在专用合同条款中约定。</w:t>
      </w:r>
    </w:p>
    <w:p w14:paraId="0F7C3C9A">
      <w:pPr>
        <w:pStyle w:val="39"/>
        <w:spacing w:after="140" w:line="37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18.8.2</w:t>
      </w:r>
      <w:r>
        <w:rPr>
          <w:rFonts w:ascii="宋体" w:hAnsi="宋体" w:eastAsia="宋体" w:cs="宋体"/>
          <w:color w:val="auto"/>
          <w:sz w:val="20"/>
          <w:szCs w:val="20"/>
          <w:highlight w:val="none"/>
          <w:lang w:val="zh-CN" w:eastAsia="zh-CN" w:bidi="zh-CN"/>
        </w:rPr>
        <w:t>在施工期运行中发现工程或工程设备损坏或存在缺陷的，由承包人按第</w:t>
      </w:r>
      <w:r>
        <w:rPr>
          <w:color w:val="auto"/>
          <w:sz w:val="20"/>
          <w:szCs w:val="20"/>
          <w:highlight w:val="none"/>
          <w:lang w:eastAsia="zh-CN"/>
        </w:rPr>
        <w:t xml:space="preserve">19. </w:t>
      </w:r>
      <w:r>
        <w:rPr>
          <w:color w:val="auto"/>
          <w:sz w:val="20"/>
          <w:szCs w:val="20"/>
          <w:highlight w:val="none"/>
          <w:lang w:val="zh-CN" w:eastAsia="zh-CN" w:bidi="zh-CN"/>
        </w:rPr>
        <w:t xml:space="preserve">2 </w:t>
      </w:r>
      <w:r>
        <w:rPr>
          <w:rFonts w:ascii="宋体" w:hAnsi="宋体" w:eastAsia="宋体" w:cs="宋体"/>
          <w:color w:val="auto"/>
          <w:sz w:val="20"/>
          <w:szCs w:val="20"/>
          <w:highlight w:val="none"/>
          <w:lang w:val="zh-CN" w:eastAsia="zh-CN" w:bidi="zh-CN"/>
        </w:rPr>
        <w:t>款约定进行修复。</w:t>
      </w:r>
    </w:p>
    <w:p w14:paraId="71148D2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50" w:name="_Toc3251"/>
      <w:bookmarkStart w:id="451" w:name="_Toc9413"/>
      <w:r>
        <w:rPr>
          <w:rFonts w:ascii="宋体" w:hAnsi="宋体" w:eastAsia="宋体"/>
          <w:b/>
          <w:bCs/>
          <w:color w:val="auto"/>
          <w:sz w:val="24"/>
          <w:szCs w:val="24"/>
          <w:highlight w:val="none"/>
          <w:lang w:eastAsia="zh-CN"/>
        </w:rPr>
        <w:t>18.9试运行</w:t>
      </w:r>
      <w:bookmarkEnd w:id="450"/>
      <w:bookmarkEnd w:id="451"/>
    </w:p>
    <w:p w14:paraId="7BE99388">
      <w:pPr>
        <w:pStyle w:val="39"/>
        <w:spacing w:line="350"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18.9.1</w:t>
      </w:r>
      <w:r>
        <w:rPr>
          <w:rFonts w:ascii="宋体" w:hAnsi="宋体" w:eastAsia="宋体" w:cs="宋体"/>
          <w:color w:val="auto"/>
          <w:sz w:val="20"/>
          <w:szCs w:val="20"/>
          <w:highlight w:val="none"/>
          <w:lang w:val="zh-CN" w:eastAsia="zh-CN" w:bidi="zh-CN"/>
        </w:rPr>
        <w:t>除专用合同条款另有约定外，承包人应按规定进行工程及工程设备试运行, 负责提供试运行所需的人员、器材和必要的条件，并承担全部试运行费用。</w:t>
      </w:r>
    </w:p>
    <w:p w14:paraId="70550937">
      <w:pPr>
        <w:pStyle w:val="39"/>
        <w:spacing w:after="240" w:line="372" w:lineRule="exact"/>
        <w:ind w:firstLine="426" w:firstLineChars="213"/>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18.9.2</w:t>
      </w:r>
      <w:r>
        <w:rPr>
          <w:rFonts w:ascii="宋体" w:hAnsi="宋体" w:eastAsia="宋体" w:cs="宋体"/>
          <w:color w:val="auto"/>
          <w:sz w:val="20"/>
          <w:szCs w:val="20"/>
          <w:highlight w:val="none"/>
          <w:lang w:val="zh-CN" w:eastAsia="zh-CN" w:bidi="zh-CN"/>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p>
    <w:p w14:paraId="22569AAC">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52" w:name="_Toc32359"/>
      <w:bookmarkStart w:id="453" w:name="_Toc29093"/>
      <w:r>
        <w:rPr>
          <w:rFonts w:ascii="宋体" w:hAnsi="宋体" w:eastAsia="宋体"/>
          <w:b/>
          <w:bCs/>
          <w:color w:val="auto"/>
          <w:sz w:val="24"/>
          <w:szCs w:val="24"/>
          <w:highlight w:val="none"/>
          <w:lang w:eastAsia="zh-CN"/>
        </w:rPr>
        <w:t>18.10竣工（完工）清场</w:t>
      </w:r>
      <w:bookmarkEnd w:id="452"/>
      <w:bookmarkEnd w:id="453"/>
    </w:p>
    <w:p w14:paraId="64B2CBA6">
      <w:pPr>
        <w:pStyle w:val="39"/>
        <w:spacing w:line="35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18.10.1</w:t>
      </w:r>
      <w:r>
        <w:rPr>
          <w:rFonts w:ascii="宋体" w:hAnsi="宋体" w:eastAsia="宋体" w:cs="宋体"/>
          <w:color w:val="auto"/>
          <w:sz w:val="20"/>
          <w:szCs w:val="20"/>
          <w:highlight w:val="none"/>
          <w:lang w:val="zh-CN" w:eastAsia="zh-CN" w:bidi="zh-CN"/>
        </w:rPr>
        <w:t>工程项目竣工（完工）清场的工作范围和内容在技术标准和要求（合同技术条款）中约定。</w:t>
      </w:r>
    </w:p>
    <w:p w14:paraId="5382F5B0">
      <w:pPr>
        <w:pStyle w:val="39"/>
        <w:spacing w:after="240"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18.10.2</w:t>
      </w:r>
      <w:r>
        <w:rPr>
          <w:rFonts w:ascii="宋体" w:hAnsi="宋体" w:eastAsia="宋体" w:cs="宋体"/>
          <w:color w:val="auto"/>
          <w:sz w:val="20"/>
          <w:szCs w:val="20"/>
          <w:highlight w:val="none"/>
          <w:lang w:val="zh-CN" w:eastAsia="zh-CN" w:bidi="zh-CN"/>
        </w:rPr>
        <w:t>承包未按监理人的要求恢复临时占地，或者场地清理未达到合同约定的，发包人有权委托其它人恢复或清理，所发生的金额从拟支付给承包人的款项中扣除。</w:t>
      </w:r>
    </w:p>
    <w:p w14:paraId="69B8B81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54" w:name="_Toc7776"/>
      <w:bookmarkStart w:id="455" w:name="_Toc24486"/>
      <w:r>
        <w:rPr>
          <w:rFonts w:ascii="宋体" w:hAnsi="宋体" w:eastAsia="宋体"/>
          <w:b/>
          <w:bCs/>
          <w:color w:val="auto"/>
          <w:sz w:val="24"/>
          <w:szCs w:val="24"/>
          <w:highlight w:val="none"/>
          <w:lang w:eastAsia="zh-CN"/>
        </w:rPr>
        <w:t>18.11施工队伍的撤离</w:t>
      </w:r>
      <w:bookmarkEnd w:id="454"/>
      <w:bookmarkEnd w:id="455"/>
    </w:p>
    <w:p w14:paraId="7E47D2A5">
      <w:pPr>
        <w:pStyle w:val="39"/>
        <w:spacing w:after="300"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合同工程完工证书颁发后的</w:t>
      </w:r>
      <w:r>
        <w:rPr>
          <w:color w:val="auto"/>
          <w:sz w:val="20"/>
          <w:szCs w:val="20"/>
          <w:highlight w:val="none"/>
          <w:lang w:val="zh-CN" w:eastAsia="zh-CN" w:bidi="zh-CN"/>
        </w:rPr>
        <w:t>56</w:t>
      </w:r>
      <w:r>
        <w:rPr>
          <w:rFonts w:ascii="宋体" w:hAnsi="宋体" w:eastAsia="宋体" w:cs="宋体"/>
          <w:color w:val="auto"/>
          <w:sz w:val="20"/>
          <w:szCs w:val="20"/>
          <w:highlight w:val="none"/>
          <w:lang w:val="zh-CN" w:eastAsia="zh-CN" w:bidi="zh-CN"/>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14:paraId="00EBD1BB">
      <w:pPr>
        <w:pStyle w:val="39"/>
        <w:keepNext/>
        <w:keepLines/>
        <w:spacing w:before="280" w:after="290" w:line="372" w:lineRule="auto"/>
        <w:outlineLvl w:val="4"/>
        <w:rPr>
          <w:rFonts w:hint="eastAsia"/>
          <w:b/>
          <w:color w:val="auto"/>
          <w:sz w:val="30"/>
          <w:szCs w:val="30"/>
          <w:highlight w:val="none"/>
          <w:lang w:eastAsia="zh-CN"/>
        </w:rPr>
      </w:pPr>
      <w:bookmarkStart w:id="456" w:name="_Toc30671"/>
      <w:bookmarkStart w:id="457" w:name="_Toc7620"/>
      <w:r>
        <w:rPr>
          <w:rFonts w:hint="eastAsia"/>
          <w:b/>
          <w:color w:val="auto"/>
          <w:sz w:val="30"/>
          <w:szCs w:val="30"/>
          <w:highlight w:val="none"/>
          <w:lang w:eastAsia="zh-CN"/>
        </w:rPr>
        <w:t>19.缺陷责任与保修责任</w:t>
      </w:r>
      <w:bookmarkEnd w:id="456"/>
      <w:bookmarkEnd w:id="457"/>
    </w:p>
    <w:p w14:paraId="4432390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58" w:name="_Toc16274"/>
      <w:bookmarkStart w:id="459" w:name="_Toc28426"/>
      <w:r>
        <w:rPr>
          <w:rFonts w:ascii="宋体" w:hAnsi="宋体" w:eastAsia="宋体"/>
          <w:b/>
          <w:bCs/>
          <w:color w:val="auto"/>
          <w:sz w:val="24"/>
          <w:szCs w:val="24"/>
          <w:highlight w:val="none"/>
          <w:lang w:eastAsia="zh-CN"/>
        </w:rPr>
        <w:t>19.1缺陷责任期（工程质量保修期）的起算时间</w:t>
      </w:r>
      <w:bookmarkEnd w:id="458"/>
      <w:bookmarkEnd w:id="459"/>
    </w:p>
    <w:p w14:paraId="01591F1A">
      <w:pPr>
        <w:pStyle w:val="39"/>
        <w:spacing w:after="160" w:line="354"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62E52158">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60" w:name="_Toc21319"/>
      <w:bookmarkStart w:id="461" w:name="_Toc1224"/>
      <w:r>
        <w:rPr>
          <w:rFonts w:ascii="宋体" w:hAnsi="宋体" w:eastAsia="宋体"/>
          <w:b/>
          <w:bCs/>
          <w:color w:val="auto"/>
          <w:sz w:val="24"/>
          <w:szCs w:val="24"/>
          <w:highlight w:val="none"/>
          <w:lang w:eastAsia="zh-CN"/>
        </w:rPr>
        <w:t>19.2缺陷责任</w:t>
      </w:r>
      <w:bookmarkEnd w:id="460"/>
      <w:bookmarkEnd w:id="461"/>
    </w:p>
    <w:p w14:paraId="539A8ABD">
      <w:pPr>
        <w:pStyle w:val="39"/>
        <w:tabs>
          <w:tab w:val="left" w:pos="853"/>
        </w:tabs>
        <w:spacing w:line="379" w:lineRule="auto"/>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19.</w:t>
      </w:r>
      <w:r>
        <w:rPr>
          <w:color w:val="auto"/>
          <w:sz w:val="20"/>
          <w:szCs w:val="20"/>
          <w:highlight w:val="none"/>
          <w:lang w:eastAsia="zh-CN"/>
        </w:rPr>
        <w:t xml:space="preserve">2.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承包人应在缺陷责任期内对已交付使用的工程承担缺陷责任。</w:t>
      </w:r>
    </w:p>
    <w:p w14:paraId="12A2EAFE">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19.2.2</w:t>
      </w:r>
      <w:r>
        <w:rPr>
          <w:rFonts w:ascii="宋体" w:hAnsi="宋体" w:eastAsia="宋体" w:cs="宋体"/>
          <w:color w:val="auto"/>
          <w:sz w:val="20"/>
          <w:szCs w:val="20"/>
          <w:highlight w:val="none"/>
          <w:lang w:val="zh-CN" w:eastAsia="zh-CN" w:bidi="zh-CN"/>
        </w:rPr>
        <w:t>缺陷责任期内，发包人对已接收使用的工程负责日常维护工作。发包人在使用过程中，发现已接收的工程存在新的缺陷或已修复的缺陷部位或部件又遭损坏的，承包人应负责修复，直至检验合格为止。</w:t>
      </w:r>
    </w:p>
    <w:p w14:paraId="704552A6">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19.2.3</w:t>
      </w:r>
      <w:r>
        <w:rPr>
          <w:rFonts w:ascii="宋体" w:hAnsi="宋体" w:eastAsia="宋体" w:cs="宋体"/>
          <w:color w:val="auto"/>
          <w:sz w:val="20"/>
          <w:szCs w:val="20"/>
          <w:highlight w:val="none"/>
          <w:lang w:val="zh-CN" w:eastAsia="zh-CN" w:bidi="zh-CN"/>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00624CAD">
      <w:pPr>
        <w:pStyle w:val="39"/>
        <w:spacing w:after="160"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19.2.4</w:t>
      </w:r>
      <w:r>
        <w:rPr>
          <w:rFonts w:ascii="宋体" w:hAnsi="宋体" w:eastAsia="宋体" w:cs="宋体"/>
          <w:color w:val="auto"/>
          <w:sz w:val="20"/>
          <w:szCs w:val="20"/>
          <w:highlight w:val="none"/>
          <w:lang w:val="zh-CN" w:eastAsia="zh-CN" w:bidi="zh-CN"/>
        </w:rPr>
        <w:t>承包人不能在合理时间内修复缺陷的，发包人可自行修复或委托其他人修复, 所需费用和利润的承担，按第</w:t>
      </w:r>
      <w:r>
        <w:rPr>
          <w:color w:val="auto"/>
          <w:sz w:val="20"/>
          <w:szCs w:val="20"/>
          <w:highlight w:val="none"/>
          <w:lang w:eastAsia="zh-CN"/>
        </w:rPr>
        <w:t xml:space="preserve">19. 2.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项约定办理。</w:t>
      </w:r>
    </w:p>
    <w:p w14:paraId="1021078D">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62" w:name="_Toc24985"/>
      <w:bookmarkStart w:id="463" w:name="_Toc24975"/>
      <w:r>
        <w:rPr>
          <w:rFonts w:ascii="宋体" w:hAnsi="宋体" w:eastAsia="宋体"/>
          <w:b/>
          <w:bCs/>
          <w:color w:val="auto"/>
          <w:sz w:val="24"/>
          <w:szCs w:val="24"/>
          <w:highlight w:val="none"/>
          <w:lang w:eastAsia="zh-CN"/>
        </w:rPr>
        <w:t>19.3缺陷责任期的延长</w:t>
      </w:r>
      <w:bookmarkEnd w:id="462"/>
      <w:bookmarkEnd w:id="463"/>
    </w:p>
    <w:p w14:paraId="0BC64318">
      <w:pPr>
        <w:pStyle w:val="39"/>
        <w:spacing w:after="160" w:line="343"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由于承包人原因造成某项缺陷或损坏使某项工程或工程设备不能按原定目标使用而需要再次检查、检验和修复的，发包人有权要求承包人相应延长缺陷责任期，但缺陷责任期最长不超过</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年。</w:t>
      </w:r>
    </w:p>
    <w:p w14:paraId="3E8215AB">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64" w:name="_Toc31490"/>
      <w:bookmarkStart w:id="465" w:name="_Toc289"/>
      <w:r>
        <w:rPr>
          <w:rFonts w:ascii="宋体" w:hAnsi="宋体" w:eastAsia="宋体"/>
          <w:b/>
          <w:bCs/>
          <w:color w:val="auto"/>
          <w:sz w:val="24"/>
          <w:szCs w:val="24"/>
          <w:highlight w:val="none"/>
          <w:lang w:eastAsia="zh-CN"/>
        </w:rPr>
        <w:t>19.4进一步试验和试运行</w:t>
      </w:r>
      <w:bookmarkEnd w:id="464"/>
      <w:bookmarkEnd w:id="465"/>
    </w:p>
    <w:p w14:paraId="6465C8E8">
      <w:pPr>
        <w:pStyle w:val="39"/>
        <w:spacing w:after="160" w:line="36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任何一项缺陷或损坏修复后，经检查证明其影响了工程或工程设备的使用性能，承包人应重新进行合同约定的试验和试运行，试验和试运行的全部费用应由责任方承担。</w:t>
      </w:r>
    </w:p>
    <w:p w14:paraId="07B858D6">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66" w:name="_Toc16281"/>
      <w:bookmarkStart w:id="467" w:name="_Toc4328"/>
      <w:r>
        <w:rPr>
          <w:rFonts w:ascii="宋体" w:hAnsi="宋体" w:eastAsia="宋体"/>
          <w:b/>
          <w:bCs/>
          <w:color w:val="auto"/>
          <w:sz w:val="24"/>
          <w:szCs w:val="24"/>
          <w:highlight w:val="none"/>
          <w:lang w:eastAsia="zh-CN"/>
        </w:rPr>
        <w:t>19.5承包人的进入权</w:t>
      </w:r>
      <w:bookmarkEnd w:id="466"/>
      <w:bookmarkEnd w:id="467"/>
    </w:p>
    <w:p w14:paraId="54A0E720">
      <w:pPr>
        <w:pStyle w:val="39"/>
        <w:spacing w:after="160"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缺陷责任期内承包人为缺陷修复工作需要，有权进入工程现场，但应遵守发包人的保安和保密规定。</w:t>
      </w:r>
    </w:p>
    <w:p w14:paraId="7FF62C57">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68" w:name="_Toc25993"/>
      <w:bookmarkStart w:id="469" w:name="_Toc9611"/>
      <w:r>
        <w:rPr>
          <w:rFonts w:ascii="宋体" w:hAnsi="宋体" w:eastAsia="宋体"/>
          <w:b/>
          <w:bCs/>
          <w:color w:val="auto"/>
          <w:sz w:val="24"/>
          <w:szCs w:val="24"/>
          <w:highlight w:val="none"/>
          <w:lang w:eastAsia="zh-CN"/>
        </w:rPr>
        <w:t>19.6缺陷责任期终止证书（工程质量保修责任终止证书）</w:t>
      </w:r>
      <w:bookmarkEnd w:id="468"/>
      <w:bookmarkEnd w:id="469"/>
    </w:p>
    <w:p w14:paraId="6F0241BE">
      <w:pPr>
        <w:pStyle w:val="39"/>
        <w:spacing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合同工程完工验收后，发包人与承包人应办理工程交接手续，承包人应向发包人递交工程质量保修书。</w:t>
      </w:r>
    </w:p>
    <w:p w14:paraId="37469481">
      <w:pPr>
        <w:pStyle w:val="39"/>
        <w:spacing w:after="160" w:line="36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缺陷责任期（工程质量保修期）满后</w:t>
      </w:r>
      <w:r>
        <w:rPr>
          <w:color w:val="auto"/>
          <w:sz w:val="20"/>
          <w:szCs w:val="20"/>
          <w:highlight w:val="none"/>
          <w:lang w:val="zh-CN" w:eastAsia="zh-CN" w:bidi="zh-CN"/>
        </w:rPr>
        <w:t>30</w:t>
      </w:r>
      <w:r>
        <w:rPr>
          <w:rFonts w:ascii="宋体" w:hAnsi="宋体" w:eastAsia="宋体" w:cs="宋体"/>
          <w:color w:val="auto"/>
          <w:sz w:val="20"/>
          <w:szCs w:val="20"/>
          <w:highlight w:val="none"/>
          <w:lang w:val="zh-CN" w:eastAsia="zh-CN" w:bidi="zh-CN"/>
        </w:rPr>
        <w:t>个工作日内，发包人应向承包人颁发工程质量保修责任终止证书，并退还剩余的质量保证金，但保修责任范围内的质量缺陷未处理完成的应除外。</w:t>
      </w:r>
    </w:p>
    <w:p w14:paraId="56DEC709">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70" w:name="_Toc26123"/>
      <w:bookmarkStart w:id="471" w:name="_Toc11626"/>
      <w:r>
        <w:rPr>
          <w:rFonts w:ascii="宋体" w:hAnsi="宋体" w:eastAsia="宋体"/>
          <w:b/>
          <w:bCs/>
          <w:color w:val="auto"/>
          <w:sz w:val="24"/>
          <w:szCs w:val="24"/>
          <w:highlight w:val="none"/>
          <w:lang w:eastAsia="zh-CN"/>
        </w:rPr>
        <w:t>19.7保修责任</w:t>
      </w:r>
      <w:bookmarkEnd w:id="470"/>
      <w:bookmarkEnd w:id="471"/>
    </w:p>
    <w:p w14:paraId="0EEB05AC">
      <w:pPr>
        <w:pStyle w:val="39"/>
        <w:spacing w:after="260" w:line="347"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49EC85E7">
      <w:pPr>
        <w:pStyle w:val="39"/>
        <w:keepNext/>
        <w:keepLines/>
        <w:spacing w:before="280" w:after="290" w:line="372" w:lineRule="auto"/>
        <w:outlineLvl w:val="4"/>
        <w:rPr>
          <w:rFonts w:hint="eastAsia"/>
          <w:b/>
          <w:color w:val="auto"/>
          <w:sz w:val="30"/>
          <w:szCs w:val="30"/>
          <w:highlight w:val="none"/>
          <w:lang w:eastAsia="zh-CN"/>
        </w:rPr>
      </w:pPr>
      <w:bookmarkStart w:id="472" w:name="_Toc25920"/>
      <w:bookmarkStart w:id="473" w:name="_Toc20331"/>
      <w:r>
        <w:rPr>
          <w:rFonts w:hint="eastAsia"/>
          <w:b/>
          <w:color w:val="auto"/>
          <w:sz w:val="30"/>
          <w:szCs w:val="30"/>
          <w:highlight w:val="none"/>
          <w:lang w:eastAsia="zh-CN"/>
        </w:rPr>
        <w:t>20.保险</w:t>
      </w:r>
      <w:bookmarkEnd w:id="472"/>
      <w:bookmarkEnd w:id="473"/>
    </w:p>
    <w:p w14:paraId="05E9424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74" w:name="_Toc7781"/>
      <w:bookmarkStart w:id="475" w:name="_Toc23485"/>
      <w:r>
        <w:rPr>
          <w:rFonts w:ascii="宋体" w:hAnsi="宋体" w:eastAsia="宋体"/>
          <w:b/>
          <w:bCs/>
          <w:color w:val="auto"/>
          <w:sz w:val="24"/>
          <w:szCs w:val="24"/>
          <w:highlight w:val="none"/>
          <w:lang w:eastAsia="zh-CN"/>
        </w:rPr>
        <w:t>20.1工程保险</w:t>
      </w:r>
      <w:bookmarkEnd w:id="474"/>
      <w:bookmarkEnd w:id="475"/>
    </w:p>
    <w:p w14:paraId="01560681">
      <w:pPr>
        <w:pStyle w:val="39"/>
        <w:spacing w:after="120" w:line="34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14:paraId="594C514F">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76" w:name="_Toc1324"/>
      <w:bookmarkStart w:id="477" w:name="_Toc25563"/>
      <w:r>
        <w:rPr>
          <w:rFonts w:ascii="宋体" w:hAnsi="宋体" w:eastAsia="宋体"/>
          <w:b/>
          <w:bCs/>
          <w:color w:val="auto"/>
          <w:sz w:val="24"/>
          <w:szCs w:val="24"/>
          <w:highlight w:val="none"/>
          <w:lang w:eastAsia="zh-CN"/>
        </w:rPr>
        <w:t>20.2人员工伤事故的保险</w:t>
      </w:r>
      <w:bookmarkEnd w:id="476"/>
      <w:bookmarkEnd w:id="477"/>
    </w:p>
    <w:p w14:paraId="608B8B50">
      <w:pPr>
        <w:pStyle w:val="39"/>
        <w:tabs>
          <w:tab w:val="left" w:pos="878"/>
        </w:tabs>
        <w:spacing w:line="353" w:lineRule="exact"/>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20.</w:t>
      </w:r>
      <w:r>
        <w:rPr>
          <w:color w:val="auto"/>
          <w:sz w:val="20"/>
          <w:szCs w:val="20"/>
          <w:highlight w:val="none"/>
          <w:lang w:eastAsia="zh-CN"/>
        </w:rPr>
        <w:t xml:space="preserve">2.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承包人员工伤事故的保险</w:t>
      </w:r>
    </w:p>
    <w:p w14:paraId="7830036F">
      <w:pPr>
        <w:pStyle w:val="39"/>
        <w:spacing w:line="353"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承包人应依照有关法律规定参加工伤保险，为其履行合同所雇佣的全部人员，缴纳工 伤保险费，并要求其分包人也进行此项保险。</w:t>
      </w:r>
    </w:p>
    <w:p w14:paraId="2F50E619">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20. 2.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发包人员工伤事故的保险</w:t>
      </w:r>
    </w:p>
    <w:p w14:paraId="299E2D3A">
      <w:pPr>
        <w:pStyle w:val="39"/>
        <w:spacing w:after="120" w:line="35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发包人应依照有关法律规定参加工伤保险，为其现场机构雇佣的全部人员，缴纳工伤保险费，并要求其监理人也进行此项保险。</w:t>
      </w:r>
    </w:p>
    <w:p w14:paraId="479C9C7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78" w:name="_Toc20238"/>
      <w:bookmarkStart w:id="479" w:name="_Toc16695"/>
      <w:r>
        <w:rPr>
          <w:rFonts w:ascii="宋体" w:hAnsi="宋体" w:eastAsia="宋体"/>
          <w:b/>
          <w:bCs/>
          <w:color w:val="auto"/>
          <w:sz w:val="24"/>
          <w:szCs w:val="24"/>
          <w:highlight w:val="none"/>
          <w:lang w:eastAsia="zh-CN"/>
        </w:rPr>
        <w:t>20.3人身意外伤害险</w:t>
      </w:r>
      <w:bookmarkEnd w:id="478"/>
      <w:bookmarkEnd w:id="479"/>
    </w:p>
    <w:p w14:paraId="2155E2A6">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20.3.1</w:t>
      </w:r>
      <w:r>
        <w:rPr>
          <w:rFonts w:ascii="宋体" w:hAnsi="宋体" w:eastAsia="宋体" w:cs="宋体"/>
          <w:color w:val="auto"/>
          <w:sz w:val="20"/>
          <w:szCs w:val="20"/>
          <w:highlight w:val="none"/>
          <w:lang w:val="zh-CN" w:eastAsia="zh-CN" w:bidi="zh-CN"/>
        </w:rPr>
        <w:t>发包人应在整个施工期间为其现场机构雇用的全部人员，投保人身意外伤害险，缴纳保险费，并要求其监理人也进行此项保险。</w:t>
      </w:r>
    </w:p>
    <w:p w14:paraId="7A47A19D">
      <w:pPr>
        <w:pStyle w:val="39"/>
        <w:spacing w:after="120"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20.3.2</w:t>
      </w:r>
      <w:r>
        <w:rPr>
          <w:rFonts w:ascii="宋体" w:hAnsi="宋体" w:eastAsia="宋体" w:cs="宋体"/>
          <w:color w:val="auto"/>
          <w:sz w:val="20"/>
          <w:szCs w:val="20"/>
          <w:highlight w:val="none"/>
          <w:lang w:val="zh-CN" w:eastAsia="zh-CN" w:bidi="zh-CN"/>
        </w:rPr>
        <w:t>承包人应在整个施工期间为其现场机构雇用的全部人员，投保人身意外伤害险，缴纳保险费，并要求其分包人也进行此项保险。</w:t>
      </w:r>
    </w:p>
    <w:p w14:paraId="5D7792A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80" w:name="_Toc24212"/>
      <w:bookmarkStart w:id="481" w:name="_Toc29236"/>
      <w:r>
        <w:rPr>
          <w:rFonts w:ascii="宋体" w:hAnsi="宋体" w:eastAsia="宋体"/>
          <w:b/>
          <w:bCs/>
          <w:color w:val="auto"/>
          <w:sz w:val="24"/>
          <w:szCs w:val="24"/>
          <w:highlight w:val="none"/>
          <w:lang w:eastAsia="zh-CN"/>
        </w:rPr>
        <w:t>20.4第三者责任险</w:t>
      </w:r>
      <w:bookmarkEnd w:id="480"/>
      <w:bookmarkEnd w:id="481"/>
    </w:p>
    <w:p w14:paraId="0A4F8D8E">
      <w:pPr>
        <w:pStyle w:val="39"/>
        <w:spacing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20. 4.1</w:t>
      </w:r>
      <w:r>
        <w:rPr>
          <w:rFonts w:ascii="宋体" w:hAnsi="宋体" w:eastAsia="宋体" w:cs="宋体"/>
          <w:color w:val="auto"/>
          <w:sz w:val="20"/>
          <w:szCs w:val="20"/>
          <w:highlight w:val="none"/>
          <w:lang w:val="zh-CN" w:eastAsia="zh-CN" w:bidi="zh-CN"/>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9732F5F">
      <w:pPr>
        <w:pStyle w:val="39"/>
        <w:spacing w:after="120" w:line="361"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20. 4.2</w:t>
      </w:r>
      <w:r>
        <w:rPr>
          <w:rFonts w:ascii="宋体" w:hAnsi="宋体" w:eastAsia="宋体" w:cs="宋体"/>
          <w:color w:val="auto"/>
          <w:sz w:val="20"/>
          <w:szCs w:val="20"/>
          <w:highlight w:val="none"/>
          <w:lang w:val="zh-CN" w:eastAsia="zh-CN" w:bidi="zh-CN"/>
        </w:rPr>
        <w:t>在缺陷责任期终止证书颁发前，承包人应以承包人和发包人的共同名义，投保第</w:t>
      </w:r>
      <w:r>
        <w:rPr>
          <w:color w:val="auto"/>
          <w:sz w:val="20"/>
          <w:szCs w:val="20"/>
          <w:highlight w:val="none"/>
          <w:lang w:eastAsia="zh-CN"/>
        </w:rPr>
        <w:t>20. 4.1</w:t>
      </w:r>
      <w:r>
        <w:rPr>
          <w:rFonts w:ascii="宋体" w:hAnsi="宋体" w:eastAsia="宋体" w:cs="宋体"/>
          <w:color w:val="auto"/>
          <w:sz w:val="20"/>
          <w:szCs w:val="20"/>
          <w:highlight w:val="none"/>
          <w:lang w:val="zh-CN" w:eastAsia="zh-CN" w:bidi="zh-CN"/>
        </w:rPr>
        <w:t>项约定的第三者责任险，其保险费率、保险金额等有关内容在专用合同条款中约定。</w:t>
      </w:r>
    </w:p>
    <w:p w14:paraId="49B8E0A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82" w:name="_Toc5680"/>
      <w:bookmarkStart w:id="483" w:name="_Toc27165"/>
      <w:r>
        <w:rPr>
          <w:rFonts w:ascii="宋体" w:hAnsi="宋体" w:eastAsia="宋体"/>
          <w:b/>
          <w:bCs/>
          <w:color w:val="auto"/>
          <w:sz w:val="24"/>
          <w:szCs w:val="24"/>
          <w:highlight w:val="none"/>
          <w:lang w:eastAsia="zh-CN"/>
        </w:rPr>
        <w:t>20.5其他保险</w:t>
      </w:r>
      <w:bookmarkEnd w:id="482"/>
      <w:bookmarkEnd w:id="483"/>
    </w:p>
    <w:p w14:paraId="4E3788DB">
      <w:pPr>
        <w:pStyle w:val="39"/>
        <w:spacing w:after="120" w:line="35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除专用合同条款另有约定外，承包人应为其施工设备、进场的材料和工程设备等办理保险。</w:t>
      </w:r>
    </w:p>
    <w:p w14:paraId="636F74D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84" w:name="_Toc23887"/>
      <w:bookmarkStart w:id="485" w:name="_Toc20693"/>
      <w:r>
        <w:rPr>
          <w:rFonts w:ascii="宋体" w:hAnsi="宋体" w:eastAsia="宋体"/>
          <w:b/>
          <w:bCs/>
          <w:color w:val="auto"/>
          <w:sz w:val="24"/>
          <w:szCs w:val="24"/>
          <w:highlight w:val="none"/>
          <w:lang w:eastAsia="zh-CN"/>
        </w:rPr>
        <w:t>20.6对各项保险的一般要求</w:t>
      </w:r>
      <w:bookmarkEnd w:id="484"/>
      <w:bookmarkEnd w:id="485"/>
    </w:p>
    <w:p w14:paraId="3E841701">
      <w:pPr>
        <w:pStyle w:val="39"/>
        <w:spacing w:line="355" w:lineRule="exact"/>
        <w:ind w:firstLine="440"/>
        <w:jc w:val="both"/>
        <w:rPr>
          <w:color w:val="auto"/>
          <w:sz w:val="20"/>
          <w:szCs w:val="20"/>
          <w:highlight w:val="none"/>
          <w:lang w:eastAsia="zh-CN"/>
        </w:rPr>
      </w:pPr>
      <w:r>
        <w:rPr>
          <w:color w:val="auto"/>
          <w:sz w:val="20"/>
          <w:szCs w:val="20"/>
          <w:highlight w:val="none"/>
          <w:lang w:eastAsia="zh-CN"/>
        </w:rPr>
        <w:t xml:space="preserve">20. 6.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保险凭证</w:t>
      </w:r>
    </w:p>
    <w:p w14:paraId="044FB26C">
      <w:pPr>
        <w:pStyle w:val="39"/>
        <w:spacing w:line="34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承包人应在专用合同条款约定的期限内向发包人提交各项保险生效的证据和保险单副本，保险单必须与专用合同条款约定的条件保持一致。</w:t>
      </w:r>
    </w:p>
    <w:p w14:paraId="72C2D85C">
      <w:pPr>
        <w:pStyle w:val="39"/>
        <w:spacing w:line="35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20.6.2</w:t>
      </w:r>
      <w:r>
        <w:rPr>
          <w:rFonts w:ascii="宋体" w:hAnsi="宋体" w:eastAsia="宋体" w:cs="宋体"/>
          <w:color w:val="auto"/>
          <w:sz w:val="20"/>
          <w:szCs w:val="20"/>
          <w:highlight w:val="none"/>
          <w:lang w:val="zh-CN" w:eastAsia="zh-CN" w:bidi="zh-CN"/>
        </w:rPr>
        <w:t>保险合同条款的变动</w:t>
      </w:r>
    </w:p>
    <w:p w14:paraId="0B6386AC">
      <w:pPr>
        <w:pStyle w:val="39"/>
        <w:spacing w:after="120" w:line="35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承包人需要变动保险合同条款时，应事先征得发包人同意，并通知监理人。保险人作出变动的，承包人应在收到保险人通知后立即通知发包人和监理人。</w:t>
      </w:r>
    </w:p>
    <w:p w14:paraId="756C0156">
      <w:pPr>
        <w:pStyle w:val="39"/>
        <w:spacing w:line="360" w:lineRule="auto"/>
        <w:ind w:firstLine="440"/>
        <w:jc w:val="both"/>
        <w:rPr>
          <w:color w:val="auto"/>
          <w:sz w:val="20"/>
          <w:szCs w:val="20"/>
          <w:highlight w:val="none"/>
          <w:lang w:eastAsia="zh-CN"/>
        </w:rPr>
      </w:pPr>
      <w:r>
        <w:rPr>
          <w:color w:val="auto"/>
          <w:sz w:val="20"/>
          <w:szCs w:val="20"/>
          <w:highlight w:val="none"/>
          <w:lang w:eastAsia="zh-CN"/>
        </w:rPr>
        <w:t xml:space="preserve">20. 6.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持续保险</w:t>
      </w:r>
    </w:p>
    <w:p w14:paraId="252122E4">
      <w:pPr>
        <w:pStyle w:val="39"/>
        <w:spacing w:line="353"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承包人应与保险人保持联系，使保险人能够随时了解工程实施中的变动，并确保按保险合同条款要求持续保险。</w:t>
      </w:r>
    </w:p>
    <w:p w14:paraId="30B2BED5">
      <w:pPr>
        <w:pStyle w:val="39"/>
        <w:spacing w:line="35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20.6.4</w:t>
      </w:r>
      <w:r>
        <w:rPr>
          <w:rFonts w:ascii="宋体" w:hAnsi="宋体" w:eastAsia="宋体" w:cs="宋体"/>
          <w:color w:val="auto"/>
          <w:sz w:val="20"/>
          <w:szCs w:val="20"/>
          <w:highlight w:val="none"/>
          <w:lang w:val="zh-CN" w:eastAsia="zh-CN" w:bidi="zh-CN"/>
        </w:rPr>
        <w:t>保险金不足的补偿</w:t>
      </w:r>
    </w:p>
    <w:p w14:paraId="0D6086A6">
      <w:pPr>
        <w:pStyle w:val="39"/>
        <w:spacing w:after="120" w:line="355"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保险金不足以补偿损失时，应由承包人和发包人各自负责补偿的范围和金额在专用合 同条款中约定。</w:t>
      </w:r>
    </w:p>
    <w:p w14:paraId="1068FF50">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rPr>
        <w:t xml:space="preserve">20. 6.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未按约定投保的补救</w:t>
      </w:r>
    </w:p>
    <w:p w14:paraId="324C51CD">
      <w:pPr>
        <w:pStyle w:val="39"/>
        <w:keepNext w:val="0"/>
        <w:keepLines w:val="0"/>
        <w:pageBreakBefore w:val="0"/>
        <w:widowControl w:val="0"/>
        <w:numPr>
          <w:ilvl w:val="0"/>
          <w:numId w:val="26"/>
        </w:numPr>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由于负有投保义务的一方当事人未按合同约定办理保险，或未能使保险持续有效的，另一方当事人可代为办理，所需费用由对方当事人承担。</w:t>
      </w:r>
    </w:p>
    <w:p w14:paraId="69425603">
      <w:pPr>
        <w:pStyle w:val="39"/>
        <w:keepNext w:val="0"/>
        <w:keepLines w:val="0"/>
        <w:pageBreakBefore w:val="0"/>
        <w:widowControl w:val="0"/>
        <w:numPr>
          <w:ilvl w:val="0"/>
          <w:numId w:val="26"/>
        </w:numPr>
        <w:tabs>
          <w:tab w:val="left" w:pos="915"/>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由于负有投保义务的一方当事人未按合同约定办理某项保险，导致受益人未能得到保险人的赔偿，原应从该项保险得到的保险金应由负有投保义务的一方当事人支付。</w:t>
      </w:r>
    </w:p>
    <w:p w14:paraId="67F19D04">
      <w:pPr>
        <w:pStyle w:val="39"/>
        <w:spacing w:line="353" w:lineRule="exact"/>
        <w:ind w:firstLine="420"/>
        <w:jc w:val="both"/>
        <w:rPr>
          <w:color w:val="auto"/>
          <w:sz w:val="20"/>
          <w:szCs w:val="20"/>
          <w:highlight w:val="none"/>
          <w:lang w:eastAsia="zh-CN"/>
        </w:rPr>
      </w:pPr>
      <w:r>
        <w:rPr>
          <w:color w:val="auto"/>
          <w:sz w:val="20"/>
          <w:szCs w:val="20"/>
          <w:highlight w:val="none"/>
          <w:lang w:eastAsia="zh-CN"/>
        </w:rPr>
        <w:t>20.6.6</w:t>
      </w:r>
      <w:r>
        <w:rPr>
          <w:rFonts w:ascii="宋体" w:hAnsi="宋体" w:eastAsia="宋体" w:cs="宋体"/>
          <w:color w:val="auto"/>
          <w:sz w:val="20"/>
          <w:szCs w:val="20"/>
          <w:highlight w:val="none"/>
          <w:lang w:val="zh-CN" w:eastAsia="zh-CN" w:bidi="zh-CN"/>
        </w:rPr>
        <w:t>报告义务</w:t>
      </w:r>
    </w:p>
    <w:p w14:paraId="35E8A8A7">
      <w:pPr>
        <w:pStyle w:val="39"/>
        <w:spacing w:after="120" w:line="353"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当保险事故发生时，投保人应按照保险单规定的条件和期限及时向保险人报告。</w:t>
      </w:r>
    </w:p>
    <w:p w14:paraId="42A4F9F7">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86" w:name="_Toc9254"/>
      <w:bookmarkStart w:id="487" w:name="_Toc15342"/>
      <w:r>
        <w:rPr>
          <w:rFonts w:ascii="宋体" w:hAnsi="宋体" w:eastAsia="宋体"/>
          <w:b/>
          <w:bCs/>
          <w:color w:val="auto"/>
          <w:sz w:val="24"/>
          <w:szCs w:val="24"/>
          <w:highlight w:val="none"/>
          <w:lang w:eastAsia="zh-CN"/>
        </w:rPr>
        <w:t>20.7风险责任的转移</w:t>
      </w:r>
      <w:bookmarkEnd w:id="486"/>
      <w:bookmarkEnd w:id="487"/>
    </w:p>
    <w:p w14:paraId="7CE0CE29">
      <w:pPr>
        <w:pStyle w:val="39"/>
        <w:spacing w:after="260" w:line="353"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工程通过合同工程完工验收并移交给发包人后，原由承包人应承担的风险责任，以及保险的责任、权利和义务同时转移给发包人，但承包人在缺陷责任期(工程质量保修期) 前造成损失和损坏情形除外</w:t>
      </w:r>
      <w:r>
        <w:rPr>
          <w:rFonts w:ascii="宋体" w:hAnsi="宋体" w:eastAsia="宋体" w:cs="宋体"/>
          <w:color w:val="auto"/>
          <w:sz w:val="20"/>
          <w:szCs w:val="20"/>
          <w:highlight w:val="none"/>
          <w:lang w:eastAsia="zh-CN"/>
        </w:rPr>
        <w:t>。</w:t>
      </w:r>
    </w:p>
    <w:p w14:paraId="00029FDE">
      <w:pPr>
        <w:pStyle w:val="39"/>
        <w:keepNext/>
        <w:keepLines/>
        <w:spacing w:before="280" w:after="290" w:line="372" w:lineRule="auto"/>
        <w:outlineLvl w:val="4"/>
        <w:rPr>
          <w:rFonts w:hint="eastAsia"/>
          <w:b/>
          <w:color w:val="auto"/>
          <w:sz w:val="30"/>
          <w:szCs w:val="30"/>
          <w:highlight w:val="none"/>
          <w:lang w:eastAsia="zh-CN"/>
        </w:rPr>
      </w:pPr>
      <w:bookmarkStart w:id="488" w:name="_Toc26999"/>
      <w:bookmarkStart w:id="489" w:name="_Toc23694"/>
      <w:r>
        <w:rPr>
          <w:rFonts w:hint="eastAsia"/>
          <w:b/>
          <w:color w:val="auto"/>
          <w:sz w:val="30"/>
          <w:szCs w:val="30"/>
          <w:highlight w:val="none"/>
          <w:lang w:eastAsia="zh-CN"/>
        </w:rPr>
        <w:t>21.不可抗力</w:t>
      </w:r>
      <w:bookmarkEnd w:id="488"/>
      <w:bookmarkEnd w:id="489"/>
    </w:p>
    <w:p w14:paraId="38F01A54">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90" w:name="_Toc6826"/>
      <w:bookmarkStart w:id="491" w:name="_Toc31716"/>
      <w:r>
        <w:rPr>
          <w:rFonts w:ascii="宋体" w:hAnsi="宋体" w:eastAsia="宋体"/>
          <w:b/>
          <w:bCs/>
          <w:color w:val="auto"/>
          <w:sz w:val="24"/>
          <w:szCs w:val="24"/>
          <w:highlight w:val="none"/>
          <w:lang w:eastAsia="zh-CN"/>
        </w:rPr>
        <w:t>21.1不可抗力的确认</w:t>
      </w:r>
      <w:bookmarkEnd w:id="490"/>
      <w:bookmarkEnd w:id="491"/>
    </w:p>
    <w:p w14:paraId="6BE55079">
      <w:pPr>
        <w:pStyle w:val="39"/>
        <w:spacing w:line="35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21.1.1</w:t>
      </w:r>
      <w:r>
        <w:rPr>
          <w:rFonts w:ascii="宋体" w:hAnsi="宋体" w:eastAsia="宋体" w:cs="宋体"/>
          <w:color w:val="auto"/>
          <w:sz w:val="20"/>
          <w:szCs w:val="20"/>
          <w:highlight w:val="none"/>
          <w:lang w:val="zh-CN" w:eastAsia="zh-CN" w:bidi="zh-CN"/>
        </w:rPr>
        <w:t>不可抗力是指承包人和发包人在订立合同时不可预见，在工程施工过程中不可避免发生并不能克服的自然灾害和社会性突发事件，如地震、海啸、瘟疫、水灾、骚乱、 暴动、战争和专用合同条款约定的其他情形。</w:t>
      </w:r>
    </w:p>
    <w:p w14:paraId="3CCC5F2C">
      <w:pPr>
        <w:pStyle w:val="39"/>
        <w:spacing w:after="120" w:line="353"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21.1.2</w:t>
      </w:r>
      <w:r>
        <w:rPr>
          <w:rFonts w:ascii="宋体" w:hAnsi="宋体" w:eastAsia="宋体" w:cs="宋体"/>
          <w:color w:val="auto"/>
          <w:sz w:val="20"/>
          <w:szCs w:val="20"/>
          <w:highlight w:val="none"/>
          <w:lang w:val="zh-CN" w:eastAsia="zh-CN" w:bidi="zh-CN"/>
        </w:rPr>
        <w:t>不可抗力发生后，发包人和承包人应及时认真统计所造成的损失，收集不可抗力造成损失的证据。合同双方对是否属于不可抗力或其损失的意见不一致的，由监理人按第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款商定或确定。发生争议时，按第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条的约定办理。</w:t>
      </w:r>
    </w:p>
    <w:p w14:paraId="79CDD7C2">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92" w:name="_Toc1739"/>
      <w:bookmarkStart w:id="493" w:name="_Toc13871"/>
      <w:r>
        <w:rPr>
          <w:rFonts w:ascii="宋体" w:hAnsi="宋体" w:eastAsia="宋体"/>
          <w:b/>
          <w:bCs/>
          <w:color w:val="auto"/>
          <w:sz w:val="24"/>
          <w:szCs w:val="24"/>
          <w:highlight w:val="none"/>
          <w:lang w:eastAsia="zh-CN"/>
        </w:rPr>
        <w:t>21.2不可抗力的通知</w:t>
      </w:r>
      <w:bookmarkEnd w:id="492"/>
      <w:bookmarkEnd w:id="493"/>
    </w:p>
    <w:p w14:paraId="2E120613">
      <w:pPr>
        <w:pStyle w:val="39"/>
        <w:spacing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21.2.1</w:t>
      </w:r>
      <w:r>
        <w:rPr>
          <w:rFonts w:ascii="宋体" w:hAnsi="宋体" w:eastAsia="宋体" w:cs="宋体"/>
          <w:color w:val="auto"/>
          <w:sz w:val="20"/>
          <w:szCs w:val="20"/>
          <w:highlight w:val="none"/>
          <w:lang w:val="zh-CN" w:eastAsia="zh-CN" w:bidi="zh-CN"/>
        </w:rPr>
        <w:t>合同一方当事人遇到不可抗力事件，使其履行合同义务受到阻碍时，应立即通知合同另一方当事人和监理人，书面说明不可抗力和受阻碍的详细情况，并提供必要的证明。</w:t>
      </w:r>
    </w:p>
    <w:p w14:paraId="05E6E253">
      <w:pPr>
        <w:pStyle w:val="39"/>
        <w:spacing w:after="240" w:line="361"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21.2.2</w:t>
      </w:r>
      <w:r>
        <w:rPr>
          <w:rFonts w:ascii="宋体" w:hAnsi="宋体" w:eastAsia="宋体" w:cs="宋体"/>
          <w:color w:val="auto"/>
          <w:sz w:val="20"/>
          <w:szCs w:val="20"/>
          <w:highlight w:val="none"/>
          <w:lang w:val="zh-CN" w:eastAsia="zh-CN" w:bidi="zh-CN"/>
        </w:rPr>
        <w:t>如不可抗力持续发生，合同一方当事人应及时向合同另一方当事人和监理人提交中间报告，说明不可抗力和履行合同受阻的情况，并于不可抗力事件结束后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天内提交最终报告及有关资料。</w:t>
      </w:r>
    </w:p>
    <w:p w14:paraId="56FCE6B6">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94" w:name="_Toc10903"/>
      <w:bookmarkStart w:id="495" w:name="_Toc31146"/>
      <w:r>
        <w:rPr>
          <w:rFonts w:ascii="宋体" w:hAnsi="宋体" w:eastAsia="宋体"/>
          <w:b/>
          <w:bCs/>
          <w:color w:val="auto"/>
          <w:sz w:val="24"/>
          <w:szCs w:val="24"/>
          <w:highlight w:val="none"/>
          <w:lang w:eastAsia="zh-CN"/>
        </w:rPr>
        <w:t>21.3不可抗力后果及其处理</w:t>
      </w:r>
      <w:bookmarkEnd w:id="494"/>
      <w:bookmarkEnd w:id="495"/>
    </w:p>
    <w:p w14:paraId="29C12260">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21.3.1</w:t>
      </w:r>
      <w:r>
        <w:rPr>
          <w:rFonts w:ascii="宋体" w:hAnsi="宋体" w:eastAsia="宋体" w:cs="宋体"/>
          <w:color w:val="auto"/>
          <w:sz w:val="20"/>
          <w:szCs w:val="20"/>
          <w:highlight w:val="none"/>
          <w:lang w:val="zh-CN" w:eastAsia="zh-CN" w:bidi="zh-CN"/>
        </w:rPr>
        <w:t>不可抗力造成损害的责任</w:t>
      </w:r>
    </w:p>
    <w:p w14:paraId="0A7E6C64">
      <w:pPr>
        <w:pStyle w:val="39"/>
        <w:spacing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除专用合同条款另有约定外，不可抗力导致的人员伤亡、财产损失、费用增加和(或) 工期延误等后果，由合同双方按以下原则承担：</w:t>
      </w:r>
    </w:p>
    <w:p w14:paraId="0EF0B67E">
      <w:pPr>
        <w:pStyle w:val="39"/>
        <w:keepNext w:val="0"/>
        <w:keepLines w:val="0"/>
        <w:pageBreakBefore w:val="0"/>
        <w:widowControl w:val="0"/>
        <w:numPr>
          <w:ilvl w:val="0"/>
          <w:numId w:val="27"/>
        </w:numPr>
        <w:tabs>
          <w:tab w:val="left" w:pos="903"/>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永久工程，包括已运至施工场地的材料和工程设备的损害，以及因工程损害造成的第三者人员伤亡和财产损失由发包人承担；</w:t>
      </w:r>
    </w:p>
    <w:p w14:paraId="589203B1">
      <w:pPr>
        <w:pStyle w:val="39"/>
        <w:keepNext w:val="0"/>
        <w:keepLines w:val="0"/>
        <w:pageBreakBefore w:val="0"/>
        <w:widowControl w:val="0"/>
        <w:numPr>
          <w:ilvl w:val="0"/>
          <w:numId w:val="27"/>
        </w:numPr>
        <w:tabs>
          <w:tab w:val="left" w:pos="923"/>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承包人设备的损坏由承包人承担；</w:t>
      </w:r>
    </w:p>
    <w:p w14:paraId="66CB688B">
      <w:pPr>
        <w:pStyle w:val="39"/>
        <w:keepNext w:val="0"/>
        <w:keepLines w:val="0"/>
        <w:pageBreakBefore w:val="0"/>
        <w:widowControl w:val="0"/>
        <w:numPr>
          <w:ilvl w:val="0"/>
          <w:numId w:val="27"/>
        </w:numPr>
        <w:tabs>
          <w:tab w:val="left" w:pos="923"/>
        </w:tabs>
        <w:kinsoku/>
        <w:wordWrap/>
        <w:overflowPunct/>
        <w:topLinePunct w:val="0"/>
        <w:autoSpaceDE/>
        <w:autoSpaceDN/>
        <w:bidi w:val="0"/>
        <w:adjustRightInd/>
        <w:snapToGrid/>
        <w:spacing w:line="36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发包人和承包人各自承担其人员伤亡和其他财产损失及其相关费用；</w:t>
      </w:r>
    </w:p>
    <w:p w14:paraId="3588F8F8">
      <w:pPr>
        <w:pStyle w:val="39"/>
        <w:keepNext w:val="0"/>
        <w:keepLines w:val="0"/>
        <w:pageBreakBefore w:val="0"/>
        <w:widowControl w:val="0"/>
        <w:numPr>
          <w:ilvl w:val="0"/>
          <w:numId w:val="27"/>
        </w:numPr>
        <w:tabs>
          <w:tab w:val="left" w:pos="915"/>
        </w:tabs>
        <w:kinsoku/>
        <w:wordWrap/>
        <w:overflowPunct/>
        <w:topLinePunct w:val="0"/>
        <w:autoSpaceDE/>
        <w:autoSpaceDN/>
        <w:bidi w:val="0"/>
        <w:adjustRightInd/>
        <w:snapToGrid/>
        <w:spacing w:line="36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承包人的停工损失由承包人承担，但停工期间应监理人要求照管工程和清理、修复工程的金额由发包人承担；</w:t>
      </w:r>
    </w:p>
    <w:p w14:paraId="5B7CB13A">
      <w:pPr>
        <w:pStyle w:val="39"/>
        <w:keepNext w:val="0"/>
        <w:keepLines w:val="0"/>
        <w:pageBreakBefore w:val="0"/>
        <w:widowControl w:val="0"/>
        <w:numPr>
          <w:ilvl w:val="0"/>
          <w:numId w:val="27"/>
        </w:numPr>
        <w:tabs>
          <w:tab w:val="left" w:pos="920"/>
        </w:tabs>
        <w:kinsoku/>
        <w:wordWrap/>
        <w:overflowPunct/>
        <w:topLinePunct w:val="0"/>
        <w:autoSpaceDE/>
        <w:autoSpaceDN/>
        <w:bidi w:val="0"/>
        <w:adjustRightInd/>
        <w:snapToGrid/>
        <w:spacing w:line="36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不能按期竣工的，应合理延长工期，承包人不需支付逾期竣工违约金。发包人要求赶工的，承包人应采取赶工措施，赶工费用由发包人承担。</w:t>
      </w:r>
    </w:p>
    <w:p w14:paraId="236BCE12">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21.3.2</w:t>
      </w:r>
      <w:r>
        <w:rPr>
          <w:rFonts w:ascii="宋体" w:hAnsi="宋体" w:eastAsia="宋体" w:cs="宋体"/>
          <w:color w:val="auto"/>
          <w:sz w:val="20"/>
          <w:szCs w:val="20"/>
          <w:highlight w:val="none"/>
          <w:lang w:val="zh-CN" w:eastAsia="zh-CN" w:bidi="zh-CN"/>
        </w:rPr>
        <w:t>延迟履行期间发生的不可抗力</w:t>
      </w:r>
    </w:p>
    <w:p w14:paraId="7BFF4B10">
      <w:pPr>
        <w:pStyle w:val="39"/>
        <w:spacing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合同一方当事人延迟履行，在延迟履行期间发生不可抗力的，不免除其责任。</w:t>
      </w:r>
    </w:p>
    <w:p w14:paraId="7C6C91F7">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21.3.3</w:t>
      </w:r>
      <w:r>
        <w:rPr>
          <w:rFonts w:ascii="宋体" w:hAnsi="宋体" w:eastAsia="宋体" w:cs="宋体"/>
          <w:color w:val="auto"/>
          <w:sz w:val="20"/>
          <w:szCs w:val="20"/>
          <w:highlight w:val="none"/>
          <w:lang w:val="zh-CN" w:eastAsia="zh-CN" w:bidi="zh-CN"/>
        </w:rPr>
        <w:t>避免和减少不可抗力损失</w:t>
      </w:r>
    </w:p>
    <w:p w14:paraId="55F942C7">
      <w:pPr>
        <w:pStyle w:val="39"/>
        <w:spacing w:line="35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不可抗力发生后，发包人和承包人均应采取措施尽量避免和减少损失的扩大，任何一 方没有采取有效措施导致损失扩大的，应对扩大的损失承担责任。</w:t>
      </w:r>
    </w:p>
    <w:p w14:paraId="7D5FACC4">
      <w:pPr>
        <w:pStyle w:val="39"/>
        <w:spacing w:line="36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21.3.4</w:t>
      </w:r>
      <w:r>
        <w:rPr>
          <w:rFonts w:ascii="宋体" w:hAnsi="宋体" w:eastAsia="宋体" w:cs="宋体"/>
          <w:color w:val="auto"/>
          <w:sz w:val="20"/>
          <w:szCs w:val="20"/>
          <w:highlight w:val="none"/>
          <w:lang w:val="zh-CN" w:eastAsia="zh-CN" w:bidi="zh-CN"/>
        </w:rPr>
        <w:t>因不可抗力解除合同</w:t>
      </w:r>
    </w:p>
    <w:p w14:paraId="0D2C3102">
      <w:pPr>
        <w:pStyle w:val="39"/>
        <w:spacing w:after="280"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合同一方当事人因不可抗力不能履行合同的，应当及时通知对方解除合同。合同解除后，承包人应按照第</w:t>
      </w:r>
      <w:r>
        <w:rPr>
          <w:color w:val="auto"/>
          <w:sz w:val="20"/>
          <w:szCs w:val="20"/>
          <w:highlight w:val="none"/>
          <w:lang w:eastAsia="zh-CN"/>
        </w:rPr>
        <w:t>22.2.5</w:t>
      </w:r>
      <w:r>
        <w:rPr>
          <w:rFonts w:ascii="宋体" w:hAnsi="宋体" w:eastAsia="宋体" w:cs="宋体"/>
          <w:color w:val="auto"/>
          <w:sz w:val="20"/>
          <w:szCs w:val="20"/>
          <w:highlight w:val="none"/>
          <w:lang w:val="zh-CN" w:eastAsia="zh-CN" w:bidi="zh-CN"/>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color w:val="auto"/>
          <w:sz w:val="20"/>
          <w:szCs w:val="20"/>
          <w:highlight w:val="none"/>
          <w:lang w:eastAsia="zh-CN"/>
        </w:rPr>
        <w:t>22. 2.4</w:t>
      </w:r>
      <w:r>
        <w:rPr>
          <w:rFonts w:ascii="宋体" w:hAnsi="宋体" w:eastAsia="宋体" w:cs="宋体"/>
          <w:color w:val="auto"/>
          <w:sz w:val="20"/>
          <w:szCs w:val="20"/>
          <w:highlight w:val="none"/>
          <w:lang w:val="zh-CN" w:eastAsia="zh-CN" w:bidi="zh-CN"/>
        </w:rPr>
        <w:t>项约定，由监理人按第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w:t>
      </w:r>
    </w:p>
    <w:p w14:paraId="0E6F12C8">
      <w:pPr>
        <w:pStyle w:val="39"/>
        <w:keepNext/>
        <w:keepLines/>
        <w:spacing w:before="280" w:after="290" w:line="372" w:lineRule="auto"/>
        <w:outlineLvl w:val="4"/>
        <w:rPr>
          <w:rFonts w:hint="eastAsia"/>
          <w:b/>
          <w:color w:val="auto"/>
          <w:sz w:val="30"/>
          <w:szCs w:val="30"/>
          <w:highlight w:val="none"/>
          <w:lang w:eastAsia="zh-CN"/>
        </w:rPr>
      </w:pPr>
      <w:bookmarkStart w:id="496" w:name="_Toc6142"/>
      <w:bookmarkStart w:id="497" w:name="_Toc24310"/>
      <w:r>
        <w:rPr>
          <w:rFonts w:hint="eastAsia"/>
          <w:b/>
          <w:color w:val="auto"/>
          <w:sz w:val="30"/>
          <w:szCs w:val="30"/>
          <w:highlight w:val="none"/>
          <w:lang w:eastAsia="zh-CN"/>
        </w:rPr>
        <w:t>22.违约</w:t>
      </w:r>
      <w:bookmarkEnd w:id="496"/>
      <w:bookmarkEnd w:id="497"/>
    </w:p>
    <w:p w14:paraId="5645831F">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498" w:name="_Toc23235"/>
      <w:bookmarkStart w:id="499" w:name="_Toc16924"/>
      <w:r>
        <w:rPr>
          <w:rFonts w:ascii="宋体" w:hAnsi="宋体" w:eastAsia="宋体"/>
          <w:b/>
          <w:bCs/>
          <w:color w:val="auto"/>
          <w:sz w:val="24"/>
          <w:szCs w:val="24"/>
          <w:highlight w:val="none"/>
          <w:lang w:eastAsia="zh-CN"/>
        </w:rPr>
        <w:t>22.1承包人违约</w:t>
      </w:r>
      <w:bookmarkEnd w:id="498"/>
      <w:bookmarkEnd w:id="499"/>
    </w:p>
    <w:p w14:paraId="64E60FD9">
      <w:pPr>
        <w:pStyle w:val="39"/>
        <w:spacing w:line="379" w:lineRule="auto"/>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22.1.1</w:t>
      </w:r>
      <w:r>
        <w:rPr>
          <w:rFonts w:ascii="宋体" w:hAnsi="宋体" w:eastAsia="宋体" w:cs="宋体"/>
          <w:color w:val="auto"/>
          <w:sz w:val="20"/>
          <w:szCs w:val="20"/>
          <w:highlight w:val="none"/>
          <w:lang w:val="zh-CN" w:eastAsia="zh-CN" w:bidi="zh-CN"/>
        </w:rPr>
        <w:t>承包人违约的情形</w:t>
      </w:r>
    </w:p>
    <w:p w14:paraId="6FC381E0">
      <w:pPr>
        <w:pStyle w:val="39"/>
        <w:spacing w:line="362"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在履行合同过程中发生的下列情况属承包人违约：</w:t>
      </w:r>
    </w:p>
    <w:p w14:paraId="3C1F0A82">
      <w:pPr>
        <w:pStyle w:val="39"/>
        <w:keepNext w:val="0"/>
        <w:keepLines w:val="0"/>
        <w:pageBreakBefore w:val="0"/>
        <w:widowControl w:val="0"/>
        <w:numPr>
          <w:ilvl w:val="0"/>
          <w:numId w:val="28"/>
        </w:numPr>
        <w:tabs>
          <w:tab w:val="left" w:pos="920"/>
        </w:tabs>
        <w:kinsoku/>
        <w:wordWrap/>
        <w:overflowPunct/>
        <w:topLinePunct w:val="0"/>
        <w:autoSpaceDE/>
        <w:autoSpaceDN/>
        <w:bidi w:val="0"/>
        <w:adjustRightInd/>
        <w:snapToGrid/>
        <w:spacing w:line="37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承包人违反第</w:t>
      </w:r>
      <w:r>
        <w:rPr>
          <w:color w:val="auto"/>
          <w:sz w:val="20"/>
          <w:szCs w:val="20"/>
          <w:highlight w:val="none"/>
          <w:lang w:eastAsia="zh-CN"/>
        </w:rPr>
        <w:t>1.8</w:t>
      </w:r>
      <w:r>
        <w:rPr>
          <w:rFonts w:ascii="宋体" w:hAnsi="宋体" w:eastAsia="宋体" w:cs="宋体"/>
          <w:color w:val="auto"/>
          <w:sz w:val="20"/>
          <w:szCs w:val="20"/>
          <w:highlight w:val="none"/>
          <w:lang w:val="zh-CN" w:eastAsia="zh-CN" w:bidi="zh-CN"/>
        </w:rPr>
        <w:t>款或第</w:t>
      </w:r>
      <w:r>
        <w:rPr>
          <w:color w:val="auto"/>
          <w:sz w:val="20"/>
          <w:szCs w:val="20"/>
          <w:highlight w:val="none"/>
          <w:lang w:eastAsia="zh-CN"/>
        </w:rPr>
        <w:t xml:space="preserve">4.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款的约定，私自将合同的全部或部分权利转让给其他人，或私自将合同的全部或部分义务转移给其他人；</w:t>
      </w:r>
    </w:p>
    <w:p w14:paraId="01B5C586">
      <w:pPr>
        <w:pStyle w:val="39"/>
        <w:keepNext w:val="0"/>
        <w:keepLines w:val="0"/>
        <w:pageBreakBefore w:val="0"/>
        <w:widowControl w:val="0"/>
        <w:numPr>
          <w:ilvl w:val="0"/>
          <w:numId w:val="28"/>
        </w:numPr>
        <w:tabs>
          <w:tab w:val="left" w:pos="920"/>
        </w:tabs>
        <w:kinsoku/>
        <w:wordWrap/>
        <w:overflowPunct/>
        <w:topLinePunct w:val="0"/>
        <w:autoSpaceDE/>
        <w:autoSpaceDN/>
        <w:bidi w:val="0"/>
        <w:adjustRightInd/>
        <w:snapToGrid/>
        <w:spacing w:line="377"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承包人违反第</w:t>
      </w:r>
      <w:r>
        <w:rPr>
          <w:color w:val="auto"/>
          <w:sz w:val="20"/>
          <w:szCs w:val="20"/>
          <w:highlight w:val="none"/>
          <w:lang w:eastAsia="zh-CN"/>
        </w:rPr>
        <w:t xml:space="preserve">5.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款或第</w:t>
      </w:r>
      <w:r>
        <w:rPr>
          <w:color w:val="auto"/>
          <w:sz w:val="20"/>
          <w:szCs w:val="20"/>
          <w:highlight w:val="none"/>
          <w:lang w:eastAsia="zh-CN"/>
        </w:rPr>
        <w:t xml:space="preserve">6.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款的约定，未经监理人批准，私自将已按合同约定进入施工场地的施工设备、临时设施或材料撤离施工场地；</w:t>
      </w:r>
    </w:p>
    <w:p w14:paraId="61338832">
      <w:pPr>
        <w:pStyle w:val="39"/>
        <w:keepNext w:val="0"/>
        <w:keepLines w:val="0"/>
        <w:pageBreakBefore w:val="0"/>
        <w:widowControl w:val="0"/>
        <w:numPr>
          <w:ilvl w:val="0"/>
          <w:numId w:val="28"/>
        </w:numPr>
        <w:tabs>
          <w:tab w:val="left" w:pos="922"/>
        </w:tabs>
        <w:kinsoku/>
        <w:wordWrap/>
        <w:overflowPunct/>
        <w:topLinePunct w:val="0"/>
        <w:autoSpaceDE/>
        <w:autoSpaceDN/>
        <w:bidi w:val="0"/>
        <w:adjustRightInd/>
        <w:snapToGrid/>
        <w:spacing w:line="37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承包人违反第</w:t>
      </w:r>
      <w:r>
        <w:rPr>
          <w:color w:val="auto"/>
          <w:sz w:val="20"/>
          <w:szCs w:val="20"/>
          <w:highlight w:val="none"/>
          <w:lang w:eastAsia="zh-CN"/>
        </w:rPr>
        <w:t xml:space="preserve">5.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款的约定使用了不合格材料或工程设备，工程质量达不到标准要求，又拒绝清除不合格工程；</w:t>
      </w:r>
    </w:p>
    <w:p w14:paraId="730F7984">
      <w:pPr>
        <w:pStyle w:val="39"/>
        <w:keepNext w:val="0"/>
        <w:keepLines w:val="0"/>
        <w:pageBreakBefore w:val="0"/>
        <w:widowControl w:val="0"/>
        <w:numPr>
          <w:ilvl w:val="0"/>
          <w:numId w:val="28"/>
        </w:numPr>
        <w:tabs>
          <w:tab w:val="left" w:pos="922"/>
        </w:tabs>
        <w:kinsoku/>
        <w:wordWrap/>
        <w:overflowPunct/>
        <w:topLinePunct w:val="0"/>
        <w:autoSpaceDE/>
        <w:autoSpaceDN/>
        <w:bidi w:val="0"/>
        <w:adjustRightInd/>
        <w:snapToGrid/>
        <w:spacing w:line="365"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承包人未能按合同进度计划及时完成合同约定的工作，已造成或预期造成工期延误；</w:t>
      </w:r>
    </w:p>
    <w:p w14:paraId="33C6CB96">
      <w:pPr>
        <w:pStyle w:val="39"/>
        <w:keepNext w:val="0"/>
        <w:keepLines w:val="0"/>
        <w:pageBreakBefore w:val="0"/>
        <w:widowControl w:val="0"/>
        <w:numPr>
          <w:ilvl w:val="0"/>
          <w:numId w:val="28"/>
        </w:numPr>
        <w:tabs>
          <w:tab w:val="left" w:pos="922"/>
        </w:tabs>
        <w:kinsoku/>
        <w:wordWrap/>
        <w:overflowPunct/>
        <w:topLinePunct w:val="0"/>
        <w:autoSpaceDE/>
        <w:autoSpaceDN/>
        <w:bidi w:val="0"/>
        <w:adjustRightInd/>
        <w:snapToGrid/>
        <w:spacing w:line="36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承包人在缺陷责任期(工程质量保修期)内，未能对合同工程完工验收鉴定书中所列的缺陷清单的内容或缺陷责任期(工程质量保修期)内发生的缺陷进行修复，而又拒绝按监理人指示再进行修补；</w:t>
      </w:r>
    </w:p>
    <w:p w14:paraId="34D8FBD7">
      <w:pPr>
        <w:pStyle w:val="39"/>
        <w:keepNext w:val="0"/>
        <w:keepLines w:val="0"/>
        <w:pageBreakBefore w:val="0"/>
        <w:widowControl w:val="0"/>
        <w:numPr>
          <w:ilvl w:val="0"/>
          <w:numId w:val="28"/>
        </w:numPr>
        <w:tabs>
          <w:tab w:val="left" w:pos="903"/>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承包人无法继续履行或明确表示不履行或实质上已停止履行合同；</w:t>
      </w:r>
    </w:p>
    <w:p w14:paraId="70ED53E0">
      <w:pPr>
        <w:pStyle w:val="39"/>
        <w:keepNext w:val="0"/>
        <w:keepLines w:val="0"/>
        <w:pageBreakBefore w:val="0"/>
        <w:widowControl w:val="0"/>
        <w:numPr>
          <w:ilvl w:val="0"/>
          <w:numId w:val="28"/>
        </w:numPr>
        <w:tabs>
          <w:tab w:val="left" w:pos="903"/>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承包人不按合同约定履行义务的其他情况。</w:t>
      </w:r>
    </w:p>
    <w:p w14:paraId="28E6E001">
      <w:pPr>
        <w:pStyle w:val="39"/>
        <w:spacing w:line="349"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rPr>
        <w:t>22.1.2</w:t>
      </w:r>
      <w:r>
        <w:rPr>
          <w:rFonts w:ascii="宋体" w:hAnsi="宋体" w:eastAsia="宋体" w:cs="宋体"/>
          <w:color w:val="auto"/>
          <w:sz w:val="20"/>
          <w:szCs w:val="20"/>
          <w:highlight w:val="none"/>
          <w:lang w:val="zh-CN" w:eastAsia="zh-CN" w:bidi="zh-CN"/>
        </w:rPr>
        <w:t>对承包人违约的处理</w:t>
      </w:r>
    </w:p>
    <w:p w14:paraId="16A3C704">
      <w:pPr>
        <w:pStyle w:val="39"/>
        <w:keepNext w:val="0"/>
        <w:keepLines w:val="0"/>
        <w:pageBreakBefore w:val="0"/>
        <w:widowControl w:val="0"/>
        <w:numPr>
          <w:ilvl w:val="0"/>
          <w:numId w:val="29"/>
        </w:numPr>
        <w:tabs>
          <w:tab w:val="left" w:pos="922"/>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承包人发生第</w:t>
      </w:r>
      <w:r>
        <w:rPr>
          <w:color w:val="auto"/>
          <w:sz w:val="20"/>
          <w:szCs w:val="20"/>
          <w:highlight w:val="none"/>
          <w:lang w:eastAsia="zh-CN"/>
        </w:rPr>
        <w:t xml:space="preserve">22.1.1 </w:t>
      </w:r>
      <w:r>
        <w:rPr>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目约定的违约情况时，发包人可通知承包人立即解除合同，并按有关法律处理。</w:t>
      </w:r>
    </w:p>
    <w:p w14:paraId="4F8DDEBB">
      <w:pPr>
        <w:pStyle w:val="39"/>
        <w:keepNext w:val="0"/>
        <w:keepLines w:val="0"/>
        <w:pageBreakBefore w:val="0"/>
        <w:widowControl w:val="0"/>
        <w:numPr>
          <w:ilvl w:val="0"/>
          <w:numId w:val="29"/>
        </w:numPr>
        <w:tabs>
          <w:tab w:val="left" w:pos="920"/>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承包人发生除第</w:t>
      </w:r>
      <w:r>
        <w:rPr>
          <w:color w:val="auto"/>
          <w:sz w:val="20"/>
          <w:szCs w:val="20"/>
          <w:highlight w:val="none"/>
          <w:lang w:eastAsia="zh-CN"/>
        </w:rPr>
        <w:t xml:space="preserve">22. 1. </w:t>
      </w:r>
      <w:r>
        <w:rPr>
          <w:color w:val="auto"/>
          <w:sz w:val="20"/>
          <w:szCs w:val="20"/>
          <w:highlight w:val="none"/>
          <w:lang w:val="zh-CN" w:eastAsia="zh-CN" w:bidi="zh-CN"/>
        </w:rPr>
        <w:t>1 (6)</w:t>
      </w:r>
      <w:r>
        <w:rPr>
          <w:rFonts w:ascii="宋体" w:hAnsi="宋体" w:eastAsia="宋体" w:cs="宋体"/>
          <w:color w:val="auto"/>
          <w:sz w:val="20"/>
          <w:szCs w:val="20"/>
          <w:highlight w:val="none"/>
          <w:lang w:val="zh-CN" w:eastAsia="zh-CN" w:bidi="zh-CN"/>
        </w:rPr>
        <w:t>目约定以外的其他违约情况时，监理人可向承包人发出整改通知，要求其在指定的期限内改正。承包人应承担其违约所引起的费用增加和 (或)工期延误。</w:t>
      </w:r>
    </w:p>
    <w:p w14:paraId="19A7E846">
      <w:pPr>
        <w:pStyle w:val="39"/>
        <w:keepNext w:val="0"/>
        <w:keepLines w:val="0"/>
        <w:pageBreakBefore w:val="0"/>
        <w:widowControl w:val="0"/>
        <w:numPr>
          <w:ilvl w:val="0"/>
          <w:numId w:val="29"/>
        </w:numPr>
        <w:tabs>
          <w:tab w:val="left" w:pos="922"/>
        </w:tabs>
        <w:kinsoku/>
        <w:wordWrap/>
        <w:overflowPunct/>
        <w:topLinePunct w:val="0"/>
        <w:autoSpaceDE/>
        <w:autoSpaceDN/>
        <w:bidi w:val="0"/>
        <w:adjustRightInd/>
        <w:snapToGrid/>
        <w:spacing w:line="349"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经检查证明承包人已采取了有效措施纠正违约行为，具备复工条件的，可由监理人签发复工通知复工。</w:t>
      </w:r>
    </w:p>
    <w:p w14:paraId="024B8508">
      <w:pPr>
        <w:pStyle w:val="39"/>
        <w:spacing w:line="34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22.1.3</w:t>
      </w:r>
      <w:r>
        <w:rPr>
          <w:rFonts w:ascii="宋体" w:hAnsi="宋体" w:eastAsia="宋体" w:cs="宋体"/>
          <w:color w:val="auto"/>
          <w:sz w:val="20"/>
          <w:szCs w:val="20"/>
          <w:highlight w:val="none"/>
          <w:lang w:val="zh-CN" w:eastAsia="zh-CN" w:bidi="zh-CN"/>
        </w:rPr>
        <w:t>承包人违约解除合同</w:t>
      </w:r>
    </w:p>
    <w:p w14:paraId="6C58ADF0">
      <w:pPr>
        <w:pStyle w:val="39"/>
        <w:spacing w:line="349"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监理人发出整改通知</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14:paraId="3E7BEE9F">
      <w:pPr>
        <w:pStyle w:val="39"/>
        <w:spacing w:line="361"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22.1.4</w:t>
      </w:r>
      <w:r>
        <w:rPr>
          <w:rFonts w:ascii="宋体" w:hAnsi="宋体" w:eastAsia="宋体" w:cs="宋体"/>
          <w:color w:val="auto"/>
          <w:sz w:val="20"/>
          <w:szCs w:val="20"/>
          <w:highlight w:val="none"/>
          <w:lang w:val="zh-CN" w:eastAsia="zh-CN" w:bidi="zh-CN"/>
        </w:rPr>
        <w:t>合同解除后的估价、付款和结清</w:t>
      </w:r>
    </w:p>
    <w:p w14:paraId="4383015E">
      <w:pPr>
        <w:pStyle w:val="39"/>
        <w:keepNext w:val="0"/>
        <w:keepLines w:val="0"/>
        <w:pageBreakBefore w:val="0"/>
        <w:widowControl w:val="0"/>
        <w:numPr>
          <w:ilvl w:val="0"/>
          <w:numId w:val="30"/>
        </w:numPr>
        <w:tabs>
          <w:tab w:val="left" w:pos="920"/>
        </w:tabs>
        <w:kinsoku/>
        <w:wordWrap/>
        <w:overflowPunct/>
        <w:topLinePunct w:val="0"/>
        <w:autoSpaceDE/>
        <w:autoSpaceDN/>
        <w:bidi w:val="0"/>
        <w:adjustRightInd/>
        <w:snapToGrid/>
        <w:spacing w:line="361"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合同解除后，监理人按第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款商定或确定承包人实际完成工作的价值，以及承包人已提供的材料、施工设备、工程设备和临时工程等的价值。</w:t>
      </w:r>
    </w:p>
    <w:p w14:paraId="7547F91B">
      <w:pPr>
        <w:pStyle w:val="39"/>
        <w:keepNext w:val="0"/>
        <w:keepLines w:val="0"/>
        <w:pageBreakBefore w:val="0"/>
        <w:widowControl w:val="0"/>
        <w:numPr>
          <w:ilvl w:val="0"/>
          <w:numId w:val="30"/>
        </w:numPr>
        <w:tabs>
          <w:tab w:val="left" w:pos="922"/>
        </w:tabs>
        <w:kinsoku/>
        <w:wordWrap/>
        <w:overflowPunct/>
        <w:topLinePunct w:val="0"/>
        <w:autoSpaceDE/>
        <w:autoSpaceDN/>
        <w:bidi w:val="0"/>
        <w:adjustRightInd/>
        <w:snapToGrid/>
        <w:spacing w:line="361"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合同解除后，发包人应暂停对承包人的一切付款，查清各项付款和已扣款金额, 包括承包人应支付的违约金。</w:t>
      </w:r>
    </w:p>
    <w:p w14:paraId="4DF6F6DC">
      <w:pPr>
        <w:pStyle w:val="39"/>
        <w:keepNext w:val="0"/>
        <w:keepLines w:val="0"/>
        <w:pageBreakBefore w:val="0"/>
        <w:widowControl w:val="0"/>
        <w:numPr>
          <w:ilvl w:val="0"/>
          <w:numId w:val="30"/>
        </w:numPr>
        <w:tabs>
          <w:tab w:val="left" w:pos="920"/>
        </w:tabs>
        <w:kinsoku/>
        <w:wordWrap/>
        <w:overflowPunct/>
        <w:topLinePunct w:val="0"/>
        <w:autoSpaceDE/>
        <w:autoSpaceDN/>
        <w:bidi w:val="0"/>
        <w:adjustRightInd/>
        <w:snapToGrid/>
        <w:spacing w:line="374"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合同解除后，发包人应按第</w:t>
      </w:r>
      <w:r>
        <w:rPr>
          <w:color w:val="auto"/>
          <w:sz w:val="20"/>
          <w:szCs w:val="20"/>
          <w:highlight w:val="none"/>
          <w:lang w:eastAsia="zh-CN"/>
        </w:rPr>
        <w:t xml:space="preserve">23.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款的约定向承包人索赔由于解除合同给发包人造成的损失。</w:t>
      </w:r>
    </w:p>
    <w:p w14:paraId="20DE3E75">
      <w:pPr>
        <w:pStyle w:val="39"/>
        <w:keepNext w:val="0"/>
        <w:keepLines w:val="0"/>
        <w:pageBreakBefore w:val="0"/>
        <w:widowControl w:val="0"/>
        <w:numPr>
          <w:ilvl w:val="0"/>
          <w:numId w:val="30"/>
        </w:numPr>
        <w:tabs>
          <w:tab w:val="left" w:pos="903"/>
        </w:tabs>
        <w:kinsoku/>
        <w:wordWrap/>
        <w:overflowPunct/>
        <w:topLinePunct w:val="0"/>
        <w:autoSpaceDE/>
        <w:autoSpaceDN/>
        <w:bidi w:val="0"/>
        <w:adjustRightInd/>
        <w:snapToGrid/>
        <w:spacing w:line="360"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合同双方确认上述往来款项后，出具最终结清付款证书，结清全部合同款项。</w:t>
      </w:r>
    </w:p>
    <w:p w14:paraId="2B0B350E">
      <w:pPr>
        <w:pStyle w:val="39"/>
        <w:keepNext w:val="0"/>
        <w:keepLines w:val="0"/>
        <w:pageBreakBefore w:val="0"/>
        <w:widowControl w:val="0"/>
        <w:numPr>
          <w:ilvl w:val="0"/>
          <w:numId w:val="30"/>
        </w:numPr>
        <w:tabs>
          <w:tab w:val="left" w:pos="922"/>
        </w:tabs>
        <w:kinsoku/>
        <w:wordWrap/>
        <w:overflowPunct/>
        <w:topLinePunct w:val="0"/>
        <w:autoSpaceDE/>
        <w:autoSpaceDN/>
        <w:bidi w:val="0"/>
        <w:adjustRightInd/>
        <w:snapToGrid/>
        <w:spacing w:after="120" w:line="360"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发包人和承包人未能就解除合同后的结清达成一致而形成争议的，按第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条的约定办理。</w:t>
      </w:r>
    </w:p>
    <w:p w14:paraId="3E3CA3FB">
      <w:pPr>
        <w:pStyle w:val="39"/>
        <w:spacing w:line="360" w:lineRule="auto"/>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22.1.5</w:t>
      </w:r>
      <w:r>
        <w:rPr>
          <w:rFonts w:ascii="宋体" w:hAnsi="宋体" w:eastAsia="宋体" w:cs="宋体"/>
          <w:color w:val="auto"/>
          <w:sz w:val="20"/>
          <w:szCs w:val="20"/>
          <w:highlight w:val="none"/>
          <w:lang w:val="zh-CN" w:eastAsia="zh-CN" w:bidi="zh-CN"/>
        </w:rPr>
        <w:t>协议利益的转让</w:t>
      </w:r>
    </w:p>
    <w:p w14:paraId="1CEB2A4A">
      <w:pPr>
        <w:pStyle w:val="39"/>
        <w:spacing w:line="35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因承包人违约解除合同的，发包人有权要求承包人将其为实施合同而签订的材料和设备的订货协议或任何服务协议利益转让给发包人，并在解除合同后的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天内，依法办理转让手续。</w:t>
      </w:r>
    </w:p>
    <w:p w14:paraId="4163B414">
      <w:pPr>
        <w:pStyle w:val="39"/>
        <w:tabs>
          <w:tab w:val="left" w:pos="878"/>
        </w:tabs>
        <w:spacing w:line="351" w:lineRule="exact"/>
        <w:ind w:left="440"/>
        <w:jc w:val="both"/>
        <w:rPr>
          <w:rFonts w:ascii="宋体" w:hAnsi="宋体" w:eastAsia="宋体" w:cs="宋体"/>
          <w:color w:val="auto"/>
          <w:sz w:val="20"/>
          <w:szCs w:val="20"/>
          <w:highlight w:val="none"/>
          <w:lang w:val="zh-CN" w:eastAsia="zh-CN" w:bidi="zh-CN"/>
        </w:rPr>
      </w:pPr>
      <w:r>
        <w:rPr>
          <w:rFonts w:hint="eastAsia" w:eastAsia="宋体"/>
          <w:color w:val="auto"/>
          <w:sz w:val="20"/>
          <w:szCs w:val="20"/>
          <w:highlight w:val="none"/>
          <w:lang w:eastAsia="zh-CN"/>
        </w:rPr>
        <w:t>22.</w:t>
      </w:r>
      <w:r>
        <w:rPr>
          <w:color w:val="auto"/>
          <w:sz w:val="20"/>
          <w:szCs w:val="20"/>
          <w:highlight w:val="none"/>
          <w:lang w:eastAsia="zh-CN"/>
        </w:rPr>
        <w:t>1.6</w:t>
      </w:r>
      <w:r>
        <w:rPr>
          <w:rFonts w:ascii="宋体" w:hAnsi="宋体" w:eastAsia="宋体" w:cs="宋体"/>
          <w:color w:val="auto"/>
          <w:sz w:val="20"/>
          <w:szCs w:val="20"/>
          <w:highlight w:val="none"/>
          <w:lang w:val="zh-CN" w:eastAsia="zh-CN" w:bidi="zh-CN"/>
        </w:rPr>
        <w:t>紧急情况下无能力或不愿进行抢救</w:t>
      </w:r>
    </w:p>
    <w:p w14:paraId="14EC6AC3">
      <w:pPr>
        <w:pStyle w:val="39"/>
        <w:spacing w:after="120" w:line="351"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0863E293">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00" w:name="_Toc29586"/>
      <w:bookmarkStart w:id="501" w:name="_Toc13984"/>
      <w:r>
        <w:rPr>
          <w:rFonts w:ascii="宋体" w:hAnsi="宋体" w:eastAsia="宋体"/>
          <w:b/>
          <w:bCs/>
          <w:color w:val="auto"/>
          <w:sz w:val="24"/>
          <w:szCs w:val="24"/>
          <w:highlight w:val="none"/>
          <w:lang w:eastAsia="zh-CN"/>
        </w:rPr>
        <w:t>22.2发包人违约</w:t>
      </w:r>
      <w:bookmarkEnd w:id="500"/>
      <w:bookmarkEnd w:id="501"/>
    </w:p>
    <w:p w14:paraId="5130E764">
      <w:pPr>
        <w:pStyle w:val="39"/>
        <w:spacing w:line="350" w:lineRule="exact"/>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22.2.1</w:t>
      </w:r>
      <w:r>
        <w:rPr>
          <w:rFonts w:ascii="宋体" w:hAnsi="宋体" w:eastAsia="宋体" w:cs="宋体"/>
          <w:color w:val="auto"/>
          <w:sz w:val="20"/>
          <w:szCs w:val="20"/>
          <w:highlight w:val="none"/>
          <w:lang w:val="zh-CN" w:eastAsia="zh-CN" w:bidi="zh-CN"/>
        </w:rPr>
        <w:t>发包人违约的情形</w:t>
      </w:r>
    </w:p>
    <w:p w14:paraId="44EACE00">
      <w:pPr>
        <w:pStyle w:val="39"/>
        <w:spacing w:line="350"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在履行合同过程中发生的下列情形，属发包人违约：</w:t>
      </w:r>
    </w:p>
    <w:p w14:paraId="6ECABDE6">
      <w:pPr>
        <w:pStyle w:val="39"/>
        <w:keepNext w:val="0"/>
        <w:keepLines w:val="0"/>
        <w:pageBreakBefore w:val="0"/>
        <w:widowControl w:val="0"/>
        <w:numPr>
          <w:ilvl w:val="0"/>
          <w:numId w:val="31"/>
        </w:numPr>
        <w:kinsoku/>
        <w:wordWrap/>
        <w:overflowPunct/>
        <w:topLinePunct w:val="0"/>
        <w:autoSpaceDE/>
        <w:autoSpaceDN/>
        <w:bidi w:val="0"/>
        <w:adjustRightInd/>
        <w:snapToGrid/>
        <w:spacing w:line="350"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发包人未能按合同约定支付预付款或合同价款，或拖延、拒绝批准付款申请和支付凭证，导致付款延误的；</w:t>
      </w:r>
    </w:p>
    <w:p w14:paraId="5451766A">
      <w:pPr>
        <w:pStyle w:val="39"/>
        <w:keepNext w:val="0"/>
        <w:keepLines w:val="0"/>
        <w:pageBreakBefore w:val="0"/>
        <w:widowControl w:val="0"/>
        <w:numPr>
          <w:ilvl w:val="0"/>
          <w:numId w:val="31"/>
        </w:numPr>
        <w:tabs>
          <w:tab w:val="left" w:pos="90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发包人原因造成停工的；</w:t>
      </w:r>
    </w:p>
    <w:p w14:paraId="792F923E">
      <w:pPr>
        <w:pStyle w:val="39"/>
        <w:keepNext w:val="0"/>
        <w:keepLines w:val="0"/>
        <w:pageBreakBefore w:val="0"/>
        <w:widowControl w:val="0"/>
        <w:numPr>
          <w:ilvl w:val="0"/>
          <w:numId w:val="31"/>
        </w:numPr>
        <w:tabs>
          <w:tab w:val="left" w:pos="90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监理人无正当理由没有在约定期限内发出复工指示，导致承包人无法复工的；</w:t>
      </w:r>
    </w:p>
    <w:p w14:paraId="7E453139">
      <w:pPr>
        <w:pStyle w:val="39"/>
        <w:keepNext w:val="0"/>
        <w:keepLines w:val="0"/>
        <w:pageBreakBefore w:val="0"/>
        <w:widowControl w:val="0"/>
        <w:numPr>
          <w:ilvl w:val="0"/>
          <w:numId w:val="31"/>
        </w:numPr>
        <w:tabs>
          <w:tab w:val="left" w:pos="90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发包人无法继续履行或明确表示不履行或实质上已停止履行合同的；</w:t>
      </w:r>
    </w:p>
    <w:p w14:paraId="3830955C">
      <w:pPr>
        <w:pStyle w:val="39"/>
        <w:keepNext w:val="0"/>
        <w:keepLines w:val="0"/>
        <w:pageBreakBefore w:val="0"/>
        <w:widowControl w:val="0"/>
        <w:numPr>
          <w:ilvl w:val="0"/>
          <w:numId w:val="31"/>
        </w:numPr>
        <w:tabs>
          <w:tab w:val="left" w:pos="903"/>
        </w:tabs>
        <w:kinsoku/>
        <w:wordWrap/>
        <w:overflowPunct/>
        <w:topLinePunct w:val="0"/>
        <w:autoSpaceDE/>
        <w:autoSpaceDN/>
        <w:bidi w:val="0"/>
        <w:adjustRightInd/>
        <w:snapToGrid/>
        <w:spacing w:line="362"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发包人不履行合同约定其他义务的。</w:t>
      </w:r>
    </w:p>
    <w:p w14:paraId="12EBD090">
      <w:pPr>
        <w:pStyle w:val="39"/>
        <w:spacing w:line="362" w:lineRule="exact"/>
        <w:ind w:firstLine="420"/>
        <w:rPr>
          <w:rFonts w:ascii="宋体" w:hAnsi="宋体" w:eastAsia="宋体" w:cs="宋体"/>
          <w:color w:val="auto"/>
          <w:sz w:val="20"/>
          <w:szCs w:val="20"/>
          <w:highlight w:val="none"/>
          <w:lang w:val="zh-CN" w:eastAsia="zh-CN" w:bidi="zh-CN"/>
        </w:rPr>
      </w:pPr>
      <w:r>
        <w:rPr>
          <w:color w:val="auto"/>
          <w:sz w:val="20"/>
          <w:szCs w:val="20"/>
          <w:highlight w:val="none"/>
          <w:lang w:eastAsia="zh-CN"/>
        </w:rPr>
        <w:t>22.2.2</w:t>
      </w:r>
      <w:r>
        <w:rPr>
          <w:rFonts w:ascii="宋体" w:hAnsi="宋体" w:eastAsia="宋体" w:cs="宋体"/>
          <w:color w:val="auto"/>
          <w:sz w:val="20"/>
          <w:szCs w:val="20"/>
          <w:highlight w:val="none"/>
          <w:lang w:val="zh-CN" w:eastAsia="zh-CN" w:bidi="zh-CN"/>
        </w:rPr>
        <w:t>承包人有权暂停施工</w:t>
      </w:r>
    </w:p>
    <w:p w14:paraId="552B70AB">
      <w:pPr>
        <w:pStyle w:val="39"/>
        <w:spacing w:line="362"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发包人发生除第</w:t>
      </w:r>
      <w:r>
        <w:rPr>
          <w:color w:val="auto"/>
          <w:sz w:val="20"/>
          <w:szCs w:val="20"/>
          <w:highlight w:val="none"/>
          <w:lang w:eastAsia="zh-CN"/>
        </w:rPr>
        <w:t xml:space="preserve">22.2.1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目以外的违约情况时，承包人可向发包人发出通知，要求发包人采取有效措施纠正违约行为。发包人收到承包人通知后的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天内仍不履行合同义 务，承包人有权暂停施工，并通知监理人，发包人应承担由此增加的费用和(或)工期延误，并支付承包人合理利润。</w:t>
      </w:r>
    </w:p>
    <w:p w14:paraId="4D998731">
      <w:pPr>
        <w:pStyle w:val="39"/>
        <w:spacing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rPr>
        <w:t>22.2.3</w:t>
      </w:r>
      <w:r>
        <w:rPr>
          <w:rFonts w:ascii="宋体" w:hAnsi="宋体" w:eastAsia="宋体" w:cs="宋体"/>
          <w:color w:val="auto"/>
          <w:sz w:val="20"/>
          <w:szCs w:val="20"/>
          <w:highlight w:val="none"/>
          <w:lang w:val="zh-CN" w:eastAsia="zh-CN" w:bidi="zh-CN"/>
        </w:rPr>
        <w:t>发包人违约解除合同</w:t>
      </w:r>
    </w:p>
    <w:p w14:paraId="7F7BEA89">
      <w:pPr>
        <w:pStyle w:val="39"/>
        <w:keepNext w:val="0"/>
        <w:keepLines w:val="0"/>
        <w:pageBreakBefore w:val="0"/>
        <w:widowControl w:val="0"/>
        <w:numPr>
          <w:ilvl w:val="0"/>
          <w:numId w:val="32"/>
        </w:numPr>
        <w:tabs>
          <w:tab w:val="left" w:pos="923"/>
        </w:tabs>
        <w:kinsoku/>
        <w:wordWrap/>
        <w:overflowPunct/>
        <w:topLinePunct w:val="0"/>
        <w:autoSpaceDE/>
        <w:autoSpaceDN/>
        <w:bidi w:val="0"/>
        <w:adjustRightInd/>
        <w:snapToGrid/>
        <w:spacing w:line="367"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发生第</w:t>
      </w:r>
      <w:r>
        <w:rPr>
          <w:color w:val="auto"/>
          <w:sz w:val="20"/>
          <w:szCs w:val="20"/>
          <w:highlight w:val="none"/>
          <w:lang w:eastAsia="zh-CN"/>
        </w:rPr>
        <w:t xml:space="preserve">22.2.1 </w:t>
      </w:r>
      <w:r>
        <w:rPr>
          <w:color w:val="auto"/>
          <w:sz w:val="20"/>
          <w:szCs w:val="20"/>
          <w:highlight w:val="none"/>
          <w:lang w:val="zh-CN" w:eastAsia="zh-CN" w:bidi="zh-CN"/>
        </w:rPr>
        <w:t>(4)</w:t>
      </w:r>
      <w:r>
        <w:rPr>
          <w:rFonts w:ascii="宋体" w:hAnsi="宋体" w:eastAsia="宋体" w:cs="宋体"/>
          <w:color w:val="auto"/>
          <w:sz w:val="20"/>
          <w:szCs w:val="20"/>
          <w:highlight w:val="none"/>
          <w:lang w:val="zh-CN" w:eastAsia="zh-CN" w:bidi="zh-CN"/>
        </w:rPr>
        <w:t>目的违约情况时，承包人可书面通知发包人解除合同。</w:t>
      </w:r>
    </w:p>
    <w:p w14:paraId="38CC947C">
      <w:pPr>
        <w:pStyle w:val="39"/>
        <w:keepNext w:val="0"/>
        <w:keepLines w:val="0"/>
        <w:pageBreakBefore w:val="0"/>
        <w:widowControl w:val="0"/>
        <w:numPr>
          <w:ilvl w:val="0"/>
          <w:numId w:val="32"/>
        </w:numPr>
        <w:tabs>
          <w:tab w:val="left" w:pos="920"/>
        </w:tabs>
        <w:kinsoku/>
        <w:wordWrap/>
        <w:overflowPunct/>
        <w:topLinePunct w:val="0"/>
        <w:autoSpaceDE/>
        <w:autoSpaceDN/>
        <w:bidi w:val="0"/>
        <w:adjustRightInd/>
        <w:snapToGrid/>
        <w:spacing w:line="367"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承包人按</w:t>
      </w:r>
      <w:r>
        <w:rPr>
          <w:color w:val="auto"/>
          <w:sz w:val="20"/>
          <w:szCs w:val="20"/>
          <w:highlight w:val="none"/>
          <w:lang w:eastAsia="zh-CN"/>
        </w:rPr>
        <w:t xml:space="preserve">22. 2. </w:t>
      </w:r>
      <w:r>
        <w:rPr>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项暂停施工</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天后，发包人仍不纠正违约行为的，承包人可向发包人发出解除合同通知。但承包人的这一行动不免除发包人承担的违约责任，也不影响承包人根据合同约定享有的索赔权利。</w:t>
      </w:r>
    </w:p>
    <w:p w14:paraId="4B695F68">
      <w:pPr>
        <w:pStyle w:val="39"/>
        <w:spacing w:line="37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22.2.4</w:t>
      </w:r>
      <w:r>
        <w:rPr>
          <w:rFonts w:ascii="宋体" w:hAnsi="宋体" w:eastAsia="宋体" w:cs="宋体"/>
          <w:color w:val="auto"/>
          <w:sz w:val="20"/>
          <w:szCs w:val="20"/>
          <w:highlight w:val="none"/>
          <w:lang w:val="zh-CN" w:eastAsia="zh-CN" w:bidi="zh-CN"/>
        </w:rPr>
        <w:t>解除合同后的付款</w:t>
      </w:r>
    </w:p>
    <w:p w14:paraId="600FD9A3">
      <w:pPr>
        <w:pStyle w:val="39"/>
        <w:spacing w:line="374"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因发包人违约解除合同的，发包人应在解除合同后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天内向承包人支付下列金额，承包人应在此期限内及时向发包人提交要求支付下列金额的有关资料和凭证：</w:t>
      </w:r>
    </w:p>
    <w:p w14:paraId="6899A04D">
      <w:pPr>
        <w:pStyle w:val="39"/>
        <w:keepNext w:val="0"/>
        <w:keepLines w:val="0"/>
        <w:pageBreakBefore w:val="0"/>
        <w:widowControl w:val="0"/>
        <w:numPr>
          <w:ilvl w:val="0"/>
          <w:numId w:val="33"/>
        </w:numPr>
        <w:tabs>
          <w:tab w:val="left" w:pos="903"/>
        </w:tabs>
        <w:kinsoku/>
        <w:wordWrap/>
        <w:overflowPunct/>
        <w:topLinePunct w:val="0"/>
        <w:autoSpaceDE/>
        <w:autoSpaceDN/>
        <w:bidi w:val="0"/>
        <w:adjustRightInd/>
        <w:snapToGrid/>
        <w:spacing w:line="374"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合同解除日以前所完成工作的价款；</w:t>
      </w:r>
    </w:p>
    <w:p w14:paraId="002A5825">
      <w:pPr>
        <w:pStyle w:val="39"/>
        <w:keepNext w:val="0"/>
        <w:keepLines w:val="0"/>
        <w:pageBreakBefore w:val="0"/>
        <w:widowControl w:val="0"/>
        <w:numPr>
          <w:ilvl w:val="0"/>
          <w:numId w:val="33"/>
        </w:numPr>
        <w:tabs>
          <w:tab w:val="left" w:pos="920"/>
        </w:tabs>
        <w:kinsoku/>
        <w:wordWrap/>
        <w:overflowPunct/>
        <w:topLinePunct w:val="0"/>
        <w:autoSpaceDE/>
        <w:autoSpaceDN/>
        <w:bidi w:val="0"/>
        <w:adjustRightInd/>
        <w:snapToGrid/>
        <w:spacing w:line="365"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承包人为该工程施工订购并已付款的材料、工程设备和其他物品的金额。发包人付还后，该材料、工程设备和其他物品归发包人所有；</w:t>
      </w:r>
    </w:p>
    <w:p w14:paraId="5DD2082C">
      <w:pPr>
        <w:pStyle w:val="39"/>
        <w:keepNext w:val="0"/>
        <w:keepLines w:val="0"/>
        <w:pageBreakBefore w:val="0"/>
        <w:widowControl w:val="0"/>
        <w:numPr>
          <w:ilvl w:val="0"/>
          <w:numId w:val="33"/>
        </w:numPr>
        <w:tabs>
          <w:tab w:val="left" w:pos="903"/>
        </w:tabs>
        <w:kinsoku/>
        <w:wordWrap/>
        <w:overflowPunct/>
        <w:topLinePunct w:val="0"/>
        <w:autoSpaceDE/>
        <w:autoSpaceDN/>
        <w:bidi w:val="0"/>
        <w:adjustRightInd/>
        <w:snapToGrid/>
        <w:spacing w:line="365"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承包人为完成工程所发生的，而发包人未支付的金额；</w:t>
      </w:r>
    </w:p>
    <w:p w14:paraId="6CF8DAC4">
      <w:pPr>
        <w:pStyle w:val="39"/>
        <w:keepNext w:val="0"/>
        <w:keepLines w:val="0"/>
        <w:pageBreakBefore w:val="0"/>
        <w:widowControl w:val="0"/>
        <w:numPr>
          <w:ilvl w:val="0"/>
          <w:numId w:val="33"/>
        </w:numPr>
        <w:tabs>
          <w:tab w:val="left" w:pos="903"/>
        </w:tabs>
        <w:kinsoku/>
        <w:wordWrap/>
        <w:overflowPunct/>
        <w:topLinePunct w:val="0"/>
        <w:autoSpaceDE/>
        <w:autoSpaceDN/>
        <w:bidi w:val="0"/>
        <w:adjustRightInd/>
        <w:snapToGrid/>
        <w:spacing w:line="358"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承包人撤离施工场地以及遣散承包人人员的金额；</w:t>
      </w:r>
    </w:p>
    <w:p w14:paraId="3F8FCA92">
      <w:pPr>
        <w:pStyle w:val="39"/>
        <w:keepNext w:val="0"/>
        <w:keepLines w:val="0"/>
        <w:pageBreakBefore w:val="0"/>
        <w:widowControl w:val="0"/>
        <w:numPr>
          <w:ilvl w:val="0"/>
          <w:numId w:val="33"/>
        </w:numPr>
        <w:tabs>
          <w:tab w:val="left" w:pos="903"/>
        </w:tabs>
        <w:kinsoku/>
        <w:wordWrap/>
        <w:overflowPunct/>
        <w:topLinePunct w:val="0"/>
        <w:autoSpaceDE/>
        <w:autoSpaceDN/>
        <w:bidi w:val="0"/>
        <w:adjustRightInd/>
        <w:snapToGrid/>
        <w:spacing w:line="358"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由于解除合同应赔偿的承包人损失；</w:t>
      </w:r>
    </w:p>
    <w:p w14:paraId="7ABB82F9">
      <w:pPr>
        <w:pStyle w:val="39"/>
        <w:keepNext w:val="0"/>
        <w:keepLines w:val="0"/>
        <w:pageBreakBefore w:val="0"/>
        <w:widowControl w:val="0"/>
        <w:numPr>
          <w:ilvl w:val="0"/>
          <w:numId w:val="33"/>
        </w:numPr>
        <w:tabs>
          <w:tab w:val="left" w:pos="903"/>
        </w:tabs>
        <w:kinsoku/>
        <w:wordWrap/>
        <w:overflowPunct/>
        <w:topLinePunct w:val="0"/>
        <w:autoSpaceDE/>
        <w:autoSpaceDN/>
        <w:bidi w:val="0"/>
        <w:adjustRightInd/>
        <w:snapToGrid/>
        <w:spacing w:line="358" w:lineRule="exact"/>
        <w:ind w:firstLine="400" w:firstLineChars="200"/>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按合同约定在合同解除日前应支付给承包人的其他金额。</w:t>
      </w:r>
    </w:p>
    <w:p w14:paraId="3BC33B10">
      <w:pPr>
        <w:pStyle w:val="39"/>
        <w:spacing w:line="35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发包人应按本项约定支付上述金额并退还质量保证金和履约担保，但有权要求承包人支付应偿还给发包人的各项金额。</w:t>
      </w:r>
    </w:p>
    <w:p w14:paraId="6FB67D97">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22.2.5</w:t>
      </w:r>
      <w:r>
        <w:rPr>
          <w:rFonts w:ascii="宋体" w:hAnsi="宋体" w:eastAsia="宋体" w:cs="宋体"/>
          <w:color w:val="auto"/>
          <w:sz w:val="20"/>
          <w:szCs w:val="20"/>
          <w:highlight w:val="none"/>
          <w:lang w:val="zh-CN" w:eastAsia="zh-CN" w:bidi="zh-CN"/>
        </w:rPr>
        <w:t>解除合同后的承包人撤离</w:t>
      </w:r>
    </w:p>
    <w:p w14:paraId="208FF969">
      <w:pPr>
        <w:pStyle w:val="39"/>
        <w:spacing w:after="180" w:line="348"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因发包人违约而解除合同后，承包人应妥善做好已竣工工程和已购材料、设备的保护和移交工作，按发包人要求将承包人设备和人员撤出施工场地。承包人撤出施工场地应遵 守第</w:t>
      </w:r>
      <w:r>
        <w:rPr>
          <w:color w:val="auto"/>
          <w:sz w:val="20"/>
          <w:szCs w:val="20"/>
          <w:highlight w:val="none"/>
          <w:lang w:eastAsia="zh-CN"/>
        </w:rPr>
        <w:t xml:space="preserve">18. 7.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项的约定，发包人应为承包人撤出提供必要条件。</w:t>
      </w:r>
    </w:p>
    <w:p w14:paraId="1C83077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02" w:name="_Toc16309"/>
      <w:bookmarkStart w:id="503" w:name="_Toc14822"/>
      <w:r>
        <w:rPr>
          <w:rFonts w:ascii="宋体" w:hAnsi="宋体" w:eastAsia="宋体"/>
          <w:b/>
          <w:bCs/>
          <w:color w:val="auto"/>
          <w:sz w:val="24"/>
          <w:szCs w:val="24"/>
          <w:highlight w:val="none"/>
          <w:lang w:eastAsia="zh-CN"/>
        </w:rPr>
        <w:t>22.3第三人造成的违约</w:t>
      </w:r>
      <w:bookmarkEnd w:id="502"/>
      <w:bookmarkEnd w:id="503"/>
    </w:p>
    <w:p w14:paraId="7E042624">
      <w:pPr>
        <w:pStyle w:val="39"/>
        <w:spacing w:after="260" w:line="350"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在履行合同过程中，一方当事人因第三人的原因造成违约的，应当向对方当事人承担违约责任。一方当事人和第三人之间的纠纷，依照法律规定或者按照约定解决。</w:t>
      </w:r>
    </w:p>
    <w:p w14:paraId="69C30C94">
      <w:pPr>
        <w:pStyle w:val="39"/>
        <w:keepNext/>
        <w:keepLines/>
        <w:spacing w:before="280" w:after="290" w:line="372" w:lineRule="auto"/>
        <w:outlineLvl w:val="4"/>
        <w:rPr>
          <w:rFonts w:hint="eastAsia"/>
          <w:b/>
          <w:color w:val="auto"/>
          <w:sz w:val="30"/>
          <w:szCs w:val="30"/>
          <w:highlight w:val="none"/>
          <w:lang w:eastAsia="zh-CN"/>
        </w:rPr>
      </w:pPr>
      <w:bookmarkStart w:id="504" w:name="_Toc9738"/>
      <w:bookmarkStart w:id="505" w:name="_Toc8529"/>
      <w:r>
        <w:rPr>
          <w:rFonts w:hint="eastAsia"/>
          <w:b/>
          <w:color w:val="auto"/>
          <w:sz w:val="30"/>
          <w:szCs w:val="30"/>
          <w:highlight w:val="none"/>
          <w:lang w:eastAsia="zh-CN"/>
        </w:rPr>
        <w:t>23.索赔</w:t>
      </w:r>
      <w:bookmarkEnd w:id="504"/>
      <w:bookmarkEnd w:id="505"/>
    </w:p>
    <w:p w14:paraId="4ED686A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06" w:name="_Toc7242"/>
      <w:bookmarkStart w:id="507" w:name="_Toc10115"/>
      <w:r>
        <w:rPr>
          <w:rFonts w:ascii="宋体" w:hAnsi="宋体" w:eastAsia="宋体"/>
          <w:b/>
          <w:bCs/>
          <w:color w:val="auto"/>
          <w:sz w:val="24"/>
          <w:szCs w:val="24"/>
          <w:highlight w:val="none"/>
          <w:lang w:eastAsia="zh-CN"/>
        </w:rPr>
        <w:t>23.1承包人索赔的提出</w:t>
      </w:r>
      <w:bookmarkEnd w:id="506"/>
      <w:bookmarkEnd w:id="507"/>
    </w:p>
    <w:p w14:paraId="53D41921">
      <w:pPr>
        <w:pStyle w:val="39"/>
        <w:spacing w:line="362"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根据合同约定，承包人认为有权得到追加付款和(或)延长工期的，应按以下程序向发包人提出索赔：</w:t>
      </w:r>
    </w:p>
    <w:p w14:paraId="70DB32CB">
      <w:pPr>
        <w:pStyle w:val="39"/>
        <w:keepNext w:val="0"/>
        <w:keepLines w:val="0"/>
        <w:pageBreakBefore w:val="0"/>
        <w:widowControl w:val="0"/>
        <w:numPr>
          <w:ilvl w:val="0"/>
          <w:numId w:val="34"/>
        </w:numPr>
        <w:tabs>
          <w:tab w:val="left" w:pos="918"/>
        </w:tabs>
        <w:kinsoku/>
        <w:wordWrap/>
        <w:overflowPunct/>
        <w:topLinePunct w:val="0"/>
        <w:autoSpaceDE/>
        <w:autoSpaceDN/>
        <w:bidi w:val="0"/>
        <w:adjustRightInd/>
        <w:snapToGrid/>
        <w:spacing w:line="362"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承包人应在知道或应当知道索赔事件发生后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天内，向监理人递交索赔意向通知书，并说明发生索赔事件的事由。承包人未在前述</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天内发出索赔意向通知书的，丧失要求追加付款和(或)延长工期的权利；</w:t>
      </w:r>
    </w:p>
    <w:p w14:paraId="22071832">
      <w:pPr>
        <w:pStyle w:val="39"/>
        <w:keepNext w:val="0"/>
        <w:keepLines w:val="0"/>
        <w:pageBreakBefore w:val="0"/>
        <w:widowControl w:val="0"/>
        <w:numPr>
          <w:ilvl w:val="0"/>
          <w:numId w:val="34"/>
        </w:numPr>
        <w:tabs>
          <w:tab w:val="left" w:pos="918"/>
        </w:tabs>
        <w:kinsoku/>
        <w:wordWrap/>
        <w:overflowPunct/>
        <w:topLinePunct w:val="0"/>
        <w:autoSpaceDE/>
        <w:autoSpaceDN/>
        <w:bidi w:val="0"/>
        <w:adjustRightInd/>
        <w:snapToGrid/>
        <w:spacing w:line="354"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承包人应在发出索赔意向通知书后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天内，向监理人正式递交索赔通知书。索赔通知书应详细说明索赔理由以及要求追加的付款金额和(或)延长的工期，并附必要的记 录和证明材料；</w:t>
      </w:r>
    </w:p>
    <w:p w14:paraId="0B22424B">
      <w:pPr>
        <w:pStyle w:val="39"/>
        <w:keepNext w:val="0"/>
        <w:keepLines w:val="0"/>
        <w:pageBreakBefore w:val="0"/>
        <w:widowControl w:val="0"/>
        <w:numPr>
          <w:ilvl w:val="0"/>
          <w:numId w:val="34"/>
        </w:numPr>
        <w:tabs>
          <w:tab w:val="left" w:pos="903"/>
        </w:tabs>
        <w:kinsoku/>
        <w:wordWrap/>
        <w:overflowPunct/>
        <w:topLinePunct w:val="0"/>
        <w:autoSpaceDE/>
        <w:autoSpaceDN/>
        <w:bidi w:val="0"/>
        <w:adjustRightInd/>
        <w:snapToGrid/>
        <w:spacing w:line="354"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索赔事件具有连续影响的，承包人应按合理时间间隔继续递交延续索赔通知，说明连续影响的实际情况和记录，列出累计的追加付款金额和(或)工期延长天数；</w:t>
      </w:r>
    </w:p>
    <w:p w14:paraId="2E4B845A">
      <w:pPr>
        <w:pStyle w:val="39"/>
        <w:keepNext w:val="0"/>
        <w:keepLines w:val="0"/>
        <w:pageBreakBefore w:val="0"/>
        <w:widowControl w:val="0"/>
        <w:numPr>
          <w:ilvl w:val="0"/>
          <w:numId w:val="34"/>
        </w:numPr>
        <w:tabs>
          <w:tab w:val="left" w:pos="920"/>
        </w:tabs>
        <w:kinsoku/>
        <w:wordWrap/>
        <w:overflowPunct/>
        <w:topLinePunct w:val="0"/>
        <w:autoSpaceDE/>
        <w:autoSpaceDN/>
        <w:bidi w:val="0"/>
        <w:adjustRightInd/>
        <w:snapToGrid/>
        <w:spacing w:after="120" w:line="367"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在索赔事件影响结束后的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天内，承包人应向监理人递交最终索赔通知书，说明最终要求索赔的追加付款金额和延长的工期，并附必要的记录和证明材料。</w:t>
      </w:r>
    </w:p>
    <w:p w14:paraId="0A584E0A">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08" w:name="_Toc18655"/>
      <w:bookmarkStart w:id="509" w:name="_Toc1952"/>
      <w:r>
        <w:rPr>
          <w:rFonts w:ascii="宋体" w:hAnsi="宋体" w:eastAsia="宋体"/>
          <w:b/>
          <w:bCs/>
          <w:color w:val="auto"/>
          <w:sz w:val="24"/>
          <w:szCs w:val="24"/>
          <w:highlight w:val="none"/>
          <w:lang w:eastAsia="zh-CN"/>
        </w:rPr>
        <w:t>23.2承包人索赔处理程序</w:t>
      </w:r>
      <w:bookmarkEnd w:id="508"/>
      <w:bookmarkEnd w:id="509"/>
    </w:p>
    <w:p w14:paraId="1E729D4D">
      <w:pPr>
        <w:pStyle w:val="39"/>
        <w:keepNext w:val="0"/>
        <w:keepLines w:val="0"/>
        <w:pageBreakBefore w:val="0"/>
        <w:widowControl w:val="0"/>
        <w:numPr>
          <w:ilvl w:val="0"/>
          <w:numId w:val="35"/>
        </w:numPr>
        <w:tabs>
          <w:tab w:val="left" w:pos="922"/>
        </w:tabs>
        <w:kinsoku/>
        <w:wordWrap/>
        <w:overflowPunct/>
        <w:topLinePunct w:val="0"/>
        <w:autoSpaceDE/>
        <w:autoSpaceDN/>
        <w:bidi w:val="0"/>
        <w:adjustRightInd/>
        <w:snapToGrid/>
        <w:spacing w:line="348"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监理人收到承包人提交的索赔通知书后，应及时审查索赔通知书的内容、查验承包人的记录和证明材料，必要时监理人可要求承包人提交全部原始记录副本。</w:t>
      </w:r>
    </w:p>
    <w:p w14:paraId="08BC8BF8">
      <w:pPr>
        <w:pStyle w:val="39"/>
        <w:keepNext w:val="0"/>
        <w:keepLines w:val="0"/>
        <w:pageBreakBefore w:val="0"/>
        <w:widowControl w:val="0"/>
        <w:numPr>
          <w:ilvl w:val="0"/>
          <w:numId w:val="35"/>
        </w:numPr>
        <w:tabs>
          <w:tab w:val="left" w:pos="918"/>
        </w:tabs>
        <w:kinsoku/>
        <w:wordWrap/>
        <w:overflowPunct/>
        <w:topLinePunct w:val="0"/>
        <w:autoSpaceDE/>
        <w:autoSpaceDN/>
        <w:bidi w:val="0"/>
        <w:adjustRightInd/>
        <w:snapToGrid/>
        <w:spacing w:line="361"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监理人应按第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款商定或确定追加的付款和(或)延长的工期，并在收到上述索赔通知书或有关索赔的进一步证明材料后的</w:t>
      </w:r>
      <w:r>
        <w:rPr>
          <w:color w:val="auto"/>
          <w:sz w:val="20"/>
          <w:szCs w:val="20"/>
          <w:highlight w:val="none"/>
          <w:lang w:val="zh-CN" w:eastAsia="zh-CN" w:bidi="zh-CN"/>
        </w:rPr>
        <w:t>42</w:t>
      </w:r>
      <w:r>
        <w:rPr>
          <w:rFonts w:ascii="宋体" w:hAnsi="宋体" w:eastAsia="宋体" w:cs="宋体"/>
          <w:color w:val="auto"/>
          <w:sz w:val="20"/>
          <w:szCs w:val="20"/>
          <w:highlight w:val="none"/>
          <w:lang w:val="zh-CN" w:eastAsia="zh-CN" w:bidi="zh-CN"/>
        </w:rPr>
        <w:t>天内，将索赔处理结果答复承包人。</w:t>
      </w:r>
    </w:p>
    <w:p w14:paraId="04B7534D">
      <w:pPr>
        <w:pStyle w:val="39"/>
        <w:keepNext w:val="0"/>
        <w:keepLines w:val="0"/>
        <w:pageBreakBefore w:val="0"/>
        <w:widowControl w:val="0"/>
        <w:numPr>
          <w:ilvl w:val="0"/>
          <w:numId w:val="35"/>
        </w:numPr>
        <w:tabs>
          <w:tab w:val="left" w:pos="920"/>
        </w:tabs>
        <w:kinsoku/>
        <w:wordWrap/>
        <w:overflowPunct/>
        <w:topLinePunct w:val="0"/>
        <w:autoSpaceDE/>
        <w:autoSpaceDN/>
        <w:bidi w:val="0"/>
        <w:adjustRightInd/>
        <w:snapToGrid/>
        <w:spacing w:after="120" w:line="361" w:lineRule="exact"/>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承包人接受索赔处理结果的，发包人应在作出索赔处理结果答复后</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天内完成赔付。承包人不接受索赔处理结果的，按第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条的约定办理。</w:t>
      </w:r>
    </w:p>
    <w:p w14:paraId="55D5B3D0">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10" w:name="_Toc29661"/>
      <w:bookmarkStart w:id="511" w:name="_Toc5904"/>
      <w:r>
        <w:rPr>
          <w:rFonts w:ascii="宋体" w:hAnsi="宋体" w:eastAsia="宋体"/>
          <w:b/>
          <w:bCs/>
          <w:color w:val="auto"/>
          <w:sz w:val="24"/>
          <w:szCs w:val="24"/>
          <w:highlight w:val="none"/>
          <w:lang w:eastAsia="zh-CN"/>
        </w:rPr>
        <w:t>23.3承包人提出索赔的期限</w:t>
      </w:r>
      <w:bookmarkEnd w:id="510"/>
      <w:bookmarkEnd w:id="511"/>
    </w:p>
    <w:p w14:paraId="1721B10E">
      <w:pPr>
        <w:pStyle w:val="39"/>
        <w:spacing w:after="120" w:line="37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23.3.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承包人按第</w:t>
      </w:r>
      <w:r>
        <w:rPr>
          <w:color w:val="auto"/>
          <w:sz w:val="20"/>
          <w:szCs w:val="20"/>
          <w:highlight w:val="none"/>
          <w:lang w:eastAsia="zh-CN"/>
        </w:rPr>
        <w:t xml:space="preserve">17.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款的约定接受了完工付款证书后，应被认为已无权再提出在合同工程完工证书颁发前所发生的任何索赔。</w:t>
      </w:r>
    </w:p>
    <w:p w14:paraId="3D02B89A">
      <w:pPr>
        <w:pStyle w:val="39"/>
        <w:spacing w:after="120" w:line="372"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23.3.2</w:t>
      </w:r>
      <w:r>
        <w:rPr>
          <w:rFonts w:ascii="宋体" w:hAnsi="宋体" w:eastAsia="宋体" w:cs="宋体"/>
          <w:color w:val="auto"/>
          <w:sz w:val="20"/>
          <w:szCs w:val="20"/>
          <w:highlight w:val="none"/>
          <w:lang w:val="zh-CN" w:eastAsia="zh-CN" w:bidi="zh-CN"/>
        </w:rPr>
        <w:t>承包人按第</w:t>
      </w:r>
      <w:r>
        <w:rPr>
          <w:color w:val="auto"/>
          <w:sz w:val="20"/>
          <w:szCs w:val="20"/>
          <w:highlight w:val="none"/>
          <w:lang w:eastAsia="zh-CN"/>
        </w:rPr>
        <w:t xml:space="preserve">17. </w:t>
      </w:r>
      <w:r>
        <w:rPr>
          <w:color w:val="auto"/>
          <w:sz w:val="20"/>
          <w:szCs w:val="20"/>
          <w:highlight w:val="none"/>
          <w:lang w:val="zh-CN" w:eastAsia="zh-CN" w:bidi="zh-CN"/>
        </w:rPr>
        <w:t>6</w:t>
      </w:r>
      <w:r>
        <w:rPr>
          <w:rFonts w:ascii="宋体" w:hAnsi="宋体" w:eastAsia="宋体" w:cs="宋体"/>
          <w:color w:val="auto"/>
          <w:sz w:val="20"/>
          <w:szCs w:val="20"/>
          <w:highlight w:val="none"/>
          <w:lang w:val="zh-CN" w:eastAsia="zh-CN" w:bidi="zh-CN"/>
        </w:rPr>
        <w:t>款的约定提交的最终结清申请单中，只限于提出合同工程完工证书颁发后发生的索赔。提出索赔的期限自接受最终结清证书时终止。</w:t>
      </w:r>
    </w:p>
    <w:p w14:paraId="7E2B9041">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12" w:name="_Toc27487"/>
      <w:bookmarkStart w:id="513" w:name="_Toc6870"/>
      <w:r>
        <w:rPr>
          <w:rFonts w:ascii="宋体" w:hAnsi="宋体" w:eastAsia="宋体"/>
          <w:b/>
          <w:bCs/>
          <w:color w:val="auto"/>
          <w:sz w:val="24"/>
          <w:szCs w:val="24"/>
          <w:highlight w:val="none"/>
          <w:lang w:eastAsia="zh-CN"/>
        </w:rPr>
        <w:t>23.4发包人的索赔</w:t>
      </w:r>
      <w:bookmarkEnd w:id="512"/>
      <w:bookmarkEnd w:id="513"/>
    </w:p>
    <w:p w14:paraId="0D1B45A3">
      <w:pPr>
        <w:pStyle w:val="39"/>
        <w:spacing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23.4.1</w:t>
      </w:r>
      <w:r>
        <w:rPr>
          <w:rFonts w:ascii="宋体" w:hAnsi="宋体" w:eastAsia="宋体" w:cs="宋体"/>
          <w:color w:val="auto"/>
          <w:sz w:val="20"/>
          <w:szCs w:val="20"/>
          <w:highlight w:val="none"/>
          <w:lang w:val="zh-CN" w:eastAsia="zh-CN" w:bidi="zh-CN"/>
        </w:rPr>
        <w:t>发生索赔事件后，监理人应及时书面通知承包人，详细说明发包人有权得到的索赔金额和(或)延长缺陷责任期的细节和依据。发包人提出索赔的期限和要求与第</w:t>
      </w:r>
      <w:r>
        <w:rPr>
          <w:rFonts w:hint="eastAsia" w:ascii="宋体" w:hAnsi="宋体" w:eastAsia="宋体" w:cs="宋体"/>
          <w:color w:val="auto"/>
          <w:sz w:val="20"/>
          <w:szCs w:val="20"/>
          <w:highlight w:val="none"/>
          <w:lang w:eastAsia="zh-CN" w:bidi="zh-CN"/>
        </w:rPr>
        <w:t>23.</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款的约定相同，延长缺陷责任期的通知应在缺陷责任期届满前发出。</w:t>
      </w:r>
    </w:p>
    <w:p w14:paraId="096E72D5">
      <w:pPr>
        <w:pStyle w:val="39"/>
        <w:spacing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23.4.2</w:t>
      </w:r>
      <w:r>
        <w:rPr>
          <w:rFonts w:ascii="宋体" w:hAnsi="宋体" w:eastAsia="宋体" w:cs="宋体"/>
          <w:color w:val="auto"/>
          <w:sz w:val="20"/>
          <w:szCs w:val="20"/>
          <w:highlight w:val="none"/>
          <w:lang w:val="zh-CN" w:eastAsia="zh-CN" w:bidi="zh-CN"/>
        </w:rPr>
        <w:t>监理人按第</w:t>
      </w:r>
      <w:r>
        <w:rPr>
          <w:color w:val="auto"/>
          <w:sz w:val="20"/>
          <w:szCs w:val="20"/>
          <w:highlight w:val="none"/>
          <w:lang w:eastAsia="zh-CN"/>
        </w:rPr>
        <w:t xml:space="preserve">3. </w:t>
      </w:r>
      <w:r>
        <w:rPr>
          <w:color w:val="auto"/>
          <w:sz w:val="20"/>
          <w:szCs w:val="20"/>
          <w:highlight w:val="none"/>
          <w:lang w:val="zh-CN" w:eastAsia="zh-CN" w:bidi="zh-CN"/>
        </w:rPr>
        <w:t>5</w:t>
      </w:r>
      <w:r>
        <w:rPr>
          <w:rFonts w:ascii="宋体" w:hAnsi="宋体" w:eastAsia="宋体" w:cs="宋体"/>
          <w:color w:val="auto"/>
          <w:sz w:val="20"/>
          <w:szCs w:val="20"/>
          <w:highlight w:val="none"/>
          <w:lang w:val="zh-CN" w:eastAsia="zh-CN" w:bidi="zh-CN"/>
        </w:rPr>
        <w:t>款商定或确定发包人从承包人处得到赔付的金额和(或)缺陷责任期的延长期。承包人应付给发包人的金额可从拟支付给承包人的合同价款中扣除, 或由承包人以其他方式支付给发包人。</w:t>
      </w:r>
    </w:p>
    <w:p w14:paraId="53245D7B">
      <w:pPr>
        <w:pStyle w:val="39"/>
        <w:spacing w:after="260" w:line="35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 xml:space="preserve">23. 4. </w:t>
      </w:r>
      <w:r>
        <w:rPr>
          <w:color w:val="auto"/>
          <w:sz w:val="20"/>
          <w:szCs w:val="20"/>
          <w:highlight w:val="none"/>
          <w:lang w:val="zh-CN" w:eastAsia="zh-CN" w:bidi="zh-CN"/>
        </w:rPr>
        <w:t>3</w:t>
      </w:r>
      <w:r>
        <w:rPr>
          <w:rFonts w:ascii="宋体" w:hAnsi="宋体" w:eastAsia="宋体" w:cs="宋体"/>
          <w:color w:val="auto"/>
          <w:sz w:val="20"/>
          <w:szCs w:val="20"/>
          <w:highlight w:val="none"/>
          <w:lang w:val="zh-CN" w:eastAsia="zh-CN" w:bidi="zh-CN"/>
        </w:rPr>
        <w:t>承包人对监理人按第</w:t>
      </w:r>
      <w:r>
        <w:rPr>
          <w:color w:val="auto"/>
          <w:sz w:val="20"/>
          <w:szCs w:val="20"/>
          <w:highlight w:val="none"/>
          <w:lang w:eastAsia="zh-CN"/>
        </w:rPr>
        <w:t xml:space="preserve">23.4. </w:t>
      </w:r>
      <w:r>
        <w:rPr>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项发出的索赔书面通知内容持异议时，应在收到书面通知后的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天内，将持有异议的书面报告及其证明材料提交监理人。监理人应在收到 承包人书面报告后的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天内，将异议的处理意见通知承包人，并按第</w:t>
      </w:r>
      <w:r>
        <w:rPr>
          <w:color w:val="auto"/>
          <w:sz w:val="20"/>
          <w:szCs w:val="20"/>
          <w:highlight w:val="none"/>
          <w:lang w:eastAsia="zh-CN"/>
        </w:rPr>
        <w:t>23.4.2</w:t>
      </w:r>
      <w:r>
        <w:rPr>
          <w:rFonts w:ascii="宋体" w:hAnsi="宋体" w:eastAsia="宋体" w:cs="宋体"/>
          <w:color w:val="auto"/>
          <w:sz w:val="20"/>
          <w:szCs w:val="20"/>
          <w:highlight w:val="none"/>
          <w:lang w:val="zh-CN" w:eastAsia="zh-CN" w:bidi="zh-CN"/>
        </w:rPr>
        <w:t>项的约定执 行赔付。若承包人不接受监理人的索赔处理意见，可按本合同第</w:t>
      </w:r>
      <w:r>
        <w:rPr>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条的规定办理。</w:t>
      </w:r>
    </w:p>
    <w:p w14:paraId="15785F0C">
      <w:pPr>
        <w:pStyle w:val="39"/>
        <w:keepNext/>
        <w:keepLines/>
        <w:spacing w:before="280" w:after="290" w:line="372" w:lineRule="auto"/>
        <w:outlineLvl w:val="4"/>
        <w:rPr>
          <w:rFonts w:hint="eastAsia"/>
          <w:b/>
          <w:color w:val="auto"/>
          <w:sz w:val="30"/>
          <w:szCs w:val="30"/>
          <w:highlight w:val="none"/>
          <w:lang w:eastAsia="zh-CN"/>
        </w:rPr>
      </w:pPr>
      <w:bookmarkStart w:id="514" w:name="_Toc16825"/>
      <w:bookmarkStart w:id="515" w:name="_Toc28303"/>
      <w:r>
        <w:rPr>
          <w:rFonts w:hint="eastAsia"/>
          <w:b/>
          <w:color w:val="auto"/>
          <w:sz w:val="30"/>
          <w:szCs w:val="30"/>
          <w:highlight w:val="none"/>
          <w:lang w:eastAsia="zh-CN"/>
        </w:rPr>
        <w:t>24.争议的解决</w:t>
      </w:r>
      <w:bookmarkEnd w:id="514"/>
      <w:bookmarkEnd w:id="515"/>
    </w:p>
    <w:p w14:paraId="173BE47E">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16" w:name="_Toc13932"/>
      <w:r>
        <w:rPr>
          <w:rFonts w:ascii="宋体" w:hAnsi="宋体" w:eastAsia="宋体"/>
          <w:b/>
          <w:bCs/>
          <w:color w:val="auto"/>
          <w:sz w:val="24"/>
          <w:szCs w:val="24"/>
          <w:highlight w:val="none"/>
          <w:lang w:eastAsia="zh-CN"/>
        </w:rPr>
        <w:t>24.1争议的解决方式</w:t>
      </w:r>
      <w:bookmarkEnd w:id="516"/>
    </w:p>
    <w:p w14:paraId="6897710C">
      <w:pPr>
        <w:pStyle w:val="39"/>
        <w:spacing w:after="80" w:line="362"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8237E57">
      <w:pPr>
        <w:pStyle w:val="39"/>
        <w:keepNext w:val="0"/>
        <w:keepLines w:val="0"/>
        <w:pageBreakBefore w:val="0"/>
        <w:widowControl w:val="0"/>
        <w:numPr>
          <w:ilvl w:val="0"/>
          <w:numId w:val="36"/>
        </w:numPr>
        <w:tabs>
          <w:tab w:val="left" w:pos="901"/>
        </w:tabs>
        <w:kinsoku/>
        <w:wordWrap/>
        <w:overflowPunct/>
        <w:topLinePunct w:val="0"/>
        <w:autoSpaceDE/>
        <w:autoSpaceDN/>
        <w:bidi w:val="0"/>
        <w:adjustRightInd/>
        <w:snapToGrid/>
        <w:spacing w:line="382"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向约定的仲裁委员会申请仲裁；</w:t>
      </w:r>
    </w:p>
    <w:p w14:paraId="1C15857E">
      <w:pPr>
        <w:pStyle w:val="39"/>
        <w:keepNext w:val="0"/>
        <w:keepLines w:val="0"/>
        <w:pageBreakBefore w:val="0"/>
        <w:widowControl w:val="0"/>
        <w:numPr>
          <w:ilvl w:val="0"/>
          <w:numId w:val="36"/>
        </w:numPr>
        <w:tabs>
          <w:tab w:val="left" w:pos="901"/>
        </w:tabs>
        <w:kinsoku/>
        <w:wordWrap/>
        <w:overflowPunct/>
        <w:topLinePunct w:val="0"/>
        <w:autoSpaceDE/>
        <w:autoSpaceDN/>
        <w:bidi w:val="0"/>
        <w:adjustRightInd/>
        <w:snapToGrid/>
        <w:spacing w:line="379" w:lineRule="auto"/>
        <w:ind w:firstLine="400" w:firstLineChars="200"/>
        <w:jc w:val="both"/>
        <w:textAlignment w:val="auto"/>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向有管辖权的人民法院提起诉讼。</w:t>
      </w:r>
    </w:p>
    <w:p w14:paraId="7939A753">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17" w:name="_Toc26486"/>
      <w:bookmarkStart w:id="518" w:name="_Toc32491"/>
      <w:r>
        <w:rPr>
          <w:rFonts w:ascii="宋体" w:hAnsi="宋体" w:eastAsia="宋体"/>
          <w:b/>
          <w:bCs/>
          <w:color w:val="auto"/>
          <w:sz w:val="24"/>
          <w:szCs w:val="24"/>
          <w:highlight w:val="none"/>
          <w:lang w:eastAsia="zh-CN"/>
        </w:rPr>
        <w:t>24.2友好解决</w:t>
      </w:r>
      <w:bookmarkEnd w:id="517"/>
      <w:bookmarkEnd w:id="518"/>
    </w:p>
    <w:p w14:paraId="612676EE">
      <w:pPr>
        <w:pStyle w:val="39"/>
        <w:spacing w:after="140" w:line="346" w:lineRule="exact"/>
        <w:ind w:firstLine="4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在提请争议评审、仲裁或者诉讼前，以及在争议评审、仲裁或诉讼过程中，发包人和承包人均可共同努力友好协商解决争议。</w:t>
      </w:r>
    </w:p>
    <w:p w14:paraId="1A216E1E">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19" w:name="_Toc18842"/>
      <w:bookmarkStart w:id="520" w:name="_Toc23760"/>
      <w:r>
        <w:rPr>
          <w:rFonts w:ascii="宋体" w:hAnsi="宋体" w:eastAsia="宋体"/>
          <w:b/>
          <w:bCs/>
          <w:color w:val="auto"/>
          <w:sz w:val="24"/>
          <w:szCs w:val="24"/>
          <w:highlight w:val="none"/>
          <w:lang w:eastAsia="zh-CN"/>
        </w:rPr>
        <w:t>24.3争议评审</w:t>
      </w:r>
      <w:bookmarkEnd w:id="519"/>
      <w:bookmarkEnd w:id="520"/>
    </w:p>
    <w:p w14:paraId="4D95D595">
      <w:pPr>
        <w:pStyle w:val="39"/>
        <w:spacing w:line="37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24.3.1</w:t>
      </w:r>
      <w:r>
        <w:rPr>
          <w:rFonts w:ascii="宋体" w:hAnsi="宋体" w:eastAsia="宋体" w:cs="宋体"/>
          <w:color w:val="auto"/>
          <w:sz w:val="20"/>
          <w:szCs w:val="20"/>
          <w:highlight w:val="none"/>
          <w:lang w:val="zh-CN" w:eastAsia="zh-CN" w:bidi="zh-CN"/>
        </w:rPr>
        <w:t>采用争议评审的，发包人和承包人应在开工日后的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天内或在争议发生后, 协商成立争议评审组。争议评审组由有合同管理和工程实践经验的专家组成。</w:t>
      </w:r>
    </w:p>
    <w:p w14:paraId="48683E07">
      <w:pPr>
        <w:pStyle w:val="39"/>
        <w:spacing w:line="358"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24.3.2</w:t>
      </w:r>
      <w:r>
        <w:rPr>
          <w:rFonts w:ascii="宋体" w:hAnsi="宋体" w:eastAsia="宋体" w:cs="宋体"/>
          <w:color w:val="auto"/>
          <w:sz w:val="20"/>
          <w:szCs w:val="20"/>
          <w:highlight w:val="none"/>
          <w:lang w:val="zh-CN" w:eastAsia="zh-CN" w:bidi="zh-CN"/>
        </w:rPr>
        <w:t>合同双方的争议，应首先由申请人向争议评审组提交一份详细的评审申请报告，并附必要的文件、图纸和证明材料，申请人还应将上述报告的副本同时提交给被申请人和监理人。</w:t>
      </w:r>
    </w:p>
    <w:p w14:paraId="3F34081D">
      <w:pPr>
        <w:pStyle w:val="39"/>
        <w:spacing w:line="37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24.3.3</w:t>
      </w:r>
      <w:r>
        <w:rPr>
          <w:rFonts w:ascii="宋体" w:hAnsi="宋体" w:eastAsia="宋体" w:cs="宋体"/>
          <w:color w:val="auto"/>
          <w:sz w:val="20"/>
          <w:szCs w:val="20"/>
          <w:highlight w:val="none"/>
          <w:lang w:val="zh-CN" w:eastAsia="zh-CN" w:bidi="zh-CN"/>
        </w:rPr>
        <w:t>被申请人在收到申请人评审申请报告副本后的</w:t>
      </w:r>
      <w:r>
        <w:rPr>
          <w:color w:val="auto"/>
          <w:sz w:val="20"/>
          <w:szCs w:val="20"/>
          <w:highlight w:val="none"/>
          <w:lang w:val="zh-CN" w:eastAsia="zh-CN" w:bidi="zh-CN"/>
        </w:rPr>
        <w:t>28</w:t>
      </w:r>
      <w:r>
        <w:rPr>
          <w:rFonts w:ascii="宋体" w:hAnsi="宋体" w:eastAsia="宋体" w:cs="宋体"/>
          <w:color w:val="auto"/>
          <w:sz w:val="20"/>
          <w:szCs w:val="20"/>
          <w:highlight w:val="none"/>
          <w:lang w:val="zh-CN" w:eastAsia="zh-CN" w:bidi="zh-CN"/>
        </w:rPr>
        <w:t>天内，向争议评审组提交一份答辩报告，并附证明材料。被申请人应将答辩报告的副本同时提交给申请人和监理人。</w:t>
      </w:r>
    </w:p>
    <w:p w14:paraId="6726CBE5">
      <w:pPr>
        <w:pStyle w:val="39"/>
        <w:spacing w:line="364"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24.3.4</w:t>
      </w:r>
      <w:r>
        <w:rPr>
          <w:rFonts w:ascii="宋体" w:hAnsi="宋体" w:eastAsia="宋体" w:cs="宋体"/>
          <w:color w:val="auto"/>
          <w:sz w:val="20"/>
          <w:szCs w:val="20"/>
          <w:highlight w:val="none"/>
          <w:lang w:val="zh-CN" w:eastAsia="zh-CN" w:bidi="zh-CN"/>
        </w:rPr>
        <w:t>除专用合同条款另有约定外，争议评审组在收到合同双方报告后的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 邀请双方代表和有关人员举行调查会，向双方调查争议细节；必要时争议评审组可要求双方进一步提供补充材料。</w:t>
      </w:r>
    </w:p>
    <w:p w14:paraId="6BE664E9">
      <w:pPr>
        <w:pStyle w:val="39"/>
        <w:spacing w:line="364" w:lineRule="exact"/>
        <w:ind w:firstLine="440"/>
        <w:jc w:val="both"/>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24.</w:t>
      </w:r>
      <w:r>
        <w:rPr>
          <w:rFonts w:ascii="宋体" w:hAnsi="宋体" w:eastAsia="宋体" w:cs="宋体"/>
          <w:color w:val="auto"/>
          <w:sz w:val="20"/>
          <w:szCs w:val="20"/>
          <w:highlight w:val="none"/>
          <w:lang w:val="zh-CN" w:eastAsia="zh-CN" w:bidi="zh-CN"/>
        </w:rPr>
        <w:t>3. 5除专用合同条款另有约定外，在调查会结束后的14天内，争议评审组应在不受任何干扰的情况下进行独立、公正的评审，作出书面评审意见，并说明理由。在争议评审期间，争议双方暂按总监理工程师的确定执行。</w:t>
      </w:r>
    </w:p>
    <w:p w14:paraId="77DB6C68">
      <w:pPr>
        <w:pStyle w:val="39"/>
        <w:spacing w:line="365"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24.3.6</w:t>
      </w:r>
      <w:r>
        <w:rPr>
          <w:rFonts w:ascii="宋体" w:hAnsi="宋体" w:eastAsia="宋体" w:cs="宋体"/>
          <w:color w:val="auto"/>
          <w:sz w:val="20"/>
          <w:szCs w:val="20"/>
          <w:highlight w:val="none"/>
          <w:lang w:val="zh-CN" w:eastAsia="zh-CN" w:bidi="zh-CN"/>
        </w:rPr>
        <w:t>发包人和承包人接受评审意见的，由监理人根据评审意见拟定执行协议，经争议双方签字后作为合同的补充文件，并遵照执行。</w:t>
      </w:r>
    </w:p>
    <w:p w14:paraId="28813B4E">
      <w:pPr>
        <w:pStyle w:val="39"/>
        <w:spacing w:after="140" w:line="359"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24.3.7</w:t>
      </w:r>
      <w:r>
        <w:rPr>
          <w:rFonts w:ascii="宋体" w:hAnsi="宋体" w:eastAsia="宋体" w:cs="宋体"/>
          <w:color w:val="auto"/>
          <w:sz w:val="20"/>
          <w:szCs w:val="20"/>
          <w:highlight w:val="none"/>
          <w:lang w:val="zh-CN" w:eastAsia="zh-CN" w:bidi="zh-CN"/>
        </w:rPr>
        <w:t>发包人或承包人不接受评审意见，并要求提交仲裁或提起诉讼的，应在收到评审意见后的</w:t>
      </w:r>
      <w:r>
        <w:rPr>
          <w:color w:val="auto"/>
          <w:sz w:val="20"/>
          <w:szCs w:val="20"/>
          <w:highlight w:val="none"/>
          <w:lang w:val="zh-CN" w:eastAsia="zh-CN" w:bidi="zh-CN"/>
        </w:rPr>
        <w:t>14</w:t>
      </w:r>
      <w:r>
        <w:rPr>
          <w:rFonts w:ascii="宋体" w:hAnsi="宋体" w:eastAsia="宋体" w:cs="宋体"/>
          <w:color w:val="auto"/>
          <w:sz w:val="20"/>
          <w:szCs w:val="20"/>
          <w:highlight w:val="none"/>
          <w:lang w:val="zh-CN" w:eastAsia="zh-CN" w:bidi="zh-CN"/>
        </w:rPr>
        <w:t>天内将仲裁或起诉意向书面通知另一方，并抄送监理人，但在仲裁或诉讼结束前应暂按总监理工程师的确定执行。</w:t>
      </w:r>
    </w:p>
    <w:p w14:paraId="01175966">
      <w:pPr>
        <w:pStyle w:val="39"/>
        <w:keepNext/>
        <w:keepLines/>
        <w:spacing w:before="240" w:after="64" w:line="317" w:lineRule="auto"/>
        <w:outlineLvl w:val="5"/>
        <w:rPr>
          <w:rFonts w:ascii="宋体" w:hAnsi="宋体" w:eastAsia="宋体"/>
          <w:b/>
          <w:bCs/>
          <w:color w:val="auto"/>
          <w:sz w:val="24"/>
          <w:szCs w:val="24"/>
          <w:highlight w:val="none"/>
          <w:lang w:eastAsia="zh-CN"/>
        </w:rPr>
      </w:pPr>
      <w:bookmarkStart w:id="521" w:name="_Toc448"/>
      <w:bookmarkStart w:id="522" w:name="_Toc12215"/>
      <w:r>
        <w:rPr>
          <w:rFonts w:ascii="宋体" w:hAnsi="宋体" w:eastAsia="宋体"/>
          <w:b/>
          <w:bCs/>
          <w:color w:val="auto"/>
          <w:sz w:val="24"/>
          <w:szCs w:val="24"/>
          <w:highlight w:val="none"/>
          <w:lang w:eastAsia="zh-CN"/>
        </w:rPr>
        <w:t>24.4仲裁</w:t>
      </w:r>
      <w:bookmarkEnd w:id="521"/>
      <w:bookmarkEnd w:id="522"/>
    </w:p>
    <w:p w14:paraId="5C3AFA02">
      <w:pPr>
        <w:pStyle w:val="39"/>
        <w:spacing w:line="384" w:lineRule="auto"/>
        <w:ind w:firstLine="42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24.4.1</w:t>
      </w:r>
      <w:r>
        <w:rPr>
          <w:rFonts w:ascii="宋体" w:hAnsi="宋体" w:eastAsia="宋体" w:cs="宋体"/>
          <w:color w:val="auto"/>
          <w:sz w:val="20"/>
          <w:szCs w:val="20"/>
          <w:highlight w:val="none"/>
          <w:lang w:val="zh-CN" w:eastAsia="zh-CN" w:bidi="zh-CN"/>
        </w:rPr>
        <w:t>若合同双方商定直接向仲裁机构申请仲裁，应签订仲裁协议并约定仲裁机构。</w:t>
      </w:r>
    </w:p>
    <w:p w14:paraId="3E1A33D9">
      <w:pPr>
        <w:pStyle w:val="39"/>
        <w:spacing w:after="140" w:line="367" w:lineRule="exact"/>
        <w:ind w:firstLine="440"/>
        <w:jc w:val="both"/>
        <w:rPr>
          <w:rFonts w:ascii="宋体" w:hAnsi="宋体" w:eastAsia="宋体" w:cs="宋体"/>
          <w:color w:val="auto"/>
          <w:sz w:val="20"/>
          <w:szCs w:val="20"/>
          <w:highlight w:val="none"/>
          <w:lang w:val="zh-CN" w:eastAsia="zh-CN" w:bidi="zh-CN"/>
        </w:rPr>
      </w:pPr>
      <w:r>
        <w:rPr>
          <w:color w:val="auto"/>
          <w:sz w:val="20"/>
          <w:szCs w:val="20"/>
          <w:highlight w:val="none"/>
          <w:lang w:eastAsia="zh-CN"/>
        </w:rPr>
        <w:t>24.4.2</w:t>
      </w:r>
      <w:r>
        <w:rPr>
          <w:rFonts w:ascii="宋体" w:hAnsi="宋体" w:eastAsia="宋体" w:cs="宋体"/>
          <w:color w:val="auto"/>
          <w:sz w:val="20"/>
          <w:szCs w:val="20"/>
          <w:highlight w:val="none"/>
          <w:lang w:val="zh-CN" w:eastAsia="zh-CN" w:bidi="zh-CN"/>
        </w:rPr>
        <w:t>若合同双方未能达成仲裁协议，则本合同的仲裁条款无效，任一方均有权向人民法院提起诉讼。</w:t>
      </w:r>
    </w:p>
    <w:p w14:paraId="5354F9CF">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42E1178D">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07C7C0F1">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29AEDABB">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7AA44E92">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6C2B44BC">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502D40CE">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5DE8F82A">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48E5766E">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1420BF52">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68CABBDB">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383A1BB9">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11D1AD90">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32D787A4">
      <w:pPr>
        <w:pStyle w:val="39"/>
        <w:spacing w:after="140" w:line="367" w:lineRule="exact"/>
        <w:ind w:firstLine="440"/>
        <w:jc w:val="both"/>
        <w:rPr>
          <w:rFonts w:hint="eastAsia" w:ascii="宋体" w:hAnsi="宋体" w:eastAsia="宋体" w:cs="宋体"/>
          <w:color w:val="auto"/>
          <w:sz w:val="20"/>
          <w:szCs w:val="20"/>
          <w:highlight w:val="none"/>
          <w:lang w:val="zh-CN" w:eastAsia="zh-CN" w:bidi="zh-CN"/>
        </w:rPr>
      </w:pPr>
    </w:p>
    <w:p w14:paraId="1127E619">
      <w:pPr>
        <w:pStyle w:val="5"/>
        <w:bidi w:val="0"/>
        <w:jc w:val="center"/>
        <w:rPr>
          <w:rFonts w:hint="eastAsia" w:ascii="Times New Roman" w:hAnsi="Times New Roman" w:eastAsia="宋体" w:cs="Times New Roman"/>
          <w:b w:val="0"/>
          <w:bCs/>
          <w:color w:val="auto"/>
          <w:sz w:val="44"/>
          <w:szCs w:val="44"/>
          <w:highlight w:val="none"/>
          <w:lang w:eastAsia="zh-CN"/>
        </w:rPr>
      </w:pPr>
      <w:bookmarkStart w:id="523" w:name="_Toc21203"/>
      <w:bookmarkStart w:id="524" w:name="_Toc8999"/>
      <w:bookmarkStart w:id="525" w:name="_Toc5057"/>
      <w:r>
        <w:rPr>
          <w:rFonts w:hint="eastAsia" w:ascii="Times New Roman" w:hAnsi="Times New Roman" w:eastAsia="宋体" w:cs="Times New Roman"/>
          <w:b w:val="0"/>
          <w:bCs/>
          <w:color w:val="auto"/>
          <w:sz w:val="44"/>
          <w:szCs w:val="44"/>
          <w:highlight w:val="none"/>
          <w:lang w:eastAsia="zh-CN"/>
        </w:rPr>
        <w:t xml:space="preserve">第三节 </w:t>
      </w:r>
      <w:r>
        <w:rPr>
          <w:rFonts w:hint="eastAsia" w:ascii="Times New Roman" w:hAnsi="Times New Roman" w:cs="Times New Roman"/>
          <w:b w:val="0"/>
          <w:bCs/>
          <w:color w:val="auto"/>
          <w:sz w:val="44"/>
          <w:szCs w:val="44"/>
          <w:highlight w:val="none"/>
          <w:lang w:val="en-US" w:eastAsia="zh-CN"/>
        </w:rPr>
        <w:t xml:space="preserve"> </w:t>
      </w:r>
      <w:r>
        <w:rPr>
          <w:rFonts w:hint="eastAsia" w:ascii="Times New Roman" w:hAnsi="Times New Roman" w:eastAsia="宋体" w:cs="Times New Roman"/>
          <w:b w:val="0"/>
          <w:bCs/>
          <w:color w:val="auto"/>
          <w:sz w:val="44"/>
          <w:szCs w:val="44"/>
          <w:highlight w:val="none"/>
          <w:lang w:eastAsia="zh-CN"/>
        </w:rPr>
        <w:t>专用合同条款</w:t>
      </w:r>
      <w:bookmarkEnd w:id="523"/>
      <w:bookmarkEnd w:id="524"/>
      <w:bookmarkEnd w:id="525"/>
    </w:p>
    <w:p w14:paraId="2BA3954F">
      <w:pPr>
        <w:pStyle w:val="39"/>
        <w:keepNext/>
        <w:keepLines/>
        <w:spacing w:before="280" w:after="290" w:line="372" w:lineRule="auto"/>
        <w:outlineLvl w:val="4"/>
        <w:rPr>
          <w:rFonts w:ascii="宋体" w:hAnsi="宋体" w:cs="宋体"/>
          <w:bCs/>
          <w:color w:val="auto"/>
          <w:sz w:val="28"/>
          <w:szCs w:val="32"/>
          <w:highlight w:val="none"/>
          <w:lang w:eastAsia="zh-CN"/>
        </w:rPr>
      </w:pPr>
      <w:bookmarkStart w:id="526" w:name="_Toc2936716"/>
      <w:bookmarkStart w:id="527" w:name="_Toc12626"/>
      <w:bookmarkStart w:id="528" w:name="_Toc2936472"/>
      <w:bookmarkStart w:id="529" w:name="_Toc15935"/>
      <w:bookmarkStart w:id="530" w:name="_Toc221951111"/>
      <w:bookmarkStart w:id="531" w:name="_Toc222033878"/>
      <w:bookmarkStart w:id="532" w:name="_Toc28863"/>
      <w:bookmarkStart w:id="533" w:name="_Toc222029527"/>
      <w:bookmarkStart w:id="534" w:name="_Toc222032696"/>
      <w:bookmarkStart w:id="535" w:name="_Toc229305387"/>
      <w:bookmarkStart w:id="536" w:name="_Toc222031029"/>
      <w:bookmarkStart w:id="537" w:name="_Toc2948170"/>
      <w:bookmarkStart w:id="538" w:name="_Toc256000067"/>
      <w:bookmarkStart w:id="539" w:name="_Toc30466"/>
      <w:bookmarkStart w:id="540" w:name="bookmark1865"/>
      <w:bookmarkStart w:id="541" w:name="_Toc26089"/>
      <w:bookmarkStart w:id="542" w:name="bookmark1864"/>
      <w:bookmarkStart w:id="543" w:name="bookmark1863"/>
      <w:r>
        <w:rPr>
          <w:rFonts w:hint="eastAsia"/>
          <w:b/>
          <w:color w:val="auto"/>
          <w:sz w:val="30"/>
          <w:szCs w:val="30"/>
          <w:highlight w:val="none"/>
          <w:lang w:eastAsia="zh-CN"/>
        </w:rPr>
        <w:t>1. 一般约定</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0BD65A3E">
      <w:pPr>
        <w:pStyle w:val="39"/>
        <w:keepNext/>
        <w:keepLines/>
        <w:spacing w:before="240" w:after="64" w:line="317" w:lineRule="auto"/>
        <w:outlineLvl w:val="5"/>
        <w:rPr>
          <w:rFonts w:ascii="宋体" w:hAnsi="宋体" w:eastAsia="宋体"/>
          <w:b/>
          <w:color w:val="auto"/>
          <w:sz w:val="24"/>
          <w:szCs w:val="24"/>
          <w:highlight w:val="none"/>
          <w:lang w:eastAsia="zh-CN"/>
        </w:rPr>
      </w:pPr>
      <w:bookmarkStart w:id="544" w:name="_Toc221951112"/>
      <w:bookmarkStart w:id="545" w:name="_Toc2875"/>
      <w:bookmarkStart w:id="546" w:name="_Toc9677"/>
      <w:bookmarkStart w:id="547" w:name="_Toc13681"/>
      <w:bookmarkStart w:id="548" w:name="_Toc18743"/>
      <w:r>
        <w:rPr>
          <w:rFonts w:hint="eastAsia" w:ascii="宋体" w:hAnsi="宋体" w:eastAsia="宋体"/>
          <w:b/>
          <w:color w:val="auto"/>
          <w:sz w:val="24"/>
          <w:szCs w:val="24"/>
          <w:highlight w:val="none"/>
          <w:lang w:eastAsia="zh-CN"/>
        </w:rPr>
        <w:t>1.1 词语定义</w:t>
      </w:r>
      <w:bookmarkEnd w:id="544"/>
      <w:bookmarkEnd w:id="545"/>
      <w:bookmarkEnd w:id="546"/>
      <w:bookmarkEnd w:id="547"/>
      <w:bookmarkEnd w:id="548"/>
    </w:p>
    <w:p w14:paraId="7D28288A">
      <w:pPr>
        <w:pStyle w:val="39"/>
        <w:spacing w:line="365" w:lineRule="exact"/>
        <w:ind w:firstLine="440"/>
        <w:jc w:val="both"/>
        <w:rPr>
          <w:color w:val="auto"/>
          <w:sz w:val="20"/>
          <w:szCs w:val="20"/>
          <w:highlight w:val="none"/>
          <w:lang w:eastAsia="zh-CN"/>
        </w:rPr>
      </w:pPr>
      <w:bookmarkStart w:id="549" w:name="_Toc221951113"/>
      <w:r>
        <w:rPr>
          <w:rFonts w:hint="eastAsia"/>
          <w:color w:val="auto"/>
          <w:sz w:val="20"/>
          <w:szCs w:val="20"/>
          <w:highlight w:val="none"/>
          <w:lang w:eastAsia="zh-CN"/>
        </w:rPr>
        <w:t>1.1.2  合同当事人和人员</w:t>
      </w:r>
      <w:bookmarkEnd w:id="549"/>
    </w:p>
    <w:p w14:paraId="3C081983">
      <w:pPr>
        <w:pStyle w:val="39"/>
        <w:spacing w:line="365" w:lineRule="exact"/>
        <w:ind w:firstLine="440"/>
        <w:jc w:val="both"/>
        <w:rPr>
          <w:color w:val="auto"/>
          <w:sz w:val="20"/>
          <w:szCs w:val="20"/>
          <w:highlight w:val="none"/>
          <w:lang w:eastAsia="zh-CN"/>
        </w:rPr>
      </w:pPr>
      <w:bookmarkStart w:id="550" w:name="_Toc221951114"/>
      <w:r>
        <w:rPr>
          <w:rFonts w:hint="eastAsia"/>
          <w:color w:val="auto"/>
          <w:sz w:val="20"/>
          <w:szCs w:val="20"/>
          <w:highlight w:val="none"/>
          <w:lang w:eastAsia="zh-CN"/>
        </w:rPr>
        <w:t>1.1.2.2  发包人：</w:t>
      </w:r>
      <w:r>
        <w:rPr>
          <w:rFonts w:hint="eastAsia" w:ascii="宋体" w:hAnsi="宋体" w:eastAsia="宋体" w:cs="宋体"/>
          <w:b/>
          <w:bCs w:val="0"/>
          <w:color w:val="auto"/>
          <w:sz w:val="20"/>
          <w:szCs w:val="20"/>
          <w:highlight w:val="none"/>
          <w:u w:val="single"/>
          <w:lang w:val="en-US" w:eastAsia="zh-CN"/>
        </w:rPr>
        <w:t>(签约</w:t>
      </w:r>
      <w:r>
        <w:rPr>
          <w:rFonts w:hint="eastAsia" w:ascii="宋体" w:hAnsi="宋体" w:cs="宋体"/>
          <w:b/>
          <w:bCs w:val="0"/>
          <w:color w:val="auto"/>
          <w:sz w:val="20"/>
          <w:szCs w:val="20"/>
          <w:highlight w:val="none"/>
          <w:u w:val="single"/>
          <w:lang w:val="en-US" w:eastAsia="zh-CN"/>
        </w:rPr>
        <w:t>时</w:t>
      </w:r>
      <w:r>
        <w:rPr>
          <w:rFonts w:hint="eastAsia" w:ascii="宋体" w:hAnsi="宋体" w:eastAsia="宋体" w:cs="宋体"/>
          <w:b/>
          <w:bCs w:val="0"/>
          <w:color w:val="auto"/>
          <w:sz w:val="20"/>
          <w:szCs w:val="20"/>
          <w:highlight w:val="none"/>
          <w:u w:val="single"/>
          <w:lang w:val="en-US" w:eastAsia="zh-CN"/>
        </w:rPr>
        <w:t xml:space="preserve">填入发包人的名称)  </w:t>
      </w:r>
      <w:r>
        <w:rPr>
          <w:rFonts w:hint="eastAsia"/>
          <w:color w:val="auto"/>
          <w:sz w:val="20"/>
          <w:szCs w:val="20"/>
          <w:highlight w:val="none"/>
          <w:u w:val="single"/>
          <w:lang w:eastAsia="zh-CN"/>
        </w:rPr>
        <w:t xml:space="preserve"> </w:t>
      </w:r>
      <w:r>
        <w:rPr>
          <w:rFonts w:hint="eastAsia"/>
          <w:color w:val="auto"/>
          <w:sz w:val="20"/>
          <w:szCs w:val="20"/>
          <w:highlight w:val="none"/>
          <w:lang w:eastAsia="zh-CN"/>
        </w:rPr>
        <w:t>。</w:t>
      </w:r>
      <w:bookmarkEnd w:id="550"/>
    </w:p>
    <w:p w14:paraId="6D6D6634">
      <w:pPr>
        <w:pStyle w:val="39"/>
        <w:spacing w:line="365" w:lineRule="exact"/>
        <w:ind w:firstLine="440"/>
        <w:jc w:val="both"/>
        <w:rPr>
          <w:color w:val="auto"/>
          <w:sz w:val="20"/>
          <w:szCs w:val="20"/>
          <w:highlight w:val="none"/>
          <w:lang w:eastAsia="zh-CN"/>
        </w:rPr>
      </w:pPr>
      <w:bookmarkStart w:id="551" w:name="_Toc221951115"/>
      <w:r>
        <w:rPr>
          <w:rFonts w:hint="eastAsia"/>
          <w:color w:val="auto"/>
          <w:sz w:val="20"/>
          <w:szCs w:val="20"/>
          <w:highlight w:val="none"/>
          <w:lang w:eastAsia="zh-CN"/>
        </w:rPr>
        <w:t>1.1.2.3  承包人：</w:t>
      </w:r>
      <w:r>
        <w:rPr>
          <w:rFonts w:hint="eastAsia"/>
          <w:color w:val="auto"/>
          <w:sz w:val="20"/>
          <w:szCs w:val="20"/>
          <w:highlight w:val="none"/>
          <w:u w:val="single"/>
          <w:lang w:eastAsia="zh-CN"/>
        </w:rPr>
        <w:t xml:space="preserve"> (签约时填入承包人的名称) </w:t>
      </w:r>
      <w:r>
        <w:rPr>
          <w:rFonts w:hint="eastAsia"/>
          <w:color w:val="auto"/>
          <w:sz w:val="20"/>
          <w:szCs w:val="20"/>
          <w:highlight w:val="none"/>
          <w:lang w:eastAsia="zh-CN"/>
        </w:rPr>
        <w:t>。</w:t>
      </w:r>
      <w:bookmarkEnd w:id="551"/>
    </w:p>
    <w:p w14:paraId="62F681AE">
      <w:pPr>
        <w:pStyle w:val="39"/>
        <w:spacing w:line="365" w:lineRule="exact"/>
        <w:ind w:firstLine="440"/>
        <w:jc w:val="both"/>
        <w:rPr>
          <w:color w:val="auto"/>
          <w:sz w:val="20"/>
          <w:szCs w:val="20"/>
          <w:highlight w:val="none"/>
          <w:lang w:eastAsia="zh-CN"/>
        </w:rPr>
      </w:pPr>
      <w:bookmarkStart w:id="552" w:name="_Toc221951116"/>
      <w:r>
        <w:rPr>
          <w:rFonts w:hint="eastAsia"/>
          <w:color w:val="auto"/>
          <w:sz w:val="20"/>
          <w:szCs w:val="20"/>
          <w:highlight w:val="none"/>
          <w:lang w:eastAsia="zh-CN"/>
        </w:rPr>
        <w:t>1.1.2.4  承包人项目负责人、技术负责人和专职安全员：</w:t>
      </w:r>
      <w:r>
        <w:rPr>
          <w:rFonts w:hint="eastAsia"/>
          <w:color w:val="auto"/>
          <w:sz w:val="20"/>
          <w:szCs w:val="20"/>
          <w:highlight w:val="none"/>
          <w:u w:val="single"/>
          <w:lang w:val="en-US" w:eastAsia="zh-CN"/>
        </w:rPr>
        <w:t xml:space="preserve">                     </w:t>
      </w:r>
      <w:r>
        <w:rPr>
          <w:rFonts w:hint="eastAsia"/>
          <w:color w:val="auto"/>
          <w:sz w:val="20"/>
          <w:szCs w:val="20"/>
          <w:highlight w:val="none"/>
          <w:lang w:eastAsia="zh-CN"/>
        </w:rPr>
        <w:t xml:space="preserve">（项目负责人、技术负责人和专职安全员的姓名、身份证号号码，项目负责人执业证书号码以及项目负责人和专职安全员水行政主管部门颁发的安全生产考核合格证书号码）。                </w:t>
      </w:r>
    </w:p>
    <w:p w14:paraId="57D5DA86">
      <w:pPr>
        <w:pStyle w:val="39"/>
        <w:spacing w:line="365" w:lineRule="exact"/>
        <w:ind w:firstLine="440"/>
        <w:jc w:val="both"/>
        <w:rPr>
          <w:color w:val="auto"/>
          <w:sz w:val="20"/>
          <w:szCs w:val="20"/>
          <w:highlight w:val="none"/>
          <w:lang w:eastAsia="zh-CN"/>
        </w:rPr>
      </w:pPr>
      <w:r>
        <w:rPr>
          <w:rFonts w:hint="eastAsia"/>
          <w:color w:val="auto"/>
          <w:sz w:val="20"/>
          <w:szCs w:val="20"/>
          <w:highlight w:val="none"/>
          <w:lang w:eastAsia="zh-CN"/>
        </w:rPr>
        <w:t>1.1.2.5  分包人：</w:t>
      </w:r>
      <w:r>
        <w:rPr>
          <w:rFonts w:hint="eastAsia"/>
          <w:color w:val="auto"/>
          <w:sz w:val="20"/>
          <w:szCs w:val="20"/>
          <w:highlight w:val="none"/>
          <w:u w:val="single"/>
          <w:lang w:eastAsia="zh-CN"/>
        </w:rPr>
        <w:t xml:space="preserve"> (签约时填入承包人的名称) </w:t>
      </w:r>
      <w:r>
        <w:rPr>
          <w:rFonts w:hint="eastAsia"/>
          <w:color w:val="auto"/>
          <w:sz w:val="20"/>
          <w:szCs w:val="20"/>
          <w:highlight w:val="none"/>
          <w:lang w:eastAsia="zh-CN"/>
        </w:rPr>
        <w:t>。</w:t>
      </w:r>
      <w:bookmarkEnd w:id="552"/>
    </w:p>
    <w:p w14:paraId="40A247D7">
      <w:pPr>
        <w:pStyle w:val="39"/>
        <w:spacing w:line="365" w:lineRule="exact"/>
        <w:ind w:firstLine="440"/>
        <w:jc w:val="both"/>
        <w:rPr>
          <w:color w:val="auto"/>
          <w:sz w:val="20"/>
          <w:szCs w:val="20"/>
          <w:highlight w:val="none"/>
          <w:lang w:eastAsia="zh-CN"/>
        </w:rPr>
      </w:pPr>
      <w:bookmarkStart w:id="553" w:name="_Toc221951117"/>
      <w:r>
        <w:rPr>
          <w:rFonts w:hint="eastAsia"/>
          <w:color w:val="auto"/>
          <w:sz w:val="20"/>
          <w:szCs w:val="20"/>
          <w:highlight w:val="none"/>
          <w:lang w:eastAsia="zh-CN"/>
        </w:rPr>
        <w:t>1.1.2.6  监理人：</w:t>
      </w:r>
      <w:r>
        <w:rPr>
          <w:rFonts w:hint="eastAsia"/>
          <w:color w:val="auto"/>
          <w:sz w:val="20"/>
          <w:szCs w:val="20"/>
          <w:highlight w:val="none"/>
          <w:u w:val="single"/>
          <w:lang w:eastAsia="zh-CN"/>
        </w:rPr>
        <w:t xml:space="preserve">     (填入监理人名称)     </w:t>
      </w:r>
      <w:r>
        <w:rPr>
          <w:rFonts w:hint="eastAsia"/>
          <w:color w:val="auto"/>
          <w:sz w:val="20"/>
          <w:szCs w:val="20"/>
          <w:highlight w:val="none"/>
          <w:lang w:eastAsia="zh-CN"/>
        </w:rPr>
        <w:t>。</w:t>
      </w:r>
      <w:bookmarkEnd w:id="553"/>
    </w:p>
    <w:p w14:paraId="77A55224">
      <w:pPr>
        <w:pStyle w:val="39"/>
        <w:spacing w:line="365" w:lineRule="exact"/>
        <w:ind w:firstLine="440"/>
        <w:jc w:val="both"/>
        <w:rPr>
          <w:color w:val="auto"/>
          <w:sz w:val="20"/>
          <w:szCs w:val="20"/>
          <w:highlight w:val="none"/>
          <w:lang w:eastAsia="zh-CN"/>
        </w:rPr>
      </w:pPr>
      <w:bookmarkStart w:id="554" w:name="_Toc8698"/>
      <w:bookmarkStart w:id="555" w:name="_Toc28180"/>
      <w:bookmarkStart w:id="556" w:name="_Toc32518"/>
      <w:r>
        <w:rPr>
          <w:color w:val="auto"/>
          <w:sz w:val="20"/>
          <w:szCs w:val="20"/>
          <w:highlight w:val="none"/>
          <w:lang w:eastAsia="zh-CN"/>
        </w:rPr>
        <w:t>1.1.4</w:t>
      </w:r>
      <w:r>
        <w:rPr>
          <w:rFonts w:ascii="宋体" w:hAnsi="宋体" w:cs="宋体"/>
          <w:color w:val="auto"/>
          <w:sz w:val="20"/>
          <w:szCs w:val="20"/>
          <w:highlight w:val="none"/>
          <w:lang w:val="zh-CN" w:eastAsia="zh-CN" w:bidi="zh-CN"/>
        </w:rPr>
        <w:t>日期：</w:t>
      </w:r>
      <w:r>
        <w:rPr>
          <w:rFonts w:hint="eastAsia" w:ascii="宋体" w:hAnsi="宋体" w:cs="宋体"/>
          <w:color w:val="auto"/>
          <w:sz w:val="20"/>
          <w:szCs w:val="20"/>
          <w:highlight w:val="none"/>
          <w:u w:val="single"/>
          <w:lang w:val="zh-CN" w:eastAsia="zh-CN" w:bidi="zh-CN"/>
        </w:rPr>
        <w:t>实际开工日期以监理单位发出的开工令载明的日期为准</w:t>
      </w:r>
      <w:r>
        <w:rPr>
          <w:rFonts w:hint="eastAsia" w:ascii="宋体" w:hAnsi="宋体" w:cs="宋体"/>
          <w:color w:val="auto"/>
          <w:sz w:val="20"/>
          <w:szCs w:val="20"/>
          <w:highlight w:val="none"/>
          <w:lang w:val="zh-CN" w:eastAsia="zh-CN" w:bidi="zh-CN"/>
        </w:rPr>
        <w:t>。</w:t>
      </w:r>
    </w:p>
    <w:p w14:paraId="4A6011E0">
      <w:pPr>
        <w:pStyle w:val="39"/>
        <w:spacing w:line="365" w:lineRule="exact"/>
        <w:ind w:firstLine="440"/>
        <w:jc w:val="both"/>
        <w:rPr>
          <w:color w:val="auto"/>
          <w:sz w:val="20"/>
          <w:szCs w:val="20"/>
          <w:highlight w:val="none"/>
          <w:lang w:eastAsia="zh-CN"/>
        </w:rPr>
      </w:pPr>
      <w:r>
        <w:rPr>
          <w:rFonts w:ascii="Times New Roman" w:hAnsi="Times New Roman" w:eastAsia="Times New Roman" w:cs="Times New Roman"/>
          <w:color w:val="auto"/>
          <w:sz w:val="20"/>
          <w:szCs w:val="20"/>
          <w:highlight w:val="none"/>
          <w:lang w:val="en-US" w:bidi="en-US"/>
        </w:rPr>
        <w:t>1.1.4.</w:t>
      </w:r>
      <w:r>
        <w:rPr>
          <w:rFonts w:ascii="Times New Roman" w:hAnsi="Times New Roman" w:eastAsia="Times New Roman" w:cs="Times New Roman"/>
          <w:color w:val="auto"/>
          <w:sz w:val="20"/>
          <w:szCs w:val="20"/>
          <w:highlight w:val="none"/>
        </w:rPr>
        <w:t>5</w:t>
      </w:r>
      <w:r>
        <w:rPr>
          <w:color w:val="auto"/>
          <w:sz w:val="20"/>
          <w:szCs w:val="20"/>
          <w:highlight w:val="none"/>
        </w:rPr>
        <w:t>缺陷责任期(工程质量保修期):</w:t>
      </w:r>
      <w:r>
        <w:rPr>
          <w:rFonts w:hint="eastAsia"/>
          <w:color w:val="auto"/>
          <w:sz w:val="20"/>
          <w:szCs w:val="20"/>
          <w:highlight w:val="none"/>
          <w:u w:val="single"/>
        </w:rPr>
        <w:t>竣工验收后1年</w:t>
      </w:r>
      <w:r>
        <w:rPr>
          <w:rFonts w:hint="eastAsia"/>
          <w:color w:val="auto"/>
          <w:sz w:val="20"/>
          <w:szCs w:val="20"/>
          <w:highlight w:val="none"/>
          <w:lang w:eastAsia="zh-CN"/>
        </w:rPr>
        <w:t>。</w:t>
      </w:r>
      <w:bookmarkEnd w:id="554"/>
      <w:bookmarkEnd w:id="555"/>
      <w:bookmarkEnd w:id="556"/>
    </w:p>
    <w:p w14:paraId="376C64C8">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557" w:name="_Toc2673"/>
      <w:bookmarkStart w:id="558" w:name="_Toc22090"/>
      <w:bookmarkStart w:id="559" w:name="_Toc8742"/>
      <w:bookmarkStart w:id="560" w:name="_Toc10217"/>
      <w:bookmarkStart w:id="561" w:name="_Toc221951127"/>
      <w:r>
        <w:rPr>
          <w:rFonts w:hint="eastAsia" w:ascii="宋体" w:hAnsi="宋体" w:eastAsia="宋体"/>
          <w:b/>
          <w:color w:val="auto"/>
          <w:sz w:val="24"/>
          <w:szCs w:val="24"/>
          <w:highlight w:val="none"/>
          <w:lang w:eastAsia="zh-CN"/>
        </w:rPr>
        <w:t>1.4 合同文件的优先顺序</w:t>
      </w:r>
      <w:bookmarkEnd w:id="557"/>
      <w:bookmarkEnd w:id="558"/>
      <w:bookmarkEnd w:id="559"/>
      <w:bookmarkEnd w:id="560"/>
      <w:bookmarkEnd w:id="561"/>
    </w:p>
    <w:p w14:paraId="633A5CD8">
      <w:pPr>
        <w:pStyle w:val="18"/>
        <w:spacing w:line="360" w:lineRule="auto"/>
        <w:ind w:firstLine="420" w:firstLineChars="200"/>
        <w:rPr>
          <w:rFonts w:ascii="宋体" w:hAnsi="宋体" w:cs="宋体"/>
          <w:color w:val="auto"/>
          <w:sz w:val="21"/>
          <w:szCs w:val="21"/>
          <w:highlight w:val="none"/>
          <w:lang w:eastAsia="zh-CN"/>
        </w:rPr>
      </w:pPr>
      <w:bookmarkStart w:id="562" w:name="_Toc221951128"/>
      <w:r>
        <w:rPr>
          <w:rFonts w:hint="eastAsia" w:ascii="宋体" w:hAnsi="宋体" w:cs="宋体"/>
          <w:color w:val="auto"/>
          <w:sz w:val="21"/>
          <w:szCs w:val="21"/>
          <w:highlight w:val="none"/>
          <w:lang w:eastAsia="zh-CN"/>
        </w:rPr>
        <w:t>进入合同的各项文件及其优先顺序</w:t>
      </w:r>
      <w:bookmarkEnd w:id="562"/>
      <w:r>
        <w:rPr>
          <w:rFonts w:hint="eastAsia" w:ascii="宋体" w:hAnsi="宋体" w:cs="宋体"/>
          <w:color w:val="auto"/>
          <w:sz w:val="21"/>
          <w:szCs w:val="21"/>
          <w:highlight w:val="none"/>
          <w:lang w:eastAsia="zh-CN"/>
        </w:rPr>
        <w:t>如下：</w:t>
      </w:r>
    </w:p>
    <w:p w14:paraId="3F487955">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（1）合同协议书（包括补充协议、合同谈判备忘录）；</w:t>
      </w:r>
    </w:p>
    <w:p w14:paraId="097445CD">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（2）中标通知书；</w:t>
      </w:r>
    </w:p>
    <w:p w14:paraId="46B60C87">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（3）投标函及投标函附录；</w:t>
      </w:r>
    </w:p>
    <w:p w14:paraId="4EFF1683">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（4）专用合同条款（含附加条款）；</w:t>
      </w:r>
    </w:p>
    <w:p w14:paraId="18982FAE">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（5）通用合同条款；</w:t>
      </w:r>
    </w:p>
    <w:p w14:paraId="4E175CDE">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（6）技术标准和要求（合同技术条款）；</w:t>
      </w:r>
    </w:p>
    <w:p w14:paraId="1E7357FD">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（7）图纸；</w:t>
      </w:r>
    </w:p>
    <w:p w14:paraId="2BC4B5E0">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（8）已标价工程量清单；</w:t>
      </w:r>
    </w:p>
    <w:p w14:paraId="1F287DE3">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（9）投标文件其他内容；</w:t>
      </w:r>
    </w:p>
    <w:p w14:paraId="303249D6">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（10）其他合同文件。</w:t>
      </w:r>
    </w:p>
    <w:p w14:paraId="63F3BD1E">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563" w:name="_Toc20489"/>
      <w:bookmarkStart w:id="564" w:name="_Toc27563"/>
      <w:bookmarkStart w:id="565" w:name="_Toc17064"/>
      <w:bookmarkStart w:id="566" w:name="_Toc32601"/>
      <w:bookmarkStart w:id="567" w:name="_Toc221951129"/>
      <w:r>
        <w:rPr>
          <w:rFonts w:hint="eastAsia" w:ascii="宋体" w:hAnsi="宋体" w:eastAsia="宋体"/>
          <w:b/>
          <w:color w:val="auto"/>
          <w:sz w:val="24"/>
          <w:szCs w:val="24"/>
          <w:highlight w:val="none"/>
          <w:lang w:eastAsia="zh-CN"/>
        </w:rPr>
        <w:t>1.7 联络</w:t>
      </w:r>
      <w:bookmarkEnd w:id="563"/>
      <w:bookmarkEnd w:id="564"/>
      <w:bookmarkEnd w:id="565"/>
      <w:bookmarkEnd w:id="566"/>
      <w:bookmarkEnd w:id="567"/>
    </w:p>
    <w:p w14:paraId="05765672">
      <w:pPr>
        <w:pStyle w:val="18"/>
        <w:spacing w:line="360" w:lineRule="auto"/>
        <w:ind w:firstLine="420" w:firstLineChars="200"/>
        <w:rPr>
          <w:rFonts w:ascii="宋体" w:hAnsi="宋体" w:cs="宋体"/>
          <w:color w:val="auto"/>
          <w:sz w:val="21"/>
          <w:szCs w:val="21"/>
          <w:highlight w:val="none"/>
          <w:lang w:eastAsia="zh-CN"/>
        </w:rPr>
      </w:pPr>
      <w:bookmarkStart w:id="568" w:name="_Toc221951130"/>
      <w:r>
        <w:rPr>
          <w:rFonts w:hint="default" w:ascii="Times New Roman" w:hAnsi="Times New Roman" w:cs="Times New Roman"/>
          <w:color w:val="auto"/>
          <w:sz w:val="21"/>
          <w:szCs w:val="21"/>
          <w:highlight w:val="none"/>
          <w:lang w:eastAsia="zh-CN"/>
        </w:rPr>
        <w:t xml:space="preserve">1.7.2  </w:t>
      </w:r>
      <w:r>
        <w:rPr>
          <w:rFonts w:hint="eastAsia" w:ascii="宋体" w:hAnsi="宋体" w:cs="宋体"/>
          <w:color w:val="auto"/>
          <w:sz w:val="21"/>
          <w:szCs w:val="21"/>
          <w:highlight w:val="none"/>
          <w:lang w:eastAsia="zh-CN"/>
        </w:rPr>
        <w:t>来往函件均应按技术标准和要求（合同技术条款）约定的期限送达</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w:t>
      </w:r>
      <w:bookmarkEnd w:id="568"/>
    </w:p>
    <w:p w14:paraId="28D6CA86">
      <w:pPr>
        <w:pStyle w:val="39"/>
        <w:keepNext/>
        <w:keepLines/>
        <w:spacing w:before="280" w:after="290" w:line="372" w:lineRule="auto"/>
        <w:outlineLvl w:val="4"/>
        <w:rPr>
          <w:rFonts w:hint="eastAsia" w:ascii="Times New Roman" w:hAnsi="Times New Roman" w:eastAsia="Times New Roman"/>
          <w:b/>
          <w:color w:val="auto"/>
          <w:sz w:val="30"/>
          <w:szCs w:val="30"/>
          <w:highlight w:val="none"/>
          <w:lang w:val="en-US" w:eastAsia="zh-CN" w:bidi="en-US"/>
        </w:rPr>
      </w:pPr>
      <w:bookmarkStart w:id="569" w:name="_Toc30836"/>
      <w:bookmarkStart w:id="570" w:name="_Toc222031030"/>
      <w:bookmarkStart w:id="571" w:name="_Toc2936717"/>
      <w:bookmarkStart w:id="572" w:name="_Toc221951131"/>
      <w:bookmarkStart w:id="573" w:name="_Toc2948171"/>
      <w:bookmarkStart w:id="574" w:name="_Toc30640"/>
      <w:bookmarkStart w:id="575" w:name="_Toc222032697"/>
      <w:bookmarkStart w:id="576" w:name="_Toc229305388"/>
      <w:bookmarkStart w:id="577" w:name="_Toc2936473"/>
      <w:bookmarkStart w:id="578" w:name="_Toc222029528"/>
      <w:bookmarkStart w:id="579" w:name="_Toc222033879"/>
      <w:r>
        <w:rPr>
          <w:rFonts w:hint="eastAsia" w:ascii="Times New Roman" w:hAnsi="Times New Roman" w:eastAsia="Times New Roman"/>
          <w:b/>
          <w:color w:val="auto"/>
          <w:sz w:val="30"/>
          <w:szCs w:val="30"/>
          <w:highlight w:val="none"/>
          <w:lang w:val="en-US" w:eastAsia="zh-CN" w:bidi="en-US"/>
        </w:rPr>
        <w:t>2. 发包人义务</w:t>
      </w:r>
      <w:bookmarkEnd w:id="569"/>
      <w:bookmarkEnd w:id="570"/>
      <w:bookmarkEnd w:id="571"/>
      <w:bookmarkEnd w:id="572"/>
      <w:bookmarkEnd w:id="573"/>
      <w:bookmarkEnd w:id="574"/>
      <w:bookmarkEnd w:id="575"/>
      <w:bookmarkEnd w:id="576"/>
      <w:bookmarkEnd w:id="577"/>
      <w:bookmarkEnd w:id="578"/>
      <w:bookmarkEnd w:id="579"/>
    </w:p>
    <w:p w14:paraId="481EE581">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580" w:name="_Toc6554"/>
      <w:bookmarkStart w:id="581" w:name="_Toc221951132"/>
      <w:bookmarkStart w:id="582" w:name="_Toc9911"/>
      <w:bookmarkStart w:id="583" w:name="_Toc20323"/>
      <w:bookmarkStart w:id="584" w:name="_Toc27848"/>
      <w:r>
        <w:rPr>
          <w:rFonts w:hint="eastAsia" w:ascii="宋体" w:hAnsi="宋体" w:eastAsia="宋体"/>
          <w:b/>
          <w:color w:val="auto"/>
          <w:sz w:val="24"/>
          <w:szCs w:val="24"/>
          <w:highlight w:val="none"/>
          <w:lang w:eastAsia="zh-CN"/>
        </w:rPr>
        <w:t>2.3 提供施工场地</w:t>
      </w:r>
      <w:bookmarkEnd w:id="580"/>
      <w:bookmarkEnd w:id="581"/>
      <w:bookmarkEnd w:id="582"/>
      <w:bookmarkEnd w:id="583"/>
      <w:bookmarkEnd w:id="584"/>
    </w:p>
    <w:p w14:paraId="42A75E82">
      <w:pPr>
        <w:pStyle w:val="18"/>
        <w:spacing w:line="360" w:lineRule="auto"/>
        <w:ind w:firstLine="420" w:firstLineChars="200"/>
        <w:rPr>
          <w:rFonts w:ascii="宋体" w:hAnsi="宋体" w:cs="宋体"/>
          <w:b/>
          <w:bCs/>
          <w:color w:val="auto"/>
          <w:sz w:val="21"/>
          <w:szCs w:val="21"/>
          <w:highlight w:val="none"/>
          <w:lang w:eastAsia="zh-CN"/>
        </w:rPr>
      </w:pPr>
      <w:bookmarkStart w:id="585" w:name="_Toc221951133"/>
      <w:r>
        <w:rPr>
          <w:rFonts w:hint="default" w:ascii="Times New Roman" w:hAnsi="Times New Roman" w:cs="Times New Roman"/>
          <w:color w:val="auto"/>
          <w:sz w:val="21"/>
          <w:szCs w:val="21"/>
          <w:highlight w:val="none"/>
          <w:lang w:eastAsia="zh-CN"/>
        </w:rPr>
        <w:t>2.3.2</w:t>
      </w:r>
      <w:r>
        <w:rPr>
          <w:rFonts w:hint="eastAsia" w:ascii="宋体" w:hAnsi="宋体" w:cs="宋体"/>
          <w:color w:val="auto"/>
          <w:sz w:val="21"/>
          <w:szCs w:val="21"/>
          <w:highlight w:val="none"/>
          <w:lang w:eastAsia="zh-CN"/>
        </w:rPr>
        <w:t>发包人提供的施工场地范围为：</w:t>
      </w:r>
      <w:bookmarkEnd w:id="585"/>
      <w:r>
        <w:rPr>
          <w:rFonts w:hint="eastAsia" w:ascii="宋体" w:hAnsi="宋体" w:cs="宋体"/>
          <w:color w:val="auto"/>
          <w:sz w:val="21"/>
          <w:szCs w:val="21"/>
          <w:highlight w:val="none"/>
          <w:u w:val="single"/>
          <w:lang w:eastAsia="zh-CN"/>
        </w:rPr>
        <w:t>发包人负责办理工地范围内的征地、拆迁和移民等有关手续，并提供施工场地周围管线（含地上及地下）和邻近建筑物、构筑物(含文物保护建筑)、古树名木等相关资料，向承包人提供施工用地</w:t>
      </w:r>
      <w:r>
        <w:rPr>
          <w:rFonts w:ascii="宋体" w:hAnsi="宋体" w:eastAsia="宋体" w:cs="宋体"/>
          <w:color w:val="auto"/>
          <w:sz w:val="21"/>
          <w:szCs w:val="21"/>
          <w:highlight w:val="none"/>
          <w:u w:val="single"/>
          <w:lang w:eastAsia="zh-CN"/>
        </w:rPr>
        <w:t>。</w:t>
      </w:r>
      <w:r>
        <w:rPr>
          <w:rFonts w:hint="eastAsia" w:ascii="宋体" w:hAnsi="宋体" w:cs="宋体"/>
          <w:b/>
          <w:bCs/>
          <w:color w:val="auto"/>
          <w:sz w:val="21"/>
          <w:szCs w:val="21"/>
          <w:highlight w:val="none"/>
          <w:lang w:eastAsia="zh-CN"/>
        </w:rPr>
        <w:t xml:space="preserve">  </w:t>
      </w:r>
    </w:p>
    <w:p w14:paraId="6A1388DA">
      <w:pPr>
        <w:pStyle w:val="18"/>
        <w:spacing w:line="360" w:lineRule="auto"/>
        <w:ind w:firstLine="420" w:firstLineChars="200"/>
        <w:rPr>
          <w:rFonts w:ascii="宋体" w:hAnsi="宋体" w:cs="宋体"/>
          <w:color w:val="auto"/>
          <w:sz w:val="21"/>
          <w:szCs w:val="21"/>
          <w:highlight w:val="none"/>
          <w:lang w:eastAsia="zh-CN"/>
        </w:rPr>
      </w:pPr>
      <w:r>
        <w:rPr>
          <w:rFonts w:hint="eastAsia" w:ascii="Times New Roman" w:hAnsi="Times New Roman" w:cs="Times New Roman"/>
          <w:color w:val="auto"/>
          <w:sz w:val="21"/>
          <w:szCs w:val="21"/>
          <w:highlight w:val="none"/>
          <w:lang w:eastAsia="zh-CN"/>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宋体" w:hAnsi="宋体" w:cs="宋体"/>
          <w:color w:val="auto"/>
          <w:sz w:val="21"/>
          <w:szCs w:val="21"/>
          <w:highlight w:val="none"/>
          <w:lang w:eastAsia="zh-CN"/>
        </w:rPr>
        <w:t>。</w:t>
      </w:r>
    </w:p>
    <w:p w14:paraId="01ABCC6D">
      <w:pPr>
        <w:pStyle w:val="39"/>
        <w:keepNext/>
        <w:keepLines/>
        <w:spacing w:before="280" w:after="290" w:line="372" w:lineRule="auto"/>
        <w:outlineLvl w:val="4"/>
        <w:rPr>
          <w:rFonts w:hint="eastAsia"/>
          <w:b/>
          <w:color w:val="auto"/>
          <w:sz w:val="30"/>
          <w:szCs w:val="30"/>
          <w:highlight w:val="none"/>
          <w:lang w:eastAsia="zh-CN"/>
        </w:rPr>
      </w:pPr>
      <w:bookmarkStart w:id="586" w:name="_Toc229305389"/>
      <w:bookmarkStart w:id="587" w:name="_Toc2936718"/>
      <w:bookmarkStart w:id="588" w:name="_Toc222032698"/>
      <w:bookmarkStart w:id="589" w:name="_Toc18806"/>
      <w:bookmarkStart w:id="590" w:name="_Toc221951140"/>
      <w:bookmarkStart w:id="591" w:name="_Toc222029529"/>
      <w:bookmarkStart w:id="592" w:name="_Toc3598"/>
      <w:bookmarkStart w:id="593" w:name="_Toc222033880"/>
      <w:bookmarkStart w:id="594" w:name="_Toc2936474"/>
      <w:bookmarkStart w:id="595" w:name="_Toc2948172"/>
      <w:bookmarkStart w:id="596" w:name="_Toc222031031"/>
      <w:r>
        <w:rPr>
          <w:rFonts w:hint="eastAsia"/>
          <w:b/>
          <w:color w:val="auto"/>
          <w:sz w:val="30"/>
          <w:szCs w:val="30"/>
          <w:highlight w:val="none"/>
          <w:lang w:eastAsia="zh-CN"/>
        </w:rPr>
        <w:t>3. 监理人</w:t>
      </w:r>
      <w:bookmarkEnd w:id="586"/>
      <w:bookmarkEnd w:id="587"/>
      <w:bookmarkEnd w:id="588"/>
      <w:bookmarkEnd w:id="589"/>
      <w:bookmarkEnd w:id="590"/>
      <w:bookmarkEnd w:id="591"/>
      <w:bookmarkEnd w:id="592"/>
      <w:bookmarkEnd w:id="593"/>
      <w:bookmarkEnd w:id="594"/>
      <w:bookmarkEnd w:id="595"/>
      <w:bookmarkEnd w:id="596"/>
    </w:p>
    <w:p w14:paraId="51DF84EA">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597" w:name="_Toc15807"/>
      <w:bookmarkStart w:id="598" w:name="_Toc221951141"/>
      <w:bookmarkStart w:id="599" w:name="_Toc15526"/>
      <w:bookmarkStart w:id="600" w:name="_Toc12213"/>
      <w:bookmarkStart w:id="601" w:name="_Toc1927"/>
      <w:r>
        <w:rPr>
          <w:rFonts w:hint="eastAsia" w:ascii="宋体" w:hAnsi="宋体" w:eastAsia="宋体"/>
          <w:b/>
          <w:color w:val="auto"/>
          <w:sz w:val="24"/>
          <w:szCs w:val="24"/>
          <w:highlight w:val="none"/>
          <w:lang w:eastAsia="zh-CN"/>
        </w:rPr>
        <w:t>3.1 监理人的职责和权力</w:t>
      </w:r>
      <w:bookmarkEnd w:id="597"/>
      <w:bookmarkEnd w:id="598"/>
      <w:bookmarkEnd w:id="599"/>
      <w:bookmarkEnd w:id="600"/>
      <w:bookmarkEnd w:id="601"/>
    </w:p>
    <w:p w14:paraId="7D789FDA">
      <w:pPr>
        <w:pStyle w:val="18"/>
        <w:spacing w:line="360" w:lineRule="auto"/>
        <w:ind w:firstLine="420" w:firstLineChars="200"/>
        <w:rPr>
          <w:rFonts w:ascii="宋体" w:hAnsi="宋体" w:cs="宋体"/>
          <w:color w:val="auto"/>
          <w:sz w:val="21"/>
          <w:szCs w:val="21"/>
          <w:highlight w:val="none"/>
          <w:lang w:eastAsia="zh-CN"/>
        </w:rPr>
      </w:pPr>
      <w:bookmarkStart w:id="602" w:name="_Toc221951142"/>
      <w:r>
        <w:rPr>
          <w:rFonts w:hint="eastAsia" w:ascii="宋体" w:hAnsi="宋体" w:cs="宋体"/>
          <w:color w:val="auto"/>
          <w:sz w:val="21"/>
          <w:szCs w:val="21"/>
          <w:highlight w:val="none"/>
          <w:lang w:eastAsia="zh-CN"/>
        </w:rPr>
        <w:t>3.1.1</w:t>
      </w:r>
      <w:bookmarkEnd w:id="602"/>
      <w:r>
        <w:rPr>
          <w:rFonts w:hint="eastAsia" w:ascii="宋体" w:hAnsi="宋体" w:cs="宋体"/>
          <w:color w:val="auto"/>
          <w:sz w:val="21"/>
          <w:szCs w:val="21"/>
          <w:highlight w:val="none"/>
          <w:lang w:eastAsia="zh-CN"/>
        </w:rPr>
        <w:t>　</w:t>
      </w:r>
      <w:bookmarkStart w:id="603" w:name="_Toc221951143"/>
      <w:r>
        <w:rPr>
          <w:rFonts w:hint="eastAsia" w:ascii="宋体" w:hAnsi="宋体" w:cs="宋体"/>
          <w:color w:val="auto"/>
          <w:sz w:val="21"/>
          <w:szCs w:val="21"/>
          <w:highlight w:val="none"/>
          <w:lang w:eastAsia="zh-CN"/>
        </w:rPr>
        <w:t>监理人须根据发包人事先批准的权力范围行使权力，发包人批准的权力范围：</w:t>
      </w:r>
      <w:bookmarkEnd w:id="603"/>
      <w:r>
        <w:rPr>
          <w:rFonts w:hint="eastAsia" w:ascii="宋体" w:hAnsi="宋体" w:cs="宋体"/>
          <w:color w:val="auto"/>
          <w:sz w:val="21"/>
          <w:szCs w:val="21"/>
          <w:highlight w:val="none"/>
          <w:u w:val="single"/>
          <w:lang w:eastAsia="zh-CN"/>
        </w:rPr>
        <w:t xml:space="preserve">按本工程委托监理合同 </w:t>
      </w:r>
      <w:r>
        <w:rPr>
          <w:rFonts w:hint="eastAsia" w:ascii="宋体" w:hAnsi="宋体" w:cs="宋体"/>
          <w:color w:val="auto"/>
          <w:sz w:val="21"/>
          <w:szCs w:val="21"/>
          <w:highlight w:val="none"/>
          <w:lang w:eastAsia="zh-CN"/>
        </w:rPr>
        <w:t>。</w:t>
      </w:r>
    </w:p>
    <w:p w14:paraId="1D7D41C5">
      <w:pPr>
        <w:pStyle w:val="39"/>
        <w:keepNext/>
        <w:keepLines/>
        <w:spacing w:before="280" w:after="290" w:line="372" w:lineRule="auto"/>
        <w:outlineLvl w:val="4"/>
        <w:rPr>
          <w:rFonts w:hint="eastAsia"/>
          <w:b/>
          <w:color w:val="auto"/>
          <w:sz w:val="30"/>
          <w:szCs w:val="30"/>
          <w:highlight w:val="none"/>
          <w:lang w:eastAsia="zh-CN"/>
        </w:rPr>
      </w:pPr>
      <w:bookmarkStart w:id="604" w:name="_Toc23291"/>
      <w:bookmarkStart w:id="605" w:name="_Toc222032699"/>
      <w:bookmarkStart w:id="606" w:name="_Toc2948173"/>
      <w:bookmarkStart w:id="607" w:name="_Toc222031032"/>
      <w:bookmarkStart w:id="608" w:name="_Toc221951150"/>
      <w:bookmarkStart w:id="609" w:name="_Toc15692"/>
      <w:bookmarkStart w:id="610" w:name="_Toc2936719"/>
      <w:bookmarkStart w:id="611" w:name="_Toc222029530"/>
      <w:bookmarkStart w:id="612" w:name="_Toc222033881"/>
      <w:bookmarkStart w:id="613" w:name="_Toc229305390"/>
      <w:bookmarkStart w:id="614" w:name="_Toc2936475"/>
      <w:r>
        <w:rPr>
          <w:rFonts w:hint="eastAsia"/>
          <w:b/>
          <w:color w:val="auto"/>
          <w:sz w:val="30"/>
          <w:szCs w:val="30"/>
          <w:highlight w:val="none"/>
          <w:lang w:eastAsia="zh-CN"/>
        </w:rPr>
        <w:t>4. 承包人</w:t>
      </w:r>
      <w:bookmarkEnd w:id="604"/>
      <w:bookmarkEnd w:id="605"/>
      <w:bookmarkEnd w:id="606"/>
      <w:bookmarkEnd w:id="607"/>
      <w:bookmarkEnd w:id="608"/>
      <w:bookmarkEnd w:id="609"/>
      <w:bookmarkEnd w:id="610"/>
      <w:bookmarkEnd w:id="611"/>
      <w:bookmarkEnd w:id="612"/>
      <w:bookmarkEnd w:id="613"/>
      <w:bookmarkEnd w:id="614"/>
    </w:p>
    <w:p w14:paraId="08ACA0A4">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15" w:name="_Toc653"/>
      <w:bookmarkStart w:id="616" w:name="_Toc23999"/>
      <w:bookmarkStart w:id="617" w:name="_Toc4657"/>
      <w:bookmarkStart w:id="618" w:name="_Toc10499"/>
      <w:bookmarkStart w:id="619" w:name="_Toc221951151"/>
      <w:r>
        <w:rPr>
          <w:rFonts w:hint="eastAsia" w:ascii="宋体" w:hAnsi="宋体" w:eastAsia="宋体"/>
          <w:b/>
          <w:color w:val="auto"/>
          <w:sz w:val="24"/>
          <w:szCs w:val="24"/>
          <w:highlight w:val="none"/>
          <w:lang w:eastAsia="zh-CN"/>
        </w:rPr>
        <w:t>4.1 承包人的一般义务</w:t>
      </w:r>
      <w:bookmarkEnd w:id="615"/>
      <w:bookmarkEnd w:id="616"/>
      <w:bookmarkEnd w:id="617"/>
      <w:bookmarkEnd w:id="618"/>
      <w:bookmarkEnd w:id="619"/>
    </w:p>
    <w:p w14:paraId="69B58DAE">
      <w:pPr>
        <w:pStyle w:val="18"/>
        <w:spacing w:line="360" w:lineRule="auto"/>
        <w:ind w:firstLine="413" w:firstLineChars="196"/>
        <w:rPr>
          <w:rFonts w:ascii="宋体" w:hAnsi="宋体" w:cs="宋体"/>
          <w:b/>
          <w:color w:val="auto"/>
          <w:sz w:val="21"/>
          <w:szCs w:val="21"/>
          <w:highlight w:val="none"/>
          <w:lang w:eastAsia="zh-CN"/>
        </w:rPr>
      </w:pPr>
      <w:bookmarkStart w:id="620" w:name="_Toc221951152"/>
      <w:r>
        <w:rPr>
          <w:rFonts w:hint="default" w:ascii="Times New Roman" w:hAnsi="Times New Roman" w:cs="Times New Roman"/>
          <w:b/>
          <w:color w:val="auto"/>
          <w:sz w:val="21"/>
          <w:szCs w:val="21"/>
          <w:highlight w:val="none"/>
          <w:lang w:eastAsia="zh-CN"/>
        </w:rPr>
        <w:t>4.1.10</w:t>
      </w:r>
      <w:r>
        <w:rPr>
          <w:rFonts w:hint="eastAsia" w:ascii="宋体" w:hAnsi="宋体" w:cs="宋体"/>
          <w:b/>
          <w:color w:val="auto"/>
          <w:sz w:val="21"/>
          <w:szCs w:val="21"/>
          <w:highlight w:val="none"/>
          <w:lang w:eastAsia="zh-CN"/>
        </w:rPr>
        <w:t xml:space="preserve"> 其他义务</w:t>
      </w:r>
      <w:bookmarkEnd w:id="620"/>
    </w:p>
    <w:p w14:paraId="684A5DF0">
      <w:pPr>
        <w:pStyle w:val="18"/>
        <w:spacing w:line="360" w:lineRule="auto"/>
        <w:ind w:firstLine="420" w:firstLineChars="200"/>
        <w:rPr>
          <w:rFonts w:ascii="宋体" w:hAnsi="宋体" w:cs="宋体"/>
          <w:color w:val="auto"/>
          <w:sz w:val="21"/>
          <w:szCs w:val="21"/>
          <w:highlight w:val="none"/>
          <w:lang w:eastAsia="zh-CN"/>
        </w:rPr>
      </w:pPr>
      <w:bookmarkStart w:id="621" w:name="_Toc7512"/>
      <w:bookmarkStart w:id="622" w:name="_Toc32751"/>
      <w:bookmarkStart w:id="623" w:name="_Toc29213"/>
      <w:r>
        <w:rPr>
          <w:rFonts w:hint="eastAsia" w:ascii="宋体" w:hAnsi="宋体" w:cs="宋体"/>
          <w:color w:val="auto"/>
          <w:sz w:val="21"/>
          <w:szCs w:val="21"/>
          <w:highlight w:val="none"/>
          <w:lang w:eastAsia="zh-CN"/>
        </w:rPr>
        <w:t>（一）办理有关保险。</w:t>
      </w:r>
      <w:bookmarkEnd w:id="621"/>
      <w:bookmarkEnd w:id="622"/>
      <w:bookmarkEnd w:id="623"/>
    </w:p>
    <w:p w14:paraId="4FE98E55">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按照《中华人民共和国建筑法》规定，必须在工程开工前，为参加本合同工程现场施工的所有作业人员及管理人员，包括参加工程建设的管理人员、施工人员(含民工)办理工伤保险，并缴纳工伤保险费。保险期限自投保之日(工程开工之日)起至工程竣工验收时止, 时间上涵盖施工全过程的任一时段。</w:t>
      </w:r>
    </w:p>
    <w:p w14:paraId="18E88B81">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按照《中华人民共和国建筑法》规定，鼓励为从事危险作业的职工办理意外伤害保险。</w:t>
      </w:r>
    </w:p>
    <w:p w14:paraId="7605553B">
      <w:pPr>
        <w:pStyle w:val="18"/>
        <w:spacing w:line="360" w:lineRule="auto"/>
        <w:ind w:left="105" w:leftChars="50" w:firstLine="315" w:firstLineChars="150"/>
        <w:rPr>
          <w:rFonts w:hint="eastAsia" w:eastAsia="宋体"/>
          <w:color w:val="auto"/>
          <w:highlight w:val="none"/>
          <w:lang w:eastAsia="zh-CN"/>
        </w:rPr>
      </w:pPr>
      <w:bookmarkStart w:id="624" w:name="_Toc716"/>
      <w:bookmarkStart w:id="625" w:name="_Toc5853"/>
      <w:bookmarkStart w:id="626" w:name="_Toc25228"/>
      <w:r>
        <w:rPr>
          <w:rFonts w:hint="eastAsia" w:ascii="宋体" w:hAnsi="宋体" w:cs="宋体"/>
          <w:color w:val="auto"/>
          <w:sz w:val="21"/>
          <w:szCs w:val="21"/>
          <w:highlight w:val="none"/>
          <w:lang w:eastAsia="zh-CN"/>
        </w:rPr>
        <w:t>（二）</w:t>
      </w:r>
      <w:bookmarkEnd w:id="624"/>
      <w:bookmarkEnd w:id="625"/>
      <w:bookmarkEnd w:id="626"/>
      <w:bookmarkStart w:id="627" w:name="_Toc8583"/>
      <w:bookmarkStart w:id="628" w:name="_Toc21893"/>
      <w:bookmarkStart w:id="629" w:name="_Toc14911"/>
      <w:r>
        <w:rPr>
          <w:rFonts w:hint="eastAsia" w:ascii="宋体" w:hAnsi="宋体" w:cs="宋体"/>
          <w:color w:val="auto"/>
          <w:sz w:val="21"/>
          <w:szCs w:val="21"/>
          <w:highlight w:val="none"/>
          <w:lang w:eastAsia="zh-CN"/>
        </w:rPr>
        <w:t>依法与招用的农民工签订并履行劳动合同，建立职工名册，及时办理劳动用工备案。实行农民工工资专用账户管理、银行代发农民工工资制度和农民工工资保证金制度等。根据《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执行农民工工资保证金有关制度，按照《广西壮族自治区人力资源和社会保障厅等8部门关于印发广西壮族自治区工程建设领域农民工工资专用账户管理暂行办法实施细则的通知》做好农民工工资专用账户管理工作</w:t>
      </w:r>
      <w:r>
        <w:rPr>
          <w:rFonts w:ascii="宋体" w:hAnsi="宋体" w:eastAsia="宋体" w:cs="宋体"/>
          <w:color w:val="auto"/>
          <w:sz w:val="21"/>
          <w:szCs w:val="21"/>
          <w:highlight w:val="none"/>
          <w:lang w:eastAsia="zh-CN"/>
        </w:rPr>
        <w:t>。</w:t>
      </w:r>
      <w:bookmarkEnd w:id="627"/>
      <w:bookmarkEnd w:id="628"/>
      <w:bookmarkEnd w:id="629"/>
    </w:p>
    <w:p w14:paraId="3BFC5AF3">
      <w:pPr>
        <w:pStyle w:val="18"/>
        <w:spacing w:line="360" w:lineRule="auto"/>
        <w:ind w:firstLine="420" w:firstLineChars="200"/>
        <w:rPr>
          <w:rFonts w:ascii="宋体" w:hAnsi="宋体" w:cs="宋体"/>
          <w:color w:val="auto"/>
          <w:sz w:val="21"/>
          <w:szCs w:val="21"/>
          <w:highlight w:val="none"/>
          <w:lang w:eastAsia="zh-CN"/>
        </w:rPr>
      </w:pPr>
      <w:bookmarkStart w:id="630" w:name="_Toc15654"/>
      <w:bookmarkStart w:id="631" w:name="_Toc27736"/>
      <w:bookmarkStart w:id="632" w:name="_Toc21696"/>
      <w:r>
        <w:rPr>
          <w:rFonts w:hint="eastAsia" w:ascii="宋体" w:hAnsi="宋体" w:cs="宋体"/>
          <w:color w:val="auto"/>
          <w:sz w:val="21"/>
          <w:szCs w:val="21"/>
          <w:highlight w:val="none"/>
          <w:lang w:eastAsia="zh-CN"/>
        </w:rPr>
        <w:t>（三）工程施工的义务和责任</w:t>
      </w:r>
      <w:bookmarkEnd w:id="630"/>
      <w:bookmarkEnd w:id="631"/>
      <w:bookmarkEnd w:id="632"/>
    </w:p>
    <w:p w14:paraId="5CA263C9">
      <w:pPr>
        <w:pStyle w:val="18"/>
        <w:spacing w:line="360" w:lineRule="auto"/>
        <w:ind w:firstLine="420" w:firstLineChars="200"/>
        <w:rPr>
          <w:rFonts w:ascii="宋体" w:hAnsi="宋体" w:cs="宋体"/>
          <w:color w:val="auto"/>
          <w:sz w:val="21"/>
          <w:szCs w:val="21"/>
          <w:highlight w:val="none"/>
          <w:lang w:eastAsia="zh-CN"/>
        </w:rPr>
      </w:pPr>
      <w:bookmarkStart w:id="633" w:name="_Toc221951153"/>
      <w:r>
        <w:rPr>
          <w:rFonts w:hint="eastAsia" w:ascii="宋体" w:hAnsi="宋体" w:cs="宋体"/>
          <w:color w:val="auto"/>
          <w:sz w:val="21"/>
          <w:szCs w:val="21"/>
          <w:highlight w:val="none"/>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7CADBF07">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（2）除民房外，承包人应按监理人的指示负责拆除、清理已征用土地上的杂物、灌木、树木、树根、杂草等。</w:t>
      </w:r>
    </w:p>
    <w:p w14:paraId="4869C89B">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（3）承包人应充分理解有一些设施（如施工道路、桥梁）可能会有其它人和单位使用通行，在使用过程中发生干扰时，应立即通知监理人并服从监理人的决定。</w:t>
      </w:r>
    </w:p>
    <w:p w14:paraId="3C1C4737">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（4）承包人应为监理人、发包人现场代表对施工现场的检查监督提供必要的配合，并对这种配合对施工的影响应有充分的考虑。</w:t>
      </w:r>
    </w:p>
    <w:p w14:paraId="7E8BC33C">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（5）工程竣工后，承包人应按监理人的指示清理施工现场直至监理人、发包人满意为止。</w:t>
      </w:r>
    </w:p>
    <w:p w14:paraId="272009AC">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（6）对上述（1）～（5）项工作，费用已包括在有关单价和总价中，发包人不再另行支付由此所发生的一切费用。</w:t>
      </w:r>
    </w:p>
    <w:p w14:paraId="7F880BDB">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96E8213">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（8）承包人必须文明、安全施工，在施工期间发生的一切人员伤亡和财产损失等责任事故和所发生的一切费用概由承包人承担。</w:t>
      </w:r>
    </w:p>
    <w:p w14:paraId="22DB1679">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（9）按照发包人的要求做好安全文明宣传、监督检查宣传等工作，相关费用由承包人承担。</w:t>
      </w:r>
    </w:p>
    <w:p w14:paraId="7B9B8274">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（10）承包人应按约定时间和要求，完成以下工作：</w:t>
      </w:r>
    </w:p>
    <w:p w14:paraId="43D7E138">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①按时提交施工组织设计、单位工程的施工方案。                     </w:t>
      </w:r>
    </w:p>
    <w:p w14:paraId="2753A6E5">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②每月25日向监理人提交当月工程进度报表及下月进度计划。</w:t>
      </w:r>
    </w:p>
    <w:p w14:paraId="7D620F10">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③承包人自行负责施工安全保卫工作及夜间施工照明。                                                                           </w:t>
      </w:r>
    </w:p>
    <w:p w14:paraId="14BCF971">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④需承包人办理的有关施工场地交通、环卫和施工噪音降尘管理等手续：遵守有关部门对施工现场交通、环卫和施工噪音降尘管理规定，如有发生，费用由承包人承担。             </w:t>
      </w:r>
    </w:p>
    <w:p w14:paraId="1A3CBC1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⑤已完工程成品保护的特殊要求及费用承担：已完工工程未交付发包人之前，承包人按协议条款约定负责已完成工程的成品保护工作，保护期间发生损坏，承包人自费予以修复。                        </w:t>
      </w:r>
    </w:p>
    <w:p w14:paraId="579B56C1">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⑥承包人有义务对施工场地周围管线（含地上及地下）和邻近建筑物、构筑物(含文物保护建筑)、古树名木等进行探明并负责保护。                                              </w:t>
      </w:r>
    </w:p>
    <w:p w14:paraId="65E059F0">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⑦施工场地清洁卫生的要求：按城建卫生有关规定执行，由承包人负责，费用由承包人承担。 </w:t>
      </w:r>
    </w:p>
    <w:p w14:paraId="4F163075">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⑧承包人承担施工场地、水电及运输通道的修建和维护、清场等费用。</w:t>
      </w:r>
    </w:p>
    <w:p w14:paraId="193E4070">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（11）双方约定承包人应做的其他工作：</w:t>
      </w:r>
    </w:p>
    <w:p w14:paraId="1AE3AAB6">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14:paraId="661F8E9C">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②工程完工后，承包人应按监理人的指示清理施工现场。并在工程完工后6个月内完成并提交工程竣工资料和工程结算资料。承包人逾期提交，发包人将对承包人的拖延行为视为违约，并按100元/天计算违约金，违约金从承包人应得的工程款中扣除，但其最终的累计总金额与各项逾期完工违约金合计不超过合同价格的5％。</w:t>
      </w:r>
    </w:p>
    <w:p w14:paraId="47D366F7">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（12）其他未尽事宜待签订施工合同时双方再协商。</w:t>
      </w:r>
    </w:p>
    <w:p w14:paraId="699603FB">
      <w:pPr>
        <w:pStyle w:val="18"/>
        <w:spacing w:line="360" w:lineRule="auto"/>
        <w:ind w:firstLine="420" w:firstLineChars="200"/>
        <w:rPr>
          <w:rFonts w:ascii="宋体" w:hAnsi="宋体" w:cs="宋体"/>
          <w:color w:val="auto"/>
          <w:sz w:val="21"/>
          <w:szCs w:val="21"/>
          <w:highlight w:val="none"/>
          <w:lang w:eastAsia="zh-CN"/>
        </w:rPr>
      </w:pPr>
      <w:bookmarkStart w:id="634" w:name="_Toc19942"/>
      <w:bookmarkStart w:id="635" w:name="_Toc22216"/>
      <w:bookmarkStart w:id="636" w:name="_Toc20907"/>
      <w:r>
        <w:rPr>
          <w:rFonts w:hint="eastAsia" w:ascii="宋体" w:hAnsi="宋体" w:cs="宋体"/>
          <w:color w:val="auto"/>
          <w:sz w:val="21"/>
          <w:szCs w:val="21"/>
          <w:highlight w:val="none"/>
          <w:lang w:eastAsia="zh-CN"/>
        </w:rPr>
        <w:t>（四）鼓励承包人根据工程建设实际，吸纳建档立卡贫困劳动力参加工程建设。</w:t>
      </w:r>
      <w:bookmarkEnd w:id="634"/>
      <w:bookmarkEnd w:id="635"/>
      <w:bookmarkEnd w:id="636"/>
    </w:p>
    <w:p w14:paraId="1B341138">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（五）执行自治区关于松材线虫病防控工作的有关规定，工程建设采用的模板、支撑及脚手架以钢模板、钢支撑为主，木质模板及仿材尽量就地采购，避免长途转运。</w:t>
      </w:r>
    </w:p>
    <w:p w14:paraId="7B8BD088">
      <w:pPr>
        <w:pStyle w:val="39"/>
        <w:keepNext/>
        <w:keepLines/>
        <w:spacing w:before="240" w:after="64" w:line="317" w:lineRule="auto"/>
        <w:outlineLvl w:val="5"/>
        <w:rPr>
          <w:rFonts w:hint="eastAsia" w:ascii="宋体" w:hAnsi="宋体" w:eastAsia="宋体" w:cs="Times New Roman"/>
          <w:b/>
          <w:color w:val="auto"/>
          <w:sz w:val="24"/>
          <w:szCs w:val="24"/>
          <w:highlight w:val="none"/>
          <w:lang w:eastAsia="zh-CN"/>
        </w:rPr>
      </w:pPr>
      <w:bookmarkStart w:id="637" w:name="_Toc16498"/>
      <w:bookmarkStart w:id="638" w:name="_Toc32292"/>
      <w:bookmarkStart w:id="639" w:name="_Toc3179"/>
      <w:bookmarkStart w:id="640" w:name="_Toc24519"/>
      <w:r>
        <w:rPr>
          <w:rFonts w:hint="eastAsia" w:ascii="宋体" w:hAnsi="宋体" w:eastAsia="宋体" w:cs="Times New Roman"/>
          <w:b/>
          <w:color w:val="auto"/>
          <w:sz w:val="24"/>
          <w:szCs w:val="24"/>
          <w:highlight w:val="none"/>
          <w:lang w:eastAsia="zh-CN"/>
        </w:rPr>
        <w:t>4.2履约担保</w:t>
      </w:r>
    </w:p>
    <w:p w14:paraId="0BE43972">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4.2.1本工程履约担保可采取银行担保、银行转账、工程担保或保证保险等形式（严禁要求中标人以现金方式提交保证金的行为），不计利息，按中标合同金额的</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%交纳。</w:t>
      </w:r>
    </w:p>
    <w:p w14:paraId="01776275">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4.2.2履约保证金金额：按中标金额的</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7F90F9F2">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4.2.3履约保证金递交方式：转帐、网上银行支付等非现金形式。</w:t>
      </w:r>
    </w:p>
    <w:p w14:paraId="01ED0E9F">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eastAsia="宋体" w:cs="宋体"/>
          <w:color w:val="auto"/>
          <w:sz w:val="21"/>
          <w:szCs w:val="21"/>
          <w:highlight w:val="none"/>
          <w:lang w:eastAsia="zh-CN"/>
        </w:rPr>
      </w:pP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1</w:t>
      </w:r>
      <w:r>
        <w:rPr>
          <w:rFonts w:hint="eastAsia" w:eastAsia="宋体" w:cs="宋体"/>
          <w:color w:val="auto"/>
          <w:sz w:val="21"/>
          <w:szCs w:val="21"/>
          <w:highlight w:val="none"/>
          <w:lang w:eastAsia="zh-CN"/>
        </w:rPr>
        <w:t xml:space="preserve">）履约保证金采取银行转账形式的，缴纳至以下账户：  </w:t>
      </w:r>
    </w:p>
    <w:p w14:paraId="55F50FE8">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eastAsia="宋体" w:cs="宋体"/>
          <w:color w:val="auto"/>
          <w:sz w:val="21"/>
          <w:szCs w:val="21"/>
          <w:highlight w:val="none"/>
          <w:lang w:eastAsia="zh-CN"/>
        </w:rPr>
      </w:pPr>
      <w:r>
        <w:rPr>
          <w:rFonts w:hint="eastAsia" w:eastAsia="宋体" w:cs="宋体"/>
          <w:color w:val="auto"/>
          <w:sz w:val="21"/>
          <w:szCs w:val="21"/>
          <w:highlight w:val="none"/>
          <w:lang w:eastAsia="zh-CN"/>
        </w:rPr>
        <w:t>户名：</w:t>
      </w:r>
      <w:r>
        <w:rPr>
          <w:rFonts w:hint="eastAsia" w:cs="宋体"/>
          <w:color w:val="auto"/>
          <w:sz w:val="21"/>
          <w:szCs w:val="21"/>
          <w:highlight w:val="none"/>
          <w:lang w:val="en-US" w:eastAsia="zh-CN"/>
        </w:rPr>
        <w:t xml:space="preserve"> </w:t>
      </w:r>
    </w:p>
    <w:p w14:paraId="33414281">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eastAsia="宋体" w:cs="宋体"/>
          <w:color w:val="auto"/>
          <w:sz w:val="21"/>
          <w:szCs w:val="21"/>
          <w:highlight w:val="none"/>
          <w:lang w:eastAsia="zh-CN"/>
        </w:rPr>
      </w:pPr>
      <w:r>
        <w:rPr>
          <w:rFonts w:hint="eastAsia" w:eastAsia="宋体" w:cs="宋体"/>
          <w:color w:val="auto"/>
          <w:sz w:val="21"/>
          <w:szCs w:val="21"/>
          <w:highlight w:val="none"/>
          <w:lang w:eastAsia="zh-CN"/>
        </w:rPr>
        <w:t>账号：</w:t>
      </w:r>
      <w:r>
        <w:rPr>
          <w:rFonts w:hint="eastAsia" w:cs="宋体"/>
          <w:color w:val="auto"/>
          <w:sz w:val="21"/>
          <w:szCs w:val="21"/>
          <w:highlight w:val="none"/>
          <w:lang w:val="en-US" w:eastAsia="zh-CN"/>
        </w:rPr>
        <w:t xml:space="preserve"> </w:t>
      </w:r>
    </w:p>
    <w:p w14:paraId="5CBB5A2B">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eastAsia="宋体" w:cs="宋体"/>
          <w:color w:val="auto"/>
          <w:sz w:val="21"/>
          <w:szCs w:val="21"/>
          <w:highlight w:val="none"/>
          <w:lang w:eastAsia="zh-CN"/>
        </w:rPr>
      </w:pPr>
      <w:r>
        <w:rPr>
          <w:rFonts w:hint="eastAsia" w:eastAsia="宋体" w:cs="宋体"/>
          <w:color w:val="auto"/>
          <w:sz w:val="21"/>
          <w:szCs w:val="21"/>
          <w:highlight w:val="none"/>
          <w:lang w:eastAsia="zh-CN"/>
        </w:rPr>
        <w:t>开户行：</w:t>
      </w:r>
      <w:r>
        <w:rPr>
          <w:rFonts w:hint="eastAsia" w:cs="宋体"/>
          <w:color w:val="auto"/>
          <w:sz w:val="21"/>
          <w:szCs w:val="21"/>
          <w:highlight w:val="none"/>
          <w:lang w:val="en-US" w:eastAsia="zh-CN"/>
        </w:rPr>
        <w:t xml:space="preserve"> </w:t>
      </w:r>
    </w:p>
    <w:p w14:paraId="24B1EA99">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4.4.4</w:t>
      </w:r>
      <w:r>
        <w:rPr>
          <w:rFonts w:hint="eastAsia" w:ascii="宋体" w:hAnsi="宋体" w:eastAsia="宋体" w:cs="宋体"/>
          <w:color w:val="auto"/>
          <w:sz w:val="21"/>
          <w:szCs w:val="21"/>
          <w:highlight w:val="none"/>
          <w:lang w:val="en-US" w:eastAsia="zh-CN"/>
        </w:rPr>
        <w:t>履约保证金返还：履约保证金必须在招标人书面确认项目完成并同意后才能退还，并无息退还到中标人的基本帐户，返还时中标人须提供以下资料：</w:t>
      </w:r>
    </w:p>
    <w:p w14:paraId="11FC127D">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（1）《履约保证金返还审批表》一式四份；</w:t>
      </w:r>
    </w:p>
    <w:p w14:paraId="42B5A7F1">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合同工程完工证书</w:t>
      </w:r>
      <w:r>
        <w:rPr>
          <w:rFonts w:hint="eastAsia" w:ascii="宋体" w:hAnsi="宋体" w:eastAsia="宋体" w:cs="宋体"/>
          <w:color w:val="auto"/>
          <w:sz w:val="21"/>
          <w:szCs w:val="21"/>
          <w:highlight w:val="none"/>
        </w:rPr>
        <w:t>》；</w:t>
      </w:r>
    </w:p>
    <w:p w14:paraId="46E6C99F">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（3）《合同》复印件；</w:t>
      </w:r>
    </w:p>
    <w:p w14:paraId="62AF5A86">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（4）银行开户许可证或银行转账底单复印件（加盖公章）。</w:t>
      </w:r>
    </w:p>
    <w:p w14:paraId="0436DA50">
      <w:pPr>
        <w:pStyle w:val="52"/>
        <w:pageBreakBefore w:val="0"/>
        <w:widowControl w:val="0"/>
        <w:tabs>
          <w:tab w:val="left" w:pos="1030"/>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履约保证金不足额缴纳的，或金融机构、担保机构出具的保函额度不足的或者保函有效期低于合同履行期限（即签订合同之日起至履行完合同约定的权利及义务之日止）的，不予签订合同。（2）采用金融机构、担保机构出具的保函的，必须为无条件保函，否则不予签订合同。</w:t>
      </w:r>
    </w:p>
    <w:p w14:paraId="4ABA4A48">
      <w:pPr>
        <w:pStyle w:val="39"/>
        <w:keepNext/>
        <w:keepLines/>
        <w:spacing w:before="240" w:after="64" w:line="317" w:lineRule="auto"/>
        <w:outlineLvl w:val="5"/>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4.3 分包</w:t>
      </w:r>
      <w:bookmarkEnd w:id="633"/>
      <w:bookmarkEnd w:id="637"/>
      <w:bookmarkEnd w:id="638"/>
      <w:bookmarkEnd w:id="639"/>
      <w:bookmarkEnd w:id="640"/>
    </w:p>
    <w:p w14:paraId="261FF750">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4.3.2 </w:t>
      </w:r>
      <w:r>
        <w:rPr>
          <w:rFonts w:hint="eastAsia" w:ascii="宋体" w:hAnsi="宋体" w:cs="宋体"/>
          <w:color w:val="auto"/>
          <w:sz w:val="21"/>
          <w:szCs w:val="21"/>
          <w:highlight w:val="none"/>
          <w:lang w:eastAsia="zh-CN"/>
        </w:rPr>
        <w:t>允许承包人分包的工程项目、工作内容与分包金额限额为：</w:t>
      </w:r>
    </w:p>
    <w:p w14:paraId="5DE00E34">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（1）工程项目：</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p>
    <w:p w14:paraId="3E2625F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（2）工作内容：</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p>
    <w:p w14:paraId="2717ADCA">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（3）分包金额限额：</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p>
    <w:p w14:paraId="5788462E">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4.3.10 </w:t>
      </w:r>
      <w:r>
        <w:rPr>
          <w:rFonts w:hint="eastAsia" w:ascii="宋体" w:hAnsi="宋体" w:cs="宋体"/>
          <w:color w:val="auto"/>
          <w:sz w:val="21"/>
          <w:szCs w:val="21"/>
          <w:highlight w:val="none"/>
          <w:lang w:eastAsia="zh-CN"/>
        </w:rPr>
        <w:t>分包人项目管理机构的设立：</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p>
    <w:p w14:paraId="674DE35E">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41" w:name="_Toc3448"/>
      <w:bookmarkStart w:id="642" w:name="_Toc7398"/>
      <w:bookmarkStart w:id="643" w:name="_Toc15335"/>
      <w:bookmarkStart w:id="644" w:name="_Toc12532"/>
      <w:r>
        <w:rPr>
          <w:rFonts w:hint="eastAsia" w:ascii="宋体" w:hAnsi="宋体" w:eastAsia="宋体"/>
          <w:b/>
          <w:color w:val="auto"/>
          <w:sz w:val="24"/>
          <w:szCs w:val="24"/>
          <w:highlight w:val="none"/>
          <w:lang w:val="en-US" w:eastAsia="zh-CN"/>
        </w:rPr>
        <w:t>4.5</w:t>
      </w:r>
      <w:bookmarkEnd w:id="641"/>
      <w:bookmarkEnd w:id="642"/>
      <w:r>
        <w:rPr>
          <w:rFonts w:hint="eastAsia" w:ascii="宋体" w:hAnsi="宋体" w:eastAsia="宋体"/>
          <w:b/>
          <w:color w:val="auto"/>
          <w:sz w:val="24"/>
          <w:szCs w:val="24"/>
          <w:highlight w:val="none"/>
          <w:lang w:val="en-US" w:eastAsia="zh-CN"/>
        </w:rPr>
        <w:t>承包人项目经理</w:t>
      </w:r>
    </w:p>
    <w:p w14:paraId="665EE2F3">
      <w:pPr>
        <w:pStyle w:val="18"/>
        <w:spacing w:line="360" w:lineRule="auto"/>
        <w:ind w:firstLine="420" w:firstLineChars="200"/>
        <w:rPr>
          <w:color w:val="auto"/>
          <w:highlight w:val="none"/>
        </w:rPr>
      </w:pPr>
      <w:r>
        <w:rPr>
          <w:rFonts w:hint="default" w:ascii="Times New Roman" w:hAnsi="Times New Roman" w:eastAsia="Times New Roman" w:cs="Times New Roman"/>
          <w:color w:val="auto"/>
          <w:kern w:val="0"/>
          <w:sz w:val="21"/>
          <w:szCs w:val="21"/>
          <w:highlight w:val="none"/>
          <w:lang w:val="en-US" w:eastAsia="zh-CN" w:bidi="en-US"/>
        </w:rPr>
        <w:t>4.5.5（1）同一施工项目经理不能同时在两个及以上的工程项目上担任施工项目经理（2）承包人应保证项目经理每月在工地现场的时间不少于</w:t>
      </w:r>
      <w:r>
        <w:rPr>
          <w:rFonts w:hint="default" w:ascii="Times New Roman" w:hAnsi="Times New Roman" w:eastAsia="Times New Roman" w:cs="Times New Roman"/>
          <w:color w:val="auto"/>
          <w:kern w:val="0"/>
          <w:sz w:val="21"/>
          <w:szCs w:val="21"/>
          <w:highlight w:val="none"/>
          <w:u w:val="single"/>
          <w:lang w:val="en-US" w:eastAsia="zh-CN" w:bidi="en-US"/>
        </w:rPr>
        <w:t xml:space="preserve"> 22 </w:t>
      </w:r>
      <w:r>
        <w:rPr>
          <w:rFonts w:hint="default" w:ascii="Times New Roman" w:hAnsi="Times New Roman" w:eastAsia="Times New Roman" w:cs="Times New Roman"/>
          <w:color w:val="auto"/>
          <w:kern w:val="0"/>
          <w:sz w:val="21"/>
          <w:szCs w:val="21"/>
          <w:highlight w:val="none"/>
          <w:lang w:val="en-US" w:eastAsia="zh-CN" w:bidi="en-US"/>
        </w:rPr>
        <w:t>日，否则将按每人每天人民币</w:t>
      </w:r>
      <w:r>
        <w:rPr>
          <w:rFonts w:hint="default" w:ascii="Times New Roman" w:hAnsi="Times New Roman" w:eastAsia="Times New Roman" w:cs="Times New Roman"/>
          <w:color w:val="auto"/>
          <w:kern w:val="0"/>
          <w:sz w:val="21"/>
          <w:szCs w:val="21"/>
          <w:highlight w:val="none"/>
          <w:u w:val="single"/>
          <w:lang w:val="en-US" w:eastAsia="zh-CN" w:bidi="en-US"/>
        </w:rPr>
        <w:t xml:space="preserve"> 500 </w:t>
      </w:r>
      <w:r>
        <w:rPr>
          <w:rFonts w:hint="default" w:ascii="Times New Roman" w:hAnsi="Times New Roman" w:eastAsia="Times New Roman" w:cs="Times New Roman"/>
          <w:color w:val="auto"/>
          <w:kern w:val="0"/>
          <w:sz w:val="21"/>
          <w:szCs w:val="21"/>
          <w:highlight w:val="none"/>
          <w:lang w:val="en-US" w:eastAsia="zh-CN" w:bidi="en-US"/>
        </w:rPr>
        <w:t>元的标准计算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r>
        <w:rPr>
          <w:rFonts w:hint="eastAsia" w:ascii="Times New Roman" w:hAnsi="Times New Roman" w:eastAsia="Times New Roman" w:cs="Times New Roman"/>
          <w:color w:val="auto"/>
          <w:kern w:val="0"/>
          <w:sz w:val="21"/>
          <w:szCs w:val="21"/>
          <w:highlight w:val="none"/>
          <w:lang w:val="en-US" w:eastAsia="zh-CN" w:bidi="en-US"/>
        </w:rPr>
        <w:t>。</w:t>
      </w:r>
      <w:r>
        <w:rPr>
          <w:rFonts w:hint="eastAsia" w:ascii="宋体" w:hAnsi="宋体" w:eastAsia="宋体" w:cs="宋体"/>
          <w:color w:val="auto"/>
          <w:kern w:val="0"/>
          <w:sz w:val="19"/>
          <w:szCs w:val="19"/>
          <w:highlight w:val="none"/>
          <w:lang w:val="en-US" w:eastAsia="zh-CN" w:bidi="ar"/>
        </w:rPr>
        <w:t xml:space="preserve"> </w:t>
      </w:r>
    </w:p>
    <w:p w14:paraId="4BE02F23">
      <w:pPr>
        <w:pStyle w:val="39"/>
        <w:keepNext/>
        <w:keepLines/>
        <w:spacing w:before="240" w:after="64" w:line="317" w:lineRule="auto"/>
        <w:outlineLvl w:val="5"/>
        <w:rPr>
          <w:rFonts w:hint="eastAsia" w:ascii="宋体" w:hAnsi="宋体" w:eastAsia="宋体"/>
          <w:b/>
          <w:color w:val="auto"/>
          <w:sz w:val="24"/>
          <w:szCs w:val="24"/>
          <w:highlight w:val="none"/>
          <w:lang w:val="en-US" w:eastAsia="zh-CN"/>
        </w:rPr>
      </w:pPr>
      <w:bookmarkStart w:id="645" w:name="_Toc28989"/>
      <w:bookmarkStart w:id="646" w:name="_Toc30203"/>
      <w:r>
        <w:rPr>
          <w:rFonts w:hint="eastAsia" w:ascii="宋体" w:hAnsi="宋体" w:eastAsia="宋体"/>
          <w:b/>
          <w:color w:val="auto"/>
          <w:sz w:val="24"/>
          <w:szCs w:val="24"/>
          <w:highlight w:val="none"/>
          <w:lang w:val="en-US" w:eastAsia="zh-CN"/>
        </w:rPr>
        <w:t>4.6 承包人人员的管理</w:t>
      </w:r>
      <w:bookmarkEnd w:id="645"/>
      <w:bookmarkEnd w:id="646"/>
      <w:r>
        <w:rPr>
          <w:rFonts w:hint="eastAsia" w:ascii="宋体" w:hAnsi="宋体" w:eastAsia="宋体"/>
          <w:b/>
          <w:color w:val="auto"/>
          <w:sz w:val="24"/>
          <w:szCs w:val="24"/>
          <w:highlight w:val="none"/>
          <w:lang w:val="en-US" w:eastAsia="zh-CN"/>
        </w:rPr>
        <w:t xml:space="preserve"> </w:t>
      </w:r>
    </w:p>
    <w:p w14:paraId="61E23603">
      <w:pPr>
        <w:pStyle w:val="18"/>
        <w:spacing w:line="360" w:lineRule="auto"/>
        <w:ind w:firstLine="420" w:firstLineChars="200"/>
        <w:rPr>
          <w:rFonts w:hint="eastAsia" w:ascii="Times New Roman" w:hAnsi="Times New Roman" w:eastAsia="Times New Roman" w:cs="Times New Roman"/>
          <w:color w:val="auto"/>
          <w:kern w:val="0"/>
          <w:sz w:val="21"/>
          <w:szCs w:val="21"/>
          <w:highlight w:val="none"/>
          <w:lang w:val="en-US" w:eastAsia="zh-CN" w:bidi="en-US"/>
        </w:rPr>
      </w:pPr>
      <w:r>
        <w:rPr>
          <w:rFonts w:hint="default" w:ascii="Times New Roman" w:hAnsi="Times New Roman" w:eastAsia="Times New Roman" w:cs="Times New Roman"/>
          <w:color w:val="auto"/>
          <w:kern w:val="0"/>
          <w:sz w:val="21"/>
          <w:szCs w:val="21"/>
          <w:highlight w:val="none"/>
          <w:lang w:val="en-US" w:eastAsia="zh-CN" w:bidi="en-US"/>
        </w:rPr>
        <w:t xml:space="preserve">4.6.5 </w:t>
      </w:r>
      <w:r>
        <w:rPr>
          <w:rFonts w:hint="eastAsia" w:ascii="Times New Roman" w:hAnsi="Times New Roman" w:eastAsia="Times New Roman" w:cs="Times New Roman"/>
          <w:color w:val="auto"/>
          <w:kern w:val="0"/>
          <w:sz w:val="21"/>
          <w:szCs w:val="21"/>
          <w:highlight w:val="none"/>
          <w:lang w:val="en-US" w:eastAsia="zh-CN" w:bidi="en-US"/>
        </w:rPr>
        <w:t>承包人应保证项目经理、技术负责人、质量管理人员、专职安全员每月在工地现场的时间不少于</w:t>
      </w:r>
      <w:r>
        <w:rPr>
          <w:rFonts w:hint="eastAsia" w:ascii="Times New Roman" w:hAnsi="Times New Roman" w:eastAsia="Times New Roman" w:cs="Times New Roman"/>
          <w:color w:val="auto"/>
          <w:kern w:val="0"/>
          <w:sz w:val="21"/>
          <w:szCs w:val="21"/>
          <w:highlight w:val="none"/>
          <w:u w:val="single"/>
          <w:lang w:val="en-US" w:eastAsia="zh-CN" w:bidi="en-US"/>
        </w:rPr>
        <w:t xml:space="preserve"> 22 </w:t>
      </w:r>
      <w:r>
        <w:rPr>
          <w:rFonts w:hint="eastAsia" w:ascii="Times New Roman" w:hAnsi="Times New Roman" w:eastAsia="Times New Roman" w:cs="Times New Roman"/>
          <w:color w:val="auto"/>
          <w:kern w:val="0"/>
          <w:sz w:val="21"/>
          <w:szCs w:val="21"/>
          <w:highlight w:val="none"/>
          <w:lang w:val="en-US" w:eastAsia="zh-CN" w:bidi="en-US"/>
        </w:rPr>
        <w:t>日，否则项目经理、技术负责人将按每人每天人民币</w:t>
      </w:r>
      <w:r>
        <w:rPr>
          <w:rFonts w:hint="eastAsia" w:ascii="Times New Roman" w:hAnsi="Times New Roman" w:eastAsia="Times New Roman" w:cs="Times New Roman"/>
          <w:color w:val="auto"/>
          <w:kern w:val="0"/>
          <w:sz w:val="21"/>
          <w:szCs w:val="21"/>
          <w:highlight w:val="none"/>
          <w:u w:val="single"/>
          <w:lang w:val="en-US" w:eastAsia="zh-CN" w:bidi="en-US"/>
        </w:rPr>
        <w:t xml:space="preserve">500 </w:t>
      </w:r>
      <w:r>
        <w:rPr>
          <w:rFonts w:hint="eastAsia" w:ascii="Times New Roman" w:hAnsi="Times New Roman" w:eastAsia="Times New Roman" w:cs="Times New Roman"/>
          <w:color w:val="auto"/>
          <w:kern w:val="0"/>
          <w:sz w:val="21"/>
          <w:szCs w:val="21"/>
          <w:highlight w:val="none"/>
          <w:lang w:val="en-US" w:eastAsia="zh-CN" w:bidi="en-US"/>
        </w:rPr>
        <w:t>元的标准计算违约金，质量管理人员、专职安全员将按每人每天人民币</w:t>
      </w:r>
      <w:r>
        <w:rPr>
          <w:rFonts w:hint="eastAsia" w:ascii="Times New Roman" w:hAnsi="Times New Roman" w:eastAsia="Times New Roman" w:cs="Times New Roman"/>
          <w:color w:val="auto"/>
          <w:kern w:val="0"/>
          <w:sz w:val="21"/>
          <w:szCs w:val="21"/>
          <w:highlight w:val="none"/>
          <w:u w:val="single"/>
          <w:lang w:val="en-US" w:eastAsia="zh-CN" w:bidi="en-US"/>
        </w:rPr>
        <w:t xml:space="preserve"> 300 </w:t>
      </w:r>
      <w:r>
        <w:rPr>
          <w:rFonts w:hint="eastAsia" w:ascii="Times New Roman" w:hAnsi="Times New Roman" w:eastAsia="Times New Roman" w:cs="Times New Roman"/>
          <w:color w:val="auto"/>
          <w:kern w:val="0"/>
          <w:sz w:val="21"/>
          <w:szCs w:val="21"/>
          <w:highlight w:val="none"/>
          <w:lang w:val="en-US" w:eastAsia="zh-CN" w:bidi="en-US"/>
        </w:rPr>
        <w:t>元的标准计算违约金，违约金在工程款中扣除。</w:t>
      </w:r>
    </w:p>
    <w:p w14:paraId="75970B03">
      <w:pPr>
        <w:pStyle w:val="18"/>
        <w:spacing w:line="360" w:lineRule="auto"/>
        <w:ind w:firstLine="420" w:firstLineChars="200"/>
        <w:rPr>
          <w:color w:val="auto"/>
          <w:highlight w:val="none"/>
        </w:rPr>
      </w:pPr>
      <w:r>
        <w:rPr>
          <w:rFonts w:hint="eastAsia" w:ascii="Times New Roman" w:hAnsi="Times New Roman" w:eastAsia="Times New Roman" w:cs="Times New Roman"/>
          <w:color w:val="auto"/>
          <w:kern w:val="0"/>
          <w:sz w:val="21"/>
          <w:szCs w:val="21"/>
          <w:highlight w:val="none"/>
          <w:lang w:val="en-US" w:eastAsia="zh-CN"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r>
        <w:rPr>
          <w:rFonts w:hint="eastAsia" w:ascii="宋体" w:hAnsi="宋体" w:eastAsia="宋体" w:cs="宋体"/>
          <w:color w:val="auto"/>
          <w:kern w:val="0"/>
          <w:sz w:val="19"/>
          <w:szCs w:val="19"/>
          <w:highlight w:val="none"/>
          <w:lang w:val="en-US" w:eastAsia="zh-CN" w:bidi="ar"/>
        </w:rPr>
        <w:t xml:space="preserve"> </w:t>
      </w:r>
    </w:p>
    <w:p w14:paraId="6EBB8C6A">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47" w:name="_Toc4373"/>
      <w:bookmarkStart w:id="648" w:name="_Toc2274"/>
      <w:r>
        <w:rPr>
          <w:rFonts w:hint="eastAsia" w:ascii="宋体" w:hAnsi="宋体" w:eastAsia="宋体"/>
          <w:b/>
          <w:color w:val="auto"/>
          <w:sz w:val="24"/>
          <w:szCs w:val="24"/>
          <w:highlight w:val="none"/>
          <w:lang w:eastAsia="zh-CN"/>
        </w:rPr>
        <w:t>4.7 撤换承包人项目经理和其他人员</w:t>
      </w:r>
      <w:bookmarkEnd w:id="643"/>
      <w:bookmarkEnd w:id="644"/>
      <w:bookmarkEnd w:id="647"/>
      <w:bookmarkEnd w:id="648"/>
    </w:p>
    <w:p w14:paraId="6666A769">
      <w:pPr>
        <w:pStyle w:val="52"/>
        <w:pageBreakBefore w:val="0"/>
        <w:widowControl w:val="0"/>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sym w:font="Wingdings 2" w:char="00A3"/>
      </w:r>
      <w:r>
        <w:rPr>
          <w:rFonts w:hint="eastAsia" w:ascii="宋体" w:hAnsi="宋体" w:eastAsia="宋体" w:cs="宋体"/>
          <w:color w:val="auto"/>
          <w:sz w:val="21"/>
          <w:szCs w:val="21"/>
          <w:highlight w:val="none"/>
          <w:lang w:val="en-US" w:bidi="en-US"/>
        </w:rPr>
        <w:t>4.7.</w:t>
      </w:r>
      <w:r>
        <w:rPr>
          <w:rFonts w:hint="eastAsia" w:ascii="宋体" w:hAnsi="宋体" w:eastAsia="宋体" w:cs="宋体"/>
          <w:color w:val="auto"/>
          <w:sz w:val="21"/>
          <w:szCs w:val="21"/>
          <w:highlight w:val="none"/>
        </w:rPr>
        <w:t>1中标人根据投标文件的承诺，投入本项目的项目经理、技术负责人、质量管理员、安全管理员等主要管理人员中标后不得更换(除因故去世、调离本单位</w:t>
      </w:r>
      <w:r>
        <w:rPr>
          <w:rFonts w:hint="eastAsia" w:ascii="宋体" w:hAnsi="宋体" w:eastAsia="宋体" w:cs="宋体"/>
          <w:color w:val="auto"/>
          <w:sz w:val="21"/>
          <w:szCs w:val="21"/>
          <w:highlight w:val="none"/>
          <w:lang w:eastAsia="zh-CN"/>
        </w:rPr>
        <w:t>、因病无法进行履行工作职责</w:t>
      </w:r>
      <w:r>
        <w:rPr>
          <w:rFonts w:hint="eastAsia" w:ascii="宋体" w:hAnsi="宋体" w:eastAsia="宋体" w:cs="宋体"/>
          <w:color w:val="auto"/>
          <w:sz w:val="21"/>
          <w:szCs w:val="21"/>
          <w:highlight w:val="none"/>
        </w:rPr>
        <w:t>外)。</w:t>
      </w:r>
    </w:p>
    <w:p w14:paraId="0B9805FE">
      <w:pPr>
        <w:pStyle w:val="52"/>
        <w:pageBreakBefore w:val="0"/>
        <w:widowControl w:val="0"/>
        <w:tabs>
          <w:tab w:val="left" w:pos="5849"/>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sym w:font="Wingdings 2" w:char="0052"/>
      </w:r>
      <w:r>
        <w:rPr>
          <w:rFonts w:hint="eastAsia" w:ascii="宋体" w:hAnsi="宋体" w:eastAsia="宋体" w:cs="宋体"/>
          <w:color w:val="auto"/>
          <w:sz w:val="21"/>
          <w:szCs w:val="21"/>
          <w:highlight w:val="none"/>
          <w:lang w:val="en-US" w:eastAsia="zh-CN" w:bidi="en-US"/>
        </w:rPr>
        <w:t>4.7.1投入本项目的项目经理、技术负责人、质量管理员、专职管理员等主要管理人员中标后，经中标人申请、监理机构审核允许、招标人同意后方可变更为不低于同等条件的人员。</w:t>
      </w:r>
    </w:p>
    <w:p w14:paraId="37164C41">
      <w:pPr>
        <w:pStyle w:val="52"/>
        <w:pageBreakBefore w:val="0"/>
        <w:widowControl w:val="0"/>
        <w:tabs>
          <w:tab w:val="left" w:pos="5849"/>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lang w:val="en-US" w:eastAsia="zh-CN" w:bidi="en-US"/>
        </w:rPr>
      </w:pPr>
      <w:r>
        <w:rPr>
          <w:rFonts w:hint="eastAsia" w:ascii="宋体" w:hAnsi="宋体" w:eastAsia="宋体" w:cs="宋体"/>
          <w:color w:val="auto"/>
          <w:sz w:val="21"/>
          <w:szCs w:val="21"/>
          <w:highlight w:val="none"/>
          <w:lang w:val="en-US" w:eastAsia="zh-CN" w:bidi="en-US"/>
        </w:rPr>
        <w:t>4.7.2除非发包人要求或者批准，承包人擅自更换项目经理、项目副经理、技术负责人、专职安全员的，将按每人每天人民币</w:t>
      </w:r>
      <w:r>
        <w:rPr>
          <w:rFonts w:hint="eastAsia" w:ascii="宋体" w:hAnsi="宋体" w:eastAsia="宋体" w:cs="宋体"/>
          <w:color w:val="auto"/>
          <w:sz w:val="21"/>
          <w:szCs w:val="21"/>
          <w:highlight w:val="none"/>
          <w:u w:val="single"/>
          <w:lang w:val="en-US" w:eastAsia="zh-CN" w:bidi="en-US"/>
        </w:rPr>
        <w:t xml:space="preserve"> 500 </w:t>
      </w:r>
      <w:r>
        <w:rPr>
          <w:rFonts w:hint="eastAsia" w:ascii="宋体" w:hAnsi="宋体" w:eastAsia="宋体" w:cs="宋体"/>
          <w:color w:val="auto"/>
          <w:sz w:val="21"/>
          <w:szCs w:val="21"/>
          <w:highlight w:val="none"/>
          <w:lang w:val="en-US" w:eastAsia="zh-CN" w:bidi="en-US"/>
        </w:rPr>
        <w:t>元的标准计算违约金，由有关行政监督部门处理后报请有关行政监督部门将结果记入市场主体信用档案，公布不良行为记录。</w:t>
      </w:r>
    </w:p>
    <w:p w14:paraId="5C542780">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en-US"/>
        </w:rPr>
        <w:t>4.7.3尽管承包人已按第4.6.2款的规定派遣了各类人员，但仍然不能满足合同工程的进度计划或质量要求时，发包人有权要求承包人继续增派（/或更换）人员。承包人在接到通知14天内，增派（和/或更换）的人员要到岗，否则，承包人应按每人每天人民币</w:t>
      </w:r>
      <w:r>
        <w:rPr>
          <w:rFonts w:hint="eastAsia" w:ascii="宋体" w:hAnsi="宋体" w:eastAsia="宋体" w:cs="宋体"/>
          <w:color w:val="auto"/>
          <w:sz w:val="21"/>
          <w:szCs w:val="21"/>
          <w:highlight w:val="none"/>
          <w:u w:val="single"/>
          <w:lang w:val="en-US" w:eastAsia="zh-CN" w:bidi="en-US"/>
        </w:rPr>
        <w:t xml:space="preserve"> 500 </w:t>
      </w:r>
      <w:r>
        <w:rPr>
          <w:rFonts w:hint="eastAsia" w:ascii="宋体" w:hAnsi="宋体" w:eastAsia="宋体" w:cs="宋体"/>
          <w:color w:val="auto"/>
          <w:sz w:val="21"/>
          <w:szCs w:val="21"/>
          <w:highlight w:val="none"/>
          <w:lang w:val="en-US" w:eastAsia="zh-CN" w:bidi="en-US"/>
        </w:rPr>
        <w:t>元的标准计算违约金，直至按照发包人的要求增派（和/或更换）的人员到岗为此</w:t>
      </w:r>
      <w:r>
        <w:rPr>
          <w:rFonts w:hint="eastAsia" w:ascii="宋体" w:hAnsi="宋体" w:cs="宋体"/>
          <w:color w:val="auto"/>
          <w:sz w:val="21"/>
          <w:szCs w:val="21"/>
          <w:highlight w:val="none"/>
          <w:lang w:eastAsia="zh-CN"/>
        </w:rPr>
        <w:t>。</w:t>
      </w:r>
    </w:p>
    <w:p w14:paraId="2682FA2B">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49" w:name="_Toc31050"/>
      <w:bookmarkStart w:id="650" w:name="_Toc7756"/>
      <w:bookmarkStart w:id="651" w:name="_Toc27810"/>
      <w:bookmarkStart w:id="652" w:name="_Toc3816"/>
      <w:bookmarkStart w:id="653" w:name="_Toc221951158"/>
      <w:r>
        <w:rPr>
          <w:rFonts w:hint="eastAsia" w:ascii="宋体" w:hAnsi="宋体" w:eastAsia="宋体"/>
          <w:b/>
          <w:color w:val="auto"/>
          <w:sz w:val="24"/>
          <w:szCs w:val="24"/>
          <w:highlight w:val="none"/>
          <w:lang w:eastAsia="zh-CN"/>
        </w:rPr>
        <w:t>4.11 不利物质条件</w:t>
      </w:r>
      <w:bookmarkEnd w:id="649"/>
      <w:bookmarkEnd w:id="650"/>
      <w:bookmarkEnd w:id="651"/>
      <w:bookmarkEnd w:id="652"/>
      <w:bookmarkEnd w:id="653"/>
    </w:p>
    <w:p w14:paraId="73D69A62">
      <w:pPr>
        <w:pStyle w:val="18"/>
        <w:spacing w:line="360" w:lineRule="auto"/>
        <w:ind w:firstLine="420" w:firstLineChars="200"/>
        <w:rPr>
          <w:rFonts w:ascii="宋体" w:hAnsi="宋体" w:cs="宋体"/>
          <w:color w:val="auto"/>
          <w:sz w:val="21"/>
          <w:szCs w:val="21"/>
          <w:highlight w:val="none"/>
          <w:lang w:eastAsia="zh-CN"/>
        </w:rPr>
      </w:pPr>
      <w:bookmarkStart w:id="654" w:name="_Toc221951159"/>
      <w:r>
        <w:rPr>
          <w:rFonts w:hint="default" w:ascii="Times New Roman" w:hAnsi="Times New Roman" w:cs="Times New Roman"/>
          <w:color w:val="auto"/>
          <w:sz w:val="21"/>
          <w:szCs w:val="21"/>
          <w:highlight w:val="none"/>
          <w:lang w:eastAsia="zh-CN"/>
        </w:rPr>
        <w:t>4.11.1</w:t>
      </w:r>
      <w:r>
        <w:rPr>
          <w:rFonts w:hint="eastAsia" w:ascii="宋体" w:hAnsi="宋体" w:cs="宋体"/>
          <w:color w:val="auto"/>
          <w:sz w:val="21"/>
          <w:szCs w:val="21"/>
          <w:highlight w:val="none"/>
          <w:lang w:eastAsia="zh-CN"/>
        </w:rPr>
        <w:t>不利物质条件的范围：</w:t>
      </w:r>
      <w:r>
        <w:rPr>
          <w:rFonts w:hint="eastAsia" w:ascii="宋体" w:hAnsi="宋体" w:cs="宋体"/>
          <w:color w:val="auto"/>
          <w:sz w:val="21"/>
          <w:szCs w:val="21"/>
          <w:highlight w:val="none"/>
          <w:u w:val="single"/>
          <w:lang w:eastAsia="zh-CN"/>
        </w:rPr>
        <w:t xml:space="preserve"> 按通用条款执行 </w:t>
      </w:r>
      <w:r>
        <w:rPr>
          <w:rFonts w:hint="eastAsia" w:ascii="宋体" w:hAnsi="宋体" w:cs="宋体"/>
          <w:color w:val="auto"/>
          <w:sz w:val="21"/>
          <w:szCs w:val="21"/>
          <w:highlight w:val="none"/>
          <w:lang w:eastAsia="zh-CN"/>
        </w:rPr>
        <w:t>。</w:t>
      </w:r>
      <w:bookmarkEnd w:id="654"/>
    </w:p>
    <w:p w14:paraId="6B6D5CDE">
      <w:pPr>
        <w:pStyle w:val="39"/>
        <w:keepNext/>
        <w:keepLines/>
        <w:spacing w:before="280" w:after="290" w:line="372" w:lineRule="auto"/>
        <w:outlineLvl w:val="4"/>
        <w:rPr>
          <w:rFonts w:hint="eastAsia"/>
          <w:b/>
          <w:color w:val="auto"/>
          <w:sz w:val="30"/>
          <w:szCs w:val="30"/>
          <w:highlight w:val="none"/>
          <w:lang w:eastAsia="zh-CN"/>
        </w:rPr>
      </w:pPr>
      <w:bookmarkStart w:id="655" w:name="_Toc229305391"/>
      <w:bookmarkStart w:id="656" w:name="_Toc222031033"/>
      <w:bookmarkStart w:id="657" w:name="_Toc2936476"/>
      <w:bookmarkStart w:id="658" w:name="_Toc222033882"/>
      <w:bookmarkStart w:id="659" w:name="_Toc221951160"/>
      <w:bookmarkStart w:id="660" w:name="_Toc2936720"/>
      <w:bookmarkStart w:id="661" w:name="_Toc16744"/>
      <w:bookmarkStart w:id="662" w:name="_Toc222029531"/>
      <w:bookmarkStart w:id="663" w:name="_Toc2948174"/>
      <w:bookmarkStart w:id="664" w:name="_Toc222032700"/>
      <w:bookmarkStart w:id="665" w:name="_Toc8589"/>
      <w:r>
        <w:rPr>
          <w:rFonts w:hint="eastAsia"/>
          <w:b/>
          <w:color w:val="auto"/>
          <w:sz w:val="30"/>
          <w:szCs w:val="30"/>
          <w:highlight w:val="none"/>
          <w:lang w:eastAsia="zh-CN"/>
        </w:rPr>
        <w:t>5. 材料和工程设备</w:t>
      </w:r>
      <w:bookmarkEnd w:id="655"/>
      <w:bookmarkEnd w:id="656"/>
      <w:bookmarkEnd w:id="657"/>
      <w:bookmarkEnd w:id="658"/>
      <w:bookmarkEnd w:id="659"/>
      <w:bookmarkEnd w:id="660"/>
      <w:bookmarkEnd w:id="661"/>
      <w:bookmarkEnd w:id="662"/>
      <w:bookmarkEnd w:id="663"/>
      <w:bookmarkEnd w:id="664"/>
      <w:bookmarkEnd w:id="665"/>
    </w:p>
    <w:p w14:paraId="7EA4A168">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66" w:name="_Toc221951163"/>
      <w:bookmarkStart w:id="667" w:name="_Toc29954"/>
      <w:bookmarkStart w:id="668" w:name="_Toc7927"/>
      <w:bookmarkStart w:id="669" w:name="_Toc6322"/>
      <w:bookmarkStart w:id="670" w:name="_Toc4331"/>
      <w:r>
        <w:rPr>
          <w:rFonts w:hint="eastAsia" w:ascii="宋体" w:hAnsi="宋体" w:eastAsia="宋体"/>
          <w:b/>
          <w:color w:val="auto"/>
          <w:sz w:val="24"/>
          <w:szCs w:val="24"/>
          <w:highlight w:val="none"/>
          <w:lang w:eastAsia="zh-CN"/>
        </w:rPr>
        <w:t>5.2 发包人提供的材料和工程设备</w:t>
      </w:r>
      <w:bookmarkEnd w:id="666"/>
      <w:bookmarkEnd w:id="667"/>
      <w:bookmarkEnd w:id="668"/>
      <w:bookmarkEnd w:id="669"/>
      <w:bookmarkEnd w:id="670"/>
    </w:p>
    <w:p w14:paraId="0F0E506F">
      <w:pPr>
        <w:pStyle w:val="18"/>
        <w:spacing w:line="360" w:lineRule="auto"/>
        <w:ind w:right="248" w:firstLine="424" w:firstLineChars="202"/>
        <w:rPr>
          <w:rFonts w:ascii="宋体" w:hAnsi="宋体" w:cs="宋体"/>
          <w:color w:val="auto"/>
          <w:sz w:val="21"/>
          <w:szCs w:val="21"/>
          <w:highlight w:val="none"/>
          <w:lang w:eastAsia="zh-CN"/>
        </w:rPr>
      </w:pPr>
      <w:bookmarkStart w:id="671" w:name="_Toc221951166"/>
      <w:bookmarkStart w:id="672" w:name="_Toc222029532"/>
      <w:bookmarkStart w:id="673" w:name="_Toc229305392"/>
      <w:bookmarkStart w:id="674" w:name="_Toc222032701"/>
      <w:bookmarkStart w:id="675" w:name="_Toc222031034"/>
      <w:bookmarkStart w:id="676" w:name="_Toc222033883"/>
      <w:r>
        <w:rPr>
          <w:rFonts w:hint="default" w:ascii="Times New Roman" w:hAnsi="Times New Roman" w:cs="Times New Roman"/>
          <w:color w:val="auto"/>
          <w:sz w:val="21"/>
          <w:szCs w:val="21"/>
          <w:highlight w:val="none"/>
          <w:lang w:eastAsia="zh-CN"/>
        </w:rPr>
        <w:t xml:space="preserve">5.2.1 </w:t>
      </w:r>
      <w:r>
        <w:rPr>
          <w:rStyle w:val="29"/>
          <w:rFonts w:hint="eastAsia" w:ascii="宋体" w:hAnsi="宋体" w:cs="宋体"/>
          <w:color w:val="auto"/>
          <w:sz w:val="21"/>
          <w:szCs w:val="21"/>
          <w:highlight w:val="none"/>
          <w:lang w:eastAsia="zh-CN"/>
        </w:rPr>
        <w:t>发包人与承包人签订的施工合同中约定是否提供材料和工程设备：</w:t>
      </w:r>
      <w:r>
        <w:rPr>
          <w:rStyle w:val="29"/>
          <w:rFonts w:hint="eastAsia" w:ascii="宋体" w:hAnsi="宋体" w:cs="宋体"/>
          <w:color w:val="auto"/>
          <w:sz w:val="21"/>
          <w:szCs w:val="21"/>
          <w:highlight w:val="none"/>
          <w:u w:val="single"/>
          <w:lang w:eastAsia="zh-CN"/>
        </w:rPr>
        <w:t xml:space="preserve">  不提供</w:t>
      </w:r>
      <w:r>
        <w:rPr>
          <w:rStyle w:val="29"/>
          <w:rFonts w:hint="eastAsia" w:ascii="宋体" w:hAnsi="宋体" w:cs="宋体"/>
          <w:color w:val="auto"/>
          <w:sz w:val="21"/>
          <w:szCs w:val="21"/>
          <w:highlight w:val="none"/>
          <w:u w:val="single"/>
          <w:lang w:val="en-US" w:eastAsia="zh-CN"/>
        </w:rPr>
        <w:t xml:space="preserve"> </w:t>
      </w:r>
      <w:r>
        <w:rPr>
          <w:rStyle w:val="29"/>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single"/>
          <w:lang w:val="en-US" w:eastAsia="zh-CN"/>
        </w:rPr>
        <w:t xml:space="preserve"> </w:t>
      </w:r>
    </w:p>
    <w:p w14:paraId="6AF3AD82">
      <w:pPr>
        <w:pStyle w:val="39"/>
        <w:keepNext/>
        <w:keepLines/>
        <w:spacing w:before="280" w:after="290" w:line="372" w:lineRule="auto"/>
        <w:outlineLvl w:val="4"/>
        <w:rPr>
          <w:rFonts w:hint="eastAsia"/>
          <w:b/>
          <w:color w:val="auto"/>
          <w:sz w:val="30"/>
          <w:szCs w:val="30"/>
          <w:highlight w:val="none"/>
          <w:lang w:eastAsia="zh-CN"/>
        </w:rPr>
      </w:pPr>
      <w:bookmarkStart w:id="677" w:name="_Toc27570"/>
      <w:bookmarkStart w:id="678" w:name="_Toc2948175"/>
      <w:bookmarkStart w:id="679" w:name="_Toc2936477"/>
      <w:bookmarkStart w:id="680" w:name="_Toc7872"/>
      <w:bookmarkStart w:id="681" w:name="_Toc2936721"/>
      <w:r>
        <w:rPr>
          <w:rFonts w:hint="eastAsia"/>
          <w:b/>
          <w:color w:val="auto"/>
          <w:sz w:val="30"/>
          <w:szCs w:val="30"/>
          <w:highlight w:val="none"/>
          <w:lang w:eastAsia="zh-CN"/>
        </w:rPr>
        <w:t>6. 施工设备和临时设施</w:t>
      </w:r>
      <w:bookmarkEnd w:id="671"/>
      <w:bookmarkEnd w:id="672"/>
      <w:bookmarkEnd w:id="673"/>
      <w:bookmarkEnd w:id="674"/>
      <w:bookmarkEnd w:id="675"/>
      <w:bookmarkEnd w:id="676"/>
      <w:bookmarkEnd w:id="677"/>
      <w:bookmarkEnd w:id="678"/>
      <w:bookmarkEnd w:id="679"/>
      <w:bookmarkEnd w:id="680"/>
      <w:bookmarkEnd w:id="681"/>
    </w:p>
    <w:p w14:paraId="43E173E7">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82" w:name="_Toc16121"/>
      <w:bookmarkStart w:id="683" w:name="_Toc229593367"/>
      <w:bookmarkStart w:id="684" w:name="_Toc16599"/>
      <w:bookmarkStart w:id="685" w:name="_Toc17891"/>
      <w:bookmarkStart w:id="686" w:name="_Toc14421"/>
      <w:r>
        <w:rPr>
          <w:rFonts w:hint="eastAsia" w:ascii="宋体" w:hAnsi="宋体" w:eastAsia="宋体"/>
          <w:b/>
          <w:color w:val="auto"/>
          <w:sz w:val="24"/>
          <w:szCs w:val="24"/>
          <w:highlight w:val="none"/>
          <w:lang w:eastAsia="zh-CN"/>
        </w:rPr>
        <w:t>6.1 承包人提供的施工设备和临时设施</w:t>
      </w:r>
      <w:bookmarkEnd w:id="682"/>
      <w:bookmarkEnd w:id="683"/>
      <w:bookmarkEnd w:id="684"/>
      <w:bookmarkEnd w:id="685"/>
      <w:bookmarkEnd w:id="686"/>
    </w:p>
    <w:p w14:paraId="7DEA82BC">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6.1.2 </w:t>
      </w:r>
      <w:r>
        <w:rPr>
          <w:rFonts w:hint="eastAsia" w:ascii="宋体" w:hAnsi="宋体" w:cs="宋体"/>
          <w:color w:val="auto"/>
          <w:sz w:val="21"/>
          <w:szCs w:val="21"/>
          <w:highlight w:val="none"/>
          <w:lang w:eastAsia="zh-CN"/>
        </w:rPr>
        <w:t>承包人自行承担修建临时设施的费用，需要临时占地的，由承包人办理相关申请手续，发包人予以协助，发生的相关费用由承包人承担。</w:t>
      </w:r>
    </w:p>
    <w:p w14:paraId="7915C098">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87" w:name="_Toc14107"/>
      <w:bookmarkStart w:id="688" w:name="_Toc221951167"/>
      <w:bookmarkStart w:id="689" w:name="_Toc10277"/>
      <w:bookmarkStart w:id="690" w:name="_Toc27198"/>
      <w:bookmarkStart w:id="691" w:name="_Toc29876"/>
      <w:r>
        <w:rPr>
          <w:rFonts w:hint="eastAsia" w:ascii="宋体" w:hAnsi="宋体" w:eastAsia="宋体"/>
          <w:b/>
          <w:color w:val="auto"/>
          <w:sz w:val="24"/>
          <w:szCs w:val="24"/>
          <w:highlight w:val="none"/>
          <w:lang w:eastAsia="zh-CN"/>
        </w:rPr>
        <w:t>6.2 发包人提供的施工设备和临时设施</w:t>
      </w:r>
      <w:bookmarkEnd w:id="687"/>
      <w:bookmarkEnd w:id="688"/>
      <w:bookmarkEnd w:id="689"/>
      <w:bookmarkEnd w:id="690"/>
      <w:bookmarkEnd w:id="691"/>
    </w:p>
    <w:p w14:paraId="1A0696B1">
      <w:pPr>
        <w:pStyle w:val="18"/>
        <w:spacing w:line="360" w:lineRule="auto"/>
        <w:ind w:firstLine="420" w:firstLineChars="200"/>
        <w:rPr>
          <w:rStyle w:val="29"/>
          <w:rFonts w:ascii="宋体" w:hAnsi="宋体" w:cs="宋体"/>
          <w:color w:val="auto"/>
          <w:sz w:val="21"/>
          <w:szCs w:val="21"/>
          <w:highlight w:val="none"/>
          <w:lang w:eastAsia="zh-CN"/>
        </w:rPr>
      </w:pPr>
      <w:bookmarkStart w:id="692" w:name="_Toc221951169"/>
      <w:r>
        <w:rPr>
          <w:rStyle w:val="29"/>
          <w:rFonts w:hint="eastAsia" w:ascii="宋体" w:hAnsi="宋体" w:cs="宋体"/>
          <w:color w:val="auto"/>
          <w:sz w:val="21"/>
          <w:szCs w:val="21"/>
          <w:highlight w:val="none"/>
          <w:lang w:eastAsia="zh-CN"/>
        </w:rPr>
        <w:t>（1）发包人提供的的施工设备</w:t>
      </w:r>
      <w:bookmarkEnd w:id="692"/>
      <w:r>
        <w:rPr>
          <w:rStyle w:val="29"/>
          <w:rFonts w:hint="eastAsia" w:ascii="宋体" w:hAnsi="宋体" w:cs="宋体"/>
          <w:color w:val="auto"/>
          <w:sz w:val="21"/>
          <w:szCs w:val="21"/>
          <w:highlight w:val="none"/>
          <w:lang w:eastAsia="zh-CN"/>
        </w:rPr>
        <w:t>：</w:t>
      </w:r>
      <w:r>
        <w:rPr>
          <w:rStyle w:val="29"/>
          <w:rFonts w:hint="eastAsia" w:ascii="宋体" w:hAnsi="宋体" w:cs="宋体"/>
          <w:color w:val="auto"/>
          <w:sz w:val="21"/>
          <w:szCs w:val="21"/>
          <w:highlight w:val="none"/>
          <w:u w:val="single"/>
          <w:lang w:eastAsia="zh-CN"/>
        </w:rPr>
        <w:t xml:space="preserve">   不提供  </w:t>
      </w:r>
      <w:r>
        <w:rPr>
          <w:rStyle w:val="29"/>
          <w:rFonts w:hint="eastAsia" w:ascii="宋体" w:hAnsi="宋体" w:cs="宋体"/>
          <w:color w:val="auto"/>
          <w:sz w:val="21"/>
          <w:szCs w:val="21"/>
          <w:highlight w:val="none"/>
          <w:lang w:eastAsia="zh-CN"/>
        </w:rPr>
        <w:t>。</w:t>
      </w:r>
    </w:p>
    <w:p w14:paraId="51AE28C6">
      <w:pPr>
        <w:pStyle w:val="18"/>
        <w:spacing w:line="360" w:lineRule="auto"/>
        <w:ind w:firstLine="420" w:firstLineChars="200"/>
        <w:rPr>
          <w:rFonts w:ascii="宋体" w:hAnsi="宋体" w:cs="宋体"/>
          <w:color w:val="auto"/>
          <w:sz w:val="21"/>
          <w:szCs w:val="21"/>
          <w:highlight w:val="none"/>
          <w:lang w:eastAsia="zh-CN"/>
        </w:rPr>
      </w:pPr>
      <w:r>
        <w:rPr>
          <w:rStyle w:val="29"/>
          <w:rFonts w:hint="eastAsia" w:ascii="宋体" w:hAnsi="宋体" w:cs="宋体"/>
          <w:color w:val="auto"/>
          <w:sz w:val="21"/>
          <w:szCs w:val="21"/>
          <w:highlight w:val="none"/>
          <w:lang w:eastAsia="zh-CN"/>
        </w:rPr>
        <w:t>（2）发包人提供的临时设施：</w:t>
      </w:r>
      <w:r>
        <w:rPr>
          <w:rStyle w:val="29"/>
          <w:rFonts w:hint="eastAsia" w:ascii="宋体" w:hAnsi="宋体" w:cs="宋体"/>
          <w:color w:val="auto"/>
          <w:sz w:val="21"/>
          <w:szCs w:val="21"/>
          <w:highlight w:val="none"/>
          <w:u w:val="single"/>
          <w:lang w:eastAsia="zh-CN"/>
        </w:rPr>
        <w:t xml:space="preserve">    不提供   </w:t>
      </w:r>
      <w:r>
        <w:rPr>
          <w:rStyle w:val="29"/>
          <w:rFonts w:hint="eastAsia" w:ascii="宋体" w:hAnsi="宋体" w:cs="宋体"/>
          <w:color w:val="auto"/>
          <w:sz w:val="21"/>
          <w:szCs w:val="21"/>
          <w:highlight w:val="none"/>
          <w:lang w:eastAsia="zh-CN"/>
        </w:rPr>
        <w:t>。</w:t>
      </w:r>
    </w:p>
    <w:p w14:paraId="4189A8DC">
      <w:pPr>
        <w:pStyle w:val="39"/>
        <w:keepNext/>
        <w:keepLines/>
        <w:spacing w:before="280" w:after="290" w:line="372" w:lineRule="auto"/>
        <w:outlineLvl w:val="4"/>
        <w:rPr>
          <w:rFonts w:hint="eastAsia"/>
          <w:b/>
          <w:color w:val="auto"/>
          <w:sz w:val="30"/>
          <w:szCs w:val="30"/>
          <w:highlight w:val="none"/>
          <w:lang w:eastAsia="zh-CN"/>
        </w:rPr>
      </w:pPr>
      <w:bookmarkStart w:id="693" w:name="_Toc2936722"/>
      <w:bookmarkStart w:id="694" w:name="_Toc2936478"/>
      <w:bookmarkStart w:id="695" w:name="_Toc13894"/>
      <w:bookmarkStart w:id="696" w:name="_Toc16180"/>
      <w:bookmarkStart w:id="697" w:name="_Toc2948176"/>
      <w:r>
        <w:rPr>
          <w:rFonts w:hint="eastAsia"/>
          <w:b/>
          <w:color w:val="auto"/>
          <w:sz w:val="30"/>
          <w:szCs w:val="30"/>
          <w:highlight w:val="none"/>
          <w:lang w:eastAsia="zh-CN"/>
        </w:rPr>
        <w:t>7. 交通运输</w:t>
      </w:r>
      <w:bookmarkEnd w:id="693"/>
      <w:bookmarkEnd w:id="694"/>
      <w:bookmarkEnd w:id="695"/>
      <w:bookmarkEnd w:id="696"/>
      <w:bookmarkEnd w:id="697"/>
    </w:p>
    <w:p w14:paraId="06E2A285">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698" w:name="_Toc28049"/>
      <w:bookmarkStart w:id="699" w:name="_Toc5971"/>
      <w:r>
        <w:rPr>
          <w:rFonts w:hint="eastAsia" w:ascii="宋体" w:hAnsi="宋体" w:eastAsia="宋体"/>
          <w:b/>
          <w:color w:val="auto"/>
          <w:sz w:val="24"/>
          <w:szCs w:val="24"/>
          <w:highlight w:val="none"/>
          <w:lang w:eastAsia="zh-CN"/>
        </w:rPr>
        <w:t>7.1道路通行权和场外设施</w:t>
      </w:r>
      <w:bookmarkEnd w:id="698"/>
      <w:bookmarkEnd w:id="699"/>
    </w:p>
    <w:p w14:paraId="3CCA103A">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道路通行权和场外设施的约定：</w:t>
      </w:r>
      <w:r>
        <w:rPr>
          <w:rFonts w:hint="eastAsia" w:ascii="宋体" w:hAnsi="宋体" w:cs="宋体"/>
          <w:color w:val="auto"/>
          <w:sz w:val="21"/>
          <w:szCs w:val="21"/>
          <w:highlight w:val="none"/>
          <w:u w:val="single"/>
          <w:lang w:val="zh-CN" w:eastAsia="zh-CN"/>
        </w:rPr>
        <w:t>承包人应根据合同工程的施工需要，负责办理取得出入施工场地的专用和临时道路的通行权，以及取得为工程建设所需修建场外设施的权利，并办理好有关政策处理上的事宜，发包人协助办理相关手续</w:t>
      </w:r>
      <w:r>
        <w:rPr>
          <w:rFonts w:hint="eastAsia" w:ascii="宋体" w:hAnsi="宋体" w:cs="宋体"/>
          <w:color w:val="auto"/>
          <w:sz w:val="21"/>
          <w:szCs w:val="21"/>
          <w:highlight w:val="none"/>
          <w:lang w:eastAsia="zh-CN"/>
        </w:rPr>
        <w:t>。</w:t>
      </w:r>
    </w:p>
    <w:p w14:paraId="2179E8C7">
      <w:pPr>
        <w:pStyle w:val="39"/>
        <w:keepNext/>
        <w:keepLines/>
        <w:spacing w:before="280" w:after="290" w:line="372" w:lineRule="auto"/>
        <w:outlineLvl w:val="4"/>
        <w:rPr>
          <w:rFonts w:hint="eastAsia"/>
          <w:b/>
          <w:color w:val="auto"/>
          <w:sz w:val="30"/>
          <w:szCs w:val="30"/>
          <w:highlight w:val="none"/>
          <w:lang w:eastAsia="zh-CN"/>
        </w:rPr>
      </w:pPr>
      <w:bookmarkStart w:id="700" w:name="_Toc2948177"/>
      <w:bookmarkStart w:id="701" w:name="_Toc2936479"/>
      <w:bookmarkStart w:id="702" w:name="_Toc21199"/>
      <w:bookmarkStart w:id="703" w:name="_Toc2868"/>
      <w:bookmarkStart w:id="704" w:name="_Toc2936723"/>
      <w:r>
        <w:rPr>
          <w:rFonts w:hint="eastAsia"/>
          <w:b/>
          <w:color w:val="auto"/>
          <w:sz w:val="30"/>
          <w:szCs w:val="30"/>
          <w:highlight w:val="none"/>
          <w:lang w:eastAsia="zh-CN"/>
        </w:rPr>
        <w:t>8. 测量放线</w:t>
      </w:r>
      <w:bookmarkEnd w:id="700"/>
      <w:bookmarkEnd w:id="701"/>
      <w:bookmarkEnd w:id="702"/>
      <w:bookmarkEnd w:id="703"/>
      <w:bookmarkEnd w:id="704"/>
    </w:p>
    <w:p w14:paraId="79B379FD">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705" w:name="_Toc18149"/>
      <w:bookmarkStart w:id="706" w:name="_Toc18765"/>
      <w:bookmarkStart w:id="707" w:name="_Toc17473"/>
      <w:bookmarkStart w:id="708" w:name="_Toc4709"/>
      <w:r>
        <w:rPr>
          <w:rFonts w:hint="eastAsia" w:ascii="宋体" w:hAnsi="宋体" w:eastAsia="宋体"/>
          <w:b/>
          <w:color w:val="auto"/>
          <w:sz w:val="24"/>
          <w:szCs w:val="24"/>
          <w:highlight w:val="none"/>
          <w:lang w:eastAsia="zh-CN"/>
        </w:rPr>
        <w:t>8.1 施工控制网</w:t>
      </w:r>
      <w:bookmarkEnd w:id="705"/>
      <w:bookmarkEnd w:id="706"/>
      <w:bookmarkEnd w:id="707"/>
      <w:bookmarkEnd w:id="708"/>
    </w:p>
    <w:p w14:paraId="1A6818C6">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8.1.1</w:t>
      </w:r>
      <w:r>
        <w:rPr>
          <w:rFonts w:hint="eastAsia" w:ascii="宋体" w:hAnsi="宋体" w:cs="宋体"/>
          <w:color w:val="auto"/>
          <w:sz w:val="21"/>
          <w:szCs w:val="21"/>
          <w:highlight w:val="none"/>
          <w:lang w:eastAsia="zh-CN"/>
        </w:rPr>
        <w:t>施工控制网的约定：</w:t>
      </w:r>
      <w:r>
        <w:rPr>
          <w:rFonts w:hint="eastAsia" w:ascii="宋体" w:hAnsi="宋体" w:cs="宋体"/>
          <w:color w:val="auto"/>
          <w:sz w:val="21"/>
          <w:szCs w:val="21"/>
          <w:highlight w:val="none"/>
          <w:u w:val="single"/>
          <w:lang w:eastAsia="zh-CN"/>
        </w:rPr>
        <w:t xml:space="preserve"> 由承包人负责测设，并报监理人审批，相关费用由承包人承担</w:t>
      </w:r>
      <w:r>
        <w:rPr>
          <w:rFonts w:hint="eastAsia" w:ascii="宋体" w:hAnsi="宋体" w:cs="宋体"/>
          <w:color w:val="auto"/>
          <w:sz w:val="21"/>
          <w:szCs w:val="21"/>
          <w:highlight w:val="none"/>
          <w:lang w:eastAsia="zh-CN"/>
        </w:rPr>
        <w:t>。</w:t>
      </w:r>
    </w:p>
    <w:p w14:paraId="739A41A6">
      <w:pPr>
        <w:pStyle w:val="39"/>
        <w:keepNext/>
        <w:keepLines/>
        <w:spacing w:before="280" w:after="290" w:line="372" w:lineRule="auto"/>
        <w:outlineLvl w:val="4"/>
        <w:rPr>
          <w:rFonts w:hint="eastAsia"/>
          <w:b/>
          <w:color w:val="auto"/>
          <w:sz w:val="30"/>
          <w:szCs w:val="30"/>
          <w:highlight w:val="none"/>
          <w:lang w:eastAsia="zh-CN"/>
        </w:rPr>
      </w:pPr>
      <w:bookmarkStart w:id="709" w:name="_Toc7302"/>
      <w:bookmarkStart w:id="710" w:name="_Toc2936480"/>
      <w:bookmarkStart w:id="711" w:name="_Toc2948178"/>
      <w:bookmarkStart w:id="712" w:name="_Toc30167"/>
      <w:bookmarkStart w:id="713" w:name="_Toc2936724"/>
      <w:r>
        <w:rPr>
          <w:rFonts w:hint="eastAsia"/>
          <w:b/>
          <w:color w:val="auto"/>
          <w:sz w:val="30"/>
          <w:szCs w:val="30"/>
          <w:highlight w:val="none"/>
          <w:lang w:eastAsia="zh-CN"/>
        </w:rPr>
        <w:t>9. 施工安全、治安保卫和环境保护</w:t>
      </w:r>
      <w:bookmarkEnd w:id="709"/>
      <w:bookmarkEnd w:id="710"/>
      <w:bookmarkEnd w:id="711"/>
      <w:bookmarkEnd w:id="712"/>
      <w:bookmarkEnd w:id="713"/>
    </w:p>
    <w:p w14:paraId="2868F96E">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714" w:name="_Toc21246"/>
      <w:bookmarkStart w:id="715" w:name="_Toc1658"/>
      <w:bookmarkStart w:id="716" w:name="_Toc3459"/>
      <w:bookmarkStart w:id="717" w:name="_Toc31158"/>
      <w:r>
        <w:rPr>
          <w:rFonts w:hint="eastAsia" w:ascii="宋体" w:hAnsi="宋体" w:eastAsia="宋体"/>
          <w:b/>
          <w:color w:val="auto"/>
          <w:sz w:val="24"/>
          <w:szCs w:val="24"/>
          <w:highlight w:val="none"/>
          <w:lang w:eastAsia="zh-CN"/>
        </w:rPr>
        <w:t>9.2 承包人的施工安全责任</w:t>
      </w:r>
      <w:bookmarkEnd w:id="714"/>
      <w:bookmarkEnd w:id="715"/>
      <w:bookmarkEnd w:id="716"/>
      <w:bookmarkEnd w:id="717"/>
    </w:p>
    <w:p w14:paraId="6F925E03">
      <w:pPr>
        <w:pStyle w:val="18"/>
        <w:spacing w:line="360" w:lineRule="auto"/>
        <w:ind w:firstLine="420" w:firstLineChars="200"/>
        <w:rPr>
          <w:rFonts w:hint="eastAsia"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9.2.8</w:t>
      </w:r>
      <w:r>
        <w:rPr>
          <w:rFonts w:hint="eastAsia" w:ascii="宋体" w:hAnsi="宋体" w:cs="宋体"/>
          <w:color w:val="auto"/>
          <w:sz w:val="21"/>
          <w:szCs w:val="21"/>
          <w:highlight w:val="none"/>
          <w:lang w:eastAsia="zh-CN"/>
        </w:rPr>
        <w:t>安全施工措施所需费用在投标时不得做竞争调整。</w:t>
      </w:r>
    </w:p>
    <w:p w14:paraId="257D3017">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9.2.12</w:t>
      </w:r>
      <w:r>
        <w:rPr>
          <w:rFonts w:hint="eastAsia" w:ascii="宋体" w:hAnsi="宋体" w:cs="宋体"/>
          <w:color w:val="auto"/>
          <w:sz w:val="21"/>
          <w:szCs w:val="21"/>
          <w:highlight w:val="none"/>
          <w:lang w:eastAsia="zh-CN"/>
        </w:rPr>
        <w:t>下列工程应编制专项施工方案：</w:t>
      </w:r>
    </w:p>
    <w:p w14:paraId="5E4D5400">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（1）土方和石方开挖工程，包括拆除、爆破，料场开挖及运输等；</w:t>
      </w:r>
    </w:p>
    <w:p w14:paraId="1D1A6A22">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（2）基础处理，包括基础灌浆等；</w:t>
      </w:r>
    </w:p>
    <w:p w14:paraId="618D22C5">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（3）高边坡和基坑支护与降水工程；</w:t>
      </w:r>
    </w:p>
    <w:p w14:paraId="71E7334E">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（4）混凝土施工配合比设计，混凝土浇筑的温度控制；</w:t>
      </w:r>
    </w:p>
    <w:p w14:paraId="1C1B63B0">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（5）金属结构安装；</w:t>
      </w:r>
    </w:p>
    <w:p w14:paraId="36DA7B7A">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（6）其他危险性较大的工程。</w:t>
      </w:r>
    </w:p>
    <w:p w14:paraId="00339019">
      <w:pPr>
        <w:pStyle w:val="18"/>
        <w:spacing w:line="400" w:lineRule="exact"/>
        <w:ind w:right="249"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其中应组织专家论证和审查的专项施工方案：</w:t>
      </w:r>
      <w:r>
        <w:rPr>
          <w:rFonts w:hint="eastAsia" w:ascii="宋体" w:hAnsi="宋体" w:cs="宋体"/>
          <w:color w:val="auto"/>
          <w:sz w:val="21"/>
          <w:szCs w:val="21"/>
          <w:highlight w:val="none"/>
          <w:u w:val="single"/>
          <w:lang w:eastAsia="zh-CN"/>
        </w:rPr>
        <w:t>高边坡、深基坑、高大模板工程的专项施工方案，专项施工方案评审发生的费用由承包人负责</w:t>
      </w:r>
      <w:r>
        <w:rPr>
          <w:rFonts w:hint="eastAsia" w:ascii="宋体" w:hAnsi="宋体" w:cs="宋体"/>
          <w:color w:val="auto"/>
          <w:sz w:val="20"/>
          <w:szCs w:val="20"/>
          <w:highlight w:val="none"/>
          <w:lang w:eastAsia="zh-CN"/>
        </w:rPr>
        <w:t>。</w:t>
      </w:r>
    </w:p>
    <w:p w14:paraId="1D609335">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718" w:name="_Toc14666"/>
      <w:bookmarkStart w:id="719" w:name="_Toc6849"/>
      <w:bookmarkStart w:id="720" w:name="_Toc28460"/>
      <w:bookmarkStart w:id="721" w:name="_Toc14015"/>
      <w:r>
        <w:rPr>
          <w:rFonts w:hint="eastAsia" w:ascii="宋体" w:hAnsi="宋体" w:eastAsia="宋体"/>
          <w:b/>
          <w:color w:val="auto"/>
          <w:sz w:val="24"/>
          <w:szCs w:val="24"/>
          <w:highlight w:val="none"/>
          <w:lang w:eastAsia="zh-CN"/>
        </w:rPr>
        <w:t>9.7 文明工地</w:t>
      </w:r>
      <w:bookmarkEnd w:id="718"/>
      <w:bookmarkEnd w:id="719"/>
      <w:bookmarkEnd w:id="720"/>
      <w:bookmarkEnd w:id="721"/>
    </w:p>
    <w:p w14:paraId="08392D94">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9.7.1 </w:t>
      </w:r>
      <w:r>
        <w:rPr>
          <w:rFonts w:hint="eastAsia" w:ascii="宋体" w:hAnsi="宋体" w:cs="宋体"/>
          <w:color w:val="auto"/>
          <w:sz w:val="21"/>
          <w:szCs w:val="21"/>
          <w:highlight w:val="none"/>
          <w:lang w:eastAsia="zh-CN"/>
        </w:rPr>
        <w:t>本合同文明工地的约定：</w:t>
      </w:r>
      <w:r>
        <w:rPr>
          <w:rStyle w:val="29"/>
          <w:rFonts w:hint="eastAsia" w:ascii="宋体" w:hAnsi="宋体" w:cs="宋体"/>
          <w:bCs/>
          <w:color w:val="auto"/>
          <w:sz w:val="21"/>
          <w:szCs w:val="21"/>
          <w:highlight w:val="none"/>
          <w:u w:val="single"/>
          <w:lang w:eastAsia="zh-CN"/>
        </w:rPr>
        <w:t>水利部《水利系统文明建设工地评审管理办法》创建文明建设工地</w:t>
      </w:r>
      <w:r>
        <w:rPr>
          <w:rFonts w:hint="eastAsia" w:ascii="宋体" w:hAnsi="宋体" w:cs="宋体"/>
          <w:color w:val="auto"/>
          <w:sz w:val="21"/>
          <w:szCs w:val="21"/>
          <w:highlight w:val="none"/>
          <w:lang w:eastAsia="zh-CN"/>
        </w:rPr>
        <w:t>。</w:t>
      </w:r>
    </w:p>
    <w:p w14:paraId="4F6F0778">
      <w:pPr>
        <w:pStyle w:val="39"/>
        <w:keepNext/>
        <w:keepLines/>
        <w:spacing w:before="280" w:after="290" w:line="372" w:lineRule="auto"/>
        <w:outlineLvl w:val="4"/>
        <w:rPr>
          <w:rFonts w:hint="eastAsia"/>
          <w:b/>
          <w:color w:val="auto"/>
          <w:sz w:val="30"/>
          <w:szCs w:val="30"/>
          <w:highlight w:val="none"/>
          <w:lang w:eastAsia="zh-CN"/>
        </w:rPr>
      </w:pPr>
      <w:bookmarkStart w:id="722" w:name="_Toc222032705"/>
      <w:bookmarkStart w:id="723" w:name="_Toc222029536"/>
      <w:bookmarkStart w:id="724" w:name="_Toc229305394"/>
      <w:bookmarkStart w:id="725" w:name="_Toc222031038"/>
      <w:bookmarkStart w:id="726" w:name="_Toc222033887"/>
      <w:bookmarkStart w:id="727" w:name="_Toc221951188"/>
      <w:bookmarkStart w:id="728" w:name="_Toc2936481"/>
      <w:bookmarkStart w:id="729" w:name="_Toc2936725"/>
      <w:bookmarkStart w:id="730" w:name="_Toc29125"/>
      <w:bookmarkStart w:id="731" w:name="_Toc2948179"/>
      <w:bookmarkStart w:id="732" w:name="_Toc18179"/>
      <w:r>
        <w:rPr>
          <w:rFonts w:hint="eastAsia"/>
          <w:b/>
          <w:color w:val="auto"/>
          <w:sz w:val="30"/>
          <w:szCs w:val="30"/>
          <w:highlight w:val="none"/>
          <w:lang w:eastAsia="zh-CN"/>
        </w:rPr>
        <w:t>11. 开工和竣工</w:t>
      </w:r>
      <w:bookmarkEnd w:id="722"/>
      <w:bookmarkEnd w:id="723"/>
      <w:bookmarkEnd w:id="724"/>
      <w:bookmarkEnd w:id="725"/>
      <w:bookmarkEnd w:id="726"/>
      <w:bookmarkEnd w:id="727"/>
      <w:r>
        <w:rPr>
          <w:rFonts w:hint="eastAsia"/>
          <w:b/>
          <w:color w:val="auto"/>
          <w:sz w:val="30"/>
          <w:szCs w:val="30"/>
          <w:highlight w:val="none"/>
          <w:lang w:eastAsia="zh-CN"/>
        </w:rPr>
        <w:t>（完工）</w:t>
      </w:r>
      <w:bookmarkEnd w:id="728"/>
      <w:bookmarkEnd w:id="729"/>
      <w:bookmarkEnd w:id="730"/>
      <w:bookmarkEnd w:id="731"/>
      <w:bookmarkEnd w:id="732"/>
    </w:p>
    <w:p w14:paraId="175665D4">
      <w:pPr>
        <w:pStyle w:val="39"/>
        <w:keepNext/>
        <w:keepLines/>
        <w:spacing w:before="240" w:after="64" w:line="317" w:lineRule="auto"/>
        <w:outlineLvl w:val="5"/>
        <w:rPr>
          <w:rFonts w:hint="eastAsia" w:ascii="宋体" w:hAnsi="宋体" w:eastAsia="宋体"/>
          <w:b/>
          <w:color w:val="auto"/>
          <w:sz w:val="24"/>
          <w:szCs w:val="24"/>
          <w:highlight w:val="none"/>
          <w:lang w:eastAsia="zh-CN"/>
        </w:rPr>
      </w:pPr>
      <w:bookmarkStart w:id="733" w:name="_Toc5128"/>
      <w:bookmarkStart w:id="734" w:name="_Toc11456"/>
      <w:r>
        <w:rPr>
          <w:rFonts w:hint="eastAsia" w:ascii="宋体" w:hAnsi="宋体" w:eastAsia="宋体"/>
          <w:b/>
          <w:color w:val="auto"/>
          <w:sz w:val="24"/>
          <w:szCs w:val="24"/>
          <w:highlight w:val="none"/>
          <w:lang w:eastAsia="zh-CN"/>
        </w:rPr>
        <w:t>11.2 本工程主体工程完工时间为：  年  月  日。</w:t>
      </w:r>
      <w:bookmarkEnd w:id="733"/>
      <w:bookmarkEnd w:id="734"/>
    </w:p>
    <w:p w14:paraId="71FC5631">
      <w:pPr>
        <w:pStyle w:val="39"/>
        <w:keepNext/>
        <w:keepLines/>
        <w:spacing w:before="240" w:after="64" w:line="317" w:lineRule="auto"/>
        <w:outlineLvl w:val="5"/>
        <w:rPr>
          <w:rFonts w:ascii="宋体" w:hAnsi="宋体" w:cs="宋体"/>
          <w:b/>
          <w:color w:val="auto"/>
          <w:sz w:val="21"/>
          <w:szCs w:val="21"/>
          <w:highlight w:val="none"/>
          <w:lang w:eastAsia="zh-CN"/>
        </w:rPr>
      </w:pPr>
      <w:bookmarkStart w:id="735" w:name="_Toc21172"/>
      <w:bookmarkStart w:id="736" w:name="_Toc2300"/>
      <w:bookmarkStart w:id="737" w:name="_Toc25162"/>
      <w:bookmarkStart w:id="738" w:name="_Toc27751"/>
      <w:bookmarkStart w:id="739" w:name="_Toc398374516"/>
      <w:r>
        <w:rPr>
          <w:rFonts w:hint="eastAsia" w:ascii="宋体" w:hAnsi="宋体" w:eastAsia="宋体"/>
          <w:b/>
          <w:color w:val="auto"/>
          <w:sz w:val="24"/>
          <w:szCs w:val="24"/>
          <w:highlight w:val="none"/>
          <w:lang w:val="en-US" w:eastAsia="zh-CN" w:bidi="en-US"/>
        </w:rPr>
        <w:t>11.3 发包人的工期延误</w:t>
      </w:r>
      <w:bookmarkEnd w:id="735"/>
      <w:bookmarkEnd w:id="736"/>
      <w:bookmarkEnd w:id="737"/>
      <w:bookmarkEnd w:id="738"/>
      <w:bookmarkEnd w:id="739"/>
      <w:r>
        <w:rPr>
          <w:rFonts w:hint="eastAsia" w:ascii="宋体" w:hAnsi="宋体" w:eastAsia="宋体"/>
          <w:b/>
          <w:color w:val="auto"/>
          <w:sz w:val="24"/>
          <w:szCs w:val="24"/>
          <w:highlight w:val="none"/>
          <w:lang w:val="en-US" w:eastAsia="zh-CN" w:bidi="en-US"/>
        </w:rPr>
        <w:t xml:space="preserve"> </w:t>
      </w:r>
      <w:r>
        <w:rPr>
          <w:rFonts w:hint="eastAsia" w:ascii="宋体" w:hAnsi="宋体" w:cs="宋体"/>
          <w:b/>
          <w:color w:val="auto"/>
          <w:sz w:val="21"/>
          <w:szCs w:val="21"/>
          <w:highlight w:val="none"/>
          <w:lang w:eastAsia="zh-CN"/>
        </w:rPr>
        <w:t xml:space="preserve">       </w:t>
      </w:r>
    </w:p>
    <w:p w14:paraId="3913F304">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40" w:name="_Toc18125"/>
      <w:bookmarkStart w:id="741" w:name="_Toc6021"/>
      <w:bookmarkStart w:id="742" w:name="_Toc23922"/>
      <w:bookmarkStart w:id="743" w:name="_Toc19206"/>
      <w:bookmarkStart w:id="744" w:name="_Toc221951189"/>
      <w:r>
        <w:rPr>
          <w:rFonts w:hint="eastAsia" w:ascii="宋体" w:hAnsi="宋体" w:eastAsia="宋体"/>
          <w:b/>
          <w:color w:val="auto"/>
          <w:sz w:val="24"/>
          <w:szCs w:val="24"/>
          <w:highlight w:val="none"/>
          <w:lang w:val="en-US" w:eastAsia="zh-CN" w:bidi="en-US"/>
        </w:rPr>
        <w:t>11.4 异常恶劣的气候条件</w:t>
      </w:r>
      <w:bookmarkEnd w:id="740"/>
      <w:bookmarkEnd w:id="741"/>
      <w:bookmarkEnd w:id="742"/>
      <w:bookmarkEnd w:id="743"/>
      <w:bookmarkEnd w:id="744"/>
      <w:r>
        <w:rPr>
          <w:rFonts w:hint="eastAsia" w:ascii="宋体" w:hAnsi="宋体" w:eastAsia="宋体"/>
          <w:b/>
          <w:color w:val="auto"/>
          <w:sz w:val="24"/>
          <w:szCs w:val="24"/>
          <w:highlight w:val="none"/>
          <w:lang w:val="en-US" w:eastAsia="zh-CN" w:bidi="en-US"/>
        </w:rPr>
        <w:t xml:space="preserve"> </w:t>
      </w:r>
    </w:p>
    <w:p w14:paraId="15075EFE">
      <w:pPr>
        <w:pStyle w:val="18"/>
        <w:spacing w:line="360" w:lineRule="auto"/>
        <w:ind w:firstLine="420" w:firstLineChars="200"/>
        <w:rPr>
          <w:rFonts w:ascii="宋体" w:hAnsi="宋体" w:cs="宋体"/>
          <w:color w:val="auto"/>
          <w:sz w:val="21"/>
          <w:szCs w:val="21"/>
          <w:highlight w:val="none"/>
          <w:lang w:eastAsia="zh-CN"/>
        </w:rPr>
      </w:pPr>
      <w:bookmarkStart w:id="745" w:name="_Toc221951191"/>
      <w:r>
        <w:rPr>
          <w:rFonts w:hint="default" w:ascii="Times New Roman" w:hAnsi="Times New Roman" w:cs="Times New Roman"/>
          <w:color w:val="auto"/>
          <w:sz w:val="21"/>
          <w:szCs w:val="21"/>
          <w:highlight w:val="none"/>
          <w:lang w:eastAsia="zh-CN"/>
        </w:rPr>
        <w:t xml:space="preserve">11.4.3 </w:t>
      </w:r>
      <w:r>
        <w:rPr>
          <w:rFonts w:hint="eastAsia" w:ascii="宋体" w:hAnsi="宋体" w:cs="宋体"/>
          <w:color w:val="auto"/>
          <w:sz w:val="21"/>
          <w:szCs w:val="21"/>
          <w:highlight w:val="none"/>
          <w:lang w:eastAsia="zh-CN"/>
        </w:rPr>
        <w:t>本合同工程界定异常恶劣气候条件的范围为：</w:t>
      </w:r>
      <w:bookmarkEnd w:id="745"/>
    </w:p>
    <w:p w14:paraId="0BA1618A">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)日降雨量大于</w:t>
      </w:r>
      <w:r>
        <w:rPr>
          <w:rFonts w:hint="eastAsia" w:ascii="宋体" w:hAnsi="宋体" w:cs="宋体"/>
          <w:color w:val="auto"/>
          <w:sz w:val="21"/>
          <w:szCs w:val="21"/>
          <w:highlight w:val="none"/>
          <w:u w:val="single"/>
          <w:lang w:eastAsia="zh-CN"/>
        </w:rPr>
        <w:t>25</w:t>
      </w:r>
      <w:r>
        <w:rPr>
          <w:rFonts w:hint="eastAsia" w:ascii="宋体" w:hAnsi="宋体" w:cs="宋体"/>
          <w:color w:val="auto"/>
          <w:sz w:val="21"/>
          <w:szCs w:val="21"/>
          <w:highlight w:val="none"/>
          <w:lang w:eastAsia="zh-CN"/>
        </w:rPr>
        <w:t>mm的雨日超过</w:t>
      </w:r>
      <w:r>
        <w:rPr>
          <w:rFonts w:hint="eastAsia" w:ascii="宋体" w:hAnsi="宋体" w:cs="宋体"/>
          <w:color w:val="auto"/>
          <w:sz w:val="21"/>
          <w:szCs w:val="21"/>
          <w:highlight w:val="none"/>
          <w:u w:val="single"/>
          <w:lang w:eastAsia="zh-CN"/>
        </w:rPr>
        <w:t xml:space="preserve"> 1</w:t>
      </w:r>
      <w:r>
        <w:rPr>
          <w:rFonts w:hint="eastAsia" w:ascii="宋体" w:hAnsi="宋体" w:cs="宋体"/>
          <w:color w:val="auto"/>
          <w:sz w:val="21"/>
          <w:szCs w:val="21"/>
          <w:highlight w:val="none"/>
          <w:lang w:eastAsia="zh-CN"/>
        </w:rPr>
        <w:t>天；</w:t>
      </w:r>
    </w:p>
    <w:p w14:paraId="270F6826">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(2)风速大于</w:t>
      </w:r>
      <w:r>
        <w:rPr>
          <w:rFonts w:hint="eastAsia" w:ascii="宋体" w:hAnsi="宋体" w:cs="宋体"/>
          <w:color w:val="auto"/>
          <w:sz w:val="21"/>
          <w:szCs w:val="21"/>
          <w:highlight w:val="none"/>
          <w:u w:val="single"/>
          <w:lang w:eastAsia="zh-CN"/>
        </w:rPr>
        <w:t xml:space="preserve"> 20 </w:t>
      </w:r>
      <w:r>
        <w:rPr>
          <w:rFonts w:hint="eastAsia" w:ascii="宋体" w:hAnsi="宋体" w:cs="宋体"/>
          <w:color w:val="auto"/>
          <w:sz w:val="21"/>
          <w:szCs w:val="21"/>
          <w:highlight w:val="none"/>
          <w:lang w:eastAsia="zh-CN"/>
        </w:rPr>
        <w:t>m/s的</w:t>
      </w:r>
      <w:r>
        <w:rPr>
          <w:rFonts w:hint="eastAsia" w:ascii="宋体" w:hAnsi="宋体" w:cs="宋体"/>
          <w:color w:val="auto"/>
          <w:sz w:val="21"/>
          <w:szCs w:val="21"/>
          <w:highlight w:val="none"/>
          <w:u w:val="single"/>
          <w:lang w:eastAsia="zh-CN"/>
        </w:rPr>
        <w:t xml:space="preserve"> 8</w:t>
      </w:r>
      <w:r>
        <w:rPr>
          <w:rFonts w:hint="eastAsia" w:ascii="宋体" w:hAnsi="宋体" w:cs="宋体"/>
          <w:color w:val="auto"/>
          <w:sz w:val="21"/>
          <w:szCs w:val="21"/>
          <w:highlight w:val="none"/>
          <w:lang w:eastAsia="zh-CN"/>
        </w:rPr>
        <w:t>级以上台风灾害；</w:t>
      </w:r>
    </w:p>
    <w:p w14:paraId="460D7608">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(3)日气温超过</w:t>
      </w:r>
      <w:r>
        <w:rPr>
          <w:rFonts w:hint="eastAsia" w:ascii="宋体" w:hAnsi="宋体" w:cs="宋体"/>
          <w:color w:val="auto"/>
          <w:sz w:val="21"/>
          <w:szCs w:val="21"/>
          <w:highlight w:val="none"/>
          <w:u w:val="single"/>
          <w:lang w:eastAsia="zh-CN"/>
        </w:rPr>
        <w:t xml:space="preserve"> 40 </w:t>
      </w:r>
      <w:r>
        <w:rPr>
          <w:rFonts w:hint="eastAsia" w:ascii="宋体" w:hAnsi="宋体" w:cs="宋体"/>
          <w:color w:val="auto"/>
          <w:sz w:val="21"/>
          <w:szCs w:val="21"/>
          <w:highlight w:val="none"/>
          <w:lang w:eastAsia="zh-CN"/>
        </w:rPr>
        <w:t>℃的高温大于</w:t>
      </w:r>
      <w:r>
        <w:rPr>
          <w:rFonts w:hint="eastAsia" w:ascii="宋体" w:hAnsi="宋体" w:cs="宋体"/>
          <w:color w:val="auto"/>
          <w:sz w:val="21"/>
          <w:szCs w:val="21"/>
          <w:highlight w:val="none"/>
          <w:u w:val="single"/>
          <w:lang w:eastAsia="zh-CN"/>
        </w:rPr>
        <w:t xml:space="preserve"> 2 </w:t>
      </w:r>
      <w:r>
        <w:rPr>
          <w:rFonts w:hint="eastAsia" w:ascii="宋体" w:hAnsi="宋体" w:cs="宋体"/>
          <w:color w:val="auto"/>
          <w:sz w:val="21"/>
          <w:szCs w:val="21"/>
          <w:highlight w:val="none"/>
          <w:lang w:eastAsia="zh-CN"/>
        </w:rPr>
        <w:t>天；</w:t>
      </w:r>
    </w:p>
    <w:p w14:paraId="20924B4C">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(4)日气温低于</w:t>
      </w:r>
      <w:r>
        <w:rPr>
          <w:rFonts w:hint="eastAsia" w:ascii="宋体" w:hAnsi="宋体" w:cs="宋体"/>
          <w:color w:val="auto"/>
          <w:sz w:val="21"/>
          <w:szCs w:val="21"/>
          <w:highlight w:val="none"/>
          <w:u w:val="single"/>
          <w:lang w:eastAsia="zh-CN"/>
        </w:rPr>
        <w:t xml:space="preserve">-10 </w:t>
      </w:r>
      <w:r>
        <w:rPr>
          <w:rFonts w:hint="eastAsia" w:ascii="宋体" w:hAnsi="宋体" w:cs="宋体"/>
          <w:color w:val="auto"/>
          <w:sz w:val="21"/>
          <w:szCs w:val="21"/>
          <w:highlight w:val="none"/>
          <w:lang w:eastAsia="zh-CN"/>
        </w:rPr>
        <w:t>℃的严寒大于</w:t>
      </w:r>
      <w:r>
        <w:rPr>
          <w:rFonts w:hint="eastAsia" w:ascii="宋体" w:hAnsi="宋体" w:cs="宋体"/>
          <w:color w:val="auto"/>
          <w:sz w:val="21"/>
          <w:szCs w:val="21"/>
          <w:highlight w:val="none"/>
          <w:u w:val="single"/>
          <w:lang w:eastAsia="zh-CN"/>
        </w:rPr>
        <w:t xml:space="preserve"> 2</w:t>
      </w:r>
      <w:r>
        <w:rPr>
          <w:rFonts w:hint="eastAsia" w:ascii="宋体" w:hAnsi="宋体" w:cs="宋体"/>
          <w:color w:val="auto"/>
          <w:sz w:val="21"/>
          <w:szCs w:val="21"/>
          <w:highlight w:val="none"/>
          <w:lang w:eastAsia="zh-CN"/>
        </w:rPr>
        <w:t>天。</w:t>
      </w:r>
    </w:p>
    <w:p w14:paraId="2EBE86AA">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(5)造成工程损坏的冰雹和大雪灾害；</w:t>
      </w:r>
    </w:p>
    <w:p w14:paraId="0DB0B64D">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w:t>
      </w:r>
      <w:r>
        <w:rPr>
          <w:rFonts w:hint="eastAsia" w:ascii="宋体" w:hAnsi="宋体" w:cs="宋体"/>
          <w:color w:val="auto"/>
          <w:sz w:val="21"/>
          <w:szCs w:val="21"/>
          <w:highlight w:val="none"/>
          <w:u w:val="single"/>
          <w:lang w:eastAsia="zh-CN"/>
        </w:rPr>
        <w:t xml:space="preserve"> 3 </w:t>
      </w:r>
      <w:r>
        <w:rPr>
          <w:rFonts w:hint="eastAsia" w:ascii="宋体" w:hAnsi="宋体" w:cs="宋体"/>
          <w:color w:val="auto"/>
          <w:sz w:val="21"/>
          <w:szCs w:val="21"/>
          <w:highlight w:val="none"/>
          <w:lang w:eastAsia="zh-CN"/>
        </w:rPr>
        <w:t>级以上的地震；</w:t>
      </w:r>
    </w:p>
    <w:p w14:paraId="1B477867">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u w:val="single"/>
          <w:lang w:eastAsia="zh-CN"/>
        </w:rPr>
        <w:t xml:space="preserve"> 50 </w:t>
      </w:r>
      <w:r>
        <w:rPr>
          <w:rFonts w:hint="eastAsia" w:ascii="宋体" w:hAnsi="宋体" w:cs="宋体"/>
          <w:color w:val="auto"/>
          <w:sz w:val="21"/>
          <w:szCs w:val="21"/>
          <w:highlight w:val="none"/>
          <w:lang w:eastAsia="zh-CN"/>
        </w:rPr>
        <w:t>年一遇及以上的洪水；</w:t>
      </w:r>
    </w:p>
    <w:p w14:paraId="2E48CE76">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)其他异常恶劣气候灾害。</w:t>
      </w:r>
    </w:p>
    <w:p w14:paraId="35D704BD">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46" w:name="_Toc1010"/>
      <w:bookmarkStart w:id="747" w:name="_Toc12929"/>
      <w:bookmarkStart w:id="748" w:name="_Toc31486"/>
      <w:bookmarkStart w:id="749" w:name="_Toc6143"/>
      <w:bookmarkStart w:id="750" w:name="_Toc221951198"/>
      <w:r>
        <w:rPr>
          <w:rFonts w:hint="eastAsia" w:ascii="宋体" w:hAnsi="宋体" w:eastAsia="宋体"/>
          <w:b/>
          <w:color w:val="auto"/>
          <w:sz w:val="24"/>
          <w:szCs w:val="24"/>
          <w:highlight w:val="none"/>
          <w:lang w:val="en-US" w:eastAsia="zh-CN" w:bidi="en-US"/>
        </w:rPr>
        <w:t>11.5 承包人工期延误</w:t>
      </w:r>
      <w:bookmarkEnd w:id="746"/>
      <w:bookmarkEnd w:id="747"/>
      <w:bookmarkEnd w:id="748"/>
      <w:bookmarkEnd w:id="749"/>
      <w:bookmarkEnd w:id="750"/>
      <w:r>
        <w:rPr>
          <w:rFonts w:hint="eastAsia" w:ascii="宋体" w:hAnsi="宋体" w:eastAsia="宋体"/>
          <w:b/>
          <w:color w:val="auto"/>
          <w:sz w:val="24"/>
          <w:szCs w:val="24"/>
          <w:highlight w:val="none"/>
          <w:lang w:val="en-US" w:eastAsia="zh-CN" w:bidi="en-US"/>
        </w:rPr>
        <w:t xml:space="preserve"> </w:t>
      </w:r>
      <w:bookmarkStart w:id="751" w:name="_Toc221951200"/>
    </w:p>
    <w:p w14:paraId="0999A23D">
      <w:pPr>
        <w:pStyle w:val="18"/>
        <w:ind w:firstLine="420" w:firstLineChars="200"/>
        <w:rPr>
          <w:rFonts w:ascii="宋体" w:hAnsi="宋体" w:cs="宋体"/>
          <w:bCs/>
          <w:color w:val="auto"/>
          <w:sz w:val="21"/>
          <w:szCs w:val="21"/>
          <w:highlight w:val="none"/>
          <w:lang w:eastAsia="zh-CN"/>
        </w:rPr>
      </w:pPr>
      <w:r>
        <w:rPr>
          <w:rFonts w:hint="eastAsia" w:ascii="宋体" w:hAnsi="宋体" w:cs="宋体"/>
          <w:bCs/>
          <w:color w:val="auto"/>
          <w:sz w:val="21"/>
          <w:szCs w:val="21"/>
          <w:highlight w:val="none"/>
          <w:lang w:eastAsia="zh-CN"/>
        </w:rPr>
        <w:t>（1）逾期完工违约金表(参考格式)</w:t>
      </w:r>
      <w:bookmarkEnd w:id="751"/>
    </w:p>
    <w:tbl>
      <w:tblPr>
        <w:tblStyle w:val="27"/>
        <w:tblW w:w="850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675"/>
        <w:gridCol w:w="1995"/>
        <w:gridCol w:w="1995"/>
      </w:tblGrid>
      <w:tr w14:paraId="03D69D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43BC465B">
            <w:pPr>
              <w:pStyle w:val="18"/>
              <w:jc w:val="center"/>
              <w:rPr>
                <w:rFonts w:ascii="宋体" w:hAnsi="宋体" w:cs="宋体"/>
                <w:color w:val="auto"/>
                <w:sz w:val="21"/>
                <w:szCs w:val="21"/>
                <w:highlight w:val="none"/>
              </w:rPr>
            </w:pPr>
            <w:bookmarkStart w:id="752" w:name="_Toc221951201"/>
            <w:r>
              <w:rPr>
                <w:rFonts w:hint="eastAsia" w:ascii="宋体" w:hAnsi="宋体" w:cs="宋体"/>
                <w:color w:val="auto"/>
                <w:sz w:val="21"/>
                <w:szCs w:val="21"/>
                <w:highlight w:val="none"/>
              </w:rPr>
              <w:t>序号</w:t>
            </w:r>
            <w:bookmarkEnd w:id="752"/>
          </w:p>
        </w:tc>
        <w:tc>
          <w:tcPr>
            <w:tcW w:w="3675" w:type="dxa"/>
            <w:noWrap w:val="0"/>
            <w:vAlign w:val="center"/>
          </w:tcPr>
          <w:p w14:paraId="079FC58E">
            <w:pPr>
              <w:pStyle w:val="18"/>
              <w:jc w:val="center"/>
              <w:rPr>
                <w:rFonts w:ascii="宋体" w:hAnsi="宋体" w:cs="宋体"/>
                <w:color w:val="auto"/>
                <w:sz w:val="21"/>
                <w:szCs w:val="21"/>
                <w:highlight w:val="none"/>
              </w:rPr>
            </w:pPr>
            <w:bookmarkStart w:id="753" w:name="_Toc221951202"/>
            <w:r>
              <w:rPr>
                <w:rFonts w:hint="eastAsia" w:ascii="宋体" w:hAnsi="宋体" w:cs="宋体"/>
                <w:color w:val="auto"/>
                <w:sz w:val="21"/>
                <w:szCs w:val="21"/>
                <w:highlight w:val="none"/>
              </w:rPr>
              <w:t>项目及其说明</w:t>
            </w:r>
            <w:bookmarkEnd w:id="753"/>
          </w:p>
        </w:tc>
        <w:tc>
          <w:tcPr>
            <w:tcW w:w="1995" w:type="dxa"/>
            <w:noWrap w:val="0"/>
            <w:vAlign w:val="center"/>
          </w:tcPr>
          <w:p w14:paraId="24CFCB6E">
            <w:pPr>
              <w:pStyle w:val="18"/>
              <w:jc w:val="center"/>
              <w:rPr>
                <w:rFonts w:ascii="宋体" w:hAnsi="宋体" w:cs="宋体"/>
                <w:color w:val="auto"/>
                <w:sz w:val="21"/>
                <w:szCs w:val="21"/>
                <w:highlight w:val="none"/>
              </w:rPr>
            </w:pPr>
            <w:bookmarkStart w:id="754" w:name="_Toc221951203"/>
            <w:r>
              <w:rPr>
                <w:rFonts w:hint="eastAsia" w:ascii="宋体" w:hAnsi="宋体" w:cs="宋体"/>
                <w:color w:val="auto"/>
                <w:sz w:val="21"/>
                <w:szCs w:val="21"/>
                <w:highlight w:val="none"/>
              </w:rPr>
              <w:t>要求完工日期</w:t>
            </w:r>
            <w:bookmarkEnd w:id="754"/>
          </w:p>
        </w:tc>
        <w:tc>
          <w:tcPr>
            <w:tcW w:w="1995" w:type="dxa"/>
            <w:noWrap w:val="0"/>
            <w:vAlign w:val="top"/>
          </w:tcPr>
          <w:p w14:paraId="28299911">
            <w:pPr>
              <w:pStyle w:val="18"/>
              <w:jc w:val="center"/>
              <w:rPr>
                <w:rFonts w:ascii="宋体" w:hAnsi="宋体" w:cs="宋体"/>
                <w:color w:val="auto"/>
                <w:sz w:val="21"/>
                <w:szCs w:val="21"/>
                <w:highlight w:val="none"/>
              </w:rPr>
            </w:pPr>
            <w:bookmarkStart w:id="755" w:name="_Toc221951204"/>
            <w:r>
              <w:rPr>
                <w:rFonts w:hint="eastAsia" w:ascii="宋体" w:hAnsi="宋体" w:cs="宋体"/>
                <w:color w:val="auto"/>
                <w:sz w:val="21"/>
                <w:szCs w:val="21"/>
                <w:highlight w:val="none"/>
              </w:rPr>
              <w:t>违约金(元/天)</w:t>
            </w:r>
            <w:bookmarkEnd w:id="755"/>
          </w:p>
        </w:tc>
      </w:tr>
      <w:tr w14:paraId="3688E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5840AEF2">
            <w:pPr>
              <w:pStyle w:val="18"/>
              <w:jc w:val="center"/>
              <w:rPr>
                <w:rFonts w:ascii="宋体" w:hAnsi="宋体" w:cs="宋体"/>
                <w:color w:val="auto"/>
                <w:sz w:val="21"/>
                <w:szCs w:val="21"/>
                <w:highlight w:val="none"/>
              </w:rPr>
            </w:pPr>
          </w:p>
        </w:tc>
        <w:tc>
          <w:tcPr>
            <w:tcW w:w="3675" w:type="dxa"/>
            <w:noWrap w:val="0"/>
            <w:vAlign w:val="center"/>
          </w:tcPr>
          <w:p w14:paraId="534480F6">
            <w:pPr>
              <w:pStyle w:val="18"/>
              <w:rPr>
                <w:rFonts w:ascii="宋体" w:hAnsi="宋体" w:cs="宋体"/>
                <w:color w:val="auto"/>
                <w:sz w:val="21"/>
                <w:szCs w:val="21"/>
                <w:highlight w:val="none"/>
              </w:rPr>
            </w:pPr>
          </w:p>
        </w:tc>
        <w:tc>
          <w:tcPr>
            <w:tcW w:w="1995" w:type="dxa"/>
            <w:noWrap w:val="0"/>
            <w:vAlign w:val="center"/>
          </w:tcPr>
          <w:p w14:paraId="5F78BCE2">
            <w:pPr>
              <w:pStyle w:val="18"/>
              <w:jc w:val="center"/>
              <w:rPr>
                <w:rFonts w:ascii="宋体" w:hAnsi="宋体" w:cs="宋体"/>
                <w:color w:val="auto"/>
                <w:sz w:val="21"/>
                <w:szCs w:val="21"/>
                <w:highlight w:val="none"/>
              </w:rPr>
            </w:pPr>
          </w:p>
        </w:tc>
        <w:tc>
          <w:tcPr>
            <w:tcW w:w="1995" w:type="dxa"/>
            <w:noWrap w:val="0"/>
            <w:vAlign w:val="top"/>
          </w:tcPr>
          <w:p w14:paraId="48F6DAA8">
            <w:pPr>
              <w:pStyle w:val="18"/>
              <w:jc w:val="center"/>
              <w:rPr>
                <w:rFonts w:ascii="宋体" w:hAnsi="宋体" w:cs="宋体"/>
                <w:color w:val="auto"/>
                <w:sz w:val="21"/>
                <w:szCs w:val="21"/>
                <w:highlight w:val="none"/>
              </w:rPr>
            </w:pPr>
          </w:p>
        </w:tc>
      </w:tr>
      <w:tr w14:paraId="446FE1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34B558A4">
            <w:pPr>
              <w:pStyle w:val="18"/>
              <w:jc w:val="center"/>
              <w:rPr>
                <w:rFonts w:ascii="宋体" w:hAnsi="宋体" w:cs="宋体"/>
                <w:color w:val="auto"/>
                <w:sz w:val="21"/>
                <w:szCs w:val="21"/>
                <w:highlight w:val="none"/>
              </w:rPr>
            </w:pPr>
          </w:p>
        </w:tc>
        <w:tc>
          <w:tcPr>
            <w:tcW w:w="3675" w:type="dxa"/>
            <w:noWrap w:val="0"/>
            <w:vAlign w:val="center"/>
          </w:tcPr>
          <w:p w14:paraId="6AAAA0CE">
            <w:pPr>
              <w:pStyle w:val="18"/>
              <w:rPr>
                <w:rFonts w:ascii="宋体" w:hAnsi="宋体" w:cs="宋体"/>
                <w:color w:val="auto"/>
                <w:sz w:val="21"/>
                <w:szCs w:val="21"/>
                <w:highlight w:val="none"/>
              </w:rPr>
            </w:pPr>
          </w:p>
        </w:tc>
        <w:tc>
          <w:tcPr>
            <w:tcW w:w="1995" w:type="dxa"/>
            <w:noWrap w:val="0"/>
            <w:vAlign w:val="center"/>
          </w:tcPr>
          <w:p w14:paraId="64780AFE">
            <w:pPr>
              <w:pStyle w:val="18"/>
              <w:jc w:val="center"/>
              <w:rPr>
                <w:rFonts w:ascii="宋体" w:hAnsi="宋体" w:cs="宋体"/>
                <w:color w:val="auto"/>
                <w:sz w:val="21"/>
                <w:szCs w:val="21"/>
                <w:highlight w:val="none"/>
              </w:rPr>
            </w:pPr>
          </w:p>
        </w:tc>
        <w:tc>
          <w:tcPr>
            <w:tcW w:w="1995" w:type="dxa"/>
            <w:noWrap w:val="0"/>
            <w:vAlign w:val="top"/>
          </w:tcPr>
          <w:p w14:paraId="222B495F">
            <w:pPr>
              <w:pStyle w:val="18"/>
              <w:jc w:val="center"/>
              <w:rPr>
                <w:rFonts w:ascii="宋体" w:hAnsi="宋体" w:cs="宋体"/>
                <w:color w:val="auto"/>
                <w:sz w:val="21"/>
                <w:szCs w:val="21"/>
                <w:highlight w:val="none"/>
              </w:rPr>
            </w:pPr>
          </w:p>
        </w:tc>
      </w:tr>
      <w:tr w14:paraId="2FA0E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5AD5E7CA">
            <w:pPr>
              <w:pStyle w:val="18"/>
              <w:jc w:val="center"/>
              <w:rPr>
                <w:rFonts w:ascii="宋体" w:hAnsi="宋体" w:cs="宋体"/>
                <w:color w:val="auto"/>
                <w:sz w:val="21"/>
                <w:szCs w:val="21"/>
                <w:highlight w:val="none"/>
              </w:rPr>
            </w:pPr>
          </w:p>
        </w:tc>
        <w:tc>
          <w:tcPr>
            <w:tcW w:w="3675" w:type="dxa"/>
            <w:noWrap w:val="0"/>
            <w:vAlign w:val="center"/>
          </w:tcPr>
          <w:p w14:paraId="5E8CF0BB">
            <w:pPr>
              <w:pStyle w:val="18"/>
              <w:rPr>
                <w:rFonts w:ascii="宋体" w:hAnsi="宋体" w:cs="宋体"/>
                <w:color w:val="auto"/>
                <w:sz w:val="21"/>
                <w:szCs w:val="21"/>
                <w:highlight w:val="none"/>
              </w:rPr>
            </w:pPr>
          </w:p>
        </w:tc>
        <w:tc>
          <w:tcPr>
            <w:tcW w:w="1995" w:type="dxa"/>
            <w:noWrap w:val="0"/>
            <w:vAlign w:val="center"/>
          </w:tcPr>
          <w:p w14:paraId="1DD721FF">
            <w:pPr>
              <w:pStyle w:val="18"/>
              <w:jc w:val="center"/>
              <w:rPr>
                <w:rFonts w:ascii="宋体" w:hAnsi="宋体" w:cs="宋体"/>
                <w:color w:val="auto"/>
                <w:sz w:val="21"/>
                <w:szCs w:val="21"/>
                <w:highlight w:val="none"/>
              </w:rPr>
            </w:pPr>
          </w:p>
        </w:tc>
        <w:tc>
          <w:tcPr>
            <w:tcW w:w="1995" w:type="dxa"/>
            <w:noWrap w:val="0"/>
            <w:vAlign w:val="top"/>
          </w:tcPr>
          <w:p w14:paraId="4F8D67B5">
            <w:pPr>
              <w:pStyle w:val="18"/>
              <w:jc w:val="center"/>
              <w:rPr>
                <w:rFonts w:ascii="宋体" w:hAnsi="宋体" w:cs="宋体"/>
                <w:color w:val="auto"/>
                <w:sz w:val="21"/>
                <w:szCs w:val="21"/>
                <w:highlight w:val="none"/>
              </w:rPr>
            </w:pPr>
          </w:p>
        </w:tc>
      </w:tr>
      <w:tr w14:paraId="118AF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3" w:type="dxa"/>
            <w:noWrap w:val="0"/>
            <w:vAlign w:val="center"/>
          </w:tcPr>
          <w:p w14:paraId="4B8CFCDC">
            <w:pPr>
              <w:pStyle w:val="18"/>
              <w:jc w:val="center"/>
              <w:rPr>
                <w:rFonts w:ascii="宋体" w:hAnsi="宋体" w:cs="宋体"/>
                <w:color w:val="auto"/>
                <w:sz w:val="21"/>
                <w:szCs w:val="21"/>
                <w:highlight w:val="none"/>
              </w:rPr>
            </w:pPr>
          </w:p>
        </w:tc>
        <w:tc>
          <w:tcPr>
            <w:tcW w:w="3675" w:type="dxa"/>
            <w:noWrap w:val="0"/>
            <w:vAlign w:val="center"/>
          </w:tcPr>
          <w:p w14:paraId="78C71066">
            <w:pPr>
              <w:pStyle w:val="18"/>
              <w:rPr>
                <w:rFonts w:ascii="宋体" w:hAnsi="宋体" w:cs="宋体"/>
                <w:color w:val="auto"/>
                <w:sz w:val="21"/>
                <w:szCs w:val="21"/>
                <w:highlight w:val="none"/>
              </w:rPr>
            </w:pPr>
          </w:p>
        </w:tc>
        <w:tc>
          <w:tcPr>
            <w:tcW w:w="1995" w:type="dxa"/>
            <w:noWrap w:val="0"/>
            <w:vAlign w:val="center"/>
          </w:tcPr>
          <w:p w14:paraId="3D44ABEC">
            <w:pPr>
              <w:pStyle w:val="18"/>
              <w:jc w:val="center"/>
              <w:rPr>
                <w:rFonts w:ascii="宋体" w:hAnsi="宋体" w:cs="宋体"/>
                <w:color w:val="auto"/>
                <w:sz w:val="21"/>
                <w:szCs w:val="21"/>
                <w:highlight w:val="none"/>
              </w:rPr>
            </w:pPr>
          </w:p>
        </w:tc>
        <w:tc>
          <w:tcPr>
            <w:tcW w:w="1995" w:type="dxa"/>
            <w:noWrap w:val="0"/>
            <w:vAlign w:val="top"/>
          </w:tcPr>
          <w:p w14:paraId="779BA68B">
            <w:pPr>
              <w:pStyle w:val="18"/>
              <w:jc w:val="center"/>
              <w:rPr>
                <w:rFonts w:ascii="宋体" w:hAnsi="宋体" w:cs="宋体"/>
                <w:color w:val="auto"/>
                <w:sz w:val="21"/>
                <w:szCs w:val="21"/>
                <w:highlight w:val="none"/>
              </w:rPr>
            </w:pPr>
          </w:p>
        </w:tc>
      </w:tr>
    </w:tbl>
    <w:p w14:paraId="592BFAC7">
      <w:pPr>
        <w:pStyle w:val="18"/>
        <w:spacing w:line="360" w:lineRule="auto"/>
        <w:ind w:firstLine="420" w:firstLineChars="200"/>
        <w:rPr>
          <w:rFonts w:ascii="宋体" w:hAnsi="宋体" w:cs="宋体"/>
          <w:color w:val="auto"/>
          <w:sz w:val="21"/>
          <w:szCs w:val="21"/>
          <w:highlight w:val="none"/>
          <w:lang w:eastAsia="zh-CN"/>
        </w:rPr>
      </w:pPr>
      <w:bookmarkStart w:id="756" w:name="_Toc221951205"/>
      <w:r>
        <w:rPr>
          <w:rFonts w:hint="eastAsia" w:ascii="宋体" w:hAnsi="宋体" w:cs="宋体"/>
          <w:color w:val="auto"/>
          <w:sz w:val="21"/>
          <w:szCs w:val="21"/>
          <w:highlight w:val="none"/>
          <w:lang w:eastAsia="zh-CN"/>
        </w:rPr>
        <w:t>承包人如未能按上表各节点要求的完工日期前完工，</w:t>
      </w:r>
      <w:r>
        <w:rPr>
          <w:rFonts w:hint="eastAsia" w:ascii="宋体" w:hAnsi="宋体" w:cs="宋体"/>
          <w:bCs/>
          <w:color w:val="auto"/>
          <w:sz w:val="21"/>
          <w:szCs w:val="21"/>
          <w:highlight w:val="none"/>
          <w:lang w:eastAsia="zh-CN"/>
        </w:rPr>
        <w:t>逾期完工违约金按</w:t>
      </w:r>
      <w:r>
        <w:rPr>
          <w:rFonts w:hint="eastAsia" w:ascii="宋体" w:hAnsi="宋体" w:cs="宋体"/>
          <w:bCs/>
          <w:color w:val="auto"/>
          <w:sz w:val="21"/>
          <w:szCs w:val="21"/>
          <w:highlight w:val="none"/>
          <w:u w:val="single"/>
          <w:lang w:eastAsia="zh-CN"/>
        </w:rPr>
        <w:t xml:space="preserve"> </w:t>
      </w:r>
      <w:r>
        <w:rPr>
          <w:rFonts w:hint="eastAsia" w:ascii="宋体" w:hAnsi="宋体" w:cs="宋体"/>
          <w:color w:val="auto"/>
          <w:sz w:val="21"/>
          <w:szCs w:val="21"/>
          <w:highlight w:val="none"/>
          <w:u w:val="single"/>
          <w:lang w:eastAsia="zh-CN"/>
        </w:rPr>
        <w:t xml:space="preserve">1000 </w:t>
      </w:r>
      <w:r>
        <w:rPr>
          <w:rFonts w:hint="eastAsia" w:ascii="宋体" w:hAnsi="宋体" w:cs="宋体"/>
          <w:bCs/>
          <w:color w:val="auto"/>
          <w:sz w:val="21"/>
          <w:szCs w:val="21"/>
          <w:highlight w:val="none"/>
          <w:lang w:eastAsia="zh-CN"/>
        </w:rPr>
        <w:t>元/天”计算。</w:t>
      </w:r>
    </w:p>
    <w:p w14:paraId="609D2998">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（2）全部逾期完工违约金的总限额不超过合同总价的</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%，发包人可从应向承包人支付的任何金额中扣除此项违约金或以其他方式收回此款，此违约金的支付并不能解除承包人应完成工程的责任或合同规定的其他责任。</w:t>
      </w:r>
      <w:bookmarkEnd w:id="756"/>
    </w:p>
    <w:p w14:paraId="7CE491DF">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57" w:name="_Toc19802"/>
      <w:bookmarkStart w:id="758" w:name="_Toc8243"/>
      <w:bookmarkStart w:id="759" w:name="_Toc30085"/>
      <w:bookmarkStart w:id="760" w:name="_Toc21043"/>
      <w:r>
        <w:rPr>
          <w:rFonts w:hint="eastAsia" w:ascii="宋体" w:hAnsi="宋体" w:eastAsia="宋体"/>
          <w:b/>
          <w:color w:val="auto"/>
          <w:sz w:val="24"/>
          <w:szCs w:val="24"/>
          <w:highlight w:val="none"/>
          <w:lang w:val="en-US" w:eastAsia="zh-CN" w:bidi="en-US"/>
        </w:rPr>
        <w:t>11.6 工期提前</w:t>
      </w:r>
      <w:bookmarkEnd w:id="757"/>
      <w:bookmarkEnd w:id="758"/>
      <w:bookmarkEnd w:id="759"/>
      <w:bookmarkEnd w:id="760"/>
    </w:p>
    <w:p w14:paraId="5F4FD6B3">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工期提前的资金约定：</w:t>
      </w:r>
      <w:r>
        <w:rPr>
          <w:rFonts w:hint="eastAsia" w:ascii="宋体" w:hAnsi="宋体" w:cs="宋体"/>
          <w:bCs/>
          <w:color w:val="auto"/>
          <w:sz w:val="21"/>
          <w:szCs w:val="21"/>
          <w:highlight w:val="none"/>
          <w:u w:val="single"/>
          <w:lang w:eastAsia="zh-CN"/>
        </w:rPr>
        <w:t>在保证工程质量的前提下，发包人鼓励承包人提前完工，但本合同工程无提前工期奖金</w:t>
      </w:r>
      <w:r>
        <w:rPr>
          <w:rFonts w:hint="eastAsia" w:ascii="宋体" w:hAnsi="宋体" w:cs="宋体"/>
          <w:color w:val="auto"/>
          <w:sz w:val="21"/>
          <w:szCs w:val="21"/>
          <w:highlight w:val="none"/>
          <w:lang w:eastAsia="zh-CN"/>
        </w:rPr>
        <w:t>。</w:t>
      </w:r>
    </w:p>
    <w:p w14:paraId="47B02C2E">
      <w:pPr>
        <w:pStyle w:val="39"/>
        <w:keepNext/>
        <w:keepLines/>
        <w:spacing w:before="280" w:after="290" w:line="372" w:lineRule="auto"/>
        <w:outlineLvl w:val="4"/>
        <w:rPr>
          <w:rFonts w:hint="eastAsia"/>
          <w:b/>
          <w:color w:val="auto"/>
          <w:sz w:val="30"/>
          <w:szCs w:val="30"/>
          <w:highlight w:val="none"/>
          <w:lang w:eastAsia="zh-CN"/>
        </w:rPr>
      </w:pPr>
      <w:bookmarkStart w:id="761" w:name="_Toc229305395"/>
      <w:bookmarkStart w:id="762" w:name="_Toc2948180"/>
      <w:bookmarkStart w:id="763" w:name="_Toc2936482"/>
      <w:bookmarkStart w:id="764" w:name="_Toc16835"/>
      <w:bookmarkStart w:id="765" w:name="_Toc221951206"/>
      <w:bookmarkStart w:id="766" w:name="_Toc2936726"/>
      <w:bookmarkStart w:id="767" w:name="_Toc222032706"/>
      <w:bookmarkStart w:id="768" w:name="_Toc222029537"/>
      <w:bookmarkStart w:id="769" w:name="_Toc222033888"/>
      <w:bookmarkStart w:id="770" w:name="_Toc222031039"/>
      <w:bookmarkStart w:id="771" w:name="_Toc5100"/>
      <w:r>
        <w:rPr>
          <w:rFonts w:hint="eastAsia"/>
          <w:b/>
          <w:color w:val="auto"/>
          <w:sz w:val="30"/>
          <w:szCs w:val="30"/>
          <w:highlight w:val="none"/>
          <w:lang w:eastAsia="zh-CN"/>
        </w:rPr>
        <w:t>12. 暂停施工</w:t>
      </w:r>
      <w:bookmarkEnd w:id="761"/>
      <w:bookmarkEnd w:id="762"/>
      <w:bookmarkEnd w:id="763"/>
      <w:bookmarkEnd w:id="764"/>
      <w:bookmarkEnd w:id="765"/>
      <w:bookmarkEnd w:id="766"/>
      <w:bookmarkEnd w:id="767"/>
      <w:bookmarkEnd w:id="768"/>
      <w:bookmarkEnd w:id="769"/>
      <w:bookmarkEnd w:id="770"/>
      <w:bookmarkEnd w:id="771"/>
    </w:p>
    <w:p w14:paraId="0E3D41E6">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72" w:name="_Toc27012"/>
      <w:bookmarkStart w:id="773" w:name="_Toc13318"/>
      <w:bookmarkStart w:id="774" w:name="_Toc12367"/>
      <w:bookmarkStart w:id="775" w:name="_Toc9983"/>
      <w:bookmarkStart w:id="776" w:name="_Toc221951207"/>
      <w:r>
        <w:rPr>
          <w:rFonts w:hint="eastAsia" w:ascii="宋体" w:hAnsi="宋体" w:eastAsia="宋体"/>
          <w:b/>
          <w:color w:val="auto"/>
          <w:sz w:val="24"/>
          <w:szCs w:val="24"/>
          <w:highlight w:val="none"/>
          <w:lang w:val="en-US" w:eastAsia="zh-CN" w:bidi="en-US"/>
        </w:rPr>
        <w:t>12.1 承包人暂停施工的责任</w:t>
      </w:r>
      <w:bookmarkEnd w:id="772"/>
      <w:bookmarkEnd w:id="773"/>
      <w:bookmarkEnd w:id="774"/>
      <w:bookmarkEnd w:id="775"/>
      <w:bookmarkEnd w:id="776"/>
    </w:p>
    <w:p w14:paraId="1F9D15C2">
      <w:pPr>
        <w:pStyle w:val="18"/>
        <w:spacing w:line="360" w:lineRule="auto"/>
        <w:ind w:firstLine="420" w:firstLineChars="200"/>
        <w:rPr>
          <w:rFonts w:ascii="宋体" w:hAnsi="宋体" w:cs="宋体"/>
          <w:color w:val="auto"/>
          <w:sz w:val="21"/>
          <w:szCs w:val="21"/>
          <w:highlight w:val="none"/>
          <w:lang w:eastAsia="zh-CN"/>
        </w:rPr>
      </w:pPr>
      <w:bookmarkStart w:id="777" w:name="_Toc221951209"/>
      <w:r>
        <w:rPr>
          <w:rFonts w:hint="eastAsia" w:ascii="宋体" w:hAnsi="宋体" w:cs="宋体"/>
          <w:color w:val="auto"/>
          <w:sz w:val="21"/>
          <w:szCs w:val="21"/>
          <w:highlight w:val="none"/>
          <w:lang w:eastAsia="zh-CN"/>
        </w:rPr>
        <w:t xml:space="preserve"> 承包人承担暂停施工责任的其它情形：</w:t>
      </w:r>
      <w:r>
        <w:rPr>
          <w:rFonts w:hint="eastAsia" w:ascii="宋体" w:hAnsi="宋体" w:cs="宋体"/>
          <w:color w:val="auto"/>
          <w:sz w:val="21"/>
          <w:szCs w:val="21"/>
          <w:highlight w:val="none"/>
          <w:u w:val="single"/>
          <w:lang w:eastAsia="zh-CN"/>
        </w:rPr>
        <w:t xml:space="preserve"> </w:t>
      </w:r>
      <w:r>
        <w:rPr>
          <w:rFonts w:hint="eastAsia" w:ascii="宋体" w:hAnsi="宋体" w:cs="宋体"/>
          <w:bCs/>
          <w:color w:val="auto"/>
          <w:sz w:val="21"/>
          <w:szCs w:val="21"/>
          <w:highlight w:val="none"/>
          <w:u w:val="single"/>
          <w:lang w:eastAsia="zh-CN"/>
        </w:rPr>
        <w:t>属于下列任何一种情况引起的暂停施工，承包人不能提出增加费用和延长工期的要求</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w:t>
      </w:r>
      <w:bookmarkEnd w:id="777"/>
    </w:p>
    <w:p w14:paraId="2E398E12">
      <w:pPr>
        <w:pStyle w:val="17"/>
        <w:spacing w:line="360" w:lineRule="auto"/>
        <w:ind w:firstLine="525" w:firstLineChars="250"/>
        <w:rPr>
          <w:rFonts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① 合同中另有规定的。</w:t>
      </w:r>
    </w:p>
    <w:p w14:paraId="75C64C06">
      <w:pPr>
        <w:pStyle w:val="17"/>
        <w:spacing w:line="360" w:lineRule="auto"/>
        <w:ind w:firstLine="525" w:firstLineChars="250"/>
        <w:rPr>
          <w:rFonts w:hint="eastAsia"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② 由于承包人违约引起的暂停施工。</w:t>
      </w:r>
    </w:p>
    <w:p w14:paraId="094A3E36">
      <w:pPr>
        <w:pStyle w:val="17"/>
        <w:spacing w:line="360" w:lineRule="auto"/>
        <w:ind w:firstLine="525" w:firstLineChars="250"/>
        <w:rPr>
          <w:rFonts w:hint="eastAsia"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③ 由于现场非异常恶劣气候条件引起的正常停工。</w:t>
      </w:r>
    </w:p>
    <w:p w14:paraId="4E1F69A2">
      <w:pPr>
        <w:pStyle w:val="17"/>
        <w:spacing w:line="360" w:lineRule="auto"/>
        <w:ind w:firstLine="525" w:firstLineChars="250"/>
        <w:rPr>
          <w:rFonts w:hint="eastAsia"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④ 由于承包人为工程的合理施工和保证安全所必须的暂停施工。</w:t>
      </w:r>
    </w:p>
    <w:p w14:paraId="5B7CF0AE">
      <w:pPr>
        <w:pStyle w:val="17"/>
        <w:spacing w:line="360" w:lineRule="auto"/>
        <w:ind w:firstLine="525" w:firstLineChars="250"/>
        <w:rPr>
          <w:rFonts w:hint="eastAsia"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⑤ 未得到监理人许可的承包人擅自停工。</w:t>
      </w:r>
    </w:p>
    <w:p w14:paraId="0900EBB2">
      <w:pPr>
        <w:pStyle w:val="17"/>
        <w:spacing w:line="360" w:lineRule="auto"/>
        <w:ind w:firstLine="525" w:firstLineChars="250"/>
        <w:rPr>
          <w:rFonts w:hint="eastAsia" w:ascii="宋体" w:hAnsi="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⑥ 其它由于承包人原因引起的暂停施工。</w:t>
      </w:r>
    </w:p>
    <w:p w14:paraId="68703198">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78" w:name="_Toc23556"/>
      <w:bookmarkStart w:id="779" w:name="_Toc3288"/>
      <w:bookmarkStart w:id="780" w:name="_Toc25489"/>
      <w:bookmarkStart w:id="781" w:name="_Toc26132"/>
      <w:r>
        <w:rPr>
          <w:rFonts w:hint="eastAsia" w:ascii="宋体" w:hAnsi="宋体" w:eastAsia="宋体"/>
          <w:b/>
          <w:color w:val="auto"/>
          <w:sz w:val="24"/>
          <w:szCs w:val="24"/>
          <w:highlight w:val="none"/>
          <w:lang w:val="en-US" w:eastAsia="zh-CN" w:bidi="en-US"/>
        </w:rPr>
        <w:t>12.2 发包人暂停施工的责任</w:t>
      </w:r>
      <w:bookmarkEnd w:id="778"/>
      <w:bookmarkEnd w:id="779"/>
      <w:bookmarkEnd w:id="780"/>
      <w:bookmarkEnd w:id="781"/>
    </w:p>
    <w:p w14:paraId="23F245D7">
      <w:pPr>
        <w:pStyle w:val="18"/>
        <w:spacing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     (3) 发包人承担暂停施工责任的其它情形：</w:t>
      </w:r>
      <w:r>
        <w:rPr>
          <w:rFonts w:hint="eastAsia" w:ascii="宋体" w:hAnsi="宋体" w:cs="宋体"/>
          <w:bCs/>
          <w:color w:val="auto"/>
          <w:sz w:val="21"/>
          <w:szCs w:val="21"/>
          <w:highlight w:val="none"/>
          <w:u w:val="single"/>
          <w:lang w:eastAsia="zh-CN"/>
        </w:rPr>
        <w:t>发包人可以根据资金到位情况暂停部分项目的施工，发包人只延长因该部分暂停施工增加的工期，但不增加投资</w:t>
      </w:r>
      <w:r>
        <w:rPr>
          <w:rFonts w:hint="eastAsia" w:ascii="宋体" w:hAnsi="宋体" w:cs="宋体"/>
          <w:color w:val="auto"/>
          <w:sz w:val="21"/>
          <w:szCs w:val="21"/>
          <w:highlight w:val="none"/>
          <w:lang w:eastAsia="zh-CN"/>
        </w:rPr>
        <w:t>。</w:t>
      </w:r>
    </w:p>
    <w:p w14:paraId="3A734267">
      <w:pPr>
        <w:pStyle w:val="39"/>
        <w:keepNext/>
        <w:keepLines/>
        <w:spacing w:before="280" w:after="290" w:line="372" w:lineRule="auto"/>
        <w:outlineLvl w:val="4"/>
        <w:rPr>
          <w:rFonts w:hint="eastAsia"/>
          <w:b/>
          <w:color w:val="auto"/>
          <w:sz w:val="30"/>
          <w:szCs w:val="30"/>
          <w:highlight w:val="none"/>
          <w:lang w:eastAsia="zh-CN"/>
        </w:rPr>
      </w:pPr>
      <w:bookmarkStart w:id="782" w:name="_Toc22957"/>
      <w:bookmarkStart w:id="783" w:name="_Toc2936483"/>
      <w:bookmarkStart w:id="784" w:name="_Toc2936727"/>
      <w:bookmarkStart w:id="785" w:name="_Toc2948181"/>
      <w:bookmarkStart w:id="786" w:name="_Toc23603"/>
      <w:r>
        <w:rPr>
          <w:rFonts w:hint="eastAsia"/>
          <w:b/>
          <w:color w:val="auto"/>
          <w:sz w:val="30"/>
          <w:szCs w:val="30"/>
          <w:highlight w:val="none"/>
          <w:lang w:eastAsia="zh-CN"/>
        </w:rPr>
        <w:t>13.工程质量</w:t>
      </w:r>
      <w:bookmarkEnd w:id="782"/>
      <w:bookmarkEnd w:id="783"/>
      <w:bookmarkEnd w:id="784"/>
      <w:bookmarkEnd w:id="785"/>
      <w:bookmarkEnd w:id="786"/>
    </w:p>
    <w:p w14:paraId="188D2683">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87" w:name="_Toc10368"/>
      <w:bookmarkStart w:id="788" w:name="_Toc4382"/>
      <w:bookmarkStart w:id="789" w:name="_Toc27107"/>
      <w:bookmarkStart w:id="790" w:name="_Toc19005"/>
      <w:r>
        <w:rPr>
          <w:rFonts w:hint="eastAsia" w:ascii="宋体" w:hAnsi="宋体" w:eastAsia="宋体"/>
          <w:b/>
          <w:color w:val="auto"/>
          <w:sz w:val="24"/>
          <w:szCs w:val="24"/>
          <w:highlight w:val="none"/>
          <w:lang w:val="en-US" w:eastAsia="zh-CN" w:bidi="en-US"/>
        </w:rPr>
        <w:t>13.7 质量评定</w:t>
      </w:r>
      <w:bookmarkEnd w:id="787"/>
      <w:bookmarkEnd w:id="788"/>
      <w:bookmarkEnd w:id="789"/>
      <w:bookmarkEnd w:id="790"/>
    </w:p>
    <w:p w14:paraId="73767D23">
      <w:pPr>
        <w:pStyle w:val="18"/>
        <w:spacing w:line="360" w:lineRule="auto"/>
        <w:ind w:firstLine="420" w:firstLineChars="200"/>
        <w:rPr>
          <w:rStyle w:val="29"/>
          <w:rFonts w:ascii="宋体" w:hAnsi="宋体" w:cs="宋体"/>
          <w:color w:val="auto"/>
          <w:sz w:val="21"/>
          <w:szCs w:val="21"/>
          <w:highlight w:val="none"/>
          <w:lang w:eastAsia="zh-CN"/>
        </w:rPr>
      </w:pPr>
      <w:bookmarkStart w:id="791" w:name="_Toc24898"/>
      <w:bookmarkStart w:id="792" w:name="_Toc26937"/>
      <w:bookmarkStart w:id="793" w:name="_Toc10634"/>
      <w:r>
        <w:rPr>
          <w:rStyle w:val="29"/>
          <w:rFonts w:hint="default" w:ascii="Times New Roman" w:hAnsi="Times New Roman" w:cs="Times New Roman"/>
          <w:color w:val="auto"/>
          <w:sz w:val="21"/>
          <w:szCs w:val="21"/>
          <w:highlight w:val="none"/>
          <w:lang w:eastAsia="zh-CN"/>
        </w:rPr>
        <w:t>13.7.4</w:t>
      </w:r>
      <w:r>
        <w:rPr>
          <w:rStyle w:val="29"/>
          <w:rFonts w:hint="eastAsia" w:ascii="宋体" w:hAnsi="宋体" w:cs="宋体"/>
          <w:color w:val="auto"/>
          <w:sz w:val="21"/>
          <w:szCs w:val="21"/>
          <w:highlight w:val="none"/>
          <w:lang w:eastAsia="zh-CN"/>
        </w:rPr>
        <w:t>重要隐蔽单元工程和关键部位单元工程质量评定的约定：</w:t>
      </w:r>
      <w:r>
        <w:rPr>
          <w:rStyle w:val="29"/>
          <w:rFonts w:hint="eastAsia" w:ascii="宋体" w:hAnsi="宋体" w:cs="宋体"/>
          <w:color w:val="auto"/>
          <w:sz w:val="21"/>
          <w:szCs w:val="21"/>
          <w:highlight w:val="none"/>
          <w:u w:val="single"/>
          <w:lang w:eastAsia="zh-CN"/>
        </w:rPr>
        <w:t xml:space="preserve"> 必须组织相关各方进行联检 </w:t>
      </w:r>
      <w:r>
        <w:rPr>
          <w:rStyle w:val="29"/>
          <w:rFonts w:hint="eastAsia" w:ascii="宋体" w:hAnsi="宋体" w:cs="宋体"/>
          <w:color w:val="auto"/>
          <w:sz w:val="21"/>
          <w:szCs w:val="21"/>
          <w:highlight w:val="none"/>
          <w:lang w:eastAsia="zh-CN"/>
        </w:rPr>
        <w:t>。</w:t>
      </w:r>
      <w:bookmarkEnd w:id="791"/>
      <w:bookmarkEnd w:id="792"/>
      <w:bookmarkEnd w:id="793"/>
    </w:p>
    <w:p w14:paraId="2EE50845">
      <w:pPr>
        <w:pStyle w:val="18"/>
        <w:spacing w:line="360" w:lineRule="auto"/>
        <w:ind w:firstLine="420" w:firstLineChars="200"/>
        <w:rPr>
          <w:rFonts w:ascii="宋体" w:hAnsi="宋体" w:cs="宋体"/>
          <w:color w:val="auto"/>
          <w:sz w:val="21"/>
          <w:szCs w:val="21"/>
          <w:highlight w:val="none"/>
          <w:lang w:eastAsia="zh-CN"/>
        </w:rPr>
      </w:pPr>
      <w:r>
        <w:rPr>
          <w:rStyle w:val="29"/>
          <w:rFonts w:hint="default" w:ascii="Times New Roman" w:hAnsi="Times New Roman" w:cs="Times New Roman"/>
          <w:color w:val="auto"/>
          <w:sz w:val="21"/>
          <w:szCs w:val="21"/>
          <w:highlight w:val="none"/>
          <w:lang w:eastAsia="zh-CN"/>
        </w:rPr>
        <w:t>13.7.7</w:t>
      </w:r>
      <w:r>
        <w:rPr>
          <w:rStyle w:val="29"/>
          <w:rFonts w:hint="eastAsia" w:ascii="宋体" w:hAnsi="宋体" w:cs="宋体"/>
          <w:color w:val="auto"/>
          <w:sz w:val="21"/>
          <w:szCs w:val="21"/>
          <w:highlight w:val="none"/>
          <w:lang w:eastAsia="zh-CN"/>
        </w:rPr>
        <w:t>工程合格标准为：</w:t>
      </w:r>
      <w:r>
        <w:rPr>
          <w:rStyle w:val="29"/>
          <w:rFonts w:hint="eastAsia" w:ascii="宋体" w:hAnsi="宋体" w:cs="宋体"/>
          <w:color w:val="auto"/>
          <w:sz w:val="21"/>
          <w:szCs w:val="21"/>
          <w:highlight w:val="none"/>
          <w:u w:val="single"/>
          <w:lang w:eastAsia="zh-CN"/>
        </w:rPr>
        <w:t>执行《水利水电工程施工质量检验与评定规程》（SL176—2007），施工质量达到合格等级</w:t>
      </w:r>
      <w:r>
        <w:rPr>
          <w:rStyle w:val="29"/>
          <w:rFonts w:hint="eastAsia" w:ascii="宋体" w:hAnsi="宋体" w:cs="宋体"/>
          <w:color w:val="auto"/>
          <w:sz w:val="21"/>
          <w:szCs w:val="21"/>
          <w:highlight w:val="none"/>
          <w:lang w:eastAsia="zh-CN"/>
        </w:rPr>
        <w:t>；优良标准为：</w:t>
      </w:r>
      <w:r>
        <w:rPr>
          <w:rStyle w:val="29"/>
          <w:rFonts w:hint="eastAsia" w:ascii="宋体" w:hAnsi="宋体" w:cs="宋体"/>
          <w:color w:val="auto"/>
          <w:sz w:val="21"/>
          <w:szCs w:val="21"/>
          <w:highlight w:val="none"/>
          <w:u w:val="single"/>
          <w:lang w:eastAsia="zh-CN"/>
        </w:rPr>
        <w:t>执行《水利水电工程施工质量检验与评定规程》（SL176—2007），施工质量达到优良等级</w:t>
      </w:r>
      <w:r>
        <w:rPr>
          <w:rStyle w:val="29"/>
          <w:rFonts w:hint="eastAsia" w:ascii="宋体" w:hAnsi="宋体" w:cs="宋体"/>
          <w:color w:val="auto"/>
          <w:sz w:val="21"/>
          <w:szCs w:val="21"/>
          <w:highlight w:val="none"/>
          <w:lang w:eastAsia="zh-CN"/>
        </w:rPr>
        <w:t>。达到优良的奖金为：</w:t>
      </w:r>
      <w:r>
        <w:rPr>
          <w:rStyle w:val="29"/>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p>
    <w:p w14:paraId="560606FF">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794" w:name="_Toc17310"/>
      <w:bookmarkStart w:id="795" w:name="_Toc23246"/>
      <w:bookmarkStart w:id="796" w:name="_Toc14360"/>
      <w:bookmarkStart w:id="797" w:name="_Toc30009"/>
      <w:r>
        <w:rPr>
          <w:rFonts w:hint="eastAsia" w:ascii="宋体" w:hAnsi="宋体" w:eastAsia="宋体"/>
          <w:b/>
          <w:color w:val="auto"/>
          <w:sz w:val="24"/>
          <w:szCs w:val="24"/>
          <w:highlight w:val="none"/>
          <w:lang w:val="en-US" w:eastAsia="zh-CN" w:bidi="en-US"/>
        </w:rPr>
        <w:t>13.8 质量事故处理</w:t>
      </w:r>
      <w:bookmarkEnd w:id="794"/>
      <w:bookmarkEnd w:id="795"/>
      <w:bookmarkEnd w:id="796"/>
      <w:bookmarkEnd w:id="797"/>
    </w:p>
    <w:p w14:paraId="788AB5C7">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13.8.4</w:t>
      </w:r>
      <w:r>
        <w:rPr>
          <w:rFonts w:hint="eastAsia" w:ascii="宋体" w:hAnsi="宋体" w:cs="宋体"/>
          <w:color w:val="auto"/>
          <w:sz w:val="21"/>
          <w:szCs w:val="21"/>
          <w:highlight w:val="none"/>
          <w:lang w:eastAsia="zh-CN"/>
        </w:rPr>
        <w:t>工程竣工验收时，</w:t>
      </w:r>
      <w:r>
        <w:rPr>
          <w:rFonts w:hint="eastAsia" w:ascii="宋体" w:hAnsi="宋体" w:cs="宋体"/>
          <w:color w:val="auto"/>
          <w:sz w:val="21"/>
          <w:szCs w:val="21"/>
          <w:highlight w:val="none"/>
          <w:u w:val="single"/>
          <w:lang w:eastAsia="zh-CN"/>
        </w:rPr>
        <w:t xml:space="preserve"> 承包人及监理人分别</w:t>
      </w:r>
      <w:r>
        <w:rPr>
          <w:rFonts w:hint="eastAsia" w:ascii="宋体" w:hAnsi="宋体" w:cs="宋体"/>
          <w:color w:val="auto"/>
          <w:sz w:val="21"/>
          <w:szCs w:val="21"/>
          <w:highlight w:val="none"/>
          <w:lang w:eastAsia="zh-CN"/>
        </w:rPr>
        <w:t>向竣工验收委员会汇报并提交历次质量缺陷处理的备案资料。</w:t>
      </w:r>
    </w:p>
    <w:p w14:paraId="10EB899D">
      <w:pPr>
        <w:pStyle w:val="39"/>
        <w:keepNext/>
        <w:keepLines/>
        <w:spacing w:before="280" w:after="290" w:line="372" w:lineRule="auto"/>
        <w:outlineLvl w:val="4"/>
        <w:rPr>
          <w:rFonts w:hint="eastAsia"/>
          <w:b/>
          <w:color w:val="auto"/>
          <w:sz w:val="30"/>
          <w:szCs w:val="30"/>
          <w:highlight w:val="none"/>
          <w:lang w:eastAsia="zh-CN"/>
        </w:rPr>
      </w:pPr>
      <w:bookmarkStart w:id="798" w:name="_Toc2948182"/>
      <w:bookmarkStart w:id="799" w:name="_Toc2936484"/>
      <w:bookmarkStart w:id="800" w:name="_Toc2936728"/>
      <w:bookmarkStart w:id="801" w:name="_Toc9702"/>
      <w:bookmarkStart w:id="802" w:name="_Toc25990"/>
      <w:r>
        <w:rPr>
          <w:rFonts w:hint="eastAsia"/>
          <w:b/>
          <w:color w:val="auto"/>
          <w:sz w:val="30"/>
          <w:szCs w:val="30"/>
          <w:highlight w:val="none"/>
          <w:lang w:eastAsia="zh-CN"/>
        </w:rPr>
        <w:t>14. 试验和检验</w:t>
      </w:r>
      <w:bookmarkEnd w:id="798"/>
      <w:bookmarkEnd w:id="799"/>
      <w:bookmarkEnd w:id="800"/>
      <w:bookmarkEnd w:id="801"/>
      <w:bookmarkEnd w:id="802"/>
    </w:p>
    <w:p w14:paraId="706C1250">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03" w:name="_Toc16329"/>
      <w:bookmarkStart w:id="804" w:name="_Toc18426"/>
      <w:bookmarkStart w:id="805" w:name="_Toc22652"/>
      <w:bookmarkStart w:id="806" w:name="_Toc18338"/>
      <w:r>
        <w:rPr>
          <w:rFonts w:hint="eastAsia" w:ascii="宋体" w:hAnsi="宋体" w:eastAsia="宋体"/>
          <w:b/>
          <w:color w:val="auto"/>
          <w:sz w:val="24"/>
          <w:szCs w:val="24"/>
          <w:highlight w:val="none"/>
          <w:lang w:val="en-US" w:eastAsia="zh-CN" w:bidi="en-US"/>
        </w:rPr>
        <w:t>14.1 材料、工程设备和工程的试验和检验</w:t>
      </w:r>
      <w:bookmarkEnd w:id="803"/>
      <w:bookmarkEnd w:id="804"/>
      <w:bookmarkEnd w:id="805"/>
      <w:bookmarkEnd w:id="806"/>
    </w:p>
    <w:p w14:paraId="7BA4DE58">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14.1.5 </w:t>
      </w:r>
      <w:r>
        <w:rPr>
          <w:rFonts w:hint="eastAsia" w:ascii="宋体" w:hAnsi="宋体" w:cs="宋体"/>
          <w:color w:val="auto"/>
          <w:sz w:val="21"/>
          <w:szCs w:val="21"/>
          <w:highlight w:val="none"/>
          <w:lang w:eastAsia="zh-CN"/>
        </w:rPr>
        <w:t>水工金属结构、启闭机及机电产品进场后的交货检查和验收中，承包人负责</w:t>
      </w:r>
      <w:r>
        <w:rPr>
          <w:rFonts w:hint="eastAsia" w:ascii="宋体" w:hAnsi="宋体" w:cs="宋体"/>
          <w:color w:val="auto"/>
          <w:sz w:val="21"/>
          <w:szCs w:val="21"/>
          <w:highlight w:val="none"/>
          <w:u w:val="single"/>
          <w:lang w:eastAsia="zh-CN"/>
        </w:rPr>
        <w:t xml:space="preserve">  全部工作，并保证质量和进度  </w:t>
      </w:r>
      <w:r>
        <w:rPr>
          <w:rFonts w:hint="eastAsia" w:ascii="宋体" w:hAnsi="宋体" w:cs="宋体"/>
          <w:color w:val="auto"/>
          <w:sz w:val="21"/>
          <w:szCs w:val="21"/>
          <w:highlight w:val="none"/>
          <w:lang w:eastAsia="zh-CN"/>
        </w:rPr>
        <w:t>。</w:t>
      </w:r>
    </w:p>
    <w:p w14:paraId="48F3632C">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14.1.6 </w:t>
      </w:r>
      <w:r>
        <w:rPr>
          <w:rFonts w:hint="eastAsia" w:ascii="宋体" w:hAnsi="宋体" w:cs="宋体"/>
          <w:color w:val="auto"/>
          <w:sz w:val="21"/>
          <w:szCs w:val="21"/>
          <w:highlight w:val="none"/>
          <w:lang w:eastAsia="zh-CN"/>
        </w:rPr>
        <w:t>本工程实行见证取样的试块、试件及有关材料：</w:t>
      </w:r>
      <w:r>
        <w:rPr>
          <w:rFonts w:hint="eastAsia"/>
          <w:color w:val="auto"/>
          <w:sz w:val="21"/>
          <w:szCs w:val="21"/>
          <w:highlight w:val="none"/>
          <w:u w:val="single"/>
          <w:lang w:eastAsia="zh-CN"/>
        </w:rPr>
        <w:t>砼试块、砂浆试块和土、水泥、砂、碎石、钢筋、砼、</w:t>
      </w:r>
      <w:r>
        <w:rPr>
          <w:rFonts w:hint="eastAsia"/>
          <w:color w:val="auto"/>
          <w:sz w:val="21"/>
          <w:szCs w:val="21"/>
          <w:highlight w:val="none"/>
          <w:u w:val="single"/>
          <w:lang w:val="en-US" w:eastAsia="zh-CN"/>
        </w:rPr>
        <w:t>苗木</w:t>
      </w:r>
      <w:r>
        <w:rPr>
          <w:rFonts w:hint="eastAsia"/>
          <w:color w:val="auto"/>
          <w:sz w:val="21"/>
          <w:szCs w:val="21"/>
          <w:highlight w:val="none"/>
          <w:u w:val="single"/>
          <w:lang w:eastAsia="zh-CN"/>
        </w:rPr>
        <w:t>等原材料及砂浆配合比、砼配合比、塑性砼配合比等</w:t>
      </w:r>
      <w:r>
        <w:rPr>
          <w:rFonts w:hint="eastAsia" w:ascii="宋体" w:hAnsi="宋体" w:cs="宋体"/>
          <w:color w:val="auto"/>
          <w:sz w:val="21"/>
          <w:szCs w:val="21"/>
          <w:highlight w:val="none"/>
          <w:lang w:eastAsia="zh-CN"/>
        </w:rPr>
        <w:t>。</w:t>
      </w:r>
    </w:p>
    <w:p w14:paraId="7FF9A0EF">
      <w:pPr>
        <w:pStyle w:val="39"/>
        <w:keepNext/>
        <w:keepLines/>
        <w:spacing w:before="280" w:after="290" w:line="372" w:lineRule="auto"/>
        <w:outlineLvl w:val="4"/>
        <w:rPr>
          <w:rFonts w:hint="eastAsia"/>
          <w:b/>
          <w:color w:val="auto"/>
          <w:sz w:val="30"/>
          <w:szCs w:val="30"/>
          <w:highlight w:val="none"/>
          <w:lang w:eastAsia="zh-CN"/>
        </w:rPr>
      </w:pPr>
      <w:bookmarkStart w:id="807" w:name="_Toc2936729"/>
      <w:bookmarkStart w:id="808" w:name="_Toc2948183"/>
      <w:bookmarkStart w:id="809" w:name="_Toc8239"/>
      <w:bookmarkStart w:id="810" w:name="_Toc221951213"/>
      <w:bookmarkStart w:id="811" w:name="_Toc2936485"/>
      <w:bookmarkStart w:id="812" w:name="_Toc222032708"/>
      <w:bookmarkStart w:id="813" w:name="_Toc222029539"/>
      <w:bookmarkStart w:id="814" w:name="_Toc1992"/>
      <w:bookmarkStart w:id="815" w:name="_Toc222031041"/>
      <w:bookmarkStart w:id="816" w:name="_Toc229305396"/>
      <w:bookmarkStart w:id="817" w:name="_Toc222033890"/>
      <w:r>
        <w:rPr>
          <w:rFonts w:hint="eastAsia"/>
          <w:b/>
          <w:color w:val="auto"/>
          <w:sz w:val="30"/>
          <w:szCs w:val="30"/>
          <w:highlight w:val="none"/>
          <w:lang w:eastAsia="zh-CN"/>
        </w:rPr>
        <w:t>15. 变更</w:t>
      </w:r>
      <w:bookmarkEnd w:id="807"/>
      <w:bookmarkEnd w:id="808"/>
      <w:bookmarkEnd w:id="809"/>
      <w:bookmarkEnd w:id="810"/>
      <w:bookmarkEnd w:id="811"/>
      <w:bookmarkEnd w:id="812"/>
      <w:bookmarkEnd w:id="813"/>
      <w:bookmarkEnd w:id="814"/>
      <w:bookmarkEnd w:id="815"/>
      <w:bookmarkEnd w:id="816"/>
      <w:bookmarkEnd w:id="817"/>
    </w:p>
    <w:p w14:paraId="07E0DADA">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18" w:name="_Toc221951214"/>
      <w:bookmarkStart w:id="819" w:name="_Toc18733"/>
      <w:bookmarkStart w:id="820" w:name="_Toc5068"/>
      <w:bookmarkStart w:id="821" w:name="_Toc28772"/>
      <w:bookmarkStart w:id="822" w:name="_Toc29917"/>
      <w:r>
        <w:rPr>
          <w:rFonts w:hint="eastAsia" w:ascii="宋体" w:hAnsi="宋体" w:eastAsia="宋体"/>
          <w:b/>
          <w:color w:val="auto"/>
          <w:sz w:val="24"/>
          <w:szCs w:val="24"/>
          <w:highlight w:val="none"/>
          <w:lang w:val="en-US" w:eastAsia="zh-CN" w:bidi="en-US"/>
        </w:rPr>
        <w:t>15.1 变更的范围和内容</w:t>
      </w:r>
      <w:bookmarkEnd w:id="818"/>
      <w:bookmarkEnd w:id="819"/>
      <w:bookmarkEnd w:id="820"/>
      <w:bookmarkEnd w:id="821"/>
      <w:bookmarkEnd w:id="822"/>
    </w:p>
    <w:p w14:paraId="022FC519">
      <w:pPr>
        <w:pStyle w:val="18"/>
        <w:spacing w:line="360" w:lineRule="auto"/>
        <w:ind w:firstLine="420" w:firstLineChars="200"/>
        <w:rPr>
          <w:rFonts w:ascii="宋体" w:hAnsi="宋体" w:cs="宋体"/>
          <w:color w:val="auto"/>
          <w:sz w:val="21"/>
          <w:szCs w:val="21"/>
          <w:highlight w:val="none"/>
          <w:lang w:eastAsia="zh-CN"/>
        </w:rPr>
      </w:pPr>
      <w:bookmarkStart w:id="823" w:name="_Toc221951216"/>
      <w:r>
        <w:rPr>
          <w:rFonts w:hint="eastAsia" w:ascii="宋体" w:hAnsi="宋体" w:cs="宋体"/>
          <w:color w:val="auto"/>
          <w:sz w:val="21"/>
          <w:szCs w:val="21"/>
          <w:highlight w:val="none"/>
          <w:lang w:eastAsia="zh-CN"/>
        </w:rPr>
        <w:t>（6）增加或减少合同中关键项目的工程量超过其项目工程总量的</w:t>
      </w:r>
      <w:r>
        <w:rPr>
          <w:rFonts w:hint="eastAsia" w:ascii="宋体" w:hAnsi="宋体" w:cs="宋体"/>
          <w:color w:val="auto"/>
          <w:sz w:val="21"/>
          <w:szCs w:val="21"/>
          <w:highlight w:val="none"/>
          <w:u w:val="single"/>
          <w:lang w:eastAsia="zh-CN"/>
        </w:rPr>
        <w:t>10</w:t>
      </w:r>
      <w:r>
        <w:rPr>
          <w:rFonts w:hint="eastAsia" w:ascii="宋体" w:hAnsi="宋体" w:cs="宋体"/>
          <w:color w:val="auto"/>
          <w:sz w:val="21"/>
          <w:szCs w:val="21"/>
          <w:highlight w:val="none"/>
          <w:lang w:eastAsia="zh-CN"/>
        </w:rPr>
        <w:t>％</w:t>
      </w:r>
      <w:bookmarkEnd w:id="823"/>
      <w:r>
        <w:rPr>
          <w:rFonts w:hint="eastAsia" w:ascii="宋体" w:hAnsi="宋体" w:cs="宋体"/>
          <w:color w:val="auto"/>
          <w:sz w:val="21"/>
          <w:szCs w:val="21"/>
          <w:highlight w:val="none"/>
          <w:lang w:eastAsia="zh-CN"/>
        </w:rPr>
        <w:t>，关键项目：</w:t>
      </w:r>
      <w:r>
        <w:rPr>
          <w:rFonts w:hint="eastAsia" w:ascii="宋体" w:hAnsi="宋体" w:cs="宋体"/>
          <w:color w:val="auto"/>
          <w:sz w:val="21"/>
          <w:szCs w:val="21"/>
          <w:highlight w:val="none"/>
          <w:u w:val="single"/>
          <w:lang w:eastAsia="zh-CN"/>
        </w:rPr>
        <w:t>质量监督站核定的项目划分表确定关键项目</w:t>
      </w:r>
      <w:r>
        <w:rPr>
          <w:rFonts w:hint="eastAsia" w:ascii="宋体" w:hAnsi="宋体" w:cs="宋体"/>
          <w:color w:val="auto"/>
          <w:sz w:val="21"/>
          <w:szCs w:val="21"/>
          <w:highlight w:val="none"/>
          <w:lang w:eastAsia="zh-CN"/>
        </w:rPr>
        <w:t>，单价调整方式：</w:t>
      </w:r>
      <w:r>
        <w:rPr>
          <w:rFonts w:hint="eastAsia" w:ascii="宋体" w:hAnsi="宋体" w:cs="宋体"/>
          <w:color w:val="auto"/>
          <w:sz w:val="21"/>
          <w:szCs w:val="21"/>
          <w:highlight w:val="none"/>
          <w:u w:val="single"/>
          <w:lang w:eastAsia="zh-CN"/>
        </w:rPr>
        <w:t>按承包人投标预算单价执行。无项目单价的按发包方与承包方确认的补充单价确定。在工程施工期间，因市场物价波动及政策变化而进行调整材料价格，超出招标预算中该材料的预算价格的，按本合同专用条款第16款执行</w:t>
      </w:r>
      <w:r>
        <w:rPr>
          <w:rFonts w:hint="eastAsia" w:ascii="宋体" w:hAnsi="宋体" w:cs="宋体"/>
          <w:color w:val="auto"/>
          <w:sz w:val="21"/>
          <w:szCs w:val="21"/>
          <w:highlight w:val="none"/>
          <w:lang w:eastAsia="zh-CN"/>
        </w:rPr>
        <w:t>。</w:t>
      </w:r>
    </w:p>
    <w:p w14:paraId="578897B6">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24" w:name="_Toc5157"/>
      <w:bookmarkStart w:id="825" w:name="_Toc10427"/>
      <w:bookmarkStart w:id="826" w:name="_Toc19113"/>
      <w:bookmarkStart w:id="827" w:name="_Toc30919"/>
      <w:r>
        <w:rPr>
          <w:rFonts w:hint="eastAsia" w:ascii="宋体" w:hAnsi="宋体" w:eastAsia="宋体"/>
          <w:b/>
          <w:color w:val="auto"/>
          <w:sz w:val="24"/>
          <w:szCs w:val="24"/>
          <w:highlight w:val="none"/>
          <w:lang w:val="en-US" w:eastAsia="zh-CN" w:bidi="en-US"/>
        </w:rPr>
        <w:t>15.4 变更的估价原则</w:t>
      </w:r>
      <w:bookmarkEnd w:id="824"/>
      <w:bookmarkEnd w:id="825"/>
      <w:bookmarkEnd w:id="826"/>
      <w:bookmarkEnd w:id="827"/>
    </w:p>
    <w:p w14:paraId="1EECC198">
      <w:pPr>
        <w:pStyle w:val="18"/>
        <w:spacing w:line="360" w:lineRule="auto"/>
        <w:ind w:firstLine="420" w:firstLineChars="200"/>
        <w:rPr>
          <w:rFonts w:hint="eastAsia"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15.4.3</w:t>
      </w:r>
      <w:r>
        <w:rPr>
          <w:rFonts w:hint="eastAsia" w:ascii="宋体" w:hAnsi="宋体" w:cs="宋体"/>
          <w:color w:val="auto"/>
          <w:sz w:val="21"/>
          <w:szCs w:val="21"/>
          <w:highlight w:val="none"/>
          <w:lang w:eastAsia="zh-CN"/>
        </w:rPr>
        <w:t>已标价工程量清单中无适用或类似子目的单价，按照以下原则确定:</w:t>
      </w:r>
    </w:p>
    <w:p w14:paraId="571008EE">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2BF7D02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②无定额可套的，由发包人、承包人、监理人市场询价确定。</w:t>
      </w:r>
    </w:p>
    <w:p w14:paraId="3762BEAA">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28" w:name="_Toc7628"/>
      <w:bookmarkStart w:id="829" w:name="_Toc26566"/>
      <w:bookmarkStart w:id="830" w:name="_Toc6316"/>
      <w:bookmarkStart w:id="831" w:name="_Toc22118"/>
      <w:bookmarkStart w:id="832" w:name="_Toc221951218"/>
      <w:r>
        <w:rPr>
          <w:rFonts w:hint="eastAsia" w:ascii="宋体" w:hAnsi="宋体" w:eastAsia="宋体"/>
          <w:b/>
          <w:color w:val="auto"/>
          <w:sz w:val="24"/>
          <w:szCs w:val="24"/>
          <w:highlight w:val="none"/>
          <w:lang w:val="en-US" w:eastAsia="zh-CN" w:bidi="en-US"/>
        </w:rPr>
        <w:t>15.5 承包人的合理化建议</w:t>
      </w:r>
      <w:bookmarkEnd w:id="828"/>
      <w:bookmarkEnd w:id="829"/>
      <w:bookmarkEnd w:id="830"/>
      <w:bookmarkEnd w:id="831"/>
    </w:p>
    <w:p w14:paraId="01BEDE79">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 xml:space="preserve">15.5.2 </w:t>
      </w:r>
      <w:bookmarkEnd w:id="832"/>
      <w:bookmarkStart w:id="833" w:name="_Toc221951219"/>
      <w:r>
        <w:rPr>
          <w:rFonts w:hint="eastAsia" w:ascii="宋体" w:hAnsi="宋体" w:cs="宋体"/>
          <w:color w:val="auto"/>
          <w:sz w:val="21"/>
          <w:szCs w:val="21"/>
          <w:highlight w:val="none"/>
          <w:lang w:eastAsia="zh-CN"/>
        </w:rPr>
        <w:t>承包人实现合理化建议的奖励金额为：</w:t>
      </w:r>
      <w:bookmarkEnd w:id="833"/>
      <w:bookmarkStart w:id="834" w:name="_Toc221951220"/>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bookmarkEnd w:id="834"/>
    </w:p>
    <w:p w14:paraId="6EB567C4">
      <w:pPr>
        <w:pStyle w:val="39"/>
        <w:keepNext/>
        <w:keepLines/>
        <w:spacing w:before="280" w:after="290" w:line="372" w:lineRule="auto"/>
        <w:outlineLvl w:val="4"/>
        <w:rPr>
          <w:rFonts w:hint="eastAsia"/>
          <w:b/>
          <w:color w:val="auto"/>
          <w:sz w:val="30"/>
          <w:szCs w:val="30"/>
          <w:highlight w:val="none"/>
          <w:lang w:eastAsia="zh-CN"/>
        </w:rPr>
      </w:pPr>
      <w:bookmarkStart w:id="835" w:name="_Toc229305397"/>
      <w:bookmarkStart w:id="836" w:name="_Toc26821"/>
      <w:bookmarkStart w:id="837" w:name="_Toc2936730"/>
      <w:bookmarkStart w:id="838" w:name="_Toc2936486"/>
      <w:bookmarkStart w:id="839" w:name="_Toc25572"/>
      <w:bookmarkStart w:id="840" w:name="_Toc2948184"/>
      <w:r>
        <w:rPr>
          <w:rFonts w:hint="eastAsia"/>
          <w:b/>
          <w:color w:val="auto"/>
          <w:sz w:val="30"/>
          <w:szCs w:val="30"/>
          <w:highlight w:val="none"/>
          <w:lang w:eastAsia="zh-CN"/>
        </w:rPr>
        <w:t>16 价格调整</w:t>
      </w:r>
      <w:bookmarkEnd w:id="835"/>
      <w:bookmarkEnd w:id="836"/>
      <w:bookmarkEnd w:id="837"/>
      <w:bookmarkEnd w:id="838"/>
      <w:bookmarkEnd w:id="839"/>
      <w:bookmarkEnd w:id="840"/>
    </w:p>
    <w:p w14:paraId="3DF86538">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41" w:name="_Toc4599"/>
      <w:bookmarkStart w:id="842" w:name="_Toc2180"/>
      <w:bookmarkStart w:id="843" w:name="_Toc7939"/>
      <w:bookmarkStart w:id="844" w:name="_Toc18388"/>
      <w:r>
        <w:rPr>
          <w:rFonts w:hint="eastAsia" w:ascii="宋体" w:hAnsi="宋体" w:eastAsia="宋体"/>
          <w:b/>
          <w:color w:val="auto"/>
          <w:sz w:val="24"/>
          <w:szCs w:val="24"/>
          <w:highlight w:val="none"/>
          <w:lang w:val="en-US" w:eastAsia="zh-CN" w:bidi="en-US"/>
        </w:rPr>
        <w:t>16.1 物价波动引起的价格调整</w:t>
      </w:r>
      <w:bookmarkEnd w:id="841"/>
      <w:bookmarkEnd w:id="842"/>
      <w:bookmarkEnd w:id="843"/>
      <w:bookmarkEnd w:id="844"/>
      <w:r>
        <w:rPr>
          <w:rFonts w:hint="eastAsia" w:ascii="宋体" w:hAnsi="宋体" w:eastAsia="宋体"/>
          <w:b/>
          <w:color w:val="auto"/>
          <w:sz w:val="24"/>
          <w:szCs w:val="24"/>
          <w:highlight w:val="none"/>
          <w:lang w:val="en-US" w:eastAsia="zh-CN" w:bidi="en-US"/>
        </w:rPr>
        <w:t xml:space="preserve">  </w:t>
      </w:r>
    </w:p>
    <w:p w14:paraId="2C1398F5">
      <w:pPr>
        <w:pStyle w:val="52"/>
        <w:pageBreakBefore w:val="0"/>
        <w:widowControl w:val="0"/>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bookmarkStart w:id="845" w:name="_Toc229305398"/>
      <w:bookmarkStart w:id="846" w:name="_Toc222033891"/>
      <w:bookmarkStart w:id="847" w:name="_Toc2936731"/>
      <w:bookmarkStart w:id="848" w:name="_Toc2936487"/>
      <w:bookmarkStart w:id="849" w:name="_Toc222032709"/>
      <w:bookmarkStart w:id="850" w:name="_Toc222031042"/>
      <w:bookmarkStart w:id="851" w:name="_Toc222029540"/>
      <w:bookmarkStart w:id="852" w:name="_Toc2948185"/>
      <w:bookmarkStart w:id="853" w:name="_Toc221951223"/>
      <w:r>
        <w:rPr>
          <w:rFonts w:hint="eastAsia" w:ascii="宋体" w:hAnsi="宋体" w:eastAsia="宋体" w:cs="宋体"/>
          <w:color w:val="auto"/>
          <w:sz w:val="21"/>
          <w:szCs w:val="21"/>
          <w:highlight w:val="none"/>
        </w:rPr>
        <w:t>口本项目不因为物价波动原因引起合同价格变动而调整。</w:t>
      </w:r>
    </w:p>
    <w:p w14:paraId="58E3C9D2">
      <w:pPr>
        <w:pStyle w:val="52"/>
        <w:pageBreakBefore w:val="0"/>
        <w:widowControl w:val="0"/>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本项目由于物价波动原因引起合同价格变动时，对其价格按下列方式进行调整。</w:t>
      </w:r>
    </w:p>
    <w:p w14:paraId="6500119F">
      <w:pPr>
        <w:pStyle w:val="52"/>
        <w:pageBreakBefore w:val="0"/>
        <w:widowControl w:val="0"/>
        <w:tabs>
          <w:tab w:val="left" w:pos="841"/>
          <w:tab w:val="left" w:pos="6036"/>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bookmarkStart w:id="854" w:name="bookmark1776"/>
      <w:bookmarkEnd w:id="854"/>
      <w:r>
        <w:rPr>
          <w:rFonts w:hint="eastAsia" w:ascii="宋体" w:hAnsi="宋体" w:eastAsia="宋体" w:cs="宋体"/>
          <w:color w:val="auto"/>
          <w:sz w:val="21"/>
          <w:szCs w:val="21"/>
          <w:highlight w:val="none"/>
          <w:lang w:val="en-US" w:bidi="en-US"/>
        </w:rPr>
        <w:t xml:space="preserve">16.1. </w:t>
      </w:r>
      <w:r>
        <w:rPr>
          <w:rFonts w:hint="eastAsia" w:ascii="宋体" w:hAnsi="宋体" w:eastAsia="宋体" w:cs="宋体"/>
          <w:color w:val="auto"/>
          <w:sz w:val="21"/>
          <w:szCs w:val="21"/>
          <w:highlight w:val="none"/>
        </w:rPr>
        <w:t>1物价波动引起的价格调整方式：</w:t>
      </w:r>
      <w:r>
        <w:rPr>
          <w:rFonts w:hint="eastAsia" w:ascii="宋体" w:hAnsi="宋体" w:eastAsia="宋体" w:cs="宋体"/>
          <w:color w:val="auto"/>
          <w:sz w:val="21"/>
          <w:szCs w:val="21"/>
          <w:highlight w:val="none"/>
          <w:u w:val="single"/>
        </w:rPr>
        <w:t>主要材料价格变化幅度超过±5%时，超过±5%的部分调整材料价差，并计列相应的税金</w:t>
      </w:r>
      <w:r>
        <w:rPr>
          <w:rFonts w:hint="eastAsia" w:ascii="宋体" w:hAnsi="宋体" w:eastAsia="宋体" w:cs="宋体"/>
          <w:color w:val="auto"/>
          <w:sz w:val="21"/>
          <w:szCs w:val="21"/>
          <w:highlight w:val="none"/>
          <w:lang w:val="en-US" w:bidi="en-US"/>
        </w:rPr>
        <w:t>。</w:t>
      </w:r>
    </w:p>
    <w:p w14:paraId="322E29B4">
      <w:pPr>
        <w:pStyle w:val="52"/>
        <w:pageBreakBefore w:val="0"/>
        <w:widowControl w:val="0"/>
        <w:tabs>
          <w:tab w:val="left" w:pos="5198"/>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16. 1.2</w:t>
      </w:r>
      <w:r>
        <w:rPr>
          <w:rFonts w:hint="eastAsia" w:ascii="宋体" w:hAnsi="宋体" w:eastAsia="宋体" w:cs="宋体"/>
          <w:color w:val="auto"/>
          <w:sz w:val="21"/>
          <w:szCs w:val="21"/>
          <w:highlight w:val="none"/>
        </w:rPr>
        <w:t>调整价格的主要材料：</w:t>
      </w:r>
      <w:r>
        <w:rPr>
          <w:rFonts w:hint="eastAsia" w:ascii="宋体" w:hAnsi="宋体" w:eastAsia="宋体" w:cs="宋体"/>
          <w:color w:val="auto"/>
          <w:sz w:val="21"/>
          <w:szCs w:val="21"/>
          <w:highlight w:val="none"/>
          <w:u w:val="single"/>
        </w:rPr>
        <w:t>对超过±5%部分的价格调整，仅对市场上购买的水泥、钢筋、砂、石、镀锌管及PE管等管材进行补差，其它材料价格一律不予调整</w:t>
      </w:r>
      <w:r>
        <w:rPr>
          <w:rFonts w:hint="eastAsia" w:ascii="宋体" w:hAnsi="宋体" w:eastAsia="宋体" w:cs="宋体"/>
          <w:color w:val="auto"/>
          <w:sz w:val="21"/>
          <w:szCs w:val="21"/>
          <w:highlight w:val="none"/>
          <w:lang w:val="en-US" w:bidi="en-US"/>
        </w:rPr>
        <w:t>。</w:t>
      </w:r>
    </w:p>
    <w:p w14:paraId="155CB63F">
      <w:pPr>
        <w:pStyle w:val="52"/>
        <w:pageBreakBefore w:val="0"/>
        <w:widowControl w:val="0"/>
        <w:tabs>
          <w:tab w:val="left" w:pos="5618"/>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16.1.3</w:t>
      </w:r>
      <w:r>
        <w:rPr>
          <w:rFonts w:hint="eastAsia" w:ascii="宋体" w:hAnsi="宋体" w:eastAsia="宋体" w:cs="宋体"/>
          <w:color w:val="auto"/>
          <w:sz w:val="21"/>
          <w:szCs w:val="21"/>
          <w:highlight w:val="none"/>
        </w:rPr>
        <w:t xml:space="preserve">主要材料补差的计算方法： </w:t>
      </w:r>
    </w:p>
    <w:p w14:paraId="6CDAE2DA">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position w:val="-34"/>
          <w:sz w:val="21"/>
          <w:szCs w:val="21"/>
          <w:highlight w:val="none"/>
        </w:rPr>
        <w:object>
          <v:shape id="_x0000_i1025" o:spt="75" type="#_x0000_t75" style="height:49.5pt;width:324.05pt;" o:ole="t" filled="f" o:preferrelative="t" stroked="f" coordsize="21600,21600">
            <v:path/>
            <v:fill on="f" focussize="0,0"/>
            <v:stroke on="f"/>
            <v:imagedata r:id="rId23" embosscolor="#FFFFFF" o:title=""/>
            <o:lock v:ext="edit" grouping="f" rotation="f" text="f" aspectratio="t"/>
            <w10:wrap type="none"/>
            <w10:anchorlock/>
          </v:shape>
          <o:OLEObject Type="Embed" ProgID="Equation.3" ShapeID="_x0000_i1025" DrawAspect="Content" ObjectID="_1468075725" r:id="rId24">
            <o:LockedField>false</o:LockedField>
          </o:OLEObject>
        </w:object>
      </w:r>
    </w:p>
    <w:p w14:paraId="49EB8D6F">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p>
    <w:p w14:paraId="547FBF52">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式中： △P -- 需调整的价格差额；</w:t>
      </w:r>
    </w:p>
    <w:p w14:paraId="0AEF937A">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P0 -- 约定的付款证书中承包人应得到的已完成工程量的金额。此项金额应不包括价格调整、不计质量保证金的扣留和支付、预付款的支付和扣回。约定的变更及其他金额已按现行价格计价的，也不计在内；</w:t>
      </w:r>
    </w:p>
    <w:p w14:paraId="15C0E6A2">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A -- 定值权重(即不调部分的权重)；</w:t>
      </w:r>
    </w:p>
    <w:p w14:paraId="124E0737">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B1；B2；B3·····Bn -- 各可调因子的变值权重(即可调部分的权重)为各可调因子在投标函投标总报价中所占的比例；</w:t>
      </w:r>
    </w:p>
    <w:p w14:paraId="14A16F5B">
      <w:pPr>
        <w:pStyle w:val="52"/>
        <w:pageBreakBefore w:val="0"/>
        <w:widowControl w:val="0"/>
        <w:kinsoku/>
        <w:wordWrap/>
        <w:overflowPunct/>
        <w:topLinePunct w:val="0"/>
        <w:bidi w:val="0"/>
        <w:spacing w:line="360" w:lineRule="auto"/>
        <w:ind w:left="0" w:leftChars="0"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Ft1；Ft2；Ft3·····Ftn -- 各可调因子的现行价格指数，施工期间《南宁建设工程造价信息》发布的</w:t>
      </w:r>
      <w:r>
        <w:rPr>
          <w:rFonts w:hint="eastAsia" w:cs="宋体"/>
          <w:color w:val="auto"/>
          <w:sz w:val="21"/>
          <w:szCs w:val="21"/>
          <w:highlight w:val="none"/>
          <w:lang w:val="en-US" w:eastAsia="zh-CN"/>
        </w:rPr>
        <w:t>宾阳县</w:t>
      </w:r>
      <w:r>
        <w:rPr>
          <w:rFonts w:hint="eastAsia" w:ascii="宋体" w:hAnsi="宋体" w:eastAsia="宋体" w:cs="宋体"/>
          <w:color w:val="auto"/>
          <w:sz w:val="21"/>
          <w:szCs w:val="21"/>
          <w:highlight w:val="none"/>
          <w:lang w:val="en-US"/>
        </w:rPr>
        <w:t>价格；；</w:t>
      </w:r>
    </w:p>
    <w:p w14:paraId="79392E9D">
      <w:pPr>
        <w:pStyle w:val="52"/>
        <w:pageBreakBefore w:val="0"/>
        <w:widowControl w:val="0"/>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Fo1；Fo2; Fo3·····Fon -- 各可调因子的基本价格指数，指基准日期的各可调因子的价格指数。</w:t>
      </w:r>
    </w:p>
    <w:p w14:paraId="7CEFCB2E">
      <w:pPr>
        <w:pStyle w:val="52"/>
        <w:pageBreakBefore w:val="0"/>
        <w:widowControl w:val="0"/>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bidi="en-US"/>
        </w:rPr>
        <w:t>16.1.4</w:t>
      </w:r>
      <w:r>
        <w:rPr>
          <w:rFonts w:hint="eastAsia" w:ascii="宋体" w:hAnsi="宋体" w:eastAsia="宋体" w:cs="宋体"/>
          <w:color w:val="auto"/>
          <w:sz w:val="21"/>
          <w:szCs w:val="21"/>
          <w:highlight w:val="none"/>
        </w:rPr>
        <w:t>采用造价信息调整价格差额：</w:t>
      </w:r>
    </w:p>
    <w:p w14:paraId="05F41161">
      <w:pPr>
        <w:pStyle w:val="52"/>
        <w:pageBreakBefore w:val="0"/>
        <w:widowControl w:val="0"/>
        <w:tabs>
          <w:tab w:val="left" w:pos="4382"/>
        </w:tabs>
        <w:kinsoku/>
        <w:wordWrap/>
        <w:overflowPunct/>
        <w:topLinePunct w:val="0"/>
        <w:bidi w:val="0"/>
        <w:spacing w:line="360" w:lineRule="auto"/>
        <w:ind w:left="0" w:leftChars="0" w:firstLine="420" w:firstLineChars="200"/>
        <w:jc w:val="both"/>
        <w:rPr>
          <w:rFonts w:hint="eastAsia" w:ascii="宋体" w:hAnsi="宋体" w:eastAsia="宋体" w:cs="宋体"/>
          <w:color w:val="auto"/>
          <w:sz w:val="21"/>
          <w:szCs w:val="21"/>
          <w:highlight w:val="none"/>
          <w:lang w:val="en-US" w:bidi="en-US"/>
        </w:rPr>
      </w:pPr>
      <w:r>
        <w:rPr>
          <w:rFonts w:hint="eastAsia" w:ascii="宋体" w:hAnsi="宋体" w:eastAsia="宋体" w:cs="宋体"/>
          <w:color w:val="auto"/>
          <w:sz w:val="21"/>
          <w:szCs w:val="21"/>
          <w:highlight w:val="none"/>
        </w:rPr>
        <w:t>工程造价信息的来源：</w:t>
      </w:r>
      <w:r>
        <w:rPr>
          <w:rFonts w:hint="eastAsia" w:ascii="宋体" w:hAnsi="宋体" w:eastAsia="宋体" w:cs="宋体"/>
          <w:color w:val="auto"/>
          <w:sz w:val="21"/>
          <w:szCs w:val="21"/>
          <w:highlight w:val="none"/>
          <w:u w:val="single"/>
          <w:lang w:eastAsia="zh-CN"/>
        </w:rPr>
        <w:t>以2024年2月刊(下半月)刊登的价格及发布的</w:t>
      </w:r>
      <w:r>
        <w:rPr>
          <w:rFonts w:hint="eastAsia" w:cs="宋体"/>
          <w:color w:val="auto"/>
          <w:sz w:val="21"/>
          <w:szCs w:val="21"/>
          <w:highlight w:val="none"/>
          <w:u w:val="single"/>
          <w:lang w:val="en-US" w:eastAsia="zh-CN"/>
        </w:rPr>
        <w:t>宾阳县</w:t>
      </w:r>
      <w:r>
        <w:rPr>
          <w:rFonts w:hint="eastAsia" w:ascii="宋体" w:hAnsi="宋体" w:eastAsia="宋体" w:cs="宋体"/>
          <w:color w:val="auto"/>
          <w:sz w:val="21"/>
          <w:szCs w:val="21"/>
          <w:highlight w:val="none"/>
          <w:u w:val="single"/>
          <w:lang w:eastAsia="zh-CN"/>
        </w:rPr>
        <w:t>信息价的价格</w:t>
      </w:r>
      <w:r>
        <w:rPr>
          <w:rFonts w:hint="eastAsia" w:ascii="宋体" w:hAnsi="宋体" w:eastAsia="宋体" w:cs="宋体"/>
          <w:color w:val="auto"/>
          <w:sz w:val="21"/>
          <w:szCs w:val="21"/>
          <w:highlight w:val="none"/>
          <w:u w:val="single"/>
        </w:rPr>
        <w:t>为基准</w:t>
      </w:r>
      <w:r>
        <w:rPr>
          <w:rFonts w:hint="eastAsia" w:ascii="宋体" w:hAnsi="宋体" w:eastAsia="宋体" w:cs="宋体"/>
          <w:color w:val="auto"/>
          <w:sz w:val="21"/>
          <w:szCs w:val="21"/>
          <w:highlight w:val="none"/>
          <w:lang w:val="en-US" w:bidi="en-US"/>
        </w:rPr>
        <w:t>。</w:t>
      </w:r>
    </w:p>
    <w:p w14:paraId="7C3C964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eastAsia="宋体" w:cs="宋体"/>
          <w:color w:val="auto"/>
          <w:sz w:val="21"/>
          <w:szCs w:val="21"/>
          <w:highlight w:val="none"/>
        </w:rPr>
        <w:t>价格调整的项目和系数：</w:t>
      </w:r>
      <w:r>
        <w:rPr>
          <w:rFonts w:hint="eastAsia" w:ascii="宋体" w:hAnsi="宋体" w:eastAsia="宋体" w:cs="宋体"/>
          <w:color w:val="auto"/>
          <w:sz w:val="21"/>
          <w:szCs w:val="21"/>
          <w:highlight w:val="none"/>
          <w:u w:val="single"/>
        </w:rPr>
        <w:t>（1）计算</w:t>
      </w:r>
      <w:r>
        <w:rPr>
          <w:rFonts w:hint="eastAsia" w:ascii="宋体" w:hAnsi="宋体" w:eastAsia="宋体" w:cs="宋体"/>
          <w:color w:val="auto"/>
          <w:sz w:val="21"/>
          <w:szCs w:val="21"/>
          <w:highlight w:val="none"/>
          <w:u w:val="single"/>
          <w:lang w:eastAsia="zh-CN"/>
        </w:rPr>
        <w:t>当月</w:t>
      </w:r>
      <w:r>
        <w:rPr>
          <w:rFonts w:hint="eastAsia" w:ascii="宋体" w:hAnsi="宋体" w:eastAsia="宋体" w:cs="宋体"/>
          <w:color w:val="auto"/>
          <w:sz w:val="21"/>
          <w:szCs w:val="21"/>
          <w:highlight w:val="none"/>
          <w:u w:val="single"/>
        </w:rPr>
        <w:t>《南宁建设工程造价信息》（工程所在地）主要补差材料信息价格高于基准期主要补差价格（合同工程量清单主要材料价格）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计算</w:t>
      </w:r>
      <w:r>
        <w:rPr>
          <w:rFonts w:hint="eastAsia" w:ascii="宋体" w:hAnsi="宋体" w:eastAsia="宋体" w:cs="宋体"/>
          <w:color w:val="auto"/>
          <w:sz w:val="21"/>
          <w:szCs w:val="21"/>
          <w:highlight w:val="none"/>
          <w:u w:val="single"/>
          <w:lang w:eastAsia="zh-CN"/>
        </w:rPr>
        <w:t>月</w:t>
      </w:r>
      <w:r>
        <w:rPr>
          <w:rFonts w:hint="eastAsia" w:ascii="宋体" w:hAnsi="宋体" w:eastAsia="宋体" w:cs="宋体"/>
          <w:color w:val="auto"/>
          <w:sz w:val="21"/>
          <w:szCs w:val="21"/>
          <w:highlight w:val="none"/>
          <w:u w:val="single"/>
        </w:rPr>
        <w:t>的《南宁建设工程造价信息》（工程所在地）主要补差材料信息价格低于基准期主要补差材料价格5%的，发包人在当期合同款中对超出部门予以价差调整并扣除相关款项</w:t>
      </w:r>
      <w:r>
        <w:rPr>
          <w:rFonts w:hint="eastAsia" w:ascii="宋体" w:hAnsi="宋体" w:eastAsia="宋体" w:cs="宋体"/>
          <w:color w:val="auto"/>
          <w:sz w:val="21"/>
          <w:szCs w:val="21"/>
          <w:highlight w:val="none"/>
          <w:lang w:val="en-US" w:bidi="en-US"/>
        </w:rPr>
        <w:t>。</w:t>
      </w:r>
    </w:p>
    <w:p w14:paraId="3D206F83">
      <w:pPr>
        <w:pStyle w:val="39"/>
        <w:keepNext/>
        <w:keepLines/>
        <w:spacing w:before="280" w:after="290" w:line="372" w:lineRule="auto"/>
        <w:outlineLvl w:val="4"/>
        <w:rPr>
          <w:rFonts w:hint="eastAsia"/>
          <w:b/>
          <w:color w:val="auto"/>
          <w:sz w:val="30"/>
          <w:szCs w:val="30"/>
          <w:highlight w:val="none"/>
          <w:lang w:eastAsia="zh-CN"/>
        </w:rPr>
      </w:pPr>
      <w:bookmarkStart w:id="855" w:name="_Toc8603"/>
      <w:bookmarkStart w:id="856" w:name="_Toc23295"/>
      <w:r>
        <w:rPr>
          <w:rFonts w:hint="eastAsia"/>
          <w:b/>
          <w:color w:val="auto"/>
          <w:sz w:val="30"/>
          <w:szCs w:val="30"/>
          <w:highlight w:val="none"/>
          <w:lang w:eastAsia="zh-CN"/>
        </w:rPr>
        <w:t>17. 计量与支付</w:t>
      </w:r>
      <w:bookmarkEnd w:id="845"/>
      <w:bookmarkEnd w:id="846"/>
      <w:bookmarkEnd w:id="847"/>
      <w:bookmarkEnd w:id="848"/>
      <w:bookmarkEnd w:id="849"/>
      <w:bookmarkEnd w:id="850"/>
      <w:bookmarkEnd w:id="851"/>
      <w:bookmarkEnd w:id="852"/>
      <w:bookmarkEnd w:id="853"/>
      <w:bookmarkEnd w:id="855"/>
      <w:bookmarkEnd w:id="856"/>
    </w:p>
    <w:p w14:paraId="506E5B0B">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57" w:name="_Toc10600"/>
      <w:bookmarkStart w:id="858" w:name="_Toc16537"/>
      <w:bookmarkStart w:id="859" w:name="_Toc9685"/>
      <w:bookmarkStart w:id="860" w:name="_Toc221951224"/>
      <w:bookmarkStart w:id="861" w:name="_Toc9249"/>
      <w:r>
        <w:rPr>
          <w:rFonts w:hint="eastAsia" w:ascii="宋体" w:hAnsi="宋体" w:eastAsia="宋体"/>
          <w:b/>
          <w:color w:val="auto"/>
          <w:sz w:val="24"/>
          <w:szCs w:val="24"/>
          <w:highlight w:val="none"/>
          <w:lang w:val="en-US" w:eastAsia="zh-CN" w:bidi="en-US"/>
        </w:rPr>
        <w:t>17.2 预付款</w:t>
      </w:r>
      <w:bookmarkEnd w:id="857"/>
      <w:bookmarkEnd w:id="858"/>
      <w:bookmarkEnd w:id="859"/>
      <w:bookmarkEnd w:id="860"/>
      <w:bookmarkEnd w:id="861"/>
    </w:p>
    <w:p w14:paraId="3CE4A495">
      <w:pPr>
        <w:pStyle w:val="18"/>
        <w:spacing w:line="360" w:lineRule="auto"/>
        <w:ind w:firstLine="422" w:firstLineChars="200"/>
        <w:rPr>
          <w:rFonts w:ascii="宋体" w:hAnsi="宋体" w:cs="宋体"/>
          <w:b/>
          <w:bCs/>
          <w:color w:val="auto"/>
          <w:sz w:val="21"/>
          <w:szCs w:val="21"/>
          <w:highlight w:val="none"/>
          <w:lang w:eastAsia="zh-CN"/>
        </w:rPr>
      </w:pPr>
      <w:bookmarkStart w:id="862" w:name="_Toc221951226"/>
      <w:r>
        <w:rPr>
          <w:rFonts w:hint="default" w:ascii="Times New Roman" w:hAnsi="Times New Roman" w:cs="Times New Roman"/>
          <w:b/>
          <w:bCs/>
          <w:color w:val="auto"/>
          <w:sz w:val="21"/>
          <w:szCs w:val="21"/>
          <w:highlight w:val="none"/>
          <w:lang w:eastAsia="zh-CN"/>
        </w:rPr>
        <w:t>17.2.1</w:t>
      </w:r>
      <w:r>
        <w:rPr>
          <w:rFonts w:hint="eastAsia" w:ascii="宋体" w:hAnsi="宋体" w:cs="宋体"/>
          <w:b/>
          <w:bCs/>
          <w:color w:val="auto"/>
          <w:sz w:val="21"/>
          <w:szCs w:val="21"/>
          <w:highlight w:val="none"/>
          <w:lang w:eastAsia="zh-CN"/>
        </w:rPr>
        <w:t>预付款</w:t>
      </w:r>
      <w:bookmarkEnd w:id="862"/>
      <w:r>
        <w:rPr>
          <w:rFonts w:hint="eastAsia" w:ascii="宋体" w:hAnsi="宋体" w:cs="宋体"/>
          <w:b/>
          <w:bCs/>
          <w:color w:val="auto"/>
          <w:sz w:val="21"/>
          <w:szCs w:val="21"/>
          <w:highlight w:val="none"/>
          <w:lang w:eastAsia="zh-CN"/>
        </w:rPr>
        <w:t xml:space="preserve"> </w:t>
      </w:r>
    </w:p>
    <w:p w14:paraId="6249D3D8">
      <w:pPr>
        <w:pStyle w:val="18"/>
        <w:numPr>
          <w:ilvl w:val="0"/>
          <w:numId w:val="37"/>
        </w:numPr>
        <w:spacing w:line="360" w:lineRule="auto"/>
        <w:ind w:firstLine="420" w:firstLineChars="200"/>
        <w:rPr>
          <w:rFonts w:hint="eastAsia" w:ascii="宋体" w:hAnsi="宋体" w:cs="宋体"/>
          <w:color w:val="auto"/>
          <w:sz w:val="21"/>
          <w:szCs w:val="21"/>
          <w:highlight w:val="none"/>
          <w:lang w:val="en-US" w:eastAsia="zh-CN"/>
        </w:rPr>
      </w:pPr>
      <w:bookmarkStart w:id="863" w:name="_Toc221951228"/>
      <w:r>
        <w:rPr>
          <w:rFonts w:hint="eastAsia" w:ascii="宋体" w:hAnsi="宋体" w:cs="宋体"/>
          <w:color w:val="auto"/>
          <w:sz w:val="21"/>
          <w:szCs w:val="21"/>
          <w:highlight w:val="none"/>
          <w:lang w:eastAsia="zh-CN"/>
        </w:rPr>
        <w:t>工程预付款的总金额为签约合同价（扣除暂列金额）的</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lang w:eastAsia="zh-CN"/>
        </w:rPr>
        <w:t>%。</w:t>
      </w:r>
      <w:bookmarkEnd w:id="863"/>
      <w:r>
        <w:rPr>
          <w:rFonts w:hint="eastAsia" w:ascii="宋体" w:hAnsi="宋体" w:cs="宋体"/>
          <w:color w:val="auto"/>
          <w:sz w:val="21"/>
          <w:szCs w:val="21"/>
          <w:highlight w:val="none"/>
          <w:lang w:val="en-US" w:eastAsia="zh-CN"/>
        </w:rPr>
        <w:t>在承包人项目部已设立，追要人员、机械设备已进场，工程已实质性开工的前提下，且承包人向发包人提交预付款申请材料（主要包括经发包人认可的金融机构出具的预付款保函、农民工工资保障金票据、建筑工程意外伤害保险票据，相应金额的税务发票），由监理、发包人、主管单位对申请材料会审合格后，由主管单位提交至宾阳县财政部门安排支付合同总价的20%预付款。</w:t>
      </w:r>
    </w:p>
    <w:p w14:paraId="170FE7D5">
      <w:pPr>
        <w:pStyle w:val="18"/>
        <w:numPr>
          <w:ilvl w:val="0"/>
          <w:numId w:val="37"/>
        </w:numPr>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（2）工程材料预付款的额度和预付办法约定为：</w:t>
      </w:r>
      <w:r>
        <w:rPr>
          <w:rFonts w:hint="eastAsia" w:ascii="宋体" w:hAnsi="宋体" w:cs="宋体"/>
          <w:color w:val="auto"/>
          <w:sz w:val="21"/>
          <w:szCs w:val="21"/>
          <w:highlight w:val="none"/>
          <w:u w:val="single"/>
          <w:lang w:eastAsia="zh-CN"/>
        </w:rPr>
        <w:t xml:space="preserve"> 本工程无材料预付款 </w:t>
      </w:r>
      <w:r>
        <w:rPr>
          <w:rFonts w:hint="eastAsia" w:ascii="宋体" w:hAnsi="宋体" w:cs="宋体"/>
          <w:color w:val="auto"/>
          <w:sz w:val="21"/>
          <w:szCs w:val="21"/>
          <w:highlight w:val="none"/>
          <w:lang w:eastAsia="zh-CN"/>
        </w:rPr>
        <w:t>。</w:t>
      </w:r>
    </w:p>
    <w:p w14:paraId="13CED544">
      <w:pPr>
        <w:pStyle w:val="18"/>
        <w:spacing w:line="360" w:lineRule="auto"/>
        <w:ind w:firstLine="422" w:firstLineChars="200"/>
        <w:rPr>
          <w:rFonts w:ascii="宋体" w:hAnsi="宋体" w:cs="宋体"/>
          <w:b/>
          <w:color w:val="auto"/>
          <w:sz w:val="21"/>
          <w:szCs w:val="21"/>
          <w:highlight w:val="none"/>
          <w:lang w:eastAsia="zh-CN"/>
        </w:rPr>
      </w:pPr>
      <w:bookmarkStart w:id="864" w:name="_Toc221951235"/>
      <w:r>
        <w:rPr>
          <w:rFonts w:hint="default" w:ascii="Times New Roman" w:hAnsi="Times New Roman" w:cs="Times New Roman"/>
          <w:b/>
          <w:color w:val="auto"/>
          <w:sz w:val="21"/>
          <w:szCs w:val="21"/>
          <w:highlight w:val="none"/>
          <w:lang w:eastAsia="zh-CN"/>
        </w:rPr>
        <w:t xml:space="preserve">17.2.2 </w:t>
      </w:r>
      <w:r>
        <w:rPr>
          <w:rFonts w:hint="eastAsia" w:ascii="宋体" w:hAnsi="宋体" w:cs="宋体"/>
          <w:b/>
          <w:color w:val="auto"/>
          <w:sz w:val="21"/>
          <w:szCs w:val="21"/>
          <w:highlight w:val="none"/>
          <w:lang w:eastAsia="zh-CN"/>
        </w:rPr>
        <w:t>预付款保函</w:t>
      </w:r>
      <w:bookmarkEnd w:id="864"/>
      <w:r>
        <w:rPr>
          <w:rFonts w:hint="eastAsia" w:ascii="宋体" w:hAnsi="宋体" w:cs="宋体"/>
          <w:b/>
          <w:color w:val="auto"/>
          <w:sz w:val="21"/>
          <w:szCs w:val="21"/>
          <w:highlight w:val="none"/>
          <w:lang w:eastAsia="zh-CN"/>
        </w:rPr>
        <w:t>（担保）</w:t>
      </w:r>
    </w:p>
    <w:p w14:paraId="15658DC3">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(1)预付款保函（担保）：</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金融机构出具的保函</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w:t>
      </w:r>
    </w:p>
    <w:p w14:paraId="1B14641A">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(2)工程材料预付款的担保约定为：</w:t>
      </w:r>
      <w:r>
        <w:rPr>
          <w:rFonts w:hint="eastAsia" w:ascii="宋体" w:hAnsi="宋体" w:cs="宋体"/>
          <w:color w:val="auto"/>
          <w:sz w:val="21"/>
          <w:szCs w:val="21"/>
          <w:highlight w:val="none"/>
          <w:u w:val="single"/>
          <w:lang w:eastAsia="zh-CN"/>
        </w:rPr>
        <w:t xml:space="preserve"> 无 </w:t>
      </w:r>
      <w:r>
        <w:rPr>
          <w:rFonts w:hint="eastAsia" w:ascii="宋体" w:hAnsi="宋体" w:cs="宋体"/>
          <w:color w:val="auto"/>
          <w:sz w:val="21"/>
          <w:szCs w:val="21"/>
          <w:highlight w:val="none"/>
          <w:lang w:eastAsia="zh-CN"/>
        </w:rPr>
        <w:t>。</w:t>
      </w:r>
    </w:p>
    <w:p w14:paraId="3352895B">
      <w:pPr>
        <w:pStyle w:val="18"/>
        <w:spacing w:line="360" w:lineRule="auto"/>
        <w:ind w:firstLine="422" w:firstLineChars="200"/>
        <w:rPr>
          <w:rFonts w:ascii="宋体" w:hAnsi="宋体" w:cs="宋体"/>
          <w:b/>
          <w:color w:val="auto"/>
          <w:sz w:val="21"/>
          <w:szCs w:val="21"/>
          <w:highlight w:val="none"/>
          <w:lang w:eastAsia="zh-CN"/>
        </w:rPr>
      </w:pPr>
      <w:bookmarkStart w:id="865" w:name="_Toc221951237"/>
      <w:r>
        <w:rPr>
          <w:rFonts w:hint="default" w:ascii="Times New Roman" w:hAnsi="Times New Roman" w:cs="Times New Roman"/>
          <w:b/>
          <w:color w:val="auto"/>
          <w:sz w:val="21"/>
          <w:szCs w:val="21"/>
          <w:highlight w:val="none"/>
          <w:lang w:eastAsia="zh-CN"/>
        </w:rPr>
        <w:t xml:space="preserve">17.2.3 </w:t>
      </w:r>
      <w:r>
        <w:rPr>
          <w:rFonts w:hint="eastAsia" w:ascii="宋体" w:hAnsi="宋体" w:cs="宋体"/>
          <w:b/>
          <w:color w:val="auto"/>
          <w:sz w:val="21"/>
          <w:szCs w:val="21"/>
          <w:highlight w:val="none"/>
          <w:lang w:eastAsia="zh-CN"/>
        </w:rPr>
        <w:t>预付款的扣回与还清</w:t>
      </w:r>
      <w:bookmarkEnd w:id="865"/>
    </w:p>
    <w:p w14:paraId="3DD94C19">
      <w:pPr>
        <w:pStyle w:val="18"/>
        <w:spacing w:line="360" w:lineRule="auto"/>
        <w:ind w:firstLine="420" w:firstLineChars="200"/>
        <w:rPr>
          <w:rFonts w:hint="eastAsia" w:ascii="宋体" w:hAnsi="宋体" w:cs="宋体"/>
          <w:color w:val="auto"/>
          <w:sz w:val="21"/>
          <w:szCs w:val="21"/>
          <w:highlight w:val="none"/>
          <w:lang w:eastAsia="zh-CN"/>
        </w:rPr>
      </w:pPr>
      <w:bookmarkStart w:id="866" w:name="_Toc221951246"/>
      <w:r>
        <w:rPr>
          <w:rFonts w:hint="eastAsia" w:ascii="宋体" w:hAnsi="宋体" w:cs="宋体"/>
          <w:color w:val="auto"/>
          <w:sz w:val="21"/>
          <w:szCs w:val="21"/>
          <w:highlight w:val="none"/>
          <w:lang w:val="en-US" w:eastAsia="zh-CN"/>
        </w:rPr>
        <w:t>（1）工程</w:t>
      </w:r>
      <w:r>
        <w:rPr>
          <w:rFonts w:hint="eastAsia" w:ascii="宋体" w:hAnsi="宋体" w:cs="宋体"/>
          <w:color w:val="auto"/>
          <w:sz w:val="21"/>
          <w:szCs w:val="21"/>
          <w:highlight w:val="none"/>
          <w:lang w:eastAsia="zh-CN"/>
        </w:rPr>
        <w:t>预付款</w:t>
      </w:r>
      <w:r>
        <w:rPr>
          <w:rFonts w:hint="eastAsia" w:ascii="宋体" w:hAnsi="宋体" w:cs="宋体"/>
          <w:color w:val="auto"/>
          <w:sz w:val="21"/>
          <w:szCs w:val="21"/>
          <w:highlight w:val="none"/>
          <w:lang w:val="en-US" w:eastAsia="zh-CN"/>
        </w:rPr>
        <w:t>由发包人从首次进度付款中</w:t>
      </w:r>
      <w:r>
        <w:rPr>
          <w:rFonts w:hint="eastAsia" w:ascii="宋体" w:hAnsi="宋体" w:cs="宋体"/>
          <w:color w:val="auto"/>
          <w:sz w:val="21"/>
          <w:szCs w:val="21"/>
          <w:highlight w:val="none"/>
          <w:lang w:eastAsia="zh-CN"/>
        </w:rPr>
        <w:t xml:space="preserve">扣回。 </w:t>
      </w:r>
    </w:p>
    <w:p w14:paraId="109DD0C3">
      <w:pPr>
        <w:pStyle w:val="18"/>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（2）工程材料预付款的扣回与还清约定为：</w:t>
      </w:r>
      <w:r>
        <w:rPr>
          <w:rFonts w:hint="eastAsia" w:ascii="宋体" w:hAnsi="宋体" w:cs="宋体"/>
          <w:color w:val="auto"/>
          <w:sz w:val="21"/>
          <w:szCs w:val="21"/>
          <w:highlight w:val="none"/>
          <w:u w:val="single"/>
          <w:lang w:eastAsia="zh-CN"/>
        </w:rPr>
        <w:t xml:space="preserve"> / </w:t>
      </w:r>
      <w:r>
        <w:rPr>
          <w:rStyle w:val="29"/>
          <w:rFonts w:hint="eastAsia" w:ascii="宋体" w:hAnsi="宋体" w:cs="宋体"/>
          <w:color w:val="auto"/>
          <w:sz w:val="21"/>
          <w:szCs w:val="21"/>
          <w:highlight w:val="none"/>
          <w:lang w:val="en-US" w:eastAsia="zh-CN"/>
        </w:rPr>
        <w:t>。</w:t>
      </w:r>
    </w:p>
    <w:bookmarkEnd w:id="866"/>
    <w:p w14:paraId="094D622D">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67" w:name="_Toc8438"/>
      <w:bookmarkStart w:id="868" w:name="_Toc25112"/>
      <w:r>
        <w:rPr>
          <w:rFonts w:hint="eastAsia" w:ascii="宋体" w:hAnsi="宋体" w:eastAsia="宋体"/>
          <w:b/>
          <w:color w:val="auto"/>
          <w:sz w:val="24"/>
          <w:szCs w:val="24"/>
          <w:highlight w:val="none"/>
          <w:lang w:val="en-US" w:eastAsia="zh-CN" w:bidi="en-US"/>
        </w:rPr>
        <w:t>17.3工程进度付款</w:t>
      </w:r>
      <w:bookmarkEnd w:id="867"/>
      <w:bookmarkEnd w:id="868"/>
    </w:p>
    <w:p w14:paraId="02022129">
      <w:pPr>
        <w:pStyle w:val="52"/>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color w:val="auto"/>
          <w:sz w:val="21"/>
          <w:szCs w:val="21"/>
          <w:highlight w:val="none"/>
        </w:rPr>
      </w:pPr>
      <w:bookmarkStart w:id="869" w:name="_Toc221951260"/>
      <w:bookmarkStart w:id="870" w:name="_Toc3715"/>
      <w:bookmarkStart w:id="871" w:name="_Toc30443"/>
      <w:r>
        <w:rPr>
          <w:rFonts w:ascii="Times New Roman" w:hAnsi="Times New Roman" w:eastAsia="Times New Roman" w:cs="Times New Roman"/>
          <w:color w:val="auto"/>
          <w:sz w:val="21"/>
          <w:szCs w:val="21"/>
          <w:highlight w:val="none"/>
          <w:lang w:val="en-US" w:bidi="en-US"/>
        </w:rPr>
        <w:t>17.3.2</w:t>
      </w:r>
      <w:r>
        <w:rPr>
          <w:color w:val="auto"/>
          <w:sz w:val="21"/>
          <w:szCs w:val="21"/>
          <w:highlight w:val="none"/>
        </w:rPr>
        <w:t>进度付款申请单</w:t>
      </w:r>
    </w:p>
    <w:p w14:paraId="3FC99531">
      <w:pPr>
        <w:pStyle w:val="52"/>
        <w:keepNext w:val="0"/>
        <w:keepLines w:val="0"/>
        <w:pageBreakBefore w:val="0"/>
        <w:widowControl w:val="0"/>
        <w:tabs>
          <w:tab w:val="left" w:pos="4613"/>
          <w:tab w:val="left" w:pos="7978"/>
        </w:tabs>
        <w:kinsoku/>
        <w:wordWrap/>
        <w:overflowPunct/>
        <w:topLinePunct w:val="0"/>
        <w:autoSpaceDE/>
        <w:autoSpaceDN/>
        <w:bidi w:val="0"/>
        <w:adjustRightInd/>
        <w:snapToGrid/>
        <w:spacing w:line="440" w:lineRule="exact"/>
        <w:ind w:left="420" w:firstLine="20"/>
        <w:jc w:val="both"/>
        <w:textAlignment w:val="auto"/>
        <w:rPr>
          <w:rFonts w:hint="eastAsia" w:ascii="Times New Roman" w:hAnsi="Times New Roman" w:cs="Times New Roman"/>
          <w:color w:val="auto"/>
          <w:sz w:val="21"/>
          <w:szCs w:val="21"/>
          <w:highlight w:val="none"/>
          <w:lang w:val="en-US" w:bidi="en-US"/>
        </w:rPr>
      </w:pPr>
      <w:r>
        <w:rPr>
          <w:color w:val="auto"/>
          <w:sz w:val="21"/>
          <w:szCs w:val="21"/>
          <w:highlight w:val="none"/>
        </w:rPr>
        <w:t>承包人提交进度付款申请单的份数：</w:t>
      </w:r>
      <w:r>
        <w:rPr>
          <w:rFonts w:hint="eastAsia"/>
          <w:color w:val="auto"/>
          <w:sz w:val="21"/>
          <w:szCs w:val="21"/>
          <w:highlight w:val="none"/>
          <w:u w:val="single"/>
          <w:lang w:val="en-US" w:eastAsia="zh-CN"/>
        </w:rPr>
        <w:t xml:space="preserve"> 4份 </w:t>
      </w:r>
      <w:r>
        <w:rPr>
          <w:rFonts w:hint="eastAsia" w:ascii="Times New Roman" w:hAnsi="Times New Roman" w:cs="Times New Roman"/>
          <w:color w:val="auto"/>
          <w:sz w:val="21"/>
          <w:szCs w:val="21"/>
          <w:highlight w:val="none"/>
          <w:lang w:val="en-US" w:bidi="en-US"/>
        </w:rPr>
        <w:t>。</w:t>
      </w:r>
    </w:p>
    <w:p w14:paraId="52E03B32">
      <w:pPr>
        <w:pStyle w:val="52"/>
        <w:keepNext w:val="0"/>
        <w:keepLines w:val="0"/>
        <w:pageBreakBefore w:val="0"/>
        <w:widowControl w:val="0"/>
        <w:tabs>
          <w:tab w:val="left" w:pos="4613"/>
          <w:tab w:val="left" w:pos="7978"/>
        </w:tabs>
        <w:kinsoku/>
        <w:wordWrap/>
        <w:overflowPunct/>
        <w:topLinePunct w:val="0"/>
        <w:autoSpaceDE/>
        <w:autoSpaceDN/>
        <w:bidi w:val="0"/>
        <w:adjustRightInd/>
        <w:snapToGrid/>
        <w:spacing w:line="440" w:lineRule="exact"/>
        <w:ind w:left="420" w:firstLine="20"/>
        <w:jc w:val="both"/>
        <w:textAlignment w:val="auto"/>
        <w:rPr>
          <w:color w:val="auto"/>
          <w:sz w:val="21"/>
          <w:szCs w:val="21"/>
          <w:highlight w:val="none"/>
        </w:rPr>
      </w:pPr>
      <w:r>
        <w:rPr>
          <w:rFonts w:ascii="Times New Roman" w:hAnsi="Times New Roman" w:eastAsia="Times New Roman" w:cs="Times New Roman"/>
          <w:color w:val="auto"/>
          <w:sz w:val="21"/>
          <w:szCs w:val="21"/>
          <w:highlight w:val="none"/>
          <w:lang w:val="en-US" w:bidi="en-US"/>
        </w:rPr>
        <w:t>17.3.3</w:t>
      </w:r>
      <w:r>
        <w:rPr>
          <w:color w:val="auto"/>
          <w:sz w:val="21"/>
          <w:szCs w:val="21"/>
          <w:highlight w:val="none"/>
        </w:rPr>
        <w:t>进度付款证书和支付时间</w:t>
      </w:r>
    </w:p>
    <w:p w14:paraId="7FBB69CC">
      <w:pPr>
        <w:pStyle w:val="52"/>
        <w:keepNext w:val="0"/>
        <w:keepLines w:val="0"/>
        <w:pageBreakBefore w:val="0"/>
        <w:widowControl w:val="0"/>
        <w:tabs>
          <w:tab w:val="left" w:pos="4428"/>
        </w:tabs>
        <w:kinsoku/>
        <w:wordWrap/>
        <w:overflowPunct/>
        <w:topLinePunct w:val="0"/>
        <w:autoSpaceDE/>
        <w:autoSpaceDN/>
        <w:bidi w:val="0"/>
        <w:adjustRightInd/>
        <w:snapToGrid/>
        <w:spacing w:line="440" w:lineRule="exact"/>
        <w:ind w:firstLine="440"/>
        <w:jc w:val="both"/>
        <w:textAlignment w:val="auto"/>
        <w:rPr>
          <w:color w:val="auto"/>
          <w:sz w:val="21"/>
          <w:szCs w:val="21"/>
          <w:highlight w:val="none"/>
        </w:rPr>
      </w:pPr>
      <w:r>
        <w:rPr>
          <w:color w:val="auto"/>
          <w:sz w:val="21"/>
          <w:szCs w:val="21"/>
          <w:highlight w:val="none"/>
        </w:rPr>
        <w:t>(2)本款“专用合同条款的约定支付逾期付款违约金”为按中国人民银行规定的同期贷款利率计算的逾期付款金额的利息。</w:t>
      </w:r>
    </w:p>
    <w:p w14:paraId="3904F9DA">
      <w:pPr>
        <w:pStyle w:val="52"/>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color w:val="auto"/>
          <w:sz w:val="21"/>
          <w:szCs w:val="21"/>
          <w:highlight w:val="none"/>
        </w:rPr>
      </w:pPr>
      <w:r>
        <w:rPr>
          <w:rFonts w:ascii="Times New Roman" w:hAnsi="Times New Roman" w:eastAsia="Times New Roman" w:cs="Times New Roman"/>
          <w:color w:val="auto"/>
          <w:sz w:val="21"/>
          <w:szCs w:val="21"/>
          <w:highlight w:val="none"/>
          <w:lang w:val="en-US" w:bidi="en-US"/>
        </w:rPr>
        <w:t>17.3.5</w:t>
      </w:r>
      <w:r>
        <w:rPr>
          <w:color w:val="auto"/>
          <w:sz w:val="21"/>
          <w:szCs w:val="21"/>
          <w:highlight w:val="none"/>
        </w:rPr>
        <w:t>工程进度付款的支付比例</w:t>
      </w:r>
    </w:p>
    <w:p w14:paraId="18668F29">
      <w:pPr>
        <w:pStyle w:val="52"/>
        <w:keepNext w:val="0"/>
        <w:keepLines w:val="0"/>
        <w:pageBreakBefore w:val="0"/>
        <w:widowControl w:val="0"/>
        <w:tabs>
          <w:tab w:val="left" w:pos="4428"/>
        </w:tabs>
        <w:kinsoku/>
        <w:wordWrap/>
        <w:overflowPunct/>
        <w:topLinePunct w:val="0"/>
        <w:autoSpaceDE/>
        <w:autoSpaceDN/>
        <w:bidi w:val="0"/>
        <w:adjustRightInd/>
        <w:snapToGrid/>
        <w:spacing w:line="440" w:lineRule="exact"/>
        <w:ind w:firstLine="440"/>
        <w:jc w:val="both"/>
        <w:textAlignment w:val="auto"/>
        <w:rPr>
          <w:rFonts w:hint="eastAsia"/>
          <w:i w:val="0"/>
          <w:iCs w:val="0"/>
          <w:color w:val="auto"/>
          <w:sz w:val="21"/>
          <w:szCs w:val="21"/>
          <w:highlight w:val="none"/>
          <w:lang w:val="en-US" w:eastAsia="zh-CN"/>
        </w:rPr>
      </w:pPr>
      <w:r>
        <w:rPr>
          <w:rFonts w:hint="eastAsia"/>
          <w:i w:val="0"/>
          <w:iCs w:val="0"/>
          <w:color w:val="auto"/>
          <w:sz w:val="21"/>
          <w:szCs w:val="21"/>
          <w:highlight w:val="none"/>
        </w:rPr>
        <w:t>每个付款周期按实际完成工程量的</w:t>
      </w:r>
      <w:r>
        <w:rPr>
          <w:rFonts w:hint="eastAsia"/>
          <w:i w:val="0"/>
          <w:iCs w:val="0"/>
          <w:color w:val="auto"/>
          <w:sz w:val="21"/>
          <w:szCs w:val="21"/>
          <w:highlight w:val="none"/>
          <w:u w:val="single"/>
          <w:lang w:val="en-US" w:eastAsia="zh-CN"/>
        </w:rPr>
        <w:t>85</w:t>
      </w:r>
      <w:r>
        <w:rPr>
          <w:rFonts w:hint="eastAsia"/>
          <w:i w:val="0"/>
          <w:iCs w:val="0"/>
          <w:color w:val="auto"/>
          <w:sz w:val="21"/>
          <w:szCs w:val="21"/>
          <w:highlight w:val="none"/>
          <w:u w:val="single"/>
        </w:rPr>
        <w:t xml:space="preserve"> </w:t>
      </w:r>
      <w:r>
        <w:rPr>
          <w:rFonts w:hint="eastAsia"/>
          <w:i w:val="0"/>
          <w:iCs w:val="0"/>
          <w:color w:val="auto"/>
          <w:sz w:val="21"/>
          <w:szCs w:val="21"/>
          <w:highlight w:val="none"/>
        </w:rPr>
        <w:t>%支付工程进度款，</w:t>
      </w:r>
      <w:r>
        <w:rPr>
          <w:rFonts w:hint="eastAsia"/>
          <w:i w:val="0"/>
          <w:iCs w:val="0"/>
          <w:color w:val="auto"/>
          <w:sz w:val="21"/>
          <w:szCs w:val="21"/>
          <w:highlight w:val="none"/>
          <w:lang w:eastAsia="zh-CN"/>
        </w:rPr>
        <w:t>合同外工程支付限额为实际完成工程量的</w:t>
      </w:r>
      <w:r>
        <w:rPr>
          <w:rFonts w:hint="eastAsia"/>
          <w:i w:val="0"/>
          <w:iCs w:val="0"/>
          <w:color w:val="auto"/>
          <w:sz w:val="21"/>
          <w:szCs w:val="21"/>
          <w:highlight w:val="none"/>
          <w:lang w:val="en-US" w:eastAsia="zh-CN"/>
        </w:rPr>
        <w:t>60%。在工程完工验收合格，完成工程结算并通过财政投资评审单位审核扣除3%质量保证金后，工程款支付至结算总价97%（含已支付的）。发包人按结算审核总价的3%扣留质量保证金，质量保证金待工程质量保修期（从通过验收合格之日算起1年时间内）满后返还给承包人（无息）。</w:t>
      </w:r>
    </w:p>
    <w:p w14:paraId="3ED1CEA2">
      <w:pPr>
        <w:pStyle w:val="52"/>
        <w:keepNext w:val="0"/>
        <w:keepLines w:val="0"/>
        <w:pageBreakBefore w:val="0"/>
        <w:widowControl w:val="0"/>
        <w:tabs>
          <w:tab w:val="left" w:pos="4428"/>
        </w:tabs>
        <w:kinsoku/>
        <w:wordWrap/>
        <w:overflowPunct/>
        <w:topLinePunct w:val="0"/>
        <w:autoSpaceDE/>
        <w:autoSpaceDN/>
        <w:bidi w:val="0"/>
        <w:adjustRightInd/>
        <w:snapToGrid/>
        <w:spacing w:line="440" w:lineRule="exact"/>
        <w:ind w:firstLine="440"/>
        <w:jc w:val="both"/>
        <w:textAlignment w:val="auto"/>
        <w:rPr>
          <w:i w:val="0"/>
          <w:iCs w:val="0"/>
          <w:color w:val="auto"/>
          <w:sz w:val="21"/>
          <w:szCs w:val="21"/>
          <w:highlight w:val="none"/>
        </w:rPr>
      </w:pPr>
      <w:r>
        <w:rPr>
          <w:rFonts w:hint="eastAsia"/>
          <w:i w:val="0"/>
          <w:iCs w:val="0"/>
          <w:color w:val="auto"/>
          <w:sz w:val="21"/>
          <w:szCs w:val="21"/>
          <w:highlight w:val="none"/>
          <w:lang w:val="en-US" w:eastAsia="zh-CN"/>
        </w:rPr>
        <w:t>承包人在申请工程进度款时，应按宾阳县财政局、宾阳县水利局的要求提供请款材料（主要包括施工合同书原件、工程履约保函、农民工工资保障金票据、建筑工程意外伤害保险票据、授权办理支付业务员证明及其身份证复印件（以上材料首次提供）、工程进度款支付审批表、工程进度款支付申请书、工程进度款完成情况明细表、相应金额增值税税务发票等）。（注：工程款项支付时，需按宾阳县财政、税务部门的规定在项目所在地缴纳相关税费）</w:t>
      </w:r>
      <w:r>
        <w:rPr>
          <w:i w:val="0"/>
          <w:iCs w:val="0"/>
          <w:color w:val="auto"/>
          <w:sz w:val="21"/>
          <w:szCs w:val="21"/>
          <w:highlight w:val="none"/>
        </w:rPr>
        <w:t>。</w:t>
      </w:r>
    </w:p>
    <w:p w14:paraId="6D05A6C6">
      <w:pPr>
        <w:pStyle w:val="52"/>
        <w:keepNext w:val="0"/>
        <w:keepLines w:val="0"/>
        <w:pageBreakBefore w:val="0"/>
        <w:widowControl w:val="0"/>
        <w:tabs>
          <w:tab w:val="left" w:pos="4428"/>
        </w:tabs>
        <w:kinsoku/>
        <w:wordWrap/>
        <w:overflowPunct/>
        <w:topLinePunct w:val="0"/>
        <w:autoSpaceDE/>
        <w:autoSpaceDN/>
        <w:bidi w:val="0"/>
        <w:adjustRightInd/>
        <w:snapToGrid/>
        <w:spacing w:line="440" w:lineRule="exact"/>
        <w:ind w:firstLine="440"/>
        <w:jc w:val="both"/>
        <w:textAlignment w:val="auto"/>
        <w:rPr>
          <w:i w:val="0"/>
          <w:iCs w:val="0"/>
          <w:color w:val="auto"/>
          <w:sz w:val="21"/>
          <w:szCs w:val="21"/>
          <w:highlight w:val="none"/>
        </w:rPr>
      </w:pPr>
    </w:p>
    <w:p w14:paraId="310718DE">
      <w:pPr>
        <w:pStyle w:val="52"/>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Times New Roman" w:hAnsi="Times New Roman" w:eastAsia="Times New Roman" w:cs="Times New Roman"/>
          <w:color w:val="auto"/>
          <w:sz w:val="21"/>
          <w:szCs w:val="21"/>
          <w:highlight w:val="none"/>
          <w:lang w:val="en-US" w:bidi="en-US"/>
        </w:rPr>
      </w:pPr>
      <w:r>
        <w:rPr>
          <w:rFonts w:hint="eastAsia" w:ascii="Times New Roman" w:hAnsi="Times New Roman" w:eastAsia="Times New Roman" w:cs="Times New Roman"/>
          <w:color w:val="auto"/>
          <w:sz w:val="21"/>
          <w:szCs w:val="21"/>
          <w:highlight w:val="none"/>
          <w:lang w:val="en-US" w:bidi="en-US"/>
        </w:rPr>
        <w:t>17.3.6工程款中应支付至农民工工资专用账户的比例</w:t>
      </w:r>
    </w:p>
    <w:p w14:paraId="744ED3CA">
      <w:pPr>
        <w:pStyle w:val="1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 w:val="21"/>
          <w:szCs w:val="21"/>
          <w:highlight w:val="none"/>
          <w:lang w:eastAsia="zh-CN"/>
        </w:rPr>
      </w:pPr>
      <w:r>
        <w:rPr>
          <w:rFonts w:hint="eastAsia" w:ascii="Times New Roman" w:hAnsi="Times New Roman" w:eastAsia="Times New Roman" w:cs="Times New Roman"/>
          <w:color w:val="auto"/>
          <w:sz w:val="21"/>
          <w:szCs w:val="21"/>
          <w:highlight w:val="none"/>
          <w:lang w:val="en-US" w:bidi="en-US"/>
        </w:rPr>
        <w:t>工程款中农民工工资比例为</w:t>
      </w:r>
      <w:r>
        <w:rPr>
          <w:rFonts w:hint="eastAsia" w:ascii="Times New Roman" w:hAnsi="Times New Roman" w:cs="Times New Roman"/>
          <w:color w:val="auto"/>
          <w:sz w:val="21"/>
          <w:szCs w:val="21"/>
          <w:highlight w:val="none"/>
          <w:u w:val="single"/>
          <w:lang w:val="en-US" w:eastAsia="zh-CN" w:bidi="en-US"/>
        </w:rPr>
        <w:t xml:space="preserve"> 20 </w:t>
      </w:r>
      <w:r>
        <w:rPr>
          <w:rFonts w:hint="eastAsia" w:ascii="Times New Roman" w:hAnsi="Times New Roman" w:eastAsia="Times New Roman" w:cs="Times New Roman"/>
          <w:color w:val="auto"/>
          <w:sz w:val="21"/>
          <w:szCs w:val="21"/>
          <w:highlight w:val="none"/>
          <w:u w:val="none"/>
          <w:lang w:val="en-US" w:bidi="en-US"/>
        </w:rPr>
        <w:t>%</w:t>
      </w:r>
      <w:r>
        <w:rPr>
          <w:rFonts w:hint="eastAsia" w:ascii="Times New Roman" w:hAnsi="Times New Roman" w:cs="Times New Roman"/>
          <w:color w:val="auto"/>
          <w:sz w:val="21"/>
          <w:szCs w:val="21"/>
          <w:highlight w:val="none"/>
          <w:lang w:val="en-US" w:eastAsia="zh-CN" w:bidi="en-US"/>
        </w:rPr>
        <w:t>，</w:t>
      </w:r>
      <w:r>
        <w:rPr>
          <w:rFonts w:hint="eastAsia" w:ascii="Times New Roman" w:hAnsi="Times New Roman" w:eastAsia="Times New Roman" w:cs="Times New Roman"/>
          <w:color w:val="auto"/>
          <w:sz w:val="21"/>
          <w:szCs w:val="21"/>
          <w:highlight w:val="none"/>
          <w:lang w:val="en-US" w:bidi="en-US"/>
        </w:rPr>
        <w:t>甲方支付工程进度款时，按照上述比例将农民工资转至乙方农民工工资专用账户</w:t>
      </w:r>
      <w:r>
        <w:rPr>
          <w:rFonts w:hint="eastAsia" w:ascii="Times New Roman" w:hAnsi="Times New Roman" w:cs="Times New Roman"/>
          <w:color w:val="auto"/>
          <w:sz w:val="21"/>
          <w:szCs w:val="21"/>
          <w:highlight w:val="none"/>
          <w:lang w:val="en-US" w:eastAsia="zh-CN" w:bidi="en-US"/>
        </w:rPr>
        <w:t>，</w:t>
      </w:r>
      <w:r>
        <w:rPr>
          <w:rFonts w:hint="eastAsia" w:ascii="Times New Roman" w:hAnsi="Times New Roman" w:eastAsia="Times New Roman" w:cs="Times New Roman"/>
          <w:color w:val="auto"/>
          <w:sz w:val="21"/>
          <w:szCs w:val="21"/>
          <w:highlight w:val="none"/>
          <w:lang w:val="en-US" w:bidi="en-US"/>
        </w:rPr>
        <w:t>乙方按月足额支付农民工工资，不得将农民工工资专用款挪做其它用途。</w:t>
      </w:r>
    </w:p>
    <w:p w14:paraId="2E45D502">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72" w:name="_Toc2659"/>
      <w:bookmarkStart w:id="873" w:name="_Toc5212"/>
      <w:r>
        <w:rPr>
          <w:rFonts w:hint="eastAsia" w:ascii="宋体" w:hAnsi="宋体" w:eastAsia="宋体"/>
          <w:b/>
          <w:color w:val="auto"/>
          <w:sz w:val="24"/>
          <w:szCs w:val="24"/>
          <w:highlight w:val="none"/>
          <w:lang w:val="en-US" w:eastAsia="zh-CN" w:bidi="en-US"/>
        </w:rPr>
        <w:t>17.4 质量保证金</w:t>
      </w:r>
      <w:bookmarkEnd w:id="869"/>
      <w:bookmarkEnd w:id="870"/>
      <w:bookmarkEnd w:id="871"/>
      <w:bookmarkEnd w:id="872"/>
      <w:bookmarkEnd w:id="873"/>
    </w:p>
    <w:p w14:paraId="0B45AB45">
      <w:pPr>
        <w:pStyle w:val="52"/>
        <w:keepNext w:val="0"/>
        <w:keepLines w:val="0"/>
        <w:pageBreakBefore w:val="0"/>
        <w:widowControl w:val="0"/>
        <w:kinsoku/>
        <w:wordWrap/>
        <w:overflowPunct/>
        <w:topLinePunct w:val="0"/>
        <w:autoSpaceDE/>
        <w:autoSpaceDN/>
        <w:bidi w:val="0"/>
        <w:adjustRightInd/>
        <w:snapToGrid/>
        <w:spacing w:line="440" w:lineRule="exact"/>
        <w:ind w:firstLine="440"/>
        <w:jc w:val="both"/>
        <w:textAlignment w:val="auto"/>
        <w:rPr>
          <w:rFonts w:hint="eastAsia"/>
          <w:color w:val="auto"/>
          <w:sz w:val="21"/>
          <w:szCs w:val="21"/>
          <w:highlight w:val="none"/>
        </w:rPr>
      </w:pPr>
      <w:bookmarkStart w:id="874" w:name="_Toc221951265"/>
      <w:r>
        <w:rPr>
          <w:color w:val="auto"/>
          <w:sz w:val="21"/>
          <w:szCs w:val="21"/>
          <w:highlight w:val="none"/>
        </w:rPr>
        <w:t>□</w:t>
      </w:r>
      <w:r>
        <w:rPr>
          <w:rFonts w:ascii="Times New Roman" w:hAnsi="Times New Roman" w:eastAsia="Times New Roman" w:cs="Times New Roman"/>
          <w:color w:val="auto"/>
          <w:sz w:val="21"/>
          <w:szCs w:val="21"/>
          <w:highlight w:val="none"/>
          <w:lang w:val="en-US" w:bidi="en-US"/>
        </w:rPr>
        <w:t>17.4.1.</w:t>
      </w:r>
      <w:r>
        <w:rPr>
          <w:rFonts w:hint="eastAsia" w:ascii="Times New Roman" w:hAnsi="Times New Roman" w:cs="Times New Roman"/>
          <w:color w:val="auto"/>
          <w:sz w:val="21"/>
          <w:szCs w:val="21"/>
          <w:highlight w:val="none"/>
          <w:lang w:val="en-US" w:bidi="en-US"/>
        </w:rPr>
        <w:t>1</w:t>
      </w:r>
      <w:r>
        <w:rPr>
          <w:rFonts w:hint="eastAsia" w:ascii="Times New Roman" w:hAnsi="Times New Roman" w:cs="Times New Roman"/>
          <w:color w:val="auto"/>
          <w:sz w:val="21"/>
          <w:szCs w:val="21"/>
          <w:highlight w:val="none"/>
          <w:lang w:val="en-US" w:eastAsia="zh-CN" w:bidi="en-US"/>
        </w:rPr>
        <w:t>工程未完工前，</w:t>
      </w:r>
      <w:r>
        <w:rPr>
          <w:color w:val="auto"/>
          <w:sz w:val="21"/>
          <w:szCs w:val="21"/>
          <w:highlight w:val="none"/>
        </w:rPr>
        <w:t>每个付款周期扣留的质量保</w:t>
      </w:r>
      <w:r>
        <w:rPr>
          <w:rFonts w:hint="eastAsia"/>
          <w:color w:val="auto"/>
          <w:sz w:val="21"/>
          <w:szCs w:val="21"/>
          <w:highlight w:val="none"/>
          <w:lang w:val="en-US" w:eastAsia="zh-CN"/>
        </w:rPr>
        <w:t>留</w:t>
      </w:r>
      <w:r>
        <w:rPr>
          <w:color w:val="auto"/>
          <w:sz w:val="21"/>
          <w:szCs w:val="21"/>
          <w:highlight w:val="none"/>
        </w:rPr>
        <w:t>金为工程进度</w:t>
      </w:r>
      <w:r>
        <w:rPr>
          <w:rFonts w:hint="eastAsia"/>
          <w:color w:val="auto"/>
          <w:sz w:val="21"/>
          <w:szCs w:val="21"/>
          <w:highlight w:val="none"/>
          <w:lang w:val="en-US" w:eastAsia="zh-CN"/>
        </w:rPr>
        <w:t>价</w:t>
      </w:r>
      <w:r>
        <w:rPr>
          <w:color w:val="auto"/>
          <w:sz w:val="21"/>
          <w:szCs w:val="21"/>
          <w:highlight w:val="none"/>
        </w:rPr>
        <w:t>款的</w:t>
      </w:r>
      <w:r>
        <w:rPr>
          <w:rFonts w:hint="eastAsia" w:ascii="Times New Roman" w:hAnsi="Times New Roman" w:eastAsia="宋体" w:cs="Times New Roman"/>
          <w:color w:val="auto"/>
          <w:sz w:val="21"/>
          <w:szCs w:val="21"/>
          <w:highlight w:val="none"/>
          <w:lang w:val="en-US" w:eastAsia="zh-CN"/>
        </w:rPr>
        <w:t>15</w:t>
      </w:r>
      <w:r>
        <w:rPr>
          <w:rFonts w:ascii="Times New Roman" w:hAnsi="Times New Roman" w:eastAsia="Times New Roman" w:cs="Times New Roman"/>
          <w:color w:val="auto"/>
          <w:sz w:val="21"/>
          <w:szCs w:val="21"/>
          <w:highlight w:val="none"/>
        </w:rPr>
        <w:t>%</w:t>
      </w:r>
      <w:r>
        <w:rPr>
          <w:rFonts w:hint="eastAsia" w:ascii="Times New Roman" w:hAnsi="Times New Roman" w:cs="Times New Roman"/>
          <w:color w:val="auto"/>
          <w:sz w:val="21"/>
          <w:szCs w:val="21"/>
          <w:highlight w:val="none"/>
          <w:lang w:val="en-US" w:bidi="en-US"/>
        </w:rPr>
        <w:t>。</w:t>
      </w:r>
    </w:p>
    <w:p w14:paraId="4123471A">
      <w:pPr>
        <w:pStyle w:val="52"/>
        <w:keepNext w:val="0"/>
        <w:keepLines w:val="0"/>
        <w:pageBreakBefore w:val="0"/>
        <w:widowControl w:val="0"/>
        <w:kinsoku/>
        <w:wordWrap/>
        <w:overflowPunct/>
        <w:topLinePunct w:val="0"/>
        <w:autoSpaceDE/>
        <w:autoSpaceDN/>
        <w:bidi w:val="0"/>
        <w:adjustRightInd/>
        <w:snapToGrid/>
        <w:spacing w:line="440" w:lineRule="exact"/>
        <w:ind w:firstLine="440"/>
        <w:jc w:val="both"/>
        <w:textAlignment w:val="auto"/>
        <w:rPr>
          <w:color w:val="auto"/>
          <w:sz w:val="21"/>
          <w:szCs w:val="21"/>
          <w:highlight w:val="none"/>
        </w:rPr>
      </w:pPr>
      <w:r>
        <w:rPr>
          <w:color w:val="auto"/>
          <w:sz w:val="21"/>
          <w:szCs w:val="21"/>
          <w:highlight w:val="none"/>
        </w:rPr>
        <w:t>□</w:t>
      </w:r>
      <w:r>
        <w:rPr>
          <w:rFonts w:ascii="Times New Roman" w:hAnsi="Times New Roman" w:eastAsia="Times New Roman" w:cs="Times New Roman"/>
          <w:color w:val="auto"/>
          <w:sz w:val="21"/>
          <w:szCs w:val="21"/>
          <w:highlight w:val="none"/>
          <w:lang w:val="en-US" w:bidi="en-US"/>
        </w:rPr>
        <w:t>17.4.1.</w:t>
      </w:r>
      <w:r>
        <w:rPr>
          <w:rFonts w:hint="eastAsia" w:ascii="Times New Roman" w:hAnsi="Times New Roman" w:cs="Times New Roman"/>
          <w:color w:val="auto"/>
          <w:sz w:val="21"/>
          <w:szCs w:val="21"/>
          <w:highlight w:val="none"/>
          <w:lang w:val="en-US" w:bidi="en-US"/>
        </w:rPr>
        <w:t>2</w:t>
      </w:r>
      <w:r>
        <w:rPr>
          <w:color w:val="auto"/>
          <w:sz w:val="21"/>
          <w:szCs w:val="21"/>
          <w:highlight w:val="none"/>
        </w:rPr>
        <w:t>工程完工验收</w:t>
      </w:r>
      <w:r>
        <w:rPr>
          <w:rFonts w:hint="eastAsia"/>
          <w:color w:val="auto"/>
          <w:sz w:val="21"/>
          <w:szCs w:val="21"/>
          <w:highlight w:val="none"/>
          <w:lang w:val="en-US" w:eastAsia="zh-CN"/>
        </w:rPr>
        <w:t>合格并经结算审核</w:t>
      </w:r>
      <w:r>
        <w:rPr>
          <w:color w:val="auto"/>
          <w:sz w:val="21"/>
          <w:szCs w:val="21"/>
          <w:highlight w:val="none"/>
        </w:rPr>
        <w:t>后，一次性扣留的质量保证金总额为工程价款结算</w:t>
      </w:r>
      <w:r>
        <w:rPr>
          <w:rFonts w:hint="eastAsia"/>
          <w:color w:val="auto"/>
          <w:sz w:val="21"/>
          <w:szCs w:val="21"/>
          <w:highlight w:val="none"/>
          <w:lang w:val="en-US" w:eastAsia="zh-CN"/>
        </w:rPr>
        <w:t>审核</w:t>
      </w:r>
      <w:r>
        <w:rPr>
          <w:color w:val="auto"/>
          <w:sz w:val="21"/>
          <w:szCs w:val="21"/>
          <w:highlight w:val="none"/>
        </w:rPr>
        <w:t>总</w:t>
      </w:r>
      <w:r>
        <w:rPr>
          <w:rFonts w:hint="eastAsia"/>
          <w:color w:val="auto"/>
          <w:sz w:val="21"/>
          <w:szCs w:val="21"/>
          <w:highlight w:val="none"/>
          <w:lang w:eastAsia="zh-CN"/>
        </w:rPr>
        <w:t>额</w:t>
      </w:r>
      <w:r>
        <w:rPr>
          <w:color w:val="auto"/>
          <w:sz w:val="21"/>
          <w:szCs w:val="21"/>
          <w:highlight w:val="none"/>
        </w:rPr>
        <w:t>的</w:t>
      </w:r>
      <w:r>
        <w:rPr>
          <w:rFonts w:ascii="Times New Roman" w:hAnsi="Times New Roman" w:eastAsia="Times New Roman" w:cs="Times New Roman"/>
          <w:color w:val="auto"/>
          <w:sz w:val="21"/>
          <w:szCs w:val="21"/>
          <w:highlight w:val="none"/>
        </w:rPr>
        <w:t>3%</w:t>
      </w:r>
      <w:r>
        <w:rPr>
          <w:color w:val="auto"/>
          <w:sz w:val="21"/>
          <w:szCs w:val="21"/>
          <w:highlight w:val="none"/>
        </w:rPr>
        <w:t>。</w:t>
      </w:r>
    </w:p>
    <w:p w14:paraId="284B9FE0">
      <w:pPr>
        <w:pStyle w:val="18"/>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highlight w:val="none"/>
          <w:lang w:eastAsia="zh-CN"/>
        </w:rPr>
      </w:pPr>
      <w:r>
        <w:rPr>
          <w:rFonts w:ascii="Times New Roman" w:hAnsi="Times New Roman" w:eastAsia="Times New Roman" w:cs="Times New Roman"/>
          <w:color w:val="auto"/>
          <w:sz w:val="21"/>
          <w:szCs w:val="21"/>
          <w:highlight w:val="none"/>
          <w:lang w:val="en-US" w:bidi="en-US"/>
        </w:rPr>
        <w:sym w:font="Wingdings 2" w:char="0052"/>
      </w:r>
      <w:r>
        <w:rPr>
          <w:rFonts w:ascii="Times New Roman" w:hAnsi="Times New Roman" w:eastAsia="Times New Roman" w:cs="Times New Roman"/>
          <w:color w:val="auto"/>
          <w:sz w:val="21"/>
          <w:szCs w:val="21"/>
          <w:highlight w:val="none"/>
          <w:lang w:val="en-US" w:bidi="en-US"/>
        </w:rPr>
        <w:t>17.4.1.3</w:t>
      </w:r>
      <w:r>
        <w:rPr>
          <w:color w:val="auto"/>
          <w:sz w:val="21"/>
          <w:szCs w:val="21"/>
          <w:highlight w:val="none"/>
        </w:rPr>
        <w:t>在工程项目完工前，已经缴纳履约保证金的，发包人不得同时扣留工程质量保证金。</w:t>
      </w:r>
      <w:r>
        <w:rPr>
          <w:rFonts w:hint="eastAsia" w:ascii="宋体" w:hAnsi="宋体" w:eastAsia="宋体" w:cs="宋体"/>
          <w:color w:val="auto"/>
          <w:sz w:val="21"/>
          <w:szCs w:val="21"/>
          <w:highlight w:val="none"/>
          <w:lang w:val="en-US" w:eastAsia="zh-CN"/>
        </w:rPr>
        <w:t>施工单位提交质量保证金（质量保证金按工程结算价的3%收取）</w:t>
      </w:r>
      <w:r>
        <w:rPr>
          <w:rFonts w:hint="eastAsia" w:eastAsia="宋体" w:cs="宋体"/>
          <w:color w:val="auto"/>
          <w:sz w:val="21"/>
          <w:szCs w:val="21"/>
          <w:highlight w:val="none"/>
          <w:lang w:val="en-US" w:eastAsia="zh-CN"/>
        </w:rPr>
        <w:t>后</w:t>
      </w:r>
      <w:r>
        <w:rPr>
          <w:rFonts w:hint="eastAsia" w:ascii="宋体" w:hAnsi="宋体" w:eastAsia="宋体" w:cs="宋体"/>
          <w:color w:val="auto"/>
          <w:sz w:val="21"/>
          <w:szCs w:val="21"/>
          <w:highlight w:val="none"/>
          <w:lang w:val="en-US" w:eastAsia="zh-CN"/>
        </w:rPr>
        <w:t>我方将</w:t>
      </w:r>
      <w:r>
        <w:rPr>
          <w:rFonts w:hint="eastAsia" w:ascii="宋体" w:hAnsi="宋体" w:eastAsia="宋体" w:cs="宋体"/>
          <w:b/>
          <w:bCs/>
          <w:color w:val="auto"/>
          <w:sz w:val="21"/>
          <w:szCs w:val="21"/>
          <w:highlight w:val="none"/>
          <w:lang w:val="en-US" w:eastAsia="zh-CN"/>
        </w:rPr>
        <w:t>无息</w:t>
      </w:r>
      <w:r>
        <w:rPr>
          <w:rFonts w:hint="eastAsia" w:ascii="宋体" w:hAnsi="宋体" w:eastAsia="宋体" w:cs="宋体"/>
          <w:color w:val="auto"/>
          <w:sz w:val="21"/>
          <w:szCs w:val="21"/>
          <w:highlight w:val="none"/>
          <w:lang w:val="en-US" w:eastAsia="zh-CN"/>
        </w:rPr>
        <w:t>退回履约保证金，直至质量缺陷期结束后</w:t>
      </w:r>
      <w:r>
        <w:rPr>
          <w:rFonts w:hint="eastAsia" w:ascii="宋体" w:hAnsi="宋体" w:eastAsia="宋体" w:cs="宋体"/>
          <w:b/>
          <w:bCs/>
          <w:color w:val="auto"/>
          <w:sz w:val="21"/>
          <w:szCs w:val="21"/>
          <w:highlight w:val="none"/>
          <w:lang w:val="en-US" w:eastAsia="zh-CN"/>
        </w:rPr>
        <w:t>无息</w:t>
      </w:r>
      <w:r>
        <w:rPr>
          <w:rFonts w:hint="eastAsia" w:ascii="宋体" w:hAnsi="宋体" w:eastAsia="宋体" w:cs="宋体"/>
          <w:color w:val="auto"/>
          <w:sz w:val="21"/>
          <w:szCs w:val="21"/>
          <w:highlight w:val="none"/>
          <w:lang w:val="en-US" w:eastAsia="zh-CN"/>
        </w:rPr>
        <w:t>退还质量保证金。</w:t>
      </w:r>
    </w:p>
    <w:p w14:paraId="008D9A3A">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75" w:name="_Toc22311"/>
      <w:bookmarkStart w:id="876" w:name="_Toc8217"/>
      <w:r>
        <w:rPr>
          <w:rFonts w:hint="eastAsia" w:ascii="宋体" w:hAnsi="宋体" w:eastAsia="宋体"/>
          <w:b/>
          <w:color w:val="auto"/>
          <w:sz w:val="24"/>
          <w:szCs w:val="24"/>
          <w:highlight w:val="none"/>
          <w:lang w:val="en-US" w:eastAsia="zh-CN" w:bidi="en-US"/>
        </w:rPr>
        <w:t>17.5 竣工（完工）结算</w:t>
      </w:r>
      <w:bookmarkEnd w:id="874"/>
      <w:bookmarkEnd w:id="875"/>
      <w:bookmarkEnd w:id="876"/>
    </w:p>
    <w:p w14:paraId="47217137">
      <w:pPr>
        <w:pStyle w:val="18"/>
        <w:spacing w:line="360" w:lineRule="auto"/>
        <w:ind w:firstLine="420" w:firstLineChars="200"/>
        <w:rPr>
          <w:rFonts w:ascii="宋体" w:hAnsi="宋体" w:cs="宋体"/>
          <w:color w:val="auto"/>
          <w:sz w:val="21"/>
          <w:szCs w:val="21"/>
          <w:highlight w:val="none"/>
          <w:lang w:eastAsia="zh-CN"/>
        </w:rPr>
      </w:pPr>
      <w:bookmarkStart w:id="877" w:name="_Toc221951266"/>
      <w:r>
        <w:rPr>
          <w:rFonts w:hint="default" w:ascii="Times New Roman" w:hAnsi="Times New Roman" w:cs="Times New Roman"/>
          <w:color w:val="auto"/>
          <w:sz w:val="21"/>
          <w:szCs w:val="21"/>
          <w:highlight w:val="none"/>
          <w:lang w:eastAsia="zh-CN"/>
        </w:rPr>
        <w:t xml:space="preserve">17.5.1  </w:t>
      </w:r>
      <w:r>
        <w:rPr>
          <w:rFonts w:hint="eastAsia" w:ascii="宋体" w:hAnsi="宋体" w:cs="宋体"/>
          <w:color w:val="auto"/>
          <w:sz w:val="21"/>
          <w:szCs w:val="21"/>
          <w:highlight w:val="none"/>
          <w:lang w:eastAsia="zh-CN"/>
        </w:rPr>
        <w:t>竣工（完工）付款申请单</w:t>
      </w:r>
      <w:bookmarkEnd w:id="877"/>
      <w:r>
        <w:rPr>
          <w:rFonts w:hint="eastAsia" w:ascii="宋体" w:hAnsi="宋体" w:cs="宋体"/>
          <w:color w:val="auto"/>
          <w:sz w:val="21"/>
          <w:szCs w:val="21"/>
          <w:highlight w:val="none"/>
          <w:lang w:eastAsia="zh-CN"/>
        </w:rPr>
        <w:t xml:space="preserve"> </w:t>
      </w:r>
    </w:p>
    <w:p w14:paraId="44C8D769">
      <w:pPr>
        <w:pStyle w:val="18"/>
        <w:spacing w:line="360" w:lineRule="auto"/>
        <w:ind w:firstLine="420" w:firstLineChars="200"/>
        <w:rPr>
          <w:rFonts w:ascii="宋体" w:hAnsi="宋体" w:cs="宋体"/>
          <w:color w:val="auto"/>
          <w:sz w:val="21"/>
          <w:szCs w:val="21"/>
          <w:highlight w:val="none"/>
          <w:lang w:eastAsia="zh-CN"/>
        </w:rPr>
      </w:pPr>
      <w:bookmarkStart w:id="878" w:name="_Toc221951267"/>
      <w:r>
        <w:rPr>
          <w:rFonts w:hint="eastAsia" w:ascii="宋体" w:hAnsi="宋体" w:cs="宋体"/>
          <w:color w:val="auto"/>
          <w:sz w:val="21"/>
          <w:szCs w:val="21"/>
          <w:highlight w:val="none"/>
          <w:lang w:eastAsia="zh-CN"/>
        </w:rPr>
        <w:t>（1）承包人应提交竣工付款申请单份数：在签订施工承包合同时明确。</w:t>
      </w:r>
      <w:bookmarkEnd w:id="878"/>
    </w:p>
    <w:p w14:paraId="7A4F1978">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17.5.2</w:t>
      </w:r>
      <w:r>
        <w:rPr>
          <w:rFonts w:hint="eastAsia" w:ascii="宋体" w:hAnsi="宋体" w:cs="宋体"/>
          <w:color w:val="auto"/>
          <w:sz w:val="21"/>
          <w:szCs w:val="21"/>
          <w:highlight w:val="none"/>
          <w:lang w:eastAsia="zh-CN"/>
        </w:rPr>
        <w:t>除按通用合同条款所说的内容外，增加以下内容：最终结算以财政评审结果或审计结果为准。</w:t>
      </w:r>
    </w:p>
    <w:p w14:paraId="47549D10">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79" w:name="_Toc30272"/>
      <w:bookmarkStart w:id="880" w:name="_Toc20840"/>
      <w:bookmarkStart w:id="881" w:name="_Toc21603"/>
      <w:bookmarkStart w:id="882" w:name="_Toc30738"/>
      <w:bookmarkStart w:id="883" w:name="_Toc221951268"/>
      <w:r>
        <w:rPr>
          <w:rFonts w:hint="eastAsia" w:ascii="宋体" w:hAnsi="宋体" w:eastAsia="宋体"/>
          <w:b/>
          <w:color w:val="auto"/>
          <w:sz w:val="24"/>
          <w:szCs w:val="24"/>
          <w:highlight w:val="none"/>
          <w:lang w:val="en-US" w:eastAsia="zh-CN" w:bidi="en-US"/>
        </w:rPr>
        <w:t>17.6 最终结清</w:t>
      </w:r>
      <w:bookmarkEnd w:id="879"/>
      <w:bookmarkEnd w:id="880"/>
      <w:bookmarkEnd w:id="881"/>
      <w:bookmarkEnd w:id="882"/>
      <w:bookmarkEnd w:id="883"/>
    </w:p>
    <w:p w14:paraId="5537D6A1">
      <w:pPr>
        <w:pStyle w:val="18"/>
        <w:spacing w:line="360" w:lineRule="auto"/>
        <w:ind w:firstLine="422" w:firstLineChars="200"/>
        <w:rPr>
          <w:rFonts w:ascii="宋体" w:hAnsi="宋体" w:cs="宋体"/>
          <w:b/>
          <w:color w:val="auto"/>
          <w:sz w:val="21"/>
          <w:szCs w:val="21"/>
          <w:highlight w:val="none"/>
          <w:lang w:eastAsia="zh-CN"/>
        </w:rPr>
      </w:pPr>
      <w:bookmarkStart w:id="884" w:name="_Toc11536"/>
      <w:bookmarkStart w:id="885" w:name="_Toc221951269"/>
      <w:bookmarkStart w:id="886" w:name="_Toc29292"/>
      <w:r>
        <w:rPr>
          <w:rFonts w:hint="default" w:ascii="Times New Roman" w:hAnsi="Times New Roman" w:cs="Times New Roman"/>
          <w:b/>
          <w:color w:val="auto"/>
          <w:sz w:val="21"/>
          <w:szCs w:val="21"/>
          <w:highlight w:val="none"/>
          <w:lang w:eastAsia="zh-CN"/>
        </w:rPr>
        <w:t xml:space="preserve">17.6 1 </w:t>
      </w:r>
      <w:r>
        <w:rPr>
          <w:rFonts w:hint="eastAsia" w:ascii="宋体" w:hAnsi="宋体" w:cs="宋体"/>
          <w:b/>
          <w:color w:val="auto"/>
          <w:sz w:val="21"/>
          <w:szCs w:val="21"/>
          <w:highlight w:val="none"/>
          <w:lang w:eastAsia="zh-CN"/>
        </w:rPr>
        <w:t>最终结清申请单</w:t>
      </w:r>
      <w:bookmarkEnd w:id="884"/>
      <w:bookmarkEnd w:id="885"/>
      <w:bookmarkEnd w:id="886"/>
    </w:p>
    <w:p w14:paraId="21C86C95">
      <w:pPr>
        <w:pStyle w:val="18"/>
        <w:spacing w:line="360" w:lineRule="auto"/>
        <w:ind w:firstLine="420" w:firstLineChars="200"/>
        <w:rPr>
          <w:rFonts w:ascii="宋体" w:hAnsi="宋体" w:cs="宋体"/>
          <w:color w:val="auto"/>
          <w:sz w:val="21"/>
          <w:szCs w:val="21"/>
          <w:highlight w:val="none"/>
          <w:lang w:eastAsia="zh-CN"/>
        </w:rPr>
      </w:pPr>
      <w:bookmarkStart w:id="887" w:name="_Toc221951270"/>
      <w:r>
        <w:rPr>
          <w:rFonts w:hint="eastAsia" w:ascii="宋体" w:hAnsi="宋体" w:cs="宋体"/>
          <w:color w:val="auto"/>
          <w:sz w:val="21"/>
          <w:szCs w:val="21"/>
          <w:highlight w:val="none"/>
          <w:lang w:eastAsia="zh-CN"/>
        </w:rPr>
        <w:t>（1）承包人应提交最终结清申请单</w:t>
      </w:r>
      <w:bookmarkEnd w:id="887"/>
      <w:r>
        <w:rPr>
          <w:rFonts w:hint="eastAsia" w:ascii="宋体" w:hAnsi="宋体" w:cs="宋体"/>
          <w:color w:val="auto"/>
          <w:sz w:val="21"/>
          <w:szCs w:val="21"/>
          <w:highlight w:val="none"/>
          <w:lang w:eastAsia="zh-CN"/>
        </w:rPr>
        <w:t>份数：</w:t>
      </w:r>
      <w:r>
        <w:rPr>
          <w:rFonts w:hint="eastAsia" w:ascii="宋体" w:hAnsi="宋体" w:cs="宋体"/>
          <w:color w:val="auto"/>
          <w:sz w:val="21"/>
          <w:szCs w:val="21"/>
          <w:highlight w:val="none"/>
          <w:u w:val="single"/>
          <w:lang w:eastAsia="zh-CN"/>
        </w:rPr>
        <w:t xml:space="preserve"> 一式捌份</w:t>
      </w:r>
      <w:r>
        <w:rPr>
          <w:rFonts w:hint="eastAsia" w:ascii="宋体" w:hAnsi="宋体" w:cs="宋体"/>
          <w:color w:val="auto"/>
          <w:sz w:val="21"/>
          <w:szCs w:val="21"/>
          <w:highlight w:val="none"/>
          <w:lang w:eastAsia="zh-CN"/>
        </w:rPr>
        <w:t>。</w:t>
      </w:r>
    </w:p>
    <w:p w14:paraId="41D6E096">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888" w:name="_Toc13234"/>
      <w:bookmarkStart w:id="889" w:name="_Toc27615"/>
      <w:bookmarkStart w:id="890" w:name="_Toc29437"/>
      <w:bookmarkStart w:id="891" w:name="_Toc26425"/>
      <w:r>
        <w:rPr>
          <w:rFonts w:hint="eastAsia" w:ascii="宋体" w:hAnsi="宋体" w:eastAsia="宋体"/>
          <w:b/>
          <w:color w:val="auto"/>
          <w:sz w:val="24"/>
          <w:szCs w:val="24"/>
          <w:highlight w:val="none"/>
          <w:lang w:val="en-US" w:eastAsia="zh-CN" w:bidi="en-US"/>
        </w:rPr>
        <w:t>17.7 竣工财务决算</w:t>
      </w:r>
      <w:bookmarkEnd w:id="888"/>
      <w:bookmarkEnd w:id="889"/>
      <w:bookmarkEnd w:id="890"/>
      <w:bookmarkEnd w:id="891"/>
    </w:p>
    <w:p w14:paraId="5D402D8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承包人应为竣工财务决算编制提供的资料：</w:t>
      </w:r>
      <w:r>
        <w:rPr>
          <w:rFonts w:hint="eastAsia" w:ascii="宋体" w:hAnsi="宋体" w:cs="宋体"/>
          <w:color w:val="auto"/>
          <w:sz w:val="21"/>
          <w:szCs w:val="21"/>
          <w:highlight w:val="none"/>
          <w:u w:val="single"/>
          <w:lang w:eastAsia="zh-CN"/>
        </w:rPr>
        <w:t xml:space="preserve"> 按业主要求提交  </w:t>
      </w:r>
      <w:r>
        <w:rPr>
          <w:rFonts w:hint="eastAsia" w:ascii="宋体" w:hAnsi="宋体" w:cs="宋体"/>
          <w:color w:val="auto"/>
          <w:sz w:val="21"/>
          <w:szCs w:val="21"/>
          <w:highlight w:val="none"/>
          <w:lang w:eastAsia="zh-CN"/>
        </w:rPr>
        <w:t>。</w:t>
      </w:r>
    </w:p>
    <w:p w14:paraId="444CF328">
      <w:pPr>
        <w:pStyle w:val="39"/>
        <w:keepNext/>
        <w:keepLines/>
        <w:spacing w:before="280" w:after="290" w:line="372" w:lineRule="auto"/>
        <w:outlineLvl w:val="4"/>
        <w:rPr>
          <w:rFonts w:hint="eastAsia"/>
          <w:b/>
          <w:color w:val="auto"/>
          <w:sz w:val="30"/>
          <w:szCs w:val="30"/>
          <w:highlight w:val="none"/>
          <w:lang w:eastAsia="zh-CN"/>
        </w:rPr>
      </w:pPr>
      <w:bookmarkStart w:id="892" w:name="_Toc222031043"/>
      <w:bookmarkStart w:id="893" w:name="_Toc222033892"/>
      <w:bookmarkStart w:id="894" w:name="_Toc221951271"/>
      <w:bookmarkStart w:id="895" w:name="_Toc222029541"/>
      <w:bookmarkStart w:id="896" w:name="_Toc222032710"/>
      <w:bookmarkStart w:id="897" w:name="_Toc229305399"/>
      <w:bookmarkStart w:id="898" w:name="_Toc2936488"/>
      <w:bookmarkStart w:id="899" w:name="_Toc2936732"/>
      <w:bookmarkStart w:id="900" w:name="_Toc23411"/>
      <w:bookmarkStart w:id="901" w:name="_Toc19444"/>
      <w:bookmarkStart w:id="902" w:name="_Toc2948186"/>
      <w:r>
        <w:rPr>
          <w:rFonts w:hint="eastAsia"/>
          <w:b/>
          <w:color w:val="auto"/>
          <w:sz w:val="30"/>
          <w:szCs w:val="30"/>
          <w:highlight w:val="none"/>
          <w:lang w:eastAsia="zh-CN"/>
        </w:rPr>
        <w:t>18. 竣工验收</w:t>
      </w:r>
      <w:bookmarkEnd w:id="892"/>
      <w:bookmarkEnd w:id="893"/>
      <w:bookmarkEnd w:id="894"/>
      <w:bookmarkEnd w:id="895"/>
      <w:bookmarkEnd w:id="896"/>
      <w:bookmarkEnd w:id="897"/>
      <w:r>
        <w:rPr>
          <w:rFonts w:hint="eastAsia"/>
          <w:b/>
          <w:color w:val="auto"/>
          <w:sz w:val="30"/>
          <w:szCs w:val="30"/>
          <w:highlight w:val="none"/>
          <w:lang w:eastAsia="zh-CN"/>
        </w:rPr>
        <w:t>（验收）</w:t>
      </w:r>
      <w:bookmarkEnd w:id="898"/>
      <w:bookmarkEnd w:id="899"/>
      <w:bookmarkEnd w:id="900"/>
      <w:bookmarkEnd w:id="901"/>
      <w:bookmarkEnd w:id="902"/>
    </w:p>
    <w:p w14:paraId="32777C19">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03" w:name="_Toc221951272"/>
      <w:bookmarkStart w:id="904" w:name="_Toc24626"/>
      <w:bookmarkStart w:id="905" w:name="_Toc8335"/>
      <w:bookmarkStart w:id="906" w:name="_Toc21383"/>
      <w:bookmarkStart w:id="907" w:name="_Toc1207"/>
      <w:r>
        <w:rPr>
          <w:rFonts w:hint="eastAsia" w:ascii="宋体" w:hAnsi="宋体" w:eastAsia="宋体"/>
          <w:b/>
          <w:color w:val="auto"/>
          <w:sz w:val="24"/>
          <w:szCs w:val="24"/>
          <w:highlight w:val="none"/>
          <w:lang w:val="en-US" w:eastAsia="zh-CN" w:bidi="en-US"/>
        </w:rPr>
        <w:t xml:space="preserve">18.1 </w:t>
      </w:r>
      <w:bookmarkEnd w:id="903"/>
      <w:r>
        <w:rPr>
          <w:rFonts w:hint="eastAsia" w:ascii="宋体" w:hAnsi="宋体" w:eastAsia="宋体"/>
          <w:b/>
          <w:color w:val="auto"/>
          <w:sz w:val="24"/>
          <w:szCs w:val="24"/>
          <w:highlight w:val="none"/>
          <w:lang w:val="en-US" w:eastAsia="zh-CN" w:bidi="en-US"/>
        </w:rPr>
        <w:t>验收工作分类</w:t>
      </w:r>
      <w:bookmarkEnd w:id="904"/>
      <w:bookmarkEnd w:id="905"/>
      <w:bookmarkEnd w:id="906"/>
      <w:bookmarkEnd w:id="907"/>
    </w:p>
    <w:p w14:paraId="268EB48C">
      <w:pPr>
        <w:pStyle w:val="18"/>
        <w:spacing w:line="360" w:lineRule="auto"/>
        <w:ind w:firstLine="420" w:firstLineChars="200"/>
        <w:rPr>
          <w:rFonts w:ascii="宋体" w:hAnsi="宋体" w:cs="宋体"/>
          <w:color w:val="auto"/>
          <w:sz w:val="21"/>
          <w:szCs w:val="21"/>
          <w:highlight w:val="none"/>
          <w:lang w:eastAsia="zh-CN"/>
        </w:rPr>
      </w:pPr>
      <w:bookmarkStart w:id="908" w:name="_Toc221951274"/>
      <w:r>
        <w:rPr>
          <w:rFonts w:hint="eastAsia" w:ascii="宋体" w:hAnsi="宋体" w:cs="宋体"/>
          <w:color w:val="auto"/>
          <w:sz w:val="21"/>
          <w:szCs w:val="21"/>
          <w:highlight w:val="none"/>
          <w:lang w:eastAsia="zh-CN"/>
        </w:rPr>
        <w:t>根据《水利工程建设项目验收管理规定》(水利部令第30号)和《水利水电建设工程验收规程》（SL223-2008）的相关规定执行。</w:t>
      </w:r>
    </w:p>
    <w:p w14:paraId="4A2804FE">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09" w:name="_Toc19144"/>
      <w:bookmarkStart w:id="910" w:name="_Toc6781"/>
      <w:bookmarkStart w:id="911" w:name="_Toc21154"/>
      <w:bookmarkStart w:id="912" w:name="_Toc11893"/>
      <w:r>
        <w:rPr>
          <w:rFonts w:hint="eastAsia" w:ascii="宋体" w:hAnsi="宋体" w:eastAsia="宋体"/>
          <w:b/>
          <w:color w:val="auto"/>
          <w:sz w:val="24"/>
          <w:szCs w:val="24"/>
          <w:highlight w:val="none"/>
          <w:lang w:val="en-US" w:eastAsia="zh-CN" w:bidi="en-US"/>
        </w:rPr>
        <w:t>18.2 分部工程验收</w:t>
      </w:r>
      <w:bookmarkEnd w:id="909"/>
      <w:bookmarkEnd w:id="910"/>
      <w:bookmarkEnd w:id="911"/>
      <w:bookmarkEnd w:id="912"/>
    </w:p>
    <w:p w14:paraId="5BC65888">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18.2.</w:t>
      </w:r>
      <w:r>
        <w:rPr>
          <w:rFonts w:hint="eastAsia" w:ascii="Times New Roman" w:hAnsi="Times New Roman" w:cs="Times New Roman"/>
          <w:color w:val="auto"/>
          <w:sz w:val="21"/>
          <w:szCs w:val="21"/>
          <w:highlight w:val="none"/>
          <w:lang w:val="en-US" w:eastAsia="zh-CN"/>
        </w:rPr>
        <w:t>2</w:t>
      </w:r>
      <w:r>
        <w:rPr>
          <w:rFonts w:hint="eastAsia" w:ascii="宋体" w:hAnsi="宋体" w:cs="宋体"/>
          <w:color w:val="auto"/>
          <w:sz w:val="21"/>
          <w:szCs w:val="21"/>
          <w:highlight w:val="none"/>
          <w:lang w:eastAsia="zh-CN"/>
        </w:rPr>
        <w:t>本工程由发包人主持的分部工程验收为 ：</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，其余由监理主持。</w:t>
      </w:r>
    </w:p>
    <w:p w14:paraId="66C7C0B4">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13" w:name="_Toc20443"/>
      <w:bookmarkStart w:id="914" w:name="_Toc4979"/>
      <w:bookmarkStart w:id="915" w:name="_Toc30925"/>
      <w:bookmarkStart w:id="916" w:name="_Toc22526"/>
      <w:r>
        <w:rPr>
          <w:rFonts w:hint="eastAsia" w:ascii="宋体" w:hAnsi="宋体" w:eastAsia="宋体"/>
          <w:b/>
          <w:color w:val="auto"/>
          <w:sz w:val="24"/>
          <w:szCs w:val="24"/>
          <w:highlight w:val="none"/>
          <w:lang w:val="en-US" w:eastAsia="zh-CN" w:bidi="en-US"/>
        </w:rPr>
        <w:t>18.3 单位工程验收</w:t>
      </w:r>
      <w:bookmarkEnd w:id="913"/>
      <w:bookmarkEnd w:id="914"/>
      <w:bookmarkEnd w:id="915"/>
      <w:bookmarkEnd w:id="916"/>
    </w:p>
    <w:p w14:paraId="66967CEB">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18.3.</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 xml:space="preserve"> </w:t>
      </w:r>
      <w:r>
        <w:rPr>
          <w:rFonts w:hint="eastAsia" w:ascii="宋体" w:hAnsi="宋体" w:cs="宋体"/>
          <w:color w:val="auto"/>
          <w:sz w:val="21"/>
          <w:szCs w:val="21"/>
          <w:highlight w:val="none"/>
          <w:lang w:eastAsia="zh-CN"/>
        </w:rPr>
        <w:t>提前投入使用的单位工程包括：</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p>
    <w:bookmarkEnd w:id="908"/>
    <w:p w14:paraId="4E04764B">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17" w:name="_Toc221951282"/>
      <w:bookmarkStart w:id="918" w:name="_Toc25892"/>
      <w:bookmarkStart w:id="919" w:name="_Toc8716"/>
      <w:r>
        <w:rPr>
          <w:rFonts w:hint="eastAsia" w:ascii="宋体" w:hAnsi="宋体" w:eastAsia="宋体"/>
          <w:b/>
          <w:color w:val="auto"/>
          <w:sz w:val="24"/>
          <w:szCs w:val="24"/>
          <w:highlight w:val="none"/>
          <w:lang w:val="en-US" w:eastAsia="zh-CN" w:bidi="en-US"/>
        </w:rPr>
        <w:t xml:space="preserve">18.5 </w:t>
      </w:r>
      <w:bookmarkEnd w:id="917"/>
      <w:r>
        <w:rPr>
          <w:rFonts w:hint="eastAsia" w:ascii="宋体" w:hAnsi="宋体" w:eastAsia="宋体"/>
          <w:b/>
          <w:color w:val="auto"/>
          <w:sz w:val="24"/>
          <w:szCs w:val="24"/>
          <w:highlight w:val="none"/>
          <w:lang w:val="en-US" w:eastAsia="zh-CN" w:bidi="en-US"/>
        </w:rPr>
        <w:t>阶段验收</w:t>
      </w:r>
      <w:bookmarkEnd w:id="918"/>
      <w:bookmarkEnd w:id="919"/>
    </w:p>
    <w:p w14:paraId="16A2AD02">
      <w:pPr>
        <w:pStyle w:val="18"/>
        <w:spacing w:line="360" w:lineRule="auto"/>
        <w:ind w:firstLine="420" w:firstLineChars="200"/>
        <w:rPr>
          <w:rFonts w:ascii="宋体" w:hAnsi="宋体" w:cs="宋体"/>
          <w:color w:val="auto"/>
          <w:sz w:val="21"/>
          <w:szCs w:val="21"/>
          <w:highlight w:val="none"/>
          <w:lang w:eastAsia="zh-CN"/>
        </w:rPr>
      </w:pPr>
      <w:bookmarkStart w:id="920" w:name="_Toc221951283"/>
      <w:r>
        <w:rPr>
          <w:rFonts w:hint="default" w:ascii="Times New Roman" w:hAnsi="Times New Roman" w:cs="Times New Roman"/>
          <w:color w:val="auto"/>
          <w:sz w:val="21"/>
          <w:szCs w:val="21"/>
          <w:highlight w:val="none"/>
          <w:lang w:eastAsia="zh-CN"/>
        </w:rPr>
        <w:t>18.</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 xml:space="preserve"> </w:t>
      </w:r>
      <w:r>
        <w:rPr>
          <w:rFonts w:hint="eastAsia" w:ascii="宋体" w:hAnsi="宋体" w:cs="宋体"/>
          <w:color w:val="auto"/>
          <w:sz w:val="21"/>
          <w:szCs w:val="21"/>
          <w:highlight w:val="none"/>
          <w:lang w:eastAsia="zh-CN"/>
        </w:rPr>
        <w:t>本合同工程阶段验收类别包括：</w:t>
      </w:r>
      <w:bookmarkEnd w:id="920"/>
      <w:bookmarkStart w:id="921" w:name="_Toc221951284"/>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bookmarkEnd w:id="921"/>
    </w:p>
    <w:p w14:paraId="2C7A63A7">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22" w:name="_Toc221951285"/>
      <w:bookmarkStart w:id="923" w:name="_Toc17393"/>
      <w:bookmarkStart w:id="924" w:name="_Toc10218"/>
      <w:bookmarkStart w:id="925" w:name="_Toc2764"/>
      <w:bookmarkStart w:id="926" w:name="_Toc24954"/>
      <w:r>
        <w:rPr>
          <w:rFonts w:hint="eastAsia" w:ascii="宋体" w:hAnsi="宋体" w:eastAsia="宋体"/>
          <w:b/>
          <w:color w:val="auto"/>
          <w:sz w:val="24"/>
          <w:szCs w:val="24"/>
          <w:highlight w:val="none"/>
          <w:lang w:val="en-US" w:eastAsia="zh-CN" w:bidi="en-US"/>
        </w:rPr>
        <w:t xml:space="preserve">18.6 </w:t>
      </w:r>
      <w:bookmarkEnd w:id="922"/>
      <w:r>
        <w:rPr>
          <w:rFonts w:hint="eastAsia" w:ascii="宋体" w:hAnsi="宋体" w:eastAsia="宋体"/>
          <w:b/>
          <w:color w:val="auto"/>
          <w:sz w:val="24"/>
          <w:szCs w:val="24"/>
          <w:highlight w:val="none"/>
          <w:lang w:val="en-US" w:eastAsia="zh-CN" w:bidi="en-US"/>
        </w:rPr>
        <w:t>专项验收</w:t>
      </w:r>
      <w:bookmarkEnd w:id="923"/>
      <w:bookmarkEnd w:id="924"/>
      <w:bookmarkEnd w:id="925"/>
      <w:bookmarkEnd w:id="926"/>
    </w:p>
    <w:p w14:paraId="00F22597">
      <w:pPr>
        <w:pStyle w:val="18"/>
        <w:spacing w:line="360" w:lineRule="auto"/>
        <w:ind w:firstLine="420" w:firstLineChars="200"/>
        <w:rPr>
          <w:rFonts w:ascii="宋体" w:hAnsi="宋体" w:cs="宋体"/>
          <w:color w:val="auto"/>
          <w:sz w:val="21"/>
          <w:szCs w:val="21"/>
          <w:highlight w:val="none"/>
          <w:lang w:eastAsia="zh-CN"/>
        </w:rPr>
      </w:pPr>
      <w:bookmarkStart w:id="927" w:name="_Toc221951286"/>
      <w:r>
        <w:rPr>
          <w:rFonts w:hint="default" w:ascii="Times New Roman" w:hAnsi="Times New Roman" w:cs="Times New Roman"/>
          <w:color w:val="auto"/>
          <w:sz w:val="21"/>
          <w:szCs w:val="21"/>
          <w:highlight w:val="none"/>
          <w:lang w:eastAsia="zh-CN"/>
        </w:rPr>
        <w:t>18.</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eastAsia="zh-CN"/>
        </w:rPr>
        <w:t>.</w:t>
      </w:r>
      <w:bookmarkEnd w:id="927"/>
      <w:r>
        <w:rPr>
          <w:rFonts w:hint="default" w:ascii="Times New Roman" w:hAnsi="Times New Roman" w:cs="Times New Roman"/>
          <w:color w:val="auto"/>
          <w:sz w:val="21"/>
          <w:szCs w:val="21"/>
          <w:highlight w:val="none"/>
          <w:lang w:val="en-US" w:eastAsia="zh-CN"/>
        </w:rPr>
        <w:t>2</w:t>
      </w:r>
      <w:r>
        <w:rPr>
          <w:rFonts w:hint="eastAsia" w:ascii="宋体" w:hAnsi="宋体" w:cs="宋体"/>
          <w:color w:val="auto"/>
          <w:sz w:val="21"/>
          <w:szCs w:val="21"/>
          <w:highlight w:val="none"/>
          <w:lang w:eastAsia="zh-CN"/>
        </w:rPr>
        <w:t>本合同工程专项验收类别包括：</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p>
    <w:p w14:paraId="78F401E0">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28" w:name="_Toc13722"/>
      <w:bookmarkStart w:id="929" w:name="_Toc28646"/>
      <w:bookmarkStart w:id="930" w:name="_Toc4221"/>
      <w:bookmarkStart w:id="931" w:name="_Toc18233"/>
      <w:r>
        <w:rPr>
          <w:rFonts w:hint="eastAsia" w:ascii="宋体" w:hAnsi="宋体" w:eastAsia="宋体"/>
          <w:b/>
          <w:color w:val="auto"/>
          <w:sz w:val="24"/>
          <w:szCs w:val="24"/>
          <w:highlight w:val="none"/>
          <w:lang w:val="en-US" w:eastAsia="zh-CN" w:bidi="en-US"/>
        </w:rPr>
        <w:t>18.8 施工期运行</w:t>
      </w:r>
      <w:bookmarkEnd w:id="928"/>
      <w:bookmarkEnd w:id="929"/>
      <w:bookmarkEnd w:id="930"/>
      <w:bookmarkEnd w:id="931"/>
    </w:p>
    <w:p w14:paraId="366C0E20">
      <w:pPr>
        <w:pStyle w:val="18"/>
        <w:spacing w:line="360" w:lineRule="auto"/>
        <w:ind w:firstLine="420" w:firstLineChars="200"/>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18.</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eastAsia="zh-CN"/>
        </w:rPr>
        <w:t>.1</w:t>
      </w:r>
      <w:r>
        <w:rPr>
          <w:rFonts w:hint="eastAsia" w:ascii="宋体" w:hAnsi="宋体" w:cs="宋体"/>
          <w:color w:val="auto"/>
          <w:sz w:val="21"/>
          <w:szCs w:val="21"/>
          <w:highlight w:val="none"/>
          <w:lang w:eastAsia="zh-CN"/>
        </w:rPr>
        <w:t>需要在施工期运行的单位工程或工程设备为：</w:t>
      </w:r>
      <w:r>
        <w:rPr>
          <w:rFonts w:hint="eastAsia" w:ascii="宋体" w:hAnsi="宋体" w:cs="宋体"/>
          <w:color w:val="auto"/>
          <w:sz w:val="21"/>
          <w:szCs w:val="21"/>
          <w:highlight w:val="none"/>
          <w:u w:val="single"/>
          <w:lang w:eastAsia="zh-CN"/>
        </w:rPr>
        <w:t xml:space="preserve"> 在签订施工承包合同时明确</w:t>
      </w:r>
      <w:r>
        <w:rPr>
          <w:rFonts w:hint="eastAsia" w:ascii="宋体" w:hAnsi="宋体" w:cs="宋体"/>
          <w:color w:val="auto"/>
          <w:sz w:val="21"/>
          <w:szCs w:val="21"/>
          <w:highlight w:val="none"/>
          <w:lang w:eastAsia="zh-CN"/>
        </w:rPr>
        <w:t>。</w:t>
      </w:r>
    </w:p>
    <w:p w14:paraId="5DCFA9BC">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32" w:name="_Toc12494"/>
      <w:bookmarkStart w:id="933" w:name="_Toc17623"/>
      <w:bookmarkStart w:id="934" w:name="_Toc17674"/>
      <w:bookmarkStart w:id="935" w:name="_Toc9392"/>
      <w:r>
        <w:rPr>
          <w:rFonts w:hint="eastAsia" w:ascii="宋体" w:hAnsi="宋体" w:eastAsia="宋体"/>
          <w:b/>
          <w:color w:val="auto"/>
          <w:sz w:val="24"/>
          <w:szCs w:val="24"/>
          <w:highlight w:val="none"/>
          <w:lang w:val="en-US" w:eastAsia="zh-CN" w:bidi="en-US"/>
        </w:rPr>
        <w:t>18.9试运行</w:t>
      </w:r>
      <w:bookmarkEnd w:id="932"/>
      <w:bookmarkEnd w:id="933"/>
      <w:bookmarkEnd w:id="934"/>
      <w:bookmarkEnd w:id="935"/>
    </w:p>
    <w:p w14:paraId="1A2BB9A2">
      <w:pPr>
        <w:pStyle w:val="18"/>
        <w:spacing w:line="360" w:lineRule="auto"/>
        <w:ind w:left="479" w:leftChars="228"/>
        <w:rPr>
          <w:rFonts w:ascii="宋体" w:hAnsi="宋体" w:cs="宋体"/>
          <w:color w:val="auto"/>
          <w:sz w:val="21"/>
          <w:szCs w:val="21"/>
          <w:highlight w:val="none"/>
          <w:lang w:eastAsia="zh-CN"/>
        </w:rPr>
      </w:pPr>
      <w:r>
        <w:rPr>
          <w:rFonts w:hint="default" w:ascii="Times New Roman" w:hAnsi="Times New Roman" w:cs="Times New Roman"/>
          <w:color w:val="auto"/>
          <w:sz w:val="21"/>
          <w:szCs w:val="21"/>
          <w:highlight w:val="none"/>
          <w:lang w:eastAsia="zh-CN"/>
        </w:rPr>
        <w:t>18.</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lang w:eastAsia="zh-CN"/>
        </w:rPr>
        <w:t>.1</w:t>
      </w:r>
      <w:r>
        <w:rPr>
          <w:rFonts w:hint="eastAsia" w:ascii="宋体" w:hAnsi="宋体" w:cs="宋体"/>
          <w:color w:val="auto"/>
          <w:sz w:val="21"/>
          <w:szCs w:val="21"/>
          <w:highlight w:val="none"/>
          <w:lang w:eastAsia="zh-CN"/>
        </w:rPr>
        <w:t>试运行的组织：</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；费用承担：</w:t>
      </w:r>
      <w:r>
        <w:rPr>
          <w:rFonts w:hint="eastAsia" w:ascii="宋体" w:hAnsi="宋体" w:cs="宋体"/>
          <w:color w:val="auto"/>
          <w:sz w:val="21"/>
          <w:szCs w:val="21"/>
          <w:highlight w:val="none"/>
          <w:u w:val="single"/>
          <w:lang w:eastAsia="zh-CN"/>
        </w:rPr>
        <w:t xml:space="preserve">  /  </w:t>
      </w:r>
      <w:r>
        <w:rPr>
          <w:rFonts w:hint="eastAsia" w:ascii="宋体" w:hAnsi="宋体" w:cs="宋体"/>
          <w:color w:val="auto"/>
          <w:sz w:val="21"/>
          <w:szCs w:val="21"/>
          <w:highlight w:val="none"/>
          <w:lang w:eastAsia="zh-CN"/>
        </w:rPr>
        <w:t>。</w:t>
      </w:r>
    </w:p>
    <w:p w14:paraId="4057C213">
      <w:pPr>
        <w:pStyle w:val="39"/>
        <w:keepNext/>
        <w:keepLines/>
        <w:spacing w:before="280" w:after="290" w:line="372" w:lineRule="auto"/>
        <w:outlineLvl w:val="4"/>
        <w:rPr>
          <w:rFonts w:hint="eastAsia"/>
          <w:b/>
          <w:color w:val="auto"/>
          <w:sz w:val="30"/>
          <w:szCs w:val="30"/>
          <w:highlight w:val="none"/>
          <w:lang w:eastAsia="zh-CN"/>
        </w:rPr>
      </w:pPr>
      <w:bookmarkStart w:id="936" w:name="_Toc2936489"/>
      <w:bookmarkStart w:id="937" w:name="_Toc2948187"/>
      <w:bookmarkStart w:id="938" w:name="_Toc2936733"/>
      <w:bookmarkStart w:id="939" w:name="_Toc16909"/>
      <w:bookmarkStart w:id="940" w:name="_Toc27901"/>
      <w:r>
        <w:rPr>
          <w:rFonts w:hint="eastAsia"/>
          <w:b/>
          <w:color w:val="auto"/>
          <w:sz w:val="30"/>
          <w:szCs w:val="30"/>
          <w:highlight w:val="none"/>
          <w:lang w:eastAsia="zh-CN"/>
        </w:rPr>
        <w:t>19. 缺陷责任与保修责任</w:t>
      </w:r>
      <w:bookmarkEnd w:id="936"/>
      <w:bookmarkEnd w:id="937"/>
      <w:bookmarkEnd w:id="938"/>
      <w:bookmarkEnd w:id="939"/>
      <w:bookmarkEnd w:id="940"/>
    </w:p>
    <w:p w14:paraId="570E151B">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41" w:name="_Toc2967"/>
      <w:bookmarkStart w:id="942" w:name="_Toc3626"/>
      <w:bookmarkStart w:id="943" w:name="_Toc20061"/>
      <w:bookmarkStart w:id="944" w:name="_Toc328"/>
      <w:r>
        <w:rPr>
          <w:rFonts w:hint="eastAsia" w:ascii="宋体" w:hAnsi="宋体" w:eastAsia="宋体"/>
          <w:b/>
          <w:color w:val="auto"/>
          <w:sz w:val="24"/>
          <w:szCs w:val="24"/>
          <w:highlight w:val="none"/>
          <w:lang w:val="en-US" w:eastAsia="zh-CN" w:bidi="en-US"/>
        </w:rPr>
        <w:t>19.1 缺陷责任期（工程质量保修期）的起算时间</w:t>
      </w:r>
      <w:bookmarkEnd w:id="941"/>
      <w:bookmarkEnd w:id="942"/>
      <w:bookmarkEnd w:id="943"/>
      <w:bookmarkEnd w:id="944"/>
    </w:p>
    <w:p w14:paraId="3857B991">
      <w:pPr>
        <w:pStyle w:val="18"/>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本工程缺陷责任期（工程质量保修）计算如下：起算日按通用条款19.1和19.7的约定，终止日按专用条款1.1.4.5约定。</w:t>
      </w:r>
    </w:p>
    <w:p w14:paraId="55CC5E57">
      <w:pPr>
        <w:pStyle w:val="39"/>
        <w:keepNext/>
        <w:keepLines/>
        <w:spacing w:before="280" w:after="290" w:line="372" w:lineRule="auto"/>
        <w:outlineLvl w:val="4"/>
        <w:rPr>
          <w:rFonts w:hint="eastAsia"/>
          <w:b/>
          <w:color w:val="auto"/>
          <w:sz w:val="30"/>
          <w:szCs w:val="30"/>
          <w:highlight w:val="none"/>
          <w:lang w:eastAsia="zh-CN"/>
        </w:rPr>
      </w:pPr>
      <w:bookmarkStart w:id="945" w:name="_Toc222033893"/>
      <w:bookmarkStart w:id="946" w:name="_Toc222029542"/>
      <w:bookmarkStart w:id="947" w:name="_Toc2936490"/>
      <w:bookmarkStart w:id="948" w:name="_Toc2936734"/>
      <w:bookmarkStart w:id="949" w:name="_Toc11464"/>
      <w:bookmarkStart w:id="950" w:name="_Toc222032711"/>
      <w:bookmarkStart w:id="951" w:name="_Toc2948188"/>
      <w:bookmarkStart w:id="952" w:name="_Toc221951299"/>
      <w:bookmarkStart w:id="953" w:name="_Toc222031044"/>
      <w:bookmarkStart w:id="954" w:name="_Toc24763"/>
      <w:bookmarkStart w:id="955" w:name="_Toc229305400"/>
      <w:r>
        <w:rPr>
          <w:rFonts w:hint="eastAsia"/>
          <w:b/>
          <w:color w:val="auto"/>
          <w:sz w:val="30"/>
          <w:szCs w:val="30"/>
          <w:highlight w:val="none"/>
          <w:lang w:eastAsia="zh-CN"/>
        </w:rPr>
        <w:t>20. 保险</w:t>
      </w:r>
      <w:bookmarkEnd w:id="945"/>
      <w:bookmarkEnd w:id="946"/>
      <w:bookmarkEnd w:id="947"/>
      <w:bookmarkEnd w:id="948"/>
      <w:bookmarkEnd w:id="949"/>
      <w:bookmarkEnd w:id="950"/>
      <w:bookmarkEnd w:id="951"/>
      <w:bookmarkEnd w:id="952"/>
      <w:bookmarkEnd w:id="953"/>
      <w:bookmarkEnd w:id="954"/>
      <w:bookmarkEnd w:id="955"/>
    </w:p>
    <w:p w14:paraId="2144E5F8">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56" w:name="_Toc541"/>
      <w:bookmarkStart w:id="957" w:name="_Toc7548"/>
      <w:bookmarkStart w:id="958" w:name="_Toc18472"/>
      <w:bookmarkStart w:id="959" w:name="_Toc221951321"/>
      <w:bookmarkStart w:id="960" w:name="_Toc1407"/>
      <w:r>
        <w:rPr>
          <w:rFonts w:hint="eastAsia" w:ascii="宋体" w:hAnsi="宋体" w:eastAsia="宋体"/>
          <w:b/>
          <w:color w:val="auto"/>
          <w:sz w:val="24"/>
          <w:szCs w:val="24"/>
          <w:highlight w:val="none"/>
          <w:lang w:val="en-US" w:eastAsia="zh-CN" w:bidi="en-US"/>
        </w:rPr>
        <w:t>20.1 工程保险</w:t>
      </w:r>
      <w:bookmarkEnd w:id="956"/>
      <w:bookmarkEnd w:id="957"/>
      <w:bookmarkEnd w:id="958"/>
      <w:bookmarkEnd w:id="959"/>
      <w:bookmarkEnd w:id="960"/>
    </w:p>
    <w:p w14:paraId="4BE2FA72">
      <w:pPr>
        <w:pStyle w:val="18"/>
        <w:spacing w:line="360" w:lineRule="auto"/>
        <w:ind w:firstLine="420" w:firstLineChars="200"/>
        <w:rPr>
          <w:rFonts w:ascii="宋体" w:hAnsi="宋体" w:cs="宋体"/>
          <w:color w:val="auto"/>
          <w:sz w:val="21"/>
          <w:szCs w:val="21"/>
          <w:highlight w:val="none"/>
          <w:lang w:eastAsia="zh-CN"/>
        </w:rPr>
      </w:pPr>
      <w:bookmarkStart w:id="961" w:name="_Toc221951323"/>
      <w:r>
        <w:rPr>
          <w:rFonts w:hint="eastAsia" w:ascii="宋体" w:hAnsi="宋体" w:cs="宋体"/>
          <w:color w:val="auto"/>
          <w:sz w:val="21"/>
          <w:szCs w:val="21"/>
          <w:highlight w:val="none"/>
          <w:lang w:eastAsia="zh-CN"/>
        </w:rPr>
        <w:t>建筑工程一切险和（或）安装工程一切险投保人：</w:t>
      </w:r>
      <w:r>
        <w:rPr>
          <w:rFonts w:hint="eastAsia" w:ascii="宋体" w:hAnsi="宋体" w:cs="宋体"/>
          <w:color w:val="auto"/>
          <w:sz w:val="21"/>
          <w:szCs w:val="21"/>
          <w:highlight w:val="none"/>
          <w:u w:val="single"/>
          <w:lang w:eastAsia="zh-CN"/>
        </w:rPr>
        <w:t xml:space="preserve"> 承包人 </w:t>
      </w:r>
      <w:r>
        <w:rPr>
          <w:rFonts w:hint="eastAsia" w:ascii="宋体" w:hAnsi="宋体" w:cs="宋体"/>
          <w:color w:val="auto"/>
          <w:sz w:val="21"/>
          <w:szCs w:val="21"/>
          <w:highlight w:val="none"/>
          <w:lang w:eastAsia="zh-CN"/>
        </w:rPr>
        <w:t xml:space="preserve">；                        </w:t>
      </w:r>
    </w:p>
    <w:p w14:paraId="276C831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投保内容：</w:t>
      </w:r>
      <w:r>
        <w:rPr>
          <w:rFonts w:hint="eastAsia" w:ascii="宋体" w:hAnsi="宋体" w:cs="宋体"/>
          <w:color w:val="auto"/>
          <w:sz w:val="21"/>
          <w:szCs w:val="21"/>
          <w:highlight w:val="none"/>
          <w:u w:val="single"/>
          <w:lang w:eastAsia="zh-CN"/>
        </w:rPr>
        <w:t>为本合同工程派遣或雇用的任何人员进行意外伤亡和人身事故保险，保险费用包含在工程报价中</w:t>
      </w:r>
      <w:r>
        <w:rPr>
          <w:rFonts w:hint="eastAsia" w:ascii="宋体" w:hAnsi="宋体" w:cs="宋体"/>
          <w:color w:val="auto"/>
          <w:sz w:val="21"/>
          <w:szCs w:val="21"/>
          <w:highlight w:val="none"/>
          <w:lang w:eastAsia="zh-CN"/>
        </w:rPr>
        <w:t xml:space="preserve">；      </w:t>
      </w:r>
    </w:p>
    <w:p w14:paraId="581B4202">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p>
    <w:p w14:paraId="0490A4F7">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62" w:name="_Toc12360"/>
      <w:bookmarkStart w:id="963" w:name="_Toc18998"/>
      <w:bookmarkStart w:id="964" w:name="_Toc9580"/>
      <w:bookmarkStart w:id="965" w:name="_Toc27080"/>
      <w:r>
        <w:rPr>
          <w:rFonts w:hint="eastAsia" w:ascii="宋体" w:hAnsi="宋体" w:eastAsia="宋体"/>
          <w:b/>
          <w:color w:val="auto"/>
          <w:sz w:val="24"/>
          <w:szCs w:val="24"/>
          <w:highlight w:val="none"/>
          <w:lang w:val="en-US" w:eastAsia="zh-CN" w:bidi="en-US"/>
        </w:rPr>
        <w:t>20.4 第三者责任险</w:t>
      </w:r>
      <w:bookmarkEnd w:id="961"/>
      <w:bookmarkEnd w:id="962"/>
      <w:bookmarkEnd w:id="963"/>
      <w:bookmarkEnd w:id="964"/>
      <w:bookmarkEnd w:id="965"/>
    </w:p>
    <w:p w14:paraId="558372D3">
      <w:pPr>
        <w:pStyle w:val="18"/>
        <w:spacing w:line="360" w:lineRule="auto"/>
        <w:ind w:firstLine="420" w:firstLineChars="200"/>
        <w:rPr>
          <w:rFonts w:ascii="宋体" w:hAnsi="宋体" w:cs="宋体"/>
          <w:color w:val="auto"/>
          <w:sz w:val="21"/>
          <w:szCs w:val="21"/>
          <w:highlight w:val="none"/>
          <w:lang w:eastAsia="zh-CN"/>
        </w:rPr>
      </w:pPr>
      <w:bookmarkStart w:id="966" w:name="_Toc221951325"/>
      <w:r>
        <w:rPr>
          <w:rFonts w:hint="default" w:ascii="Times New Roman" w:hAnsi="Times New Roman" w:cs="Times New Roman"/>
          <w:color w:val="auto"/>
          <w:sz w:val="21"/>
          <w:szCs w:val="21"/>
          <w:highlight w:val="none"/>
          <w:lang w:eastAsia="zh-CN"/>
        </w:rPr>
        <w:t xml:space="preserve">20.4.2  </w:t>
      </w:r>
      <w:r>
        <w:rPr>
          <w:rFonts w:hint="eastAsia" w:ascii="宋体" w:hAnsi="宋体" w:cs="宋体"/>
          <w:color w:val="auto"/>
          <w:sz w:val="21"/>
          <w:szCs w:val="21"/>
          <w:highlight w:val="none"/>
          <w:lang w:eastAsia="zh-CN"/>
        </w:rPr>
        <w:t>第三者责任险保险费率：</w:t>
      </w:r>
      <w:r>
        <w:rPr>
          <w:rFonts w:hint="eastAsia" w:ascii="宋体" w:hAnsi="宋体" w:cs="宋体"/>
          <w:color w:val="auto"/>
          <w:sz w:val="21"/>
          <w:szCs w:val="21"/>
          <w:highlight w:val="none"/>
          <w:u w:val="single"/>
          <w:lang w:eastAsia="zh-CN"/>
        </w:rPr>
        <w:t xml:space="preserve"> 由承包人自行投保 </w:t>
      </w:r>
      <w:r>
        <w:rPr>
          <w:rFonts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 xml:space="preserve">；                                       </w:t>
      </w:r>
    </w:p>
    <w:p w14:paraId="56DBB99E">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第三者责任险保险金额：</w:t>
      </w:r>
      <w:r>
        <w:rPr>
          <w:rFonts w:hint="eastAsia" w:ascii="宋体" w:hAnsi="宋体" w:cs="宋体"/>
          <w:color w:val="auto"/>
          <w:sz w:val="21"/>
          <w:szCs w:val="21"/>
          <w:highlight w:val="none"/>
          <w:u w:val="single"/>
          <w:lang w:eastAsia="zh-CN"/>
        </w:rPr>
        <w:t xml:space="preserve"> 由承包人自行投保 </w:t>
      </w:r>
      <w:r>
        <w:rPr>
          <w:rFonts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lang w:eastAsia="zh-CN"/>
        </w:rPr>
        <w:t xml:space="preserve">。 </w:t>
      </w:r>
    </w:p>
    <w:p w14:paraId="06489BC1">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67" w:name="_Toc104"/>
      <w:bookmarkStart w:id="968" w:name="_Toc25569"/>
      <w:bookmarkStart w:id="969" w:name="_Toc29046"/>
      <w:bookmarkStart w:id="970" w:name="_Toc21357"/>
      <w:r>
        <w:rPr>
          <w:rFonts w:hint="eastAsia" w:ascii="宋体" w:hAnsi="宋体" w:eastAsia="宋体"/>
          <w:b/>
          <w:color w:val="auto"/>
          <w:sz w:val="24"/>
          <w:szCs w:val="24"/>
          <w:highlight w:val="none"/>
          <w:lang w:val="en-US" w:eastAsia="zh-CN" w:bidi="en-US"/>
        </w:rPr>
        <w:t>20.5 其他保险</w:t>
      </w:r>
      <w:bookmarkEnd w:id="966"/>
      <w:bookmarkEnd w:id="967"/>
      <w:bookmarkEnd w:id="968"/>
      <w:bookmarkEnd w:id="969"/>
      <w:bookmarkEnd w:id="970"/>
    </w:p>
    <w:p w14:paraId="5C6EC977">
      <w:pPr>
        <w:pStyle w:val="18"/>
        <w:spacing w:line="360" w:lineRule="auto"/>
        <w:ind w:firstLine="420" w:firstLineChars="200"/>
        <w:rPr>
          <w:rFonts w:ascii="宋体" w:hAnsi="宋体" w:cs="宋体"/>
          <w:color w:val="auto"/>
          <w:sz w:val="21"/>
          <w:szCs w:val="21"/>
          <w:highlight w:val="none"/>
          <w:lang w:eastAsia="zh-CN"/>
        </w:rPr>
      </w:pPr>
      <w:bookmarkStart w:id="971" w:name="_Toc221951327"/>
      <w:r>
        <w:rPr>
          <w:rFonts w:hint="eastAsia" w:ascii="宋体" w:hAnsi="宋体" w:cs="宋体"/>
          <w:color w:val="auto"/>
          <w:sz w:val="21"/>
          <w:szCs w:val="21"/>
          <w:highlight w:val="none"/>
          <w:lang w:eastAsia="zh-CN"/>
        </w:rPr>
        <w:t>需要投保的其他内容：</w:t>
      </w:r>
      <w:r>
        <w:rPr>
          <w:rFonts w:hint="eastAsia" w:ascii="宋体" w:hAnsi="宋体" w:cs="宋体"/>
          <w:color w:val="auto"/>
          <w:sz w:val="21"/>
          <w:szCs w:val="21"/>
          <w:highlight w:val="none"/>
          <w:u w:val="single"/>
          <w:lang w:eastAsia="zh-CN"/>
        </w:rPr>
        <w:t>建筑意外伤害保险</w:t>
      </w:r>
      <w:r>
        <w:rPr>
          <w:rFonts w:hint="eastAsia" w:ascii="宋体" w:hAnsi="宋体" w:cs="宋体"/>
          <w:color w:val="auto"/>
          <w:sz w:val="21"/>
          <w:szCs w:val="21"/>
          <w:highlight w:val="none"/>
          <w:lang w:eastAsia="zh-CN"/>
        </w:rPr>
        <w:t>；</w:t>
      </w:r>
    </w:p>
    <w:p w14:paraId="176F7C20">
      <w:pPr>
        <w:pStyle w:val="18"/>
        <w:spacing w:line="360" w:lineRule="auto"/>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保险金额、保险费率和保险期限：</w:t>
      </w:r>
      <w:r>
        <w:rPr>
          <w:rFonts w:hint="eastAsia" w:ascii="宋体" w:hAnsi="宋体" w:cs="宋体"/>
          <w:color w:val="auto"/>
          <w:sz w:val="21"/>
          <w:szCs w:val="21"/>
          <w:highlight w:val="none"/>
          <w:u w:val="single"/>
          <w:lang w:eastAsia="zh-CN"/>
        </w:rPr>
        <w:t>在签订施工承包合同时明确</w:t>
      </w:r>
      <w:r>
        <w:rPr>
          <w:rFonts w:hint="eastAsia" w:ascii="宋体" w:hAnsi="宋体" w:cs="宋体"/>
          <w:color w:val="auto"/>
          <w:sz w:val="21"/>
          <w:szCs w:val="21"/>
          <w:highlight w:val="none"/>
          <w:lang w:eastAsia="zh-CN"/>
        </w:rPr>
        <w:t>。</w:t>
      </w:r>
    </w:p>
    <w:p w14:paraId="322422DA">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72" w:name="_Toc28573"/>
      <w:bookmarkStart w:id="973" w:name="_Toc3941"/>
      <w:bookmarkStart w:id="974" w:name="_Toc2062"/>
      <w:bookmarkStart w:id="975" w:name="_Toc21562"/>
      <w:r>
        <w:rPr>
          <w:rFonts w:hint="eastAsia" w:ascii="宋体" w:hAnsi="宋体" w:eastAsia="宋体"/>
          <w:b/>
          <w:color w:val="auto"/>
          <w:sz w:val="24"/>
          <w:szCs w:val="24"/>
          <w:highlight w:val="none"/>
          <w:lang w:val="en-US" w:eastAsia="zh-CN" w:bidi="en-US"/>
        </w:rPr>
        <w:t>20.6 对各项保险的一般要求</w:t>
      </w:r>
      <w:bookmarkEnd w:id="971"/>
      <w:bookmarkEnd w:id="972"/>
      <w:bookmarkEnd w:id="973"/>
      <w:bookmarkEnd w:id="974"/>
      <w:bookmarkEnd w:id="975"/>
    </w:p>
    <w:p w14:paraId="24E83EE8">
      <w:pPr>
        <w:pStyle w:val="18"/>
        <w:spacing w:line="360" w:lineRule="auto"/>
        <w:ind w:firstLine="420" w:firstLineChars="200"/>
        <w:rPr>
          <w:rFonts w:ascii="宋体" w:hAnsi="宋体" w:cs="宋体"/>
          <w:color w:val="auto"/>
          <w:sz w:val="21"/>
          <w:szCs w:val="21"/>
          <w:highlight w:val="none"/>
          <w:lang w:eastAsia="zh-CN"/>
        </w:rPr>
      </w:pPr>
      <w:bookmarkStart w:id="976" w:name="_Toc221951328"/>
      <w:r>
        <w:rPr>
          <w:rFonts w:hint="default" w:ascii="Times New Roman" w:hAnsi="Times New Roman" w:cs="Times New Roman"/>
          <w:color w:val="auto"/>
          <w:sz w:val="21"/>
          <w:szCs w:val="21"/>
          <w:highlight w:val="none"/>
          <w:lang w:eastAsia="zh-CN"/>
        </w:rPr>
        <w:t xml:space="preserve">20.6.1 </w:t>
      </w:r>
      <w:r>
        <w:rPr>
          <w:rFonts w:hint="eastAsia" w:ascii="宋体" w:hAnsi="宋体" w:cs="宋体"/>
          <w:color w:val="auto"/>
          <w:sz w:val="21"/>
          <w:szCs w:val="21"/>
          <w:highlight w:val="none"/>
          <w:lang w:eastAsia="zh-CN"/>
        </w:rPr>
        <w:t>保险凭证</w:t>
      </w:r>
      <w:bookmarkEnd w:id="976"/>
    </w:p>
    <w:p w14:paraId="60EF7B31">
      <w:pPr>
        <w:pStyle w:val="18"/>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承包人提交保险凭证的期限：</w:t>
      </w:r>
      <w:r>
        <w:rPr>
          <w:rFonts w:hint="eastAsia" w:ascii="宋体" w:hAnsi="宋体" w:eastAsia="宋体" w:cs="宋体"/>
          <w:color w:val="auto"/>
          <w:sz w:val="20"/>
          <w:szCs w:val="20"/>
          <w:highlight w:val="none"/>
          <w:u w:val="single"/>
        </w:rPr>
        <w:t xml:space="preserve"> 签订合同之日起15天内  </w:t>
      </w:r>
      <w:r>
        <w:rPr>
          <w:rFonts w:hint="eastAsia" w:ascii="宋体" w:hAnsi="宋体" w:eastAsia="宋体" w:cs="宋体"/>
          <w:color w:val="auto"/>
          <w:sz w:val="20"/>
          <w:szCs w:val="20"/>
          <w:highlight w:val="none"/>
        </w:rPr>
        <w:t xml:space="preserve">； </w:t>
      </w:r>
    </w:p>
    <w:p w14:paraId="4EFC90E6">
      <w:pPr>
        <w:pStyle w:val="18"/>
        <w:spacing w:line="360" w:lineRule="auto"/>
        <w:ind w:firstLine="400" w:firstLineChars="200"/>
        <w:rPr>
          <w:rFonts w:ascii="宋体" w:hAnsi="宋体" w:cs="宋体"/>
          <w:color w:val="auto"/>
          <w:sz w:val="20"/>
          <w:szCs w:val="20"/>
          <w:highlight w:val="none"/>
          <w:lang w:eastAsia="zh-CN"/>
        </w:rPr>
      </w:pPr>
      <w:r>
        <w:rPr>
          <w:rFonts w:hint="eastAsia" w:ascii="宋体" w:hAnsi="宋体" w:eastAsia="宋体" w:cs="宋体"/>
          <w:color w:val="auto"/>
          <w:sz w:val="20"/>
          <w:szCs w:val="20"/>
          <w:highlight w:val="none"/>
        </w:rPr>
        <w:t>保险条件：</w:t>
      </w:r>
      <w:r>
        <w:rPr>
          <w:rFonts w:hint="eastAsia" w:ascii="宋体" w:hAnsi="宋体" w:eastAsia="宋体" w:cs="宋体"/>
          <w:color w:val="auto"/>
          <w:sz w:val="20"/>
          <w:szCs w:val="20"/>
          <w:highlight w:val="none"/>
          <w:u w:val="single"/>
        </w:rPr>
        <w:t xml:space="preserve">  按相关规定执行</w:t>
      </w:r>
      <w:r>
        <w:rPr>
          <w:rFonts w:hint="eastAsia" w:ascii="宋体" w:hAnsi="宋体" w:eastAsia="宋体" w:cs="宋体"/>
          <w:color w:val="auto"/>
          <w:sz w:val="20"/>
          <w:szCs w:val="20"/>
          <w:highlight w:val="none"/>
          <w:u w:val="single"/>
          <w:lang w:val="en-US" w:eastAsia="zh-CN"/>
        </w:rPr>
        <w:t xml:space="preserve"> </w:t>
      </w:r>
      <w:r>
        <w:rPr>
          <w:rFonts w:hint="eastAsia" w:ascii="宋体" w:hAnsi="宋体" w:cs="宋体"/>
          <w:color w:val="auto"/>
          <w:sz w:val="20"/>
          <w:szCs w:val="20"/>
          <w:highlight w:val="none"/>
          <w:lang w:eastAsia="zh-CN"/>
        </w:rPr>
        <w:t>。</w:t>
      </w:r>
    </w:p>
    <w:p w14:paraId="31788BC3">
      <w:pPr>
        <w:pStyle w:val="18"/>
        <w:spacing w:line="360" w:lineRule="auto"/>
        <w:ind w:firstLine="420" w:firstLineChars="200"/>
        <w:rPr>
          <w:rFonts w:ascii="宋体" w:hAnsi="宋体" w:cs="宋体"/>
          <w:color w:val="auto"/>
          <w:sz w:val="21"/>
          <w:szCs w:val="21"/>
          <w:highlight w:val="none"/>
          <w:lang w:eastAsia="zh-CN"/>
        </w:rPr>
      </w:pPr>
      <w:bookmarkStart w:id="977" w:name="_Toc221951331"/>
      <w:r>
        <w:rPr>
          <w:rFonts w:hint="default" w:ascii="Times New Roman" w:hAnsi="Times New Roman" w:cs="Times New Roman"/>
          <w:color w:val="auto"/>
          <w:sz w:val="21"/>
          <w:szCs w:val="21"/>
          <w:highlight w:val="none"/>
          <w:lang w:eastAsia="zh-CN"/>
        </w:rPr>
        <w:t xml:space="preserve">20.6.4 </w:t>
      </w:r>
      <w:r>
        <w:rPr>
          <w:rFonts w:hint="eastAsia" w:ascii="宋体" w:hAnsi="宋体" w:cs="宋体"/>
          <w:color w:val="auto"/>
          <w:sz w:val="21"/>
          <w:szCs w:val="21"/>
          <w:highlight w:val="none"/>
          <w:lang w:eastAsia="zh-CN"/>
        </w:rPr>
        <w:t>保险金不足的补偿</w:t>
      </w:r>
      <w:bookmarkEnd w:id="977"/>
    </w:p>
    <w:p w14:paraId="79507461">
      <w:pPr>
        <w:pStyle w:val="18"/>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承包人负责补偿的范围与金额：</w:t>
      </w:r>
      <w:r>
        <w:rPr>
          <w:rFonts w:hint="eastAsia" w:ascii="宋体" w:hAnsi="宋体" w:eastAsia="宋体" w:cs="宋体"/>
          <w:color w:val="auto"/>
          <w:sz w:val="20"/>
          <w:szCs w:val="20"/>
          <w:highlight w:val="none"/>
          <w:u w:val="single"/>
        </w:rPr>
        <w:t xml:space="preserve"> 保险金额不足的补偿由承包人负责 </w:t>
      </w:r>
      <w:r>
        <w:rPr>
          <w:rFonts w:hint="eastAsia" w:ascii="宋体" w:hAnsi="宋体" w:eastAsia="宋体" w:cs="宋体"/>
          <w:color w:val="auto"/>
          <w:sz w:val="20"/>
          <w:szCs w:val="20"/>
          <w:highlight w:val="none"/>
        </w:rPr>
        <w:t xml:space="preserve">； </w:t>
      </w:r>
    </w:p>
    <w:p w14:paraId="15D6A2B7">
      <w:pPr>
        <w:pStyle w:val="18"/>
        <w:spacing w:line="360" w:lineRule="auto"/>
        <w:ind w:firstLine="400" w:firstLineChars="200"/>
        <w:rPr>
          <w:rFonts w:ascii="宋体" w:hAnsi="宋体" w:cs="宋体"/>
          <w:color w:val="auto"/>
          <w:sz w:val="21"/>
          <w:szCs w:val="21"/>
          <w:highlight w:val="none"/>
          <w:lang w:eastAsia="zh-CN"/>
        </w:rPr>
      </w:pPr>
      <w:r>
        <w:rPr>
          <w:rFonts w:hint="eastAsia" w:ascii="宋体" w:hAnsi="宋体" w:eastAsia="宋体" w:cs="宋体"/>
          <w:color w:val="auto"/>
          <w:sz w:val="20"/>
          <w:szCs w:val="20"/>
          <w:highlight w:val="none"/>
        </w:rPr>
        <w:t>发包人负责补偿的范围与金额：</w:t>
      </w:r>
      <w:r>
        <w:rPr>
          <w:rFonts w:hint="eastAsia" w:ascii="宋体" w:hAnsi="宋体" w:eastAsia="宋体" w:cs="宋体"/>
          <w:color w:val="auto"/>
          <w:sz w:val="20"/>
          <w:szCs w:val="20"/>
          <w:highlight w:val="none"/>
          <w:u w:val="single"/>
        </w:rPr>
        <w:t xml:space="preserve"> 由于本工程一切保险均有投标人负责投保，其费用均列入报价，故发包人不承担保险金不足的补偿 </w:t>
      </w:r>
      <w:r>
        <w:rPr>
          <w:rFonts w:hint="eastAsia" w:ascii="宋体" w:hAnsi="宋体" w:cs="宋体"/>
          <w:color w:val="auto"/>
          <w:sz w:val="20"/>
          <w:szCs w:val="20"/>
          <w:highlight w:val="none"/>
          <w:lang w:eastAsia="zh-CN"/>
        </w:rPr>
        <w:t>。</w:t>
      </w:r>
    </w:p>
    <w:p w14:paraId="52304FF5">
      <w:pPr>
        <w:pStyle w:val="39"/>
        <w:keepNext/>
        <w:keepLines/>
        <w:spacing w:before="280" w:after="290" w:line="372" w:lineRule="auto"/>
        <w:outlineLvl w:val="4"/>
        <w:rPr>
          <w:rFonts w:hint="eastAsia"/>
          <w:b/>
          <w:color w:val="auto"/>
          <w:sz w:val="30"/>
          <w:szCs w:val="30"/>
          <w:highlight w:val="none"/>
          <w:lang w:eastAsia="zh-CN"/>
        </w:rPr>
      </w:pPr>
      <w:bookmarkStart w:id="978" w:name="_Toc2948189"/>
      <w:bookmarkStart w:id="979" w:name="_Toc22911"/>
      <w:bookmarkStart w:id="980" w:name="_Toc2936735"/>
      <w:bookmarkStart w:id="981" w:name="_Toc13022"/>
      <w:bookmarkStart w:id="982" w:name="_Toc229593394"/>
      <w:bookmarkStart w:id="983" w:name="_Toc2936491"/>
      <w:bookmarkStart w:id="984" w:name="_Toc241491287"/>
      <w:bookmarkStart w:id="985" w:name="_Toc216003201"/>
      <w:r>
        <w:rPr>
          <w:rFonts w:hint="eastAsia"/>
          <w:b/>
          <w:color w:val="auto"/>
          <w:sz w:val="30"/>
          <w:szCs w:val="30"/>
          <w:highlight w:val="none"/>
          <w:lang w:eastAsia="zh-CN"/>
        </w:rPr>
        <w:t>21. 不可抗力</w:t>
      </w:r>
      <w:bookmarkEnd w:id="978"/>
      <w:bookmarkEnd w:id="979"/>
      <w:bookmarkEnd w:id="980"/>
      <w:bookmarkEnd w:id="981"/>
      <w:bookmarkEnd w:id="982"/>
      <w:bookmarkEnd w:id="983"/>
      <w:bookmarkEnd w:id="984"/>
      <w:bookmarkEnd w:id="985"/>
    </w:p>
    <w:p w14:paraId="1148E4BB">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986" w:name="_Toc229593395"/>
      <w:bookmarkStart w:id="987" w:name="_Toc31637"/>
      <w:bookmarkStart w:id="988" w:name="_Toc12117"/>
      <w:bookmarkStart w:id="989" w:name="_Toc15947"/>
      <w:bookmarkStart w:id="990" w:name="_Toc12935"/>
      <w:bookmarkStart w:id="991" w:name="_Toc216003202"/>
      <w:r>
        <w:rPr>
          <w:rFonts w:hint="eastAsia" w:ascii="宋体" w:hAnsi="宋体" w:eastAsia="宋体"/>
          <w:b/>
          <w:color w:val="auto"/>
          <w:sz w:val="24"/>
          <w:szCs w:val="24"/>
          <w:highlight w:val="none"/>
          <w:lang w:val="en-US" w:eastAsia="zh-CN" w:bidi="en-US"/>
        </w:rPr>
        <w:t>21.1 不可抗力的确认</w:t>
      </w:r>
      <w:bookmarkEnd w:id="986"/>
      <w:bookmarkEnd w:id="987"/>
      <w:bookmarkEnd w:id="988"/>
      <w:bookmarkEnd w:id="989"/>
      <w:bookmarkEnd w:id="990"/>
      <w:bookmarkEnd w:id="991"/>
    </w:p>
    <w:p w14:paraId="39B2FA0F">
      <w:pPr>
        <w:pStyle w:val="18"/>
        <w:spacing w:line="360" w:lineRule="auto"/>
        <w:ind w:firstLine="420" w:firstLineChars="200"/>
        <w:rPr>
          <w:rFonts w:ascii="宋体" w:hAnsi="宋体" w:cs="宋体"/>
          <w:color w:val="auto"/>
          <w:sz w:val="21"/>
          <w:szCs w:val="21"/>
          <w:highlight w:val="none"/>
          <w:u w:val="single"/>
          <w:lang w:eastAsia="zh-CN"/>
        </w:rPr>
      </w:pPr>
      <w:r>
        <w:rPr>
          <w:rFonts w:hint="default" w:ascii="Times New Roman" w:hAnsi="Times New Roman" w:cs="Times New Roman"/>
          <w:color w:val="auto"/>
          <w:sz w:val="21"/>
          <w:szCs w:val="21"/>
          <w:highlight w:val="none"/>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r>
        <w:rPr>
          <w:rFonts w:hint="eastAsia" w:ascii="宋体" w:hAnsi="宋体" w:cs="宋体"/>
          <w:color w:val="auto"/>
          <w:sz w:val="21"/>
          <w:szCs w:val="21"/>
          <w:highlight w:val="none"/>
          <w:lang w:eastAsia="zh-CN"/>
        </w:rPr>
        <w:t xml:space="preserve">                                                                                                                                                                                                                                                                                                                                                                                                                                                                                                                                                                                                                                                                                                                                                                                                                                                                                                                                                                                                                                                                                                                                                                                                                                                                                                                                                                                                                                                                                                                                                                                                                                                                                                                                                                                                                                                                                                                                                                                                                                        </w:t>
      </w:r>
      <w:r>
        <w:rPr>
          <w:rFonts w:hint="eastAsia" w:ascii="宋体" w:hAnsi="宋体" w:cs="宋体"/>
          <w:b/>
          <w:color w:val="auto"/>
          <w:sz w:val="21"/>
          <w:szCs w:val="21"/>
          <w:highlight w:val="none"/>
          <w:lang w:eastAsia="zh-CN"/>
        </w:rPr>
        <w:t xml:space="preserve"> </w:t>
      </w:r>
    </w:p>
    <w:p w14:paraId="65C3684E">
      <w:pPr>
        <w:pStyle w:val="39"/>
        <w:keepNext/>
        <w:keepLines/>
        <w:spacing w:before="280" w:after="290" w:line="372" w:lineRule="auto"/>
        <w:outlineLvl w:val="4"/>
        <w:rPr>
          <w:rFonts w:hint="eastAsia"/>
          <w:b/>
          <w:color w:val="auto"/>
          <w:sz w:val="30"/>
          <w:szCs w:val="30"/>
          <w:highlight w:val="none"/>
          <w:lang w:eastAsia="zh-CN"/>
        </w:rPr>
      </w:pPr>
      <w:bookmarkStart w:id="992" w:name="_Toc222033894"/>
      <w:bookmarkStart w:id="993" w:name="_Toc222032712"/>
      <w:bookmarkStart w:id="994" w:name="_Toc222031045"/>
      <w:bookmarkStart w:id="995" w:name="_Toc2936736"/>
      <w:bookmarkStart w:id="996" w:name="_Toc27035"/>
      <w:bookmarkStart w:id="997" w:name="_Toc2936492"/>
      <w:bookmarkStart w:id="998" w:name="_Toc229305401"/>
      <w:bookmarkStart w:id="999" w:name="_Toc15546"/>
      <w:bookmarkStart w:id="1000" w:name="_Toc2948190"/>
      <w:bookmarkStart w:id="1001" w:name="_Toc221951334"/>
      <w:bookmarkStart w:id="1002" w:name="_Toc222029543"/>
      <w:r>
        <w:rPr>
          <w:rFonts w:hint="eastAsia"/>
          <w:b/>
          <w:color w:val="auto"/>
          <w:sz w:val="30"/>
          <w:szCs w:val="30"/>
          <w:highlight w:val="none"/>
          <w:lang w:eastAsia="zh-CN"/>
        </w:rPr>
        <w:t>24. 争议的解决</w:t>
      </w:r>
      <w:bookmarkEnd w:id="992"/>
      <w:bookmarkEnd w:id="993"/>
      <w:bookmarkEnd w:id="994"/>
      <w:bookmarkEnd w:id="995"/>
      <w:bookmarkEnd w:id="996"/>
      <w:bookmarkEnd w:id="997"/>
      <w:bookmarkEnd w:id="998"/>
      <w:bookmarkEnd w:id="999"/>
      <w:bookmarkEnd w:id="1000"/>
      <w:bookmarkEnd w:id="1001"/>
      <w:bookmarkEnd w:id="1002"/>
    </w:p>
    <w:p w14:paraId="655B27D9">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1003" w:name="_Toc25784"/>
      <w:bookmarkStart w:id="1004" w:name="_Toc11080"/>
      <w:bookmarkStart w:id="1005" w:name="_Toc8681"/>
      <w:bookmarkStart w:id="1006" w:name="_Toc26718"/>
      <w:bookmarkStart w:id="1007" w:name="_Toc221951335"/>
      <w:r>
        <w:rPr>
          <w:rFonts w:hint="eastAsia" w:ascii="宋体" w:hAnsi="宋体" w:eastAsia="宋体"/>
          <w:b/>
          <w:color w:val="auto"/>
          <w:sz w:val="24"/>
          <w:szCs w:val="24"/>
          <w:highlight w:val="none"/>
          <w:lang w:val="en-US" w:eastAsia="zh-CN" w:bidi="en-US"/>
        </w:rPr>
        <w:t>24.1 争议的解决方式</w:t>
      </w:r>
      <w:bookmarkEnd w:id="1003"/>
      <w:bookmarkEnd w:id="1004"/>
      <w:bookmarkEnd w:id="1005"/>
      <w:bookmarkEnd w:id="1006"/>
    </w:p>
    <w:p w14:paraId="687E52EE">
      <w:pPr>
        <w:pStyle w:val="18"/>
        <w:spacing w:line="360" w:lineRule="auto"/>
        <w:ind w:firstLine="420" w:firstLineChars="200"/>
        <w:rPr>
          <w:rFonts w:ascii="宋体" w:hAnsi="宋体" w:cs="宋体"/>
          <w:color w:val="auto"/>
          <w:highlight w:val="none"/>
          <w:lang w:eastAsia="zh-CN"/>
        </w:rPr>
      </w:pPr>
      <w:r>
        <w:rPr>
          <w:rFonts w:hint="eastAsia" w:ascii="宋体" w:hAnsi="宋体" w:cs="宋体"/>
          <w:color w:val="auto"/>
          <w:sz w:val="21"/>
          <w:szCs w:val="21"/>
          <w:highlight w:val="none"/>
          <w:lang w:eastAsia="zh-CN"/>
        </w:rPr>
        <w:t>合同当事人友好协商解决不成、不愿提请争议评审或不接受争议评审组意见的，约定的合同争议解决方式 ：</w:t>
      </w:r>
      <w:bookmarkEnd w:id="1007"/>
      <w:r>
        <w:rPr>
          <w:rFonts w:hint="eastAsia" w:ascii="宋体" w:hAnsi="宋体" w:cs="宋体"/>
          <w:color w:val="auto"/>
          <w:sz w:val="21"/>
          <w:szCs w:val="21"/>
          <w:highlight w:val="none"/>
          <w:u w:val="single"/>
          <w:lang w:eastAsia="zh-CN"/>
        </w:rPr>
        <w:t xml:space="preserve">  向甲方所在地有管辖权的人民法院提起诉讼  </w:t>
      </w:r>
      <w:r>
        <w:rPr>
          <w:rFonts w:hint="eastAsia" w:ascii="宋体" w:hAnsi="宋体" w:cs="宋体"/>
          <w:color w:val="auto"/>
          <w:sz w:val="21"/>
          <w:szCs w:val="21"/>
          <w:highlight w:val="none"/>
          <w:lang w:eastAsia="zh-CN"/>
        </w:rPr>
        <w:t xml:space="preserve">。 </w:t>
      </w:r>
    </w:p>
    <w:p w14:paraId="5D7B2743">
      <w:pPr>
        <w:pStyle w:val="39"/>
        <w:keepNext/>
        <w:keepLines/>
        <w:spacing w:before="280" w:after="290" w:line="372" w:lineRule="auto"/>
        <w:outlineLvl w:val="4"/>
        <w:rPr>
          <w:rFonts w:hint="eastAsia"/>
          <w:b/>
          <w:color w:val="auto"/>
          <w:sz w:val="30"/>
          <w:szCs w:val="30"/>
          <w:highlight w:val="none"/>
          <w:lang w:eastAsia="zh-CN"/>
        </w:rPr>
      </w:pPr>
      <w:bookmarkStart w:id="1008" w:name="_Toc26931"/>
      <w:bookmarkStart w:id="1009" w:name="_Toc5477"/>
      <w:r>
        <w:rPr>
          <w:rFonts w:hint="eastAsia"/>
          <w:b/>
          <w:color w:val="auto"/>
          <w:sz w:val="30"/>
          <w:szCs w:val="30"/>
          <w:highlight w:val="none"/>
          <w:lang w:eastAsia="zh-CN"/>
        </w:rPr>
        <w:t>25. 附加条款</w:t>
      </w:r>
      <w:bookmarkEnd w:id="539"/>
      <w:bookmarkEnd w:id="540"/>
      <w:bookmarkEnd w:id="541"/>
      <w:bookmarkEnd w:id="542"/>
      <w:bookmarkEnd w:id="543"/>
      <w:bookmarkEnd w:id="1008"/>
      <w:bookmarkEnd w:id="1009"/>
    </w:p>
    <w:p w14:paraId="0EEEE8B9">
      <w:pPr>
        <w:pStyle w:val="39"/>
        <w:keepNext/>
        <w:keepLines/>
        <w:spacing w:before="240" w:after="64" w:line="317" w:lineRule="auto"/>
        <w:outlineLvl w:val="5"/>
        <w:rPr>
          <w:rFonts w:hint="eastAsia" w:ascii="宋体" w:hAnsi="宋体" w:eastAsia="宋体"/>
          <w:b/>
          <w:color w:val="auto"/>
          <w:sz w:val="24"/>
          <w:szCs w:val="24"/>
          <w:highlight w:val="none"/>
          <w:lang w:val="en-US" w:eastAsia="zh-CN" w:bidi="en-US"/>
        </w:rPr>
      </w:pPr>
      <w:bookmarkStart w:id="1010" w:name="bookmark1866"/>
      <w:bookmarkStart w:id="1011" w:name="_Toc15397"/>
      <w:bookmarkStart w:id="1012" w:name="_Toc16269"/>
      <w:bookmarkStart w:id="1013" w:name="bookmark1868"/>
      <w:bookmarkStart w:id="1014" w:name="bookmark1867"/>
      <w:r>
        <w:rPr>
          <w:rFonts w:hint="eastAsia" w:ascii="宋体" w:hAnsi="宋体" w:eastAsia="宋体"/>
          <w:b/>
          <w:color w:val="auto"/>
          <w:sz w:val="24"/>
          <w:szCs w:val="24"/>
          <w:highlight w:val="none"/>
          <w:lang w:val="en-US" w:eastAsia="zh-CN" w:bidi="en-US"/>
        </w:rPr>
        <w:t>25.1对承包人的要求</w:t>
      </w:r>
      <w:bookmarkEnd w:id="1010"/>
      <w:bookmarkEnd w:id="1011"/>
      <w:bookmarkEnd w:id="1012"/>
      <w:bookmarkEnd w:id="1013"/>
      <w:bookmarkEnd w:id="1014"/>
    </w:p>
    <w:p w14:paraId="7664F4BD">
      <w:pPr>
        <w:pStyle w:val="53"/>
        <w:numPr>
          <w:ilvl w:val="0"/>
          <w:numId w:val="38"/>
        </w:numPr>
        <w:tabs>
          <w:tab w:val="left" w:pos="707"/>
        </w:tabs>
        <w:spacing w:line="352" w:lineRule="exact"/>
        <w:ind w:firstLine="440"/>
        <w:jc w:val="both"/>
        <w:rPr>
          <w:color w:val="auto"/>
          <w:sz w:val="21"/>
          <w:szCs w:val="21"/>
          <w:highlight w:val="none"/>
        </w:rPr>
      </w:pPr>
      <w:bookmarkStart w:id="1015" w:name="bookmark1869"/>
      <w:bookmarkEnd w:id="1015"/>
      <w:r>
        <w:rPr>
          <w:rFonts w:hint="eastAsia"/>
          <w:color w:val="auto"/>
          <w:sz w:val="21"/>
          <w:szCs w:val="21"/>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14:paraId="40BAA1A2">
      <w:pPr>
        <w:pStyle w:val="53"/>
        <w:numPr>
          <w:ilvl w:val="0"/>
          <w:numId w:val="38"/>
        </w:numPr>
        <w:tabs>
          <w:tab w:val="left" w:pos="707"/>
        </w:tabs>
        <w:spacing w:line="352" w:lineRule="exact"/>
        <w:ind w:firstLine="440"/>
        <w:jc w:val="both"/>
        <w:rPr>
          <w:color w:val="auto"/>
          <w:sz w:val="21"/>
          <w:szCs w:val="21"/>
          <w:highlight w:val="none"/>
        </w:rPr>
      </w:pPr>
      <w:bookmarkStart w:id="1016" w:name="bookmark1870"/>
      <w:bookmarkEnd w:id="1016"/>
      <w:r>
        <w:rPr>
          <w:rFonts w:hint="eastAsia"/>
          <w:color w:val="auto"/>
          <w:sz w:val="21"/>
          <w:szCs w:val="21"/>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06365938">
      <w:pPr>
        <w:pStyle w:val="53"/>
        <w:numPr>
          <w:ilvl w:val="0"/>
          <w:numId w:val="38"/>
        </w:numPr>
        <w:tabs>
          <w:tab w:val="left" w:pos="707"/>
        </w:tabs>
        <w:spacing w:line="352" w:lineRule="exact"/>
        <w:ind w:firstLine="440"/>
        <w:jc w:val="both"/>
        <w:rPr>
          <w:color w:val="auto"/>
          <w:sz w:val="21"/>
          <w:szCs w:val="21"/>
          <w:highlight w:val="none"/>
        </w:rPr>
      </w:pPr>
      <w:bookmarkStart w:id="1017" w:name="bookmark1871"/>
      <w:bookmarkEnd w:id="1017"/>
      <w:r>
        <w:rPr>
          <w:rFonts w:hint="eastAsia"/>
          <w:color w:val="auto"/>
          <w:sz w:val="21"/>
          <w:szCs w:val="21"/>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4CBA7D51">
      <w:pPr>
        <w:pStyle w:val="53"/>
        <w:numPr>
          <w:ilvl w:val="0"/>
          <w:numId w:val="38"/>
        </w:numPr>
        <w:tabs>
          <w:tab w:val="left" w:pos="705"/>
        </w:tabs>
        <w:spacing w:line="352" w:lineRule="exact"/>
        <w:ind w:firstLine="440"/>
        <w:jc w:val="both"/>
        <w:rPr>
          <w:color w:val="auto"/>
          <w:sz w:val="21"/>
          <w:szCs w:val="21"/>
          <w:highlight w:val="none"/>
        </w:rPr>
      </w:pPr>
      <w:bookmarkStart w:id="1018" w:name="bookmark1872"/>
      <w:bookmarkEnd w:id="1018"/>
      <w:r>
        <w:rPr>
          <w:rFonts w:hint="eastAsia"/>
          <w:color w:val="auto"/>
          <w:sz w:val="21"/>
          <w:szCs w:val="21"/>
          <w:highlight w:val="none"/>
        </w:rPr>
        <w:t>按有关施工规程规范及本招标文件技术条款进行组织施工并实施施工过程和移交前工程保护措施。</w:t>
      </w:r>
    </w:p>
    <w:p w14:paraId="39D78B20">
      <w:pPr>
        <w:pStyle w:val="53"/>
        <w:numPr>
          <w:ilvl w:val="0"/>
          <w:numId w:val="38"/>
        </w:numPr>
        <w:tabs>
          <w:tab w:val="left" w:pos="710"/>
        </w:tabs>
        <w:spacing w:line="352" w:lineRule="exact"/>
        <w:ind w:firstLine="440"/>
        <w:jc w:val="both"/>
        <w:rPr>
          <w:color w:val="auto"/>
          <w:sz w:val="21"/>
          <w:szCs w:val="21"/>
          <w:highlight w:val="none"/>
        </w:rPr>
      </w:pPr>
      <w:bookmarkStart w:id="1019" w:name="bookmark1873"/>
      <w:bookmarkEnd w:id="1019"/>
      <w:r>
        <w:rPr>
          <w:rFonts w:hint="eastAsia"/>
          <w:color w:val="auto"/>
          <w:sz w:val="21"/>
          <w:szCs w:val="21"/>
          <w:highlight w:val="none"/>
        </w:rPr>
        <w:t>承包人违约有以下情况之一者，发包人有权采取合同规定的以下措施处理，并视情节轻重处予违约金。</w:t>
      </w:r>
    </w:p>
    <w:p w14:paraId="1CF7529A">
      <w:pPr>
        <w:pStyle w:val="53"/>
        <w:numPr>
          <w:ilvl w:val="0"/>
          <w:numId w:val="39"/>
        </w:numPr>
        <w:tabs>
          <w:tab w:val="left" w:pos="883"/>
        </w:tabs>
        <w:spacing w:line="352" w:lineRule="exact"/>
        <w:ind w:firstLine="440"/>
        <w:jc w:val="both"/>
        <w:rPr>
          <w:color w:val="auto"/>
          <w:sz w:val="21"/>
          <w:szCs w:val="21"/>
          <w:highlight w:val="none"/>
        </w:rPr>
      </w:pPr>
      <w:bookmarkStart w:id="1020" w:name="bookmark1874"/>
      <w:bookmarkEnd w:id="1020"/>
      <w:r>
        <w:rPr>
          <w:rFonts w:hint="eastAsia"/>
          <w:color w:val="auto"/>
          <w:sz w:val="21"/>
          <w:szCs w:val="21"/>
          <w:highlight w:val="none"/>
        </w:rPr>
        <w:t>未经发包人批准，施工期内承包人调走主要施工技术人员(包括建造师、专业工程师)，经发现不及时调回的，违约金额为履约保证金金额的5% ~20% (视情节严重而定)</w:t>
      </w:r>
      <w:r>
        <w:rPr>
          <w:rFonts w:hint="eastAsia"/>
          <w:color w:val="auto"/>
          <w:sz w:val="21"/>
          <w:szCs w:val="21"/>
          <w:highlight w:val="none"/>
          <w:lang w:val="en-US"/>
        </w:rPr>
        <w:t>。</w:t>
      </w:r>
    </w:p>
    <w:p w14:paraId="5EFB8383">
      <w:pPr>
        <w:pStyle w:val="53"/>
        <w:numPr>
          <w:ilvl w:val="0"/>
          <w:numId w:val="39"/>
        </w:numPr>
        <w:tabs>
          <w:tab w:val="left" w:pos="880"/>
        </w:tabs>
        <w:spacing w:line="352" w:lineRule="exact"/>
        <w:ind w:firstLine="440"/>
        <w:jc w:val="both"/>
        <w:rPr>
          <w:color w:val="auto"/>
          <w:sz w:val="21"/>
          <w:szCs w:val="21"/>
          <w:highlight w:val="none"/>
        </w:rPr>
      </w:pPr>
      <w:bookmarkStart w:id="1021" w:name="bookmark1875"/>
      <w:bookmarkEnd w:id="1021"/>
      <w:r>
        <w:rPr>
          <w:rFonts w:hint="eastAsia"/>
          <w:color w:val="auto"/>
          <w:sz w:val="21"/>
          <w:szCs w:val="21"/>
          <w:highlight w:val="none"/>
        </w:rPr>
        <w:t>未经发包人批准，施工期内自行调走主要施工机械，经发现不及时调回的，违约金额为履约保证金金额的5% ～ 20% (视情节严重而定)</w:t>
      </w:r>
      <w:r>
        <w:rPr>
          <w:rFonts w:hint="eastAsia"/>
          <w:color w:val="auto"/>
          <w:sz w:val="21"/>
          <w:szCs w:val="21"/>
          <w:highlight w:val="none"/>
          <w:lang w:val="en-US"/>
        </w:rPr>
        <w:t>。</w:t>
      </w:r>
    </w:p>
    <w:p w14:paraId="254B2C34">
      <w:pPr>
        <w:pStyle w:val="53"/>
        <w:numPr>
          <w:ilvl w:val="0"/>
          <w:numId w:val="39"/>
        </w:numPr>
        <w:tabs>
          <w:tab w:val="left" w:pos="883"/>
        </w:tabs>
        <w:spacing w:line="352" w:lineRule="exact"/>
        <w:ind w:firstLine="440"/>
        <w:jc w:val="both"/>
        <w:rPr>
          <w:color w:val="auto"/>
          <w:sz w:val="21"/>
          <w:szCs w:val="21"/>
          <w:highlight w:val="none"/>
        </w:rPr>
      </w:pPr>
      <w:bookmarkStart w:id="1022" w:name="bookmark1876"/>
      <w:bookmarkEnd w:id="1022"/>
      <w:r>
        <w:rPr>
          <w:rFonts w:hint="eastAsia"/>
          <w:color w:val="auto"/>
          <w:sz w:val="21"/>
          <w:szCs w:val="21"/>
          <w:highlight w:val="none"/>
        </w:rPr>
        <w:t>所有以上违约金额均在承包人的履约保证金(包括银行利息)及计量支付款内扣 除，承包人履约保证金被扣除后，由发包人从最后一次计量支付时扣相应金额补足履约保证金。</w:t>
      </w:r>
    </w:p>
    <w:p w14:paraId="19A3549D">
      <w:pPr>
        <w:pStyle w:val="53"/>
        <w:numPr>
          <w:ilvl w:val="0"/>
          <w:numId w:val="39"/>
        </w:numPr>
        <w:tabs>
          <w:tab w:val="left" w:pos="885"/>
        </w:tabs>
        <w:spacing w:line="352" w:lineRule="exact"/>
        <w:ind w:firstLine="440"/>
        <w:jc w:val="both"/>
        <w:rPr>
          <w:color w:val="auto"/>
          <w:sz w:val="21"/>
          <w:szCs w:val="21"/>
          <w:highlight w:val="none"/>
        </w:rPr>
      </w:pPr>
      <w:bookmarkStart w:id="1023" w:name="bookmark1877"/>
      <w:bookmarkEnd w:id="1023"/>
      <w:r>
        <w:rPr>
          <w:rFonts w:hint="eastAsia"/>
          <w:color w:val="auto"/>
          <w:sz w:val="21"/>
          <w:szCs w:val="21"/>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械、材料和劳动力不能满足施工进度要求，有权指令承包人增加机械、材料和劳动力投入，承包人不得拒绝。</w:t>
      </w:r>
    </w:p>
    <w:p w14:paraId="06537C63">
      <w:pPr>
        <w:pStyle w:val="53"/>
        <w:numPr>
          <w:ilvl w:val="0"/>
          <w:numId w:val="39"/>
        </w:numPr>
        <w:tabs>
          <w:tab w:val="left" w:pos="883"/>
        </w:tabs>
        <w:spacing w:line="352" w:lineRule="exact"/>
        <w:ind w:firstLine="440"/>
        <w:jc w:val="both"/>
        <w:rPr>
          <w:color w:val="auto"/>
          <w:sz w:val="21"/>
          <w:szCs w:val="21"/>
          <w:highlight w:val="none"/>
        </w:rPr>
      </w:pPr>
      <w:bookmarkStart w:id="1024" w:name="bookmark1878"/>
      <w:bookmarkEnd w:id="1024"/>
      <w:r>
        <w:rPr>
          <w:rFonts w:hint="eastAsia"/>
          <w:color w:val="auto"/>
          <w:sz w:val="21"/>
          <w:szCs w:val="21"/>
          <w:highlight w:val="none"/>
        </w:rPr>
        <w:t>合同签订之日起15日内，承包人无法按合同规定进场全部人员和机械时，作为承包人违约，发包人可解除合同，没收其全部履约保证金，另行发包工程。</w:t>
      </w:r>
    </w:p>
    <w:p w14:paraId="30C69864">
      <w:pPr>
        <w:pStyle w:val="53"/>
        <w:numPr>
          <w:ilvl w:val="0"/>
          <w:numId w:val="39"/>
        </w:numPr>
        <w:tabs>
          <w:tab w:val="left" w:pos="880"/>
        </w:tabs>
        <w:spacing w:line="352" w:lineRule="exact"/>
        <w:ind w:firstLine="440"/>
        <w:jc w:val="both"/>
        <w:rPr>
          <w:color w:val="auto"/>
          <w:sz w:val="21"/>
          <w:szCs w:val="21"/>
          <w:highlight w:val="none"/>
        </w:rPr>
      </w:pPr>
      <w:bookmarkStart w:id="1025" w:name="bookmark1879"/>
      <w:bookmarkEnd w:id="1025"/>
      <w:r>
        <w:rPr>
          <w:rFonts w:hint="eastAsia"/>
          <w:color w:val="auto"/>
          <w:sz w:val="21"/>
          <w:szCs w:val="21"/>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42152B16">
      <w:pPr>
        <w:pStyle w:val="53"/>
        <w:numPr>
          <w:ilvl w:val="0"/>
          <w:numId w:val="38"/>
        </w:numPr>
        <w:tabs>
          <w:tab w:val="left" w:pos="739"/>
        </w:tabs>
        <w:spacing w:line="352" w:lineRule="exact"/>
        <w:ind w:firstLine="440"/>
        <w:jc w:val="both"/>
        <w:rPr>
          <w:color w:val="auto"/>
          <w:sz w:val="21"/>
          <w:szCs w:val="21"/>
          <w:highlight w:val="none"/>
        </w:rPr>
      </w:pPr>
      <w:bookmarkStart w:id="1026" w:name="bookmark1880"/>
      <w:bookmarkEnd w:id="1026"/>
      <w:r>
        <w:rPr>
          <w:rFonts w:hint="eastAsia"/>
          <w:color w:val="auto"/>
          <w:sz w:val="21"/>
          <w:szCs w:val="21"/>
          <w:highlight w:val="none"/>
        </w:rPr>
        <w:t>承包人生活设施及施工场地，应自费配备消防设备，防止火灾发生。</w:t>
      </w:r>
    </w:p>
    <w:p w14:paraId="3B58DEE5">
      <w:pPr>
        <w:pStyle w:val="53"/>
        <w:numPr>
          <w:ilvl w:val="0"/>
          <w:numId w:val="38"/>
        </w:numPr>
        <w:tabs>
          <w:tab w:val="left" w:pos="719"/>
        </w:tabs>
        <w:spacing w:line="352" w:lineRule="exact"/>
        <w:ind w:firstLine="420"/>
        <w:jc w:val="both"/>
        <w:rPr>
          <w:color w:val="auto"/>
          <w:sz w:val="21"/>
          <w:szCs w:val="21"/>
          <w:highlight w:val="none"/>
        </w:rPr>
      </w:pPr>
      <w:bookmarkStart w:id="1027" w:name="bookmark1881"/>
      <w:bookmarkEnd w:id="1027"/>
      <w:r>
        <w:rPr>
          <w:rFonts w:hint="eastAsia"/>
          <w:color w:val="auto"/>
          <w:sz w:val="21"/>
          <w:szCs w:val="21"/>
          <w:highlight w:val="none"/>
        </w:rPr>
        <w:t>承包人使用的劳动力均应进行保险，否则不准安排工作，禁止使用童工。</w:t>
      </w:r>
    </w:p>
    <w:p w14:paraId="543B2085">
      <w:pPr>
        <w:pStyle w:val="53"/>
        <w:tabs>
          <w:tab w:val="left" w:pos="880"/>
        </w:tabs>
        <w:spacing w:line="352" w:lineRule="exact"/>
        <w:ind w:firstLine="447" w:firstLineChars="213"/>
        <w:jc w:val="both"/>
        <w:rPr>
          <w:color w:val="auto"/>
          <w:sz w:val="21"/>
          <w:szCs w:val="21"/>
          <w:highlight w:val="none"/>
        </w:rPr>
      </w:pPr>
      <w:r>
        <w:rPr>
          <w:rFonts w:hint="eastAsia"/>
          <w:color w:val="auto"/>
          <w:sz w:val="21"/>
          <w:szCs w:val="21"/>
          <w:highlight w:val="none"/>
        </w:rPr>
        <w:t>8. 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1726A9E0">
      <w:pPr>
        <w:pStyle w:val="53"/>
        <w:tabs>
          <w:tab w:val="left" w:pos="801"/>
        </w:tabs>
        <w:jc w:val="both"/>
        <w:rPr>
          <w:b/>
          <w:color w:val="auto"/>
          <w:sz w:val="21"/>
          <w:szCs w:val="21"/>
          <w:highlight w:val="none"/>
        </w:rPr>
      </w:pPr>
      <w:bookmarkStart w:id="1028" w:name="bookmark1883"/>
      <w:bookmarkEnd w:id="1028"/>
      <w:bookmarkStart w:id="1029" w:name="bookmark1885"/>
      <w:bookmarkStart w:id="1030" w:name="bookmark1887"/>
      <w:bookmarkStart w:id="1031" w:name="bookmark1886"/>
      <w:r>
        <w:rPr>
          <w:rFonts w:hint="eastAsia"/>
          <w:b/>
          <w:color w:val="auto"/>
          <w:sz w:val="21"/>
          <w:szCs w:val="21"/>
          <w:highlight w:val="none"/>
        </w:rPr>
        <w:t>25.2</w:t>
      </w:r>
      <w:r>
        <w:rPr>
          <w:rFonts w:hint="eastAsia"/>
          <w:color w:val="auto"/>
          <w:sz w:val="21"/>
          <w:szCs w:val="21"/>
          <w:highlight w:val="none"/>
        </w:rPr>
        <w:t>发包人所有付款（含预付款）均转入如下承包人单位基本账户</w:t>
      </w:r>
      <w:r>
        <w:rPr>
          <w:rFonts w:hint="eastAsia"/>
          <w:color w:val="auto"/>
          <w:sz w:val="21"/>
          <w:szCs w:val="21"/>
          <w:highlight w:val="none"/>
        </w:rPr>
        <w:tab/>
      </w:r>
      <w:r>
        <w:rPr>
          <w:rFonts w:hint="eastAsia"/>
          <w:color w:val="auto"/>
          <w:sz w:val="21"/>
          <w:szCs w:val="21"/>
          <w:highlight w:val="none"/>
        </w:rPr>
        <w:t>（签订施工合同时标明），承包人单位基本账户发生改变时，承包人应书面通知 （法定代表人签字并加盖单位公章）发包人。</w:t>
      </w:r>
      <w:bookmarkEnd w:id="1029"/>
      <w:bookmarkEnd w:id="1030"/>
      <w:bookmarkEnd w:id="1031"/>
    </w:p>
    <w:p w14:paraId="79BC8DAA">
      <w:pPr>
        <w:pStyle w:val="39"/>
        <w:tabs>
          <w:tab w:val="left" w:pos="299"/>
        </w:tabs>
        <w:spacing w:line="360" w:lineRule="auto"/>
        <w:ind w:left="420"/>
        <w:jc w:val="both"/>
        <w:rPr>
          <w:rFonts w:ascii="宋体" w:hAnsi="宋体" w:eastAsia="宋体" w:cs="宋体"/>
          <w:color w:val="auto"/>
          <w:sz w:val="20"/>
          <w:szCs w:val="20"/>
          <w:highlight w:val="none"/>
          <w:lang w:eastAsia="zh-CN" w:bidi="zh-CN"/>
        </w:rPr>
      </w:pPr>
      <w:bookmarkStart w:id="1032" w:name="bookmark1889"/>
      <w:bookmarkStart w:id="1033" w:name="bookmark1890"/>
      <w:bookmarkStart w:id="1034" w:name="bookmark1888"/>
      <w:r>
        <w:rPr>
          <w:rFonts w:hint="eastAsia" w:ascii="宋体" w:hAnsi="宋体" w:cs="宋体"/>
          <w:b/>
          <w:color w:val="auto"/>
          <w:sz w:val="21"/>
          <w:szCs w:val="21"/>
          <w:highlight w:val="none"/>
          <w:lang w:eastAsia="zh-CN"/>
        </w:rPr>
        <w:t>25.3</w:t>
      </w:r>
      <w:r>
        <w:rPr>
          <w:rFonts w:hint="eastAsia" w:ascii="宋体" w:hAnsi="宋体" w:cs="宋体"/>
          <w:color w:val="auto"/>
          <w:sz w:val="21"/>
          <w:szCs w:val="21"/>
          <w:highlight w:val="none"/>
          <w:lang w:eastAsia="zh-CN"/>
        </w:rPr>
        <w:t>专用合同条款中未尽事宜，在签订施工合同时双方再商定。</w:t>
      </w:r>
      <w:bookmarkEnd w:id="1032"/>
      <w:bookmarkEnd w:id="1033"/>
      <w:bookmarkEnd w:id="1034"/>
    </w:p>
    <w:p w14:paraId="047E2695">
      <w:pPr>
        <w:pStyle w:val="39"/>
        <w:tabs>
          <w:tab w:val="left" w:pos="299"/>
        </w:tabs>
        <w:spacing w:line="360" w:lineRule="auto"/>
        <w:ind w:left="420"/>
        <w:jc w:val="both"/>
        <w:rPr>
          <w:rFonts w:ascii="宋体" w:hAnsi="宋体" w:eastAsia="宋体" w:cs="宋体"/>
          <w:color w:val="auto"/>
          <w:sz w:val="20"/>
          <w:szCs w:val="20"/>
          <w:highlight w:val="none"/>
          <w:lang w:eastAsia="zh-CN" w:bidi="zh-CN"/>
        </w:rPr>
      </w:pPr>
    </w:p>
    <w:p w14:paraId="6F74C3E5">
      <w:pPr>
        <w:pStyle w:val="39"/>
        <w:tabs>
          <w:tab w:val="left" w:pos="299"/>
        </w:tabs>
        <w:spacing w:line="352" w:lineRule="exact"/>
        <w:jc w:val="both"/>
        <w:rPr>
          <w:rFonts w:hint="eastAsia" w:ascii="宋体" w:hAnsi="宋体" w:eastAsia="宋体" w:cs="宋体"/>
          <w:color w:val="auto"/>
          <w:sz w:val="20"/>
          <w:szCs w:val="20"/>
          <w:highlight w:val="none"/>
          <w:lang w:val="zh-CN" w:eastAsia="zh-CN" w:bidi="zh-CN"/>
        </w:rPr>
      </w:pPr>
    </w:p>
    <w:p w14:paraId="2708AF79">
      <w:pPr>
        <w:pStyle w:val="39"/>
        <w:tabs>
          <w:tab w:val="left" w:pos="299"/>
        </w:tabs>
        <w:spacing w:line="352" w:lineRule="exact"/>
        <w:jc w:val="both"/>
        <w:rPr>
          <w:rFonts w:hint="eastAsia" w:ascii="宋体" w:hAnsi="宋体" w:eastAsia="宋体" w:cs="宋体"/>
          <w:color w:val="auto"/>
          <w:sz w:val="20"/>
          <w:szCs w:val="20"/>
          <w:highlight w:val="none"/>
          <w:lang w:val="zh-CN" w:eastAsia="zh-CN" w:bidi="zh-CN"/>
        </w:rPr>
      </w:pPr>
    </w:p>
    <w:p w14:paraId="465C74A7">
      <w:pPr>
        <w:pStyle w:val="39"/>
        <w:tabs>
          <w:tab w:val="left" w:pos="299"/>
        </w:tabs>
        <w:spacing w:line="352" w:lineRule="exact"/>
        <w:jc w:val="both"/>
        <w:rPr>
          <w:rFonts w:hint="eastAsia" w:ascii="宋体" w:hAnsi="宋体" w:eastAsia="宋体" w:cs="宋体"/>
          <w:color w:val="auto"/>
          <w:sz w:val="20"/>
          <w:szCs w:val="20"/>
          <w:highlight w:val="none"/>
          <w:lang w:val="zh-CN" w:eastAsia="zh-CN" w:bidi="zh-CN"/>
        </w:rPr>
      </w:pPr>
    </w:p>
    <w:p w14:paraId="7AEEDC5B">
      <w:pPr>
        <w:pStyle w:val="39"/>
        <w:tabs>
          <w:tab w:val="left" w:pos="299"/>
        </w:tabs>
        <w:spacing w:line="352" w:lineRule="exact"/>
        <w:jc w:val="both"/>
        <w:rPr>
          <w:rFonts w:hint="eastAsia" w:ascii="宋体" w:hAnsi="宋体" w:eastAsia="宋体" w:cs="宋体"/>
          <w:color w:val="auto"/>
          <w:sz w:val="20"/>
          <w:szCs w:val="20"/>
          <w:highlight w:val="none"/>
          <w:lang w:val="zh-CN" w:eastAsia="zh-CN" w:bidi="zh-CN"/>
        </w:rPr>
      </w:pPr>
    </w:p>
    <w:p w14:paraId="4924BF11">
      <w:pPr>
        <w:pStyle w:val="52"/>
        <w:tabs>
          <w:tab w:val="left" w:pos="299"/>
        </w:tabs>
        <w:spacing w:line="352" w:lineRule="exact"/>
        <w:ind w:firstLineChars="200"/>
        <w:jc w:val="both"/>
        <w:rPr>
          <w:rFonts w:hint="eastAsia" w:ascii="宋体" w:hAnsi="宋体" w:eastAsia="宋体" w:cs="宋体"/>
          <w:color w:val="auto"/>
          <w:sz w:val="24"/>
          <w:szCs w:val="24"/>
          <w:highlight w:val="none"/>
        </w:rPr>
      </w:pPr>
    </w:p>
    <w:p w14:paraId="52B23BE5">
      <w:pPr>
        <w:pStyle w:val="5"/>
        <w:bidi w:val="0"/>
        <w:jc w:val="center"/>
        <w:rPr>
          <w:rFonts w:hint="eastAsia" w:ascii="Times New Roman" w:hAnsi="Times New Roman" w:eastAsia="宋体" w:cs="Times New Roman"/>
          <w:b w:val="0"/>
          <w:bCs/>
          <w:color w:val="auto"/>
          <w:kern w:val="0"/>
          <w:sz w:val="44"/>
          <w:szCs w:val="44"/>
          <w:highlight w:val="none"/>
          <w:lang w:val="en-US" w:eastAsia="zh-CN" w:bidi="en-US"/>
        </w:rPr>
      </w:pPr>
      <w:bookmarkStart w:id="1035" w:name="_Toc10268"/>
      <w:bookmarkStart w:id="1036" w:name="bookmark1892"/>
      <w:bookmarkStart w:id="1037" w:name="_Toc14930"/>
      <w:bookmarkStart w:id="1038" w:name="bookmark1891"/>
      <w:bookmarkStart w:id="1039" w:name="bookmark1893"/>
      <w:r>
        <w:rPr>
          <w:color w:val="auto"/>
          <w:sz w:val="24"/>
          <w:szCs w:val="24"/>
          <w:highlight w:val="none"/>
          <w:lang w:eastAsia="zh-CN"/>
        </w:rPr>
        <w:br w:type="page"/>
      </w:r>
      <w:bookmarkEnd w:id="1035"/>
      <w:bookmarkEnd w:id="1036"/>
      <w:bookmarkEnd w:id="1037"/>
      <w:bookmarkEnd w:id="1038"/>
      <w:bookmarkEnd w:id="1039"/>
      <w:bookmarkStart w:id="1040" w:name="_Toc16910"/>
      <w:bookmarkStart w:id="1041" w:name="_Toc18757"/>
      <w:r>
        <w:rPr>
          <w:rFonts w:hint="eastAsia" w:ascii="Times New Roman" w:hAnsi="Times New Roman" w:eastAsia="宋体" w:cs="Times New Roman"/>
          <w:b w:val="0"/>
          <w:bCs/>
          <w:color w:val="auto"/>
          <w:kern w:val="0"/>
          <w:sz w:val="44"/>
          <w:szCs w:val="44"/>
          <w:highlight w:val="none"/>
          <w:lang w:val="en-US" w:eastAsia="zh-CN" w:bidi="en-US"/>
        </w:rPr>
        <w:t>第四节  合同附件格式</w:t>
      </w:r>
      <w:bookmarkEnd w:id="1040"/>
      <w:bookmarkEnd w:id="1041"/>
    </w:p>
    <w:p w14:paraId="49318859">
      <w:pPr>
        <w:pStyle w:val="39"/>
        <w:keepNext/>
        <w:keepLines/>
        <w:spacing w:before="280" w:after="290" w:line="372" w:lineRule="auto"/>
        <w:outlineLvl w:val="4"/>
        <w:rPr>
          <w:b/>
          <w:color w:val="auto"/>
          <w:sz w:val="28"/>
          <w:highlight w:val="none"/>
          <w:lang w:eastAsia="zh-CN"/>
        </w:rPr>
      </w:pPr>
      <w:bookmarkStart w:id="1042" w:name="_Toc23710"/>
      <w:bookmarkStart w:id="1043" w:name="_Toc19907"/>
      <w:r>
        <w:rPr>
          <w:rFonts w:hint="eastAsia" w:ascii="宋体" w:hAnsi="宋体" w:eastAsia="宋体" w:cs="宋体"/>
          <w:b/>
          <w:color w:val="auto"/>
          <w:sz w:val="28"/>
          <w:highlight w:val="none"/>
          <w:lang w:eastAsia="zh-CN"/>
        </w:rPr>
        <w:t>附件一：</w:t>
      </w:r>
      <w:bookmarkEnd w:id="1042"/>
      <w:bookmarkEnd w:id="1043"/>
      <w:bookmarkStart w:id="1044" w:name="_Toc20923"/>
      <w:bookmarkStart w:id="1045" w:name="_Toc15523"/>
      <w:r>
        <w:rPr>
          <w:rFonts w:hint="eastAsia" w:ascii="宋体" w:hAnsi="宋体" w:eastAsia="宋体" w:cs="宋体"/>
          <w:b/>
          <w:color w:val="auto"/>
          <w:sz w:val="28"/>
          <w:highlight w:val="none"/>
          <w:lang w:eastAsia="zh-CN"/>
        </w:rPr>
        <w:t>履约保函</w:t>
      </w:r>
      <w:bookmarkEnd w:id="1044"/>
      <w:bookmarkEnd w:id="1045"/>
    </w:p>
    <w:p w14:paraId="06D05FA3">
      <w:pPr>
        <w:pStyle w:val="39"/>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履约保函</w:t>
      </w:r>
    </w:p>
    <w:p w14:paraId="19435626">
      <w:pPr>
        <w:pStyle w:val="39"/>
        <w:jc w:val="center"/>
        <w:rPr>
          <w:rFonts w:ascii="宋体" w:hAnsi="宋体" w:eastAsia="宋体" w:cs="宋体"/>
          <w:b/>
          <w:color w:val="auto"/>
          <w:highlight w:val="none"/>
          <w:lang w:eastAsia="zh-CN"/>
        </w:rPr>
      </w:pPr>
    </w:p>
    <w:p w14:paraId="717C36D2">
      <w:pPr>
        <w:pStyle w:val="39"/>
        <w:jc w:val="center"/>
        <w:rPr>
          <w:b/>
          <w:color w:val="auto"/>
          <w:highlight w:val="none"/>
          <w:lang w:eastAsia="zh-CN"/>
        </w:rPr>
      </w:pPr>
    </w:p>
    <w:p w14:paraId="7EA9176B">
      <w:pPr>
        <w:pStyle w:val="39"/>
        <w:tabs>
          <w:tab w:val="left" w:pos="187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（发包人名称）：</w:t>
      </w:r>
    </w:p>
    <w:p w14:paraId="42E11BC8">
      <w:pPr>
        <w:pStyle w:val="39"/>
        <w:tabs>
          <w:tab w:val="left" w:pos="847"/>
          <w:tab w:val="left" w:pos="1870"/>
          <w:tab w:val="left" w:pos="3485"/>
          <w:tab w:val="left" w:pos="3554"/>
          <w:tab w:val="left" w:pos="6878"/>
          <w:tab w:val="left" w:pos="8059"/>
        </w:tabs>
        <w:spacing w:line="354" w:lineRule="exact"/>
        <w:ind w:firstLine="42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鉴于</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 xml:space="preserve">（发包人名称，以下简称“发包人”）接受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（承包人名称，以下称“承包人”）于</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年</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 xml:space="preserve">月 </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日递交的（项目名称）</w:t>
      </w:r>
      <w:r>
        <w:rPr>
          <w:rFonts w:hint="eastAsia" w:ascii="宋体" w:hAnsi="宋体" w:eastAsia="宋体" w:cs="宋体"/>
          <w:color w:val="auto"/>
          <w:sz w:val="20"/>
          <w:szCs w:val="20"/>
          <w:highlight w:val="none"/>
          <w:u w:val="single"/>
          <w:lang w:val="zh-CN" w:eastAsia="zh-CN" w:bidi="zh-CN"/>
        </w:rPr>
        <w:t xml:space="preserve">             </w:t>
      </w:r>
      <w:r>
        <w:rPr>
          <w:rFonts w:hint="eastAsia" w:ascii="宋体" w:hAnsi="宋体" w:eastAsia="宋体" w:cs="宋体"/>
          <w:color w:val="auto"/>
          <w:sz w:val="20"/>
          <w:szCs w:val="20"/>
          <w:highlight w:val="none"/>
          <w:lang w:val="zh-CN" w:eastAsia="zh-CN" w:bidi="zh-CN"/>
        </w:rPr>
        <w:t>（标段名称）的投标文件。我方愿意无条件地、不可撤销地就承包人履行与你方订立的合同，向你方提供担保。</w:t>
      </w:r>
    </w:p>
    <w:p w14:paraId="28BE3A5C">
      <w:pPr>
        <w:pStyle w:val="39"/>
        <w:tabs>
          <w:tab w:val="left" w:pos="733"/>
          <w:tab w:val="left" w:pos="4879"/>
          <w:tab w:val="left" w:pos="7402"/>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担保金额人民币（大写）</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val="zh-CN" w:eastAsia="zh-CN" w:bidi="zh-CN"/>
        </w:rPr>
        <w:t>元（¥</w:t>
      </w:r>
      <w:r>
        <w:rPr>
          <w:rFonts w:hint="eastAsia"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元）</w:t>
      </w:r>
      <w:r>
        <w:rPr>
          <w:rFonts w:hint="eastAsia" w:ascii="宋体" w:hAnsi="宋体" w:eastAsia="宋体" w:cs="宋体"/>
          <w:color w:val="auto"/>
          <w:sz w:val="20"/>
          <w:szCs w:val="20"/>
          <w:highlight w:val="none"/>
          <w:vertAlign w:val="subscript"/>
          <w:lang w:eastAsia="zh-CN"/>
        </w:rPr>
        <w:t>o</w:t>
      </w:r>
    </w:p>
    <w:p w14:paraId="37741751">
      <w:pPr>
        <w:pStyle w:val="39"/>
        <w:tabs>
          <w:tab w:val="left" w:pos="697"/>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担保有效期自发包人与承包人签订的合同生效之日起至发包人签发工程完工证书之日止。</w:t>
      </w:r>
    </w:p>
    <w:p w14:paraId="2B1CA243">
      <w:pPr>
        <w:pStyle w:val="39"/>
        <w:tabs>
          <w:tab w:val="left" w:pos="736"/>
        </w:tabs>
        <w:spacing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3.</w:t>
      </w:r>
      <w:r>
        <w:rPr>
          <w:rFonts w:hint="eastAsia" w:ascii="宋体" w:hAnsi="宋体" w:eastAsia="宋体" w:cs="宋体"/>
          <w:color w:val="auto"/>
          <w:sz w:val="20"/>
          <w:szCs w:val="20"/>
          <w:highlight w:val="none"/>
          <w:lang w:val="zh-CN" w:eastAsia="zh-CN" w:bidi="zh-CN"/>
        </w:rPr>
        <w:t>在本担保有效期内，因承包人违反合同约定的义务给你方造成经济损失时，我方在收到你方以书面形式提出的在担保金额内的赔偿要求后，无条件地在7天内予以支付。</w:t>
      </w:r>
    </w:p>
    <w:p w14:paraId="1A7AE461">
      <w:pPr>
        <w:pStyle w:val="39"/>
        <w:tabs>
          <w:tab w:val="left" w:pos="740"/>
        </w:tabs>
        <w:spacing w:after="340" w:line="354" w:lineRule="exact"/>
        <w:ind w:firstLine="400" w:firstLineChars="200"/>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4.</w:t>
      </w:r>
      <w:r>
        <w:rPr>
          <w:rFonts w:hint="eastAsia" w:ascii="宋体" w:hAnsi="宋体" w:eastAsia="宋体" w:cs="宋体"/>
          <w:color w:val="auto"/>
          <w:sz w:val="20"/>
          <w:szCs w:val="20"/>
          <w:highlight w:val="none"/>
          <w:lang w:val="zh-CN" w:eastAsia="zh-CN" w:bidi="zh-CN"/>
        </w:rPr>
        <w:t>发包人和承包人按《通用合同条款》第15条变更合同时，我方承担本担保规定的义务不变。</w:t>
      </w:r>
    </w:p>
    <w:p w14:paraId="66005759">
      <w:pPr>
        <w:pStyle w:val="39"/>
        <w:jc w:val="right"/>
        <w:rPr>
          <w:rFonts w:eastAsia="宋体"/>
          <w:color w:val="auto"/>
          <w:sz w:val="20"/>
          <w:highlight w:val="none"/>
          <w:lang w:eastAsia="zh-CN"/>
        </w:rPr>
      </w:pPr>
      <w:r>
        <w:rPr>
          <w:rFonts w:hint="eastAsia" w:ascii="宋体" w:hAnsi="宋体" w:eastAsia="宋体" w:cs="宋体"/>
          <w:color w:val="auto"/>
          <w:sz w:val="20"/>
          <w:szCs w:val="20"/>
          <w:highlight w:val="none"/>
          <w:lang w:eastAsia="zh-CN"/>
        </w:rPr>
        <w:t xml:space="preserve">   </w:t>
      </w: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07936F24">
      <w:pPr>
        <w:pStyle w:val="39"/>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1D6564D1">
      <w:pPr>
        <w:pStyle w:val="39"/>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4968D714">
      <w:pPr>
        <w:pStyle w:val="39"/>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6501C708">
      <w:pPr>
        <w:pStyle w:val="39"/>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25A5AC01">
      <w:pPr>
        <w:pStyle w:val="39"/>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1A126EB1">
      <w:pPr>
        <w:pStyle w:val="39"/>
        <w:jc w:val="right"/>
        <w:rPr>
          <w:rFonts w:hint="eastAsia" w:ascii="宋体" w:hAnsi="宋体" w:eastAsia="宋体" w:cs="宋体"/>
          <w:color w:val="auto"/>
          <w:sz w:val="20"/>
          <w:szCs w:val="20"/>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ascii="宋体" w:hAnsi="宋体" w:eastAsia="宋体" w:cs="宋体"/>
          <w:color w:val="auto"/>
          <w:sz w:val="20"/>
          <w:szCs w:val="20"/>
          <w:highlight w:val="none"/>
          <w:lang w:eastAsia="zh-CN"/>
        </w:rPr>
        <w:t xml:space="preserve">    </w:t>
      </w:r>
    </w:p>
    <w:p w14:paraId="0E8E118B">
      <w:pPr>
        <w:pStyle w:val="39"/>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注：</w:t>
      </w:r>
    </w:p>
    <w:p w14:paraId="00F5FD10">
      <w:pPr>
        <w:pStyle w:val="39"/>
        <w:tabs>
          <w:tab w:val="left" w:pos="733"/>
        </w:tabs>
        <w:spacing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1.</w:t>
      </w:r>
      <w:r>
        <w:rPr>
          <w:rFonts w:hint="eastAsia" w:ascii="宋体" w:hAnsi="宋体" w:eastAsia="宋体" w:cs="宋体"/>
          <w:color w:val="auto"/>
          <w:sz w:val="20"/>
          <w:szCs w:val="20"/>
          <w:highlight w:val="none"/>
          <w:lang w:val="zh-CN" w:eastAsia="zh-CN" w:bidi="zh-CN"/>
        </w:rPr>
        <w:t>担保人必须是投标人单位基本账户的开户银行。</w:t>
      </w:r>
    </w:p>
    <w:p w14:paraId="6CC19166">
      <w:pPr>
        <w:pStyle w:val="39"/>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eastAsia="zh-CN" w:bidi="zh-CN"/>
        </w:rPr>
        <w:t>2.</w:t>
      </w:r>
      <w:r>
        <w:rPr>
          <w:rFonts w:hint="eastAsia" w:ascii="宋体" w:hAnsi="宋体" w:eastAsia="宋体" w:cs="宋体"/>
          <w:color w:val="auto"/>
          <w:sz w:val="20"/>
          <w:szCs w:val="20"/>
          <w:highlight w:val="none"/>
          <w:lang w:val="zh-CN" w:eastAsia="zh-CN" w:bidi="zh-CN"/>
        </w:rPr>
        <w:t>委托代理人应附授权委托书。</w:t>
      </w:r>
    </w:p>
    <w:p w14:paraId="737F7166">
      <w:pPr>
        <w:pStyle w:val="39"/>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2BF92A9B">
      <w:pPr>
        <w:pStyle w:val="39"/>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653C4B9A">
      <w:pPr>
        <w:pStyle w:val="39"/>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744D4093">
      <w:pPr>
        <w:pStyle w:val="39"/>
        <w:tabs>
          <w:tab w:val="left" w:pos="750"/>
        </w:tabs>
        <w:spacing w:after="340" w:line="354" w:lineRule="exact"/>
        <w:jc w:val="both"/>
        <w:rPr>
          <w:rFonts w:hint="eastAsia" w:ascii="宋体" w:hAnsi="宋体" w:eastAsia="宋体" w:cs="宋体"/>
          <w:color w:val="auto"/>
          <w:sz w:val="20"/>
          <w:szCs w:val="20"/>
          <w:highlight w:val="none"/>
          <w:lang w:val="zh-CN" w:eastAsia="zh-CN" w:bidi="zh-CN"/>
        </w:rPr>
      </w:pPr>
    </w:p>
    <w:p w14:paraId="6A67665E">
      <w:pPr>
        <w:pStyle w:val="39"/>
        <w:keepNext/>
        <w:keepLines/>
        <w:spacing w:before="280" w:after="290" w:line="372" w:lineRule="auto"/>
        <w:outlineLvl w:val="4"/>
        <w:rPr>
          <w:b/>
          <w:color w:val="auto"/>
          <w:sz w:val="28"/>
          <w:highlight w:val="none"/>
          <w:lang w:eastAsia="zh-CN"/>
        </w:rPr>
      </w:pPr>
      <w:bookmarkStart w:id="1046" w:name="_Toc28234"/>
      <w:bookmarkStart w:id="1047" w:name="_Toc12217"/>
      <w:r>
        <w:rPr>
          <w:rFonts w:hint="eastAsia" w:ascii="宋体" w:hAnsi="宋体" w:eastAsia="宋体" w:cs="宋体"/>
          <w:b/>
          <w:color w:val="auto"/>
          <w:sz w:val="28"/>
          <w:highlight w:val="none"/>
          <w:lang w:eastAsia="zh-CN"/>
        </w:rPr>
        <w:t>附件</w:t>
      </w:r>
      <w:r>
        <w:rPr>
          <w:rFonts w:hint="eastAsia" w:ascii="宋体" w:hAnsi="宋体" w:eastAsia="宋体" w:cs="宋体"/>
          <w:b/>
          <w:color w:val="auto"/>
          <w:sz w:val="28"/>
          <w:highlight w:val="none"/>
          <w:lang w:val="en-US" w:eastAsia="zh-CN"/>
        </w:rPr>
        <w:t>二</w:t>
      </w:r>
      <w:r>
        <w:rPr>
          <w:rFonts w:hint="eastAsia" w:ascii="宋体" w:hAnsi="宋体" w:eastAsia="宋体" w:cs="宋体"/>
          <w:b/>
          <w:color w:val="auto"/>
          <w:sz w:val="28"/>
          <w:highlight w:val="none"/>
          <w:lang w:eastAsia="zh-CN"/>
        </w:rPr>
        <w:t>：预付款担保函</w:t>
      </w:r>
      <w:bookmarkEnd w:id="1046"/>
      <w:bookmarkEnd w:id="1047"/>
    </w:p>
    <w:p w14:paraId="396F85EA">
      <w:pPr>
        <w:pStyle w:val="39"/>
        <w:spacing w:before="120" w:beforeLines="50"/>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预付款担保函</w:t>
      </w:r>
    </w:p>
    <w:p w14:paraId="630D5887">
      <w:pPr>
        <w:pStyle w:val="39"/>
        <w:jc w:val="center"/>
        <w:rPr>
          <w:b/>
          <w:color w:val="auto"/>
          <w:highlight w:val="none"/>
          <w:lang w:eastAsia="zh-CN"/>
        </w:rPr>
      </w:pPr>
    </w:p>
    <w:p w14:paraId="017F03F2">
      <w:pPr>
        <w:pStyle w:val="39"/>
        <w:tabs>
          <w:tab w:val="left" w:pos="1870"/>
        </w:tabs>
        <w:spacing w:after="34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（发包人名称）:</w:t>
      </w:r>
    </w:p>
    <w:p w14:paraId="6675E267">
      <w:pPr>
        <w:pStyle w:val="39"/>
        <w:tabs>
          <w:tab w:val="left" w:pos="1870"/>
          <w:tab w:val="left" w:pos="2707"/>
          <w:tab w:val="left" w:pos="5004"/>
          <w:tab w:val="left" w:pos="5033"/>
          <w:tab w:val="left" w:pos="6163"/>
          <w:tab w:val="left" w:pos="7322"/>
          <w:tab w:val="left" w:pos="8333"/>
        </w:tabs>
        <w:spacing w:after="120" w:line="355" w:lineRule="exact"/>
        <w:ind w:firstLine="420"/>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根据</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（承包人名称，以下称“承包人”）与</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 xml:space="preserve"> （发包人名称，以下简称“发包人”）于</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年</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月</w:t>
      </w:r>
      <w:r>
        <w:rPr>
          <w:rFonts w:hint="eastAsia" w:ascii="宋体" w:hAnsi="宋体" w:eastAsia="宋体" w:cs="宋体"/>
          <w:color w:val="auto"/>
          <w:sz w:val="20"/>
          <w:szCs w:val="20"/>
          <w:highlight w:val="none"/>
          <w:u w:val="single"/>
          <w:lang w:val="zh-CN" w:eastAsia="zh-CN" w:bidi="zh-CN"/>
        </w:rPr>
        <w:t xml:space="preserve">        </w:t>
      </w:r>
      <w:r>
        <w:rPr>
          <w:rFonts w:ascii="宋体" w:hAnsi="宋体" w:eastAsia="宋体" w:cs="宋体"/>
          <w:color w:val="auto"/>
          <w:sz w:val="20"/>
          <w:szCs w:val="20"/>
          <w:highlight w:val="none"/>
          <w:lang w:val="zh-CN" w:eastAsia="zh-CN" w:bidi="zh-CN"/>
        </w:rPr>
        <w:t xml:space="preserve">日签订的 </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（项目名称）</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（标段名称）合同协议书，承包人 按约定的金额向发包人提交一份预付款担保，即有权得到发包人支付相等金额的预付款。 我方愿意就你方提供给承包人的预付款提供担保。</w:t>
      </w:r>
    </w:p>
    <w:p w14:paraId="3CD522BB">
      <w:pPr>
        <w:pStyle w:val="39"/>
        <w:numPr>
          <w:ilvl w:val="0"/>
          <w:numId w:val="40"/>
        </w:numPr>
        <w:tabs>
          <w:tab w:val="left" w:pos="719"/>
          <w:tab w:val="left" w:pos="4879"/>
          <w:tab w:val="left" w:pos="7402"/>
        </w:tabs>
        <w:spacing w:line="372" w:lineRule="auto"/>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担保金额人民币（大写）</w:t>
      </w:r>
      <w:r>
        <w:rPr>
          <w:rFonts w:ascii="宋体" w:hAnsi="宋体" w:eastAsia="宋体" w:cs="宋体"/>
          <w:color w:val="auto"/>
          <w:sz w:val="20"/>
          <w:szCs w:val="20"/>
          <w:highlight w:val="none"/>
          <w:u w:val="single"/>
          <w:lang w:val="zh-CN" w:eastAsia="zh-CN" w:bidi="zh-CN"/>
        </w:rPr>
        <w:tab/>
      </w:r>
      <w:r>
        <w:rPr>
          <w:rFonts w:ascii="宋体" w:hAnsi="宋体" w:eastAsia="宋体" w:cs="宋体"/>
          <w:color w:val="auto"/>
          <w:sz w:val="20"/>
          <w:szCs w:val="20"/>
          <w:highlight w:val="none"/>
          <w:lang w:val="zh-CN" w:eastAsia="zh-CN" w:bidi="zh-CN"/>
        </w:rPr>
        <w:t>元（¥</w:t>
      </w:r>
      <w:r>
        <w:rPr>
          <w:rFonts w:ascii="宋体" w:hAnsi="宋体" w:eastAsia="宋体" w:cs="宋体"/>
          <w:color w:val="auto"/>
          <w:sz w:val="20"/>
          <w:szCs w:val="20"/>
          <w:highlight w:val="none"/>
          <w:u w:val="single"/>
          <w:lang w:val="zh-CN" w:eastAsia="zh-CN" w:bidi="zh-CN"/>
        </w:rPr>
        <w:tab/>
      </w:r>
      <w:r>
        <w:rPr>
          <w:rFonts w:hint="eastAsia" w:ascii="宋体" w:hAnsi="宋体" w:eastAsia="宋体" w:cs="宋体"/>
          <w:color w:val="auto"/>
          <w:sz w:val="20"/>
          <w:szCs w:val="20"/>
          <w:highlight w:val="none"/>
          <w:lang w:eastAsia="zh-CN"/>
        </w:rPr>
        <w:t>）</w:t>
      </w:r>
      <w:r>
        <w:rPr>
          <w:color w:val="auto"/>
          <w:sz w:val="20"/>
          <w:szCs w:val="20"/>
          <w:highlight w:val="none"/>
          <w:vertAlign w:val="subscript"/>
          <w:lang w:eastAsia="zh-CN"/>
        </w:rPr>
        <w:t>o</w:t>
      </w:r>
    </w:p>
    <w:p w14:paraId="2E13326E">
      <w:pPr>
        <w:pStyle w:val="39"/>
        <w:numPr>
          <w:ilvl w:val="0"/>
          <w:numId w:val="40"/>
        </w:numPr>
        <w:tabs>
          <w:tab w:val="left" w:pos="726"/>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担保有效期自预付款支付给承包人起生效，至发包人签发的进度付款证书说明已完全扣清止。</w:t>
      </w:r>
    </w:p>
    <w:p w14:paraId="0428E9B4">
      <w:pPr>
        <w:pStyle w:val="39"/>
        <w:numPr>
          <w:ilvl w:val="0"/>
          <w:numId w:val="40"/>
        </w:numPr>
        <w:tabs>
          <w:tab w:val="left" w:pos="731"/>
        </w:tabs>
        <w:spacing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在本担保有效期内，因承包人违反合同约定的义务而要求收回预付款时，我方在收到你方的书面通知后，无条件地在</w:t>
      </w:r>
      <w:r>
        <w:rPr>
          <w:color w:val="auto"/>
          <w:sz w:val="20"/>
          <w:szCs w:val="20"/>
          <w:highlight w:val="none"/>
          <w:lang w:val="zh-CN" w:eastAsia="zh-CN" w:bidi="zh-CN"/>
        </w:rPr>
        <w:t>7</w:t>
      </w:r>
      <w:r>
        <w:rPr>
          <w:rFonts w:ascii="宋体" w:hAnsi="宋体" w:eastAsia="宋体" w:cs="宋体"/>
          <w:color w:val="auto"/>
          <w:sz w:val="20"/>
          <w:szCs w:val="20"/>
          <w:highlight w:val="none"/>
          <w:lang w:val="zh-CN" w:eastAsia="zh-CN" w:bidi="zh-CN"/>
        </w:rPr>
        <w:t>天内予以支付。但本担保的担保金额，在任何时候不应超过预付款金额减去发包人按合同约定在向承包人签发的进度付款证书中已扣回的金额。发包人和承包人按《通用合同条款》第</w:t>
      </w:r>
      <w:r>
        <w:rPr>
          <w:color w:val="auto"/>
          <w:sz w:val="20"/>
          <w:szCs w:val="20"/>
          <w:highlight w:val="none"/>
          <w:lang w:val="zh-CN" w:eastAsia="zh-CN" w:bidi="zh-CN"/>
        </w:rPr>
        <w:t>15</w:t>
      </w:r>
      <w:r>
        <w:rPr>
          <w:rFonts w:ascii="宋体" w:hAnsi="宋体" w:eastAsia="宋体" w:cs="宋体"/>
          <w:color w:val="auto"/>
          <w:sz w:val="20"/>
          <w:szCs w:val="20"/>
          <w:highlight w:val="none"/>
          <w:lang w:val="zh-CN" w:eastAsia="zh-CN" w:bidi="zh-CN"/>
        </w:rPr>
        <w:t>条变更合同时，我方承担本担保规定的 义务不变。</w:t>
      </w:r>
    </w:p>
    <w:p w14:paraId="1D80672A">
      <w:pPr>
        <w:pStyle w:val="39"/>
        <w:tabs>
          <w:tab w:val="left" w:pos="731"/>
        </w:tabs>
        <w:spacing w:line="355" w:lineRule="exact"/>
        <w:ind w:left="420"/>
        <w:jc w:val="both"/>
        <w:rPr>
          <w:rFonts w:ascii="宋体" w:hAnsi="宋体" w:eastAsia="宋体" w:cs="宋体"/>
          <w:color w:val="auto"/>
          <w:sz w:val="20"/>
          <w:szCs w:val="20"/>
          <w:highlight w:val="none"/>
          <w:lang w:val="zh-CN" w:eastAsia="zh-CN" w:bidi="zh-CN"/>
        </w:rPr>
      </w:pPr>
    </w:p>
    <w:p w14:paraId="08D030D2">
      <w:pPr>
        <w:pStyle w:val="39"/>
        <w:jc w:val="right"/>
        <w:rPr>
          <w:rFonts w:eastAsia="宋体"/>
          <w:color w:val="auto"/>
          <w:sz w:val="20"/>
          <w:highlight w:val="none"/>
          <w:lang w:eastAsia="zh-CN"/>
        </w:rPr>
      </w:pPr>
      <w:r>
        <w:rPr>
          <w:rFonts w:hint="eastAsia" w:eastAsia="宋体"/>
          <w:color w:val="auto"/>
          <w:sz w:val="20"/>
          <w:highlight w:val="none"/>
          <w:lang w:eastAsia="zh-CN"/>
        </w:rPr>
        <w:t>担  保 人：</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（盖单位公章）</w:t>
      </w:r>
      <w:r>
        <w:rPr>
          <w:color w:val="auto"/>
          <w:sz w:val="20"/>
          <w:highlight w:val="none"/>
          <w:lang w:eastAsia="zh-CN"/>
        </w:rPr>
        <w:t xml:space="preserve"> </w:t>
      </w:r>
    </w:p>
    <w:p w14:paraId="5F50AA93">
      <w:pPr>
        <w:pStyle w:val="39"/>
        <w:jc w:val="right"/>
        <w:rPr>
          <w:rFonts w:eastAsia="宋体"/>
          <w:color w:val="auto"/>
          <w:sz w:val="20"/>
          <w:highlight w:val="none"/>
          <w:lang w:eastAsia="zh-CN"/>
        </w:rPr>
      </w:pPr>
      <w:r>
        <w:rPr>
          <w:rFonts w:hint="eastAsia" w:eastAsia="宋体"/>
          <w:color w:val="auto"/>
          <w:sz w:val="20"/>
          <w:highlight w:val="none"/>
          <w:lang w:eastAsia="zh-CN"/>
        </w:rPr>
        <w:t xml:space="preserve">           定代表人(或委托代理人)：</w:t>
      </w:r>
      <w:r>
        <w:rPr>
          <w:rFonts w:hint="eastAsia" w:eastAsia="宋体"/>
          <w:color w:val="auto"/>
          <w:sz w:val="20"/>
          <w:highlight w:val="none"/>
          <w:u w:val="single"/>
          <w:lang w:eastAsia="zh-CN"/>
        </w:rPr>
        <w:t xml:space="preserve">    </w:t>
      </w:r>
      <w:r>
        <w:rPr>
          <w:rFonts w:hint="eastAsia"/>
          <w:color w:val="auto"/>
          <w:sz w:val="20"/>
          <w:highlight w:val="none"/>
          <w:u w:val="single"/>
          <w:lang w:eastAsia="zh-CN"/>
        </w:rPr>
        <w:t xml:space="preserve"> </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（签字）</w:t>
      </w:r>
    </w:p>
    <w:p w14:paraId="50086FDE">
      <w:pPr>
        <w:pStyle w:val="39"/>
        <w:jc w:val="right"/>
        <w:rPr>
          <w:rFonts w:eastAsia="宋体"/>
          <w:color w:val="auto"/>
          <w:sz w:val="20"/>
          <w:highlight w:val="none"/>
          <w:lang w:eastAsia="zh-CN"/>
        </w:rPr>
      </w:pPr>
      <w:r>
        <w:rPr>
          <w:rFonts w:hint="eastAsia" w:eastAsia="宋体"/>
          <w:color w:val="auto"/>
          <w:sz w:val="20"/>
          <w:highlight w:val="none"/>
          <w:lang w:eastAsia="zh-CN"/>
        </w:rPr>
        <w:t>地       址：</w:t>
      </w:r>
      <w:r>
        <w:rPr>
          <w:rFonts w:hint="eastAsia" w:eastAsia="宋体"/>
          <w:color w:val="auto"/>
          <w:sz w:val="20"/>
          <w:highlight w:val="none"/>
          <w:u w:val="single"/>
          <w:lang w:eastAsia="zh-CN"/>
        </w:rPr>
        <w:t xml:space="preserve">                </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6F18B330">
      <w:pPr>
        <w:pStyle w:val="39"/>
        <w:jc w:val="right"/>
        <w:rPr>
          <w:rFonts w:eastAsia="宋体"/>
          <w:color w:val="auto"/>
          <w:sz w:val="20"/>
          <w:highlight w:val="none"/>
          <w:lang w:eastAsia="zh-CN"/>
        </w:rPr>
      </w:pPr>
      <w:r>
        <w:rPr>
          <w:rFonts w:hint="eastAsia" w:eastAsia="宋体"/>
          <w:color w:val="auto"/>
          <w:sz w:val="20"/>
          <w:highlight w:val="none"/>
          <w:lang w:eastAsia="zh-CN"/>
        </w:rPr>
        <w:t xml:space="preserve">        邮政编码：</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 </w:t>
      </w:r>
    </w:p>
    <w:p w14:paraId="2A81F6A0">
      <w:pPr>
        <w:pStyle w:val="39"/>
        <w:jc w:val="right"/>
        <w:rPr>
          <w:rFonts w:eastAsia="宋体"/>
          <w:color w:val="auto"/>
          <w:sz w:val="20"/>
          <w:highlight w:val="none"/>
          <w:u w:val="single"/>
          <w:lang w:eastAsia="zh-CN"/>
        </w:rPr>
      </w:pPr>
      <w:r>
        <w:rPr>
          <w:rFonts w:hint="eastAsia" w:eastAsia="宋体"/>
          <w:color w:val="auto"/>
          <w:sz w:val="20"/>
          <w:highlight w:val="none"/>
          <w:lang w:eastAsia="zh-CN"/>
        </w:rPr>
        <w:t xml:space="preserve">        电        话：</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284435D6">
      <w:pPr>
        <w:pStyle w:val="39"/>
        <w:jc w:val="right"/>
        <w:rPr>
          <w:rFonts w:eastAsia="宋体"/>
          <w:color w:val="auto"/>
          <w:sz w:val="20"/>
          <w:highlight w:val="none"/>
          <w:lang w:eastAsia="zh-CN"/>
        </w:rPr>
      </w:pPr>
      <w:r>
        <w:rPr>
          <w:rFonts w:hint="eastAsia" w:eastAsia="宋体"/>
          <w:color w:val="auto"/>
          <w:sz w:val="20"/>
          <w:highlight w:val="none"/>
          <w:lang w:eastAsia="zh-CN"/>
        </w:rPr>
        <w:t xml:space="preserve">        传        真：</w:t>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r>
        <w:rPr>
          <w:color w:val="auto"/>
          <w:sz w:val="20"/>
          <w:highlight w:val="none"/>
          <w:u w:val="single"/>
          <w:lang w:eastAsia="zh-CN"/>
        </w:rPr>
        <w:tab/>
      </w:r>
    </w:p>
    <w:p w14:paraId="46190992">
      <w:pPr>
        <w:pStyle w:val="39"/>
        <w:jc w:val="right"/>
        <w:rPr>
          <w:rFonts w:eastAsia="宋体"/>
          <w:color w:val="auto"/>
          <w:highlight w:val="none"/>
          <w:lang w:eastAsia="zh-CN"/>
        </w:rPr>
      </w:pP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年</w:t>
      </w:r>
      <w:r>
        <w:rPr>
          <w:color w:val="auto"/>
          <w:sz w:val="20"/>
          <w:highlight w:val="none"/>
          <w:u w:val="single"/>
          <w:lang w:eastAsia="zh-CN"/>
        </w:rPr>
        <w:tab/>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月</w:t>
      </w:r>
      <w:r>
        <w:rPr>
          <w:rFonts w:hint="eastAsia" w:eastAsia="宋体"/>
          <w:color w:val="auto"/>
          <w:sz w:val="20"/>
          <w:highlight w:val="none"/>
          <w:u w:val="single"/>
          <w:lang w:eastAsia="zh-CN"/>
        </w:rPr>
        <w:t xml:space="preserve">              </w:t>
      </w:r>
      <w:r>
        <w:rPr>
          <w:rFonts w:hint="eastAsia" w:eastAsia="宋体"/>
          <w:color w:val="auto"/>
          <w:sz w:val="20"/>
          <w:highlight w:val="none"/>
          <w:lang w:eastAsia="zh-CN"/>
        </w:rPr>
        <w:t xml:space="preserve">日 </w:t>
      </w:r>
      <w:r>
        <w:rPr>
          <w:rFonts w:hint="eastAsia" w:eastAsia="宋体"/>
          <w:color w:val="auto"/>
          <w:highlight w:val="none"/>
          <w:lang w:eastAsia="zh-CN"/>
        </w:rPr>
        <w:t xml:space="preserve">    </w:t>
      </w:r>
    </w:p>
    <w:p w14:paraId="0E497DD9">
      <w:pPr>
        <w:pStyle w:val="39"/>
        <w:tabs>
          <w:tab w:val="left" w:pos="726"/>
        </w:tabs>
        <w:spacing w:after="340" w:line="355" w:lineRule="exact"/>
        <w:jc w:val="both"/>
        <w:rPr>
          <w:rFonts w:ascii="宋体" w:hAnsi="宋体" w:eastAsia="宋体" w:cs="宋体"/>
          <w:color w:val="auto"/>
          <w:sz w:val="20"/>
          <w:szCs w:val="20"/>
          <w:highlight w:val="none"/>
          <w:lang w:val="zh-CN" w:eastAsia="zh-CN" w:bidi="zh-CN"/>
        </w:rPr>
      </w:pPr>
      <w:r>
        <w:rPr>
          <w:rFonts w:ascii="宋体" w:hAnsi="宋体" w:eastAsia="宋体" w:cs="宋体"/>
          <w:color w:val="auto"/>
          <w:sz w:val="20"/>
          <w:szCs w:val="20"/>
          <w:highlight w:val="none"/>
          <w:lang w:val="zh-CN" w:eastAsia="zh-CN" w:bidi="zh-CN"/>
        </w:rPr>
        <w:t>注：</w:t>
      </w:r>
    </w:p>
    <w:p w14:paraId="4589D673">
      <w:pPr>
        <w:pStyle w:val="39"/>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1．</w:t>
      </w:r>
      <w:r>
        <w:rPr>
          <w:rFonts w:ascii="宋体" w:hAnsi="宋体" w:eastAsia="宋体" w:cs="宋体"/>
          <w:color w:val="auto"/>
          <w:sz w:val="20"/>
          <w:szCs w:val="20"/>
          <w:highlight w:val="none"/>
          <w:lang w:val="zh-CN" w:eastAsia="zh-CN" w:bidi="zh-CN"/>
        </w:rPr>
        <w:t>担保人必须是投标人单位基本账户的开户银行。</w:t>
      </w:r>
    </w:p>
    <w:p w14:paraId="455D53B8">
      <w:pPr>
        <w:pStyle w:val="39"/>
        <w:rPr>
          <w:rFonts w:ascii="宋体" w:hAnsi="宋体" w:eastAsia="宋体" w:cs="宋体"/>
          <w:color w:val="auto"/>
          <w:sz w:val="20"/>
          <w:szCs w:val="20"/>
          <w:highlight w:val="none"/>
          <w:lang w:val="zh-CN" w:eastAsia="zh-CN" w:bidi="zh-CN"/>
        </w:rPr>
      </w:pPr>
      <w:r>
        <w:rPr>
          <w:rFonts w:hint="eastAsia" w:ascii="宋体" w:hAnsi="宋体" w:eastAsia="宋体" w:cs="宋体"/>
          <w:color w:val="auto"/>
          <w:sz w:val="20"/>
          <w:szCs w:val="20"/>
          <w:highlight w:val="none"/>
          <w:lang w:val="zh-CN" w:eastAsia="zh-CN" w:bidi="zh-CN"/>
        </w:rPr>
        <w:t>2．</w:t>
      </w:r>
      <w:r>
        <w:rPr>
          <w:rFonts w:ascii="宋体" w:hAnsi="宋体" w:eastAsia="宋体" w:cs="宋体"/>
          <w:color w:val="auto"/>
          <w:sz w:val="20"/>
          <w:szCs w:val="20"/>
          <w:highlight w:val="none"/>
          <w:lang w:val="zh-CN" w:eastAsia="zh-CN" w:bidi="zh-CN"/>
        </w:rPr>
        <w:t>委托代理人应附授权委托书</w:t>
      </w:r>
    </w:p>
    <w:p w14:paraId="1FB740AA">
      <w:pPr>
        <w:pStyle w:val="39"/>
        <w:rPr>
          <w:rFonts w:hint="eastAsia" w:ascii="宋体" w:hAnsi="宋体" w:eastAsia="宋体" w:cs="宋体"/>
          <w:color w:val="auto"/>
          <w:sz w:val="20"/>
          <w:szCs w:val="20"/>
          <w:highlight w:val="none"/>
          <w:lang w:val="zh-CN" w:eastAsia="zh-CN" w:bidi="zh-CN"/>
        </w:rPr>
      </w:pPr>
    </w:p>
    <w:p w14:paraId="54A9F5FE">
      <w:pPr>
        <w:pStyle w:val="40"/>
        <w:rPr>
          <w:rFonts w:hint="eastAsia"/>
          <w:color w:val="auto"/>
          <w:sz w:val="20"/>
          <w:szCs w:val="20"/>
          <w:highlight w:val="none"/>
          <w:lang w:eastAsia="zh-CN"/>
        </w:rPr>
      </w:pPr>
      <w:r>
        <w:rPr>
          <w:rFonts w:hint="eastAsia"/>
          <w:color w:val="auto"/>
          <w:sz w:val="20"/>
          <w:szCs w:val="20"/>
          <w:highlight w:val="none"/>
          <w:lang w:eastAsia="zh-CN"/>
        </w:rPr>
        <w:t xml:space="preserve"> </w:t>
      </w:r>
    </w:p>
    <w:p w14:paraId="0A8753E5">
      <w:pPr>
        <w:spacing w:line="520" w:lineRule="exact"/>
        <w:ind w:firstLine="420" w:firstLineChars="200"/>
        <w:rPr>
          <w:rFonts w:ascii="宋体" w:hAnsi="宋体" w:cs="宋体"/>
          <w:color w:val="auto"/>
          <w:szCs w:val="21"/>
          <w:highlight w:val="none"/>
        </w:rPr>
      </w:pPr>
    </w:p>
    <w:p w14:paraId="1FD3CECA">
      <w:pPr>
        <w:tabs>
          <w:tab w:val="left" w:pos="7380"/>
        </w:tabs>
        <w:spacing w:line="360" w:lineRule="auto"/>
        <w:rPr>
          <w:rFonts w:hint="eastAsia" w:ascii="宋体" w:hAnsi="宋体" w:eastAsia="宋体" w:cs="宋体"/>
          <w:b/>
          <w:bCs/>
          <w:color w:val="auto"/>
          <w:sz w:val="44"/>
          <w:highlight w:val="none"/>
        </w:rPr>
        <w:sectPr>
          <w:headerReference r:id="rId16" w:type="default"/>
          <w:footerReference r:id="rId17" w:type="default"/>
          <w:pgSz w:w="11907" w:h="16840"/>
          <w:pgMar w:top="1440" w:right="1440" w:bottom="1440" w:left="1797" w:header="851" w:footer="851" w:gutter="0"/>
          <w:cols w:space="720" w:num="1"/>
          <w:docGrid w:linePitch="312" w:charSpace="0"/>
        </w:sectPr>
      </w:pPr>
    </w:p>
    <w:p w14:paraId="37218D2A">
      <w:pPr>
        <w:pStyle w:val="3"/>
        <w:jc w:val="center"/>
        <w:rPr>
          <w:rFonts w:hint="default" w:eastAsia="宋体"/>
          <w:color w:val="auto"/>
          <w:highlight w:val="none"/>
          <w:lang w:val="en-US" w:eastAsia="zh-CN"/>
        </w:rPr>
      </w:pPr>
      <w:bookmarkStart w:id="1048" w:name="_Toc13697"/>
      <w:bookmarkStart w:id="1049" w:name="_Toc28511"/>
      <w:bookmarkStart w:id="1050" w:name="_Toc18563"/>
      <w:bookmarkStart w:id="1051" w:name="_Toc20243"/>
      <w:bookmarkStart w:id="1052"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048"/>
      <w:bookmarkEnd w:id="1049"/>
      <w:bookmarkEnd w:id="1050"/>
      <w:bookmarkEnd w:id="1051"/>
      <w:bookmarkEnd w:id="1052"/>
    </w:p>
    <w:p w14:paraId="05A758B2">
      <w:pPr>
        <w:tabs>
          <w:tab w:val="left" w:pos="3261"/>
        </w:tabs>
        <w:spacing w:line="360" w:lineRule="auto"/>
        <w:contextualSpacing/>
        <w:jc w:val="center"/>
        <w:rPr>
          <w:rFonts w:hint="eastAsia" w:ascii="宋体" w:hAnsi="宋体" w:eastAsia="宋体" w:cs="宋体"/>
          <w:b/>
          <w:color w:val="auto"/>
          <w:sz w:val="44"/>
          <w:szCs w:val="4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2FEE3456">
      <w:pPr>
        <w:pStyle w:val="3"/>
        <w:jc w:val="center"/>
        <w:rPr>
          <w:rFonts w:hint="eastAsia"/>
          <w:color w:val="auto"/>
          <w:highlight w:val="none"/>
        </w:rPr>
      </w:pPr>
      <w:bookmarkStart w:id="1053" w:name="_Toc948"/>
      <w:bookmarkStart w:id="1054" w:name="_Toc11341"/>
      <w:bookmarkStart w:id="1055" w:name="_Toc6522"/>
      <w:bookmarkStart w:id="1056" w:name="_Toc31581"/>
      <w:bookmarkStart w:id="1057" w:name="_Toc20643"/>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053"/>
      <w:bookmarkEnd w:id="1054"/>
      <w:bookmarkEnd w:id="1055"/>
      <w:bookmarkEnd w:id="1056"/>
      <w:bookmarkEnd w:id="1057"/>
    </w:p>
    <w:p w14:paraId="01AFE706">
      <w:pPr>
        <w:pStyle w:val="25"/>
        <w:rPr>
          <w:rFonts w:hint="eastAsia"/>
          <w:color w:val="auto"/>
          <w:highlight w:val="none"/>
        </w:rPr>
      </w:pPr>
    </w:p>
    <w:p w14:paraId="08DCE03E">
      <w:pPr>
        <w:rPr>
          <w:rFonts w:hint="eastAsia"/>
          <w:color w:val="auto"/>
          <w:highlight w:val="none"/>
        </w:rPr>
      </w:pPr>
    </w:p>
    <w:p w14:paraId="19CBF76F">
      <w:pPr>
        <w:pStyle w:val="25"/>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14:paraId="5476D7B2">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058" w:name="_Toc7745"/>
      <w:bookmarkStart w:id="1059" w:name="_Toc24083"/>
      <w:bookmarkStart w:id="1060" w:name="_Toc11110"/>
      <w:bookmarkStart w:id="1061" w:name="_Toc5640"/>
      <w:bookmarkStart w:id="1062" w:name="_Toc1166"/>
      <w:bookmarkStart w:id="1063" w:name="_Toc24715"/>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058"/>
      <w:bookmarkEnd w:id="1059"/>
      <w:bookmarkEnd w:id="1060"/>
      <w:bookmarkEnd w:id="1061"/>
      <w:bookmarkEnd w:id="1062"/>
      <w:bookmarkEnd w:id="1063"/>
    </w:p>
    <w:p w14:paraId="7533294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088AF668">
      <w:pPr>
        <w:pStyle w:val="17"/>
        <w:spacing w:line="360" w:lineRule="auto"/>
        <w:ind w:firstLine="482" w:firstLineChars="200"/>
        <w:contextualSpacing/>
        <w:rPr>
          <w:rFonts w:hint="eastAsia" w:ascii="宋体" w:hAnsi="宋体" w:eastAsia="宋体" w:cs="宋体"/>
          <w:b/>
          <w:bCs/>
          <w:color w:val="auto"/>
          <w:sz w:val="24"/>
          <w:szCs w:val="24"/>
          <w:highlight w:val="none"/>
        </w:rPr>
      </w:pPr>
    </w:p>
    <w:p w14:paraId="4A9F9818">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5DE00338">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CDF850B">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C6C8C24">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7B5BE5E">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7021962A">
      <w:pPr>
        <w:pStyle w:val="17"/>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D59D498">
      <w:pPr>
        <w:pStyle w:val="17"/>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0FFCBBF">
      <w:pPr>
        <w:pStyle w:val="17"/>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1233C42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62C5067E">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62269F7">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31C83FAD">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26C7BAC7">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5F3F1D26">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E8888C0">
      <w:pPr>
        <w:pStyle w:val="17"/>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8BA90B6">
      <w:pPr>
        <w:pStyle w:val="17"/>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F96B91B">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00486AD">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685907C2">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4CF8AC84">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6385CD10">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3374B23">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742A20C8">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4CEAD7A9">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5FCAA48A">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E79F31C">
      <w:pPr>
        <w:pStyle w:val="17"/>
        <w:spacing w:line="360" w:lineRule="auto"/>
        <w:ind w:left="25" w:leftChars="12" w:firstLine="352" w:firstLineChars="147"/>
        <w:contextualSpacing/>
        <w:rPr>
          <w:rFonts w:hint="eastAsia" w:ascii="宋体" w:hAnsi="宋体" w:eastAsia="宋体" w:cs="宋体"/>
          <w:color w:val="auto"/>
          <w:sz w:val="24"/>
          <w:szCs w:val="24"/>
          <w:highlight w:val="none"/>
        </w:rPr>
      </w:pPr>
    </w:p>
    <w:p w14:paraId="15388AE8">
      <w:pPr>
        <w:pStyle w:val="17"/>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98AA403">
      <w:pPr>
        <w:pStyle w:val="17"/>
        <w:spacing w:line="360" w:lineRule="auto"/>
        <w:contextualSpacing/>
        <w:rPr>
          <w:rFonts w:hint="eastAsia" w:ascii="宋体" w:hAnsi="宋体" w:eastAsia="宋体" w:cs="宋体"/>
          <w:b/>
          <w:color w:val="auto"/>
          <w:sz w:val="24"/>
          <w:szCs w:val="24"/>
          <w:highlight w:val="none"/>
          <w:lang w:eastAsia="zh-CN"/>
        </w:rPr>
      </w:pPr>
    </w:p>
    <w:p w14:paraId="42AC8614">
      <w:pPr>
        <w:pStyle w:val="17"/>
        <w:spacing w:line="360" w:lineRule="auto"/>
        <w:contextualSpacing/>
        <w:rPr>
          <w:rFonts w:hint="eastAsia" w:ascii="宋体" w:hAnsi="宋体" w:eastAsia="宋体" w:cs="宋体"/>
          <w:b/>
          <w:color w:val="auto"/>
          <w:sz w:val="24"/>
          <w:szCs w:val="24"/>
          <w:highlight w:val="none"/>
          <w:lang w:eastAsia="zh-CN"/>
        </w:rPr>
      </w:pPr>
    </w:p>
    <w:p w14:paraId="34C82F87">
      <w:pPr>
        <w:pStyle w:val="17"/>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5C27C9C3">
      <w:pPr>
        <w:pStyle w:val="17"/>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D01A090">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2FA7B7A">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44115AAE">
      <w:pPr>
        <w:pStyle w:val="17"/>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653CE056">
      <w:pPr>
        <w:pStyle w:val="17"/>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603B1202">
      <w:pPr>
        <w:pStyle w:val="17"/>
        <w:snapToGrid w:val="0"/>
        <w:spacing w:line="360" w:lineRule="auto"/>
        <w:rPr>
          <w:rFonts w:hint="eastAsia" w:ascii="宋体" w:hAnsi="宋体" w:eastAsia="宋体" w:cs="宋体"/>
          <w:b/>
          <w:color w:val="auto"/>
          <w:sz w:val="24"/>
          <w:szCs w:val="24"/>
          <w:highlight w:val="none"/>
        </w:rPr>
      </w:pPr>
    </w:p>
    <w:p w14:paraId="25521D0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14:paraId="378855F3">
      <w:pPr>
        <w:pStyle w:val="17"/>
        <w:snapToGrid w:val="0"/>
        <w:spacing w:line="360" w:lineRule="auto"/>
        <w:ind w:firstLine="482" w:firstLineChars="200"/>
        <w:rPr>
          <w:rFonts w:hint="eastAsia" w:ascii="宋体" w:hAnsi="宋体" w:eastAsia="宋体" w:cs="宋体"/>
          <w:b/>
          <w:bCs/>
          <w:color w:val="auto"/>
          <w:sz w:val="24"/>
          <w:szCs w:val="24"/>
          <w:highlight w:val="none"/>
        </w:rPr>
      </w:pPr>
    </w:p>
    <w:p w14:paraId="3E62174A">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01D0045A">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093F5FC">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AFB6A88">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53163A25">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302D755">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EDFBE1D">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7D0DC39B">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14B9FF">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69A79B7">
      <w:pPr>
        <w:pStyle w:val="17"/>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3E07D32">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FAE13AE">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17F4E2C6">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506B924">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33EFF5AB">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1259269D">
      <w:pPr>
        <w:pStyle w:val="17"/>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6E891417">
      <w:pPr>
        <w:pStyle w:val="17"/>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151E4256">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14B9A9B6">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5326A1C">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DB490CD">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65E18A12">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01E71DED">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4412B277">
      <w:pPr>
        <w:pStyle w:val="17"/>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973E463">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4D7813B8">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096B9A5">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B705DDC">
      <w:pPr>
        <w:pStyle w:val="17"/>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138D81D2">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056F4D84">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084C0786">
      <w:pPr>
        <w:pStyle w:val="17"/>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AFDAEE8">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6CCB31B">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13EEB4B6">
      <w:pPr>
        <w:pStyle w:val="17"/>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BDA1F0B">
      <w:pPr>
        <w:pStyle w:val="17"/>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04504358">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56FBEA0E">
      <w:pPr>
        <w:pStyle w:val="17"/>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167A92F5">
      <w:pPr>
        <w:pStyle w:val="17"/>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735A87FE">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3681455">
      <w:pPr>
        <w:pStyle w:val="17"/>
        <w:spacing w:line="360" w:lineRule="auto"/>
        <w:ind w:left="25" w:leftChars="12" w:firstLine="352" w:firstLineChars="147"/>
        <w:rPr>
          <w:rFonts w:hint="eastAsia" w:ascii="宋体" w:hAnsi="宋体" w:eastAsia="宋体" w:cs="宋体"/>
          <w:color w:val="auto"/>
          <w:sz w:val="24"/>
          <w:szCs w:val="24"/>
          <w:highlight w:val="none"/>
        </w:rPr>
      </w:pPr>
    </w:p>
    <w:p w14:paraId="486417A4">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27AD9DA6">
      <w:pPr>
        <w:pStyle w:val="17"/>
        <w:spacing w:line="360" w:lineRule="auto"/>
        <w:ind w:left="25" w:leftChars="12" w:firstLine="352" w:firstLineChars="147"/>
        <w:rPr>
          <w:rFonts w:hint="eastAsia" w:ascii="宋体" w:hAnsi="宋体" w:eastAsia="宋体" w:cs="宋体"/>
          <w:color w:val="auto"/>
          <w:sz w:val="24"/>
          <w:szCs w:val="24"/>
          <w:highlight w:val="none"/>
        </w:rPr>
      </w:pPr>
    </w:p>
    <w:p w14:paraId="48DFBE4A">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D89DFFA">
      <w:pPr>
        <w:pStyle w:val="17"/>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2AA6B06B">
      <w:pPr>
        <w:pStyle w:val="17"/>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DB06C41">
      <w:pPr>
        <w:pStyle w:val="17"/>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346486D8">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F7BE7F">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B9CBD79">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5112D11B">
      <w:pPr>
        <w:pStyle w:val="17"/>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47D8B136">
      <w:pPr>
        <w:pStyle w:val="17"/>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0F693683">
      <w:pPr>
        <w:rPr>
          <w:rFonts w:hint="eastAsia"/>
          <w:color w:val="auto"/>
          <w:highlight w:val="none"/>
        </w:rPr>
      </w:pPr>
    </w:p>
    <w:p w14:paraId="360F0AF8">
      <w:pPr>
        <w:rPr>
          <w:rFonts w:hint="eastAsia"/>
          <w:color w:val="auto"/>
          <w:highlight w:val="none"/>
        </w:rPr>
      </w:pPr>
    </w:p>
    <w:p w14:paraId="34E38D8C">
      <w:pPr>
        <w:rPr>
          <w:color w:val="auto"/>
          <w:highlight w:val="none"/>
        </w:rPr>
      </w:pPr>
    </w:p>
    <w:sectPr>
      <w:footerReference r:id="rId20" w:type="first"/>
      <w:headerReference r:id="rId18" w:type="default"/>
      <w:footerReference r:id="rId19"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9FEA">
    <w:pPr>
      <w:pStyle w:val="2"/>
      <w:tabs>
        <w:tab w:val="center" w:pos="4439"/>
        <w:tab w:val="clear" w:pos="4153"/>
      </w:tabs>
      <w:jc w:val="both"/>
    </w:pPr>
  </w:p>
  <w:p w14:paraId="38D46BD9">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1B2F">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4BC66">
                          <w:pPr>
                            <w:pStyle w:val="2"/>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4BB4BC66">
                    <w:pPr>
                      <w:pStyle w:val="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D2E0">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1FCCC8">
                          <w:pPr>
                            <w:pStyle w:val="2"/>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1FCCC8">
                    <w:pPr>
                      <w:pStyle w:val="2"/>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2D062DCA">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0AA1">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0C0C2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0C0C29">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7DE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EF1B">
    <w:pPr>
      <w:pStyle w:val="2"/>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7A1D94"/>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5A7A1D94"/>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947A3">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682B6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7682B6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8FB778A">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50A1">
    <w:pPr>
      <w:pStyle w:val="2"/>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94C0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2494C0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12A914CB">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0C87">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7465E">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317465E">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9F9C">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BE3BB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57BE3BB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14:paraId="41BFD610">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0732">
    <w:pPr>
      <w:pStyle w:val="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14:paraId="26940B1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AgOqZbNAQAAlwMAAA4AAAAAAAAAAQAgAAAAHwEAAGRycy9l&#10;Mm9Eb2MueG1sUEsFBgAAAAAGAAYAWQEAAF4FAAAAAA==&#10;">
              <v:fill on="f" focussize="0,0"/>
              <v:stroke on="f"/>
              <v:imagedata o:title=""/>
              <o:lock v:ext="edit" aspectratio="f"/>
              <v:textbox inset="0mm,0mm,0mm,0mm" style="mso-fit-shape-to-text:t;">
                <w:txbxContent>
                  <w:p w14:paraId="26940B1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80EB">
    <w:pPr>
      <w:pStyle w:val="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67310"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4DAE7E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540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6s1RdAAAAADAQAADwAAAAAAAAABACAAAAAiAAAAZHJzL2Rvd25y&#10;ZXYueG1sUEsBAhQAFAAAAAgAh07iQCf8GMrNAQAAlgMAAA4AAAAAAAAAAQAgAAAAHwEAAGRycy9l&#10;Mm9Eb2MueG1sUEsFBgAAAAAGAAYAWQEAAF4FAAAAAA==&#10;">
              <v:fill on="f" focussize="0,0"/>
              <v:stroke on="f"/>
              <v:imagedata o:title=""/>
              <o:lock v:ext="edit" aspectratio="f"/>
              <v:textbox inset="0mm,0mm,0mm,0mm" style="mso-fit-shape-to-text:t;">
                <w:txbxContent>
                  <w:p w14:paraId="4DAE7E6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9825">
    <w:pPr>
      <w:pStyle w:val="21"/>
      <w:rPr>
        <w:color w:val="auto"/>
      </w:rPr>
    </w:pPr>
    <w:r>
      <w:rPr>
        <w:rFonts w:hint="eastAsia"/>
        <w:color w:val="auto"/>
      </w:rPr>
      <w:t>南宁市政府采购竞争性磋商采购文件（项目编号：</w:t>
    </w:r>
    <w:r>
      <w:rPr>
        <w:rFonts w:hint="eastAsia"/>
        <w:color w:val="auto"/>
        <w:lang w:eastAsia="zh-CN"/>
      </w:rPr>
      <w:t>NNZC2024-C2-260291-GXXM</w:t>
    </w:r>
    <w:r>
      <w:rPr>
        <w:rFonts w:hint="eastAsia"/>
        <w:color w:val="auto"/>
      </w:rPr>
      <w:t>）</w:t>
    </w:r>
  </w:p>
  <w:p w14:paraId="295414C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84654">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E66A">
    <w:pPr>
      <w:pStyle w:val="21"/>
      <w:rPr>
        <w:color w:val="auto"/>
      </w:rPr>
    </w:pPr>
    <w:r>
      <w:rPr>
        <w:rFonts w:hint="eastAsia"/>
        <w:color w:val="auto"/>
      </w:rPr>
      <w:t>南宁市政府采购竞争性磋商采购文件（项目编号：</w:t>
    </w:r>
    <w:r>
      <w:rPr>
        <w:rFonts w:hint="eastAsia"/>
        <w:color w:val="auto"/>
        <w:lang w:eastAsia="zh-CN"/>
      </w:rPr>
      <w:t>NNZC2024-C2-260291-GXXM</w:t>
    </w:r>
    <w:r>
      <w:rPr>
        <w:rFonts w:hint="eastAsia"/>
        <w:color w:val="auto"/>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D456">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A2DB">
    <w:pPr>
      <w:pStyle w:val="21"/>
      <w:rPr>
        <w:color w:val="auto"/>
      </w:rPr>
    </w:pPr>
    <w:r>
      <w:rPr>
        <w:rFonts w:hint="eastAsia"/>
        <w:color w:val="auto"/>
      </w:rPr>
      <w:t>南宁市政府采购竞争性磋商采购文件（项目编号：</w:t>
    </w:r>
    <w:r>
      <w:rPr>
        <w:rFonts w:hint="eastAsia"/>
        <w:color w:val="auto"/>
        <w:lang w:eastAsia="zh-CN"/>
      </w:rPr>
      <w:t>NNZC2024-C2-260291-GXXM</w:t>
    </w:r>
    <w:r>
      <w:rPr>
        <w:rFonts w:hint="eastAsia"/>
        <w:color w:val="auto"/>
      </w:rPr>
      <w:t>）</w:t>
    </w:r>
  </w:p>
  <w:p w14:paraId="0AFFDB18">
    <w:pPr>
      <w:pStyle w:val="2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5C69">
    <w:pPr>
      <w:pStyle w:val="21"/>
    </w:pPr>
    <w:r>
      <w:rPr>
        <w:rFonts w:hint="eastAsia"/>
        <w:color w:val="auto"/>
      </w:rPr>
      <w:t>南宁市政府采购竞争性磋商采购文件（项目编号：</w:t>
    </w:r>
    <w:r>
      <w:rPr>
        <w:rFonts w:hint="eastAsia"/>
        <w:color w:val="auto"/>
        <w:lang w:eastAsia="zh-CN"/>
      </w:rPr>
      <w:t>NNZC2024-C2-260291-GXXM</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17A7E"/>
    <w:multiLevelType w:val="singleLevel"/>
    <w:tmpl w:val="9A917A7E"/>
    <w:lvl w:ilvl="0" w:tentative="0">
      <w:start w:val="1"/>
      <w:numFmt w:val="decimal"/>
      <w:lvlText w:val="(%1)"/>
      <w:lvlJc w:val="left"/>
      <w:pPr>
        <w:ind w:left="425" w:hanging="425"/>
      </w:pPr>
      <w:rPr>
        <w:rFonts w:hint="default" w:ascii="Times New Roman" w:hAnsi="Times New Roman" w:cs="Times New Roman"/>
      </w:rPr>
    </w:lvl>
  </w:abstractNum>
  <w:abstractNum w:abstractNumId="1">
    <w:nsid w:val="9EA5C573"/>
    <w:multiLevelType w:val="singleLevel"/>
    <w:tmpl w:val="9EA5C573"/>
    <w:lvl w:ilvl="0" w:tentative="0">
      <w:start w:val="1"/>
      <w:numFmt w:val="decimal"/>
      <w:lvlText w:val="(%1)"/>
      <w:lvlJc w:val="left"/>
      <w:pPr>
        <w:ind w:left="425" w:hanging="425"/>
      </w:pPr>
      <w:rPr>
        <w:rFonts w:hint="default" w:ascii="Times New Roman" w:hAnsi="Times New Roman" w:cs="Times New Roman"/>
      </w:rPr>
    </w:lvl>
  </w:abstractNum>
  <w:abstractNum w:abstractNumId="2">
    <w:nsid w:val="BCB2B6E0"/>
    <w:multiLevelType w:val="singleLevel"/>
    <w:tmpl w:val="BCB2B6E0"/>
    <w:lvl w:ilvl="0" w:tentative="0">
      <w:start w:val="1"/>
      <w:numFmt w:val="decimal"/>
      <w:lvlText w:val="%1."/>
      <w:lvlJc w:val="left"/>
      <w:pPr>
        <w:tabs>
          <w:tab w:val="left" w:pos="312"/>
        </w:tabs>
      </w:pPr>
    </w:lvl>
  </w:abstractNum>
  <w:abstractNum w:abstractNumId="3">
    <w:nsid w:val="C64D32C9"/>
    <w:multiLevelType w:val="singleLevel"/>
    <w:tmpl w:val="C64D32C9"/>
    <w:lvl w:ilvl="0" w:tentative="0">
      <w:start w:val="1"/>
      <w:numFmt w:val="decimal"/>
      <w:lvlText w:val="(%1)"/>
      <w:lvlJc w:val="left"/>
      <w:pPr>
        <w:ind w:left="425" w:hanging="425"/>
      </w:pPr>
      <w:rPr>
        <w:rFonts w:hint="default" w:ascii="Times New Roman" w:hAnsi="Times New Roman" w:cs="Times New Roman"/>
      </w:rPr>
    </w:lvl>
  </w:abstractNum>
  <w:abstractNum w:abstractNumId="4">
    <w:nsid w:val="C7D9DF2F"/>
    <w:multiLevelType w:val="singleLevel"/>
    <w:tmpl w:val="C7D9DF2F"/>
    <w:lvl w:ilvl="0" w:tentative="0">
      <w:start w:val="1"/>
      <w:numFmt w:val="decimal"/>
      <w:lvlText w:val="(%1)"/>
      <w:lvlJc w:val="left"/>
      <w:pPr>
        <w:ind w:left="425" w:hanging="425"/>
      </w:pPr>
      <w:rPr>
        <w:rFonts w:hint="default" w:ascii="Times New Roman" w:hAnsi="Times New Roman" w:cs="Times New Roman"/>
      </w:rPr>
    </w:lvl>
  </w:abstractNum>
  <w:abstractNum w:abstractNumId="5">
    <w:nsid w:val="CADA8C1B"/>
    <w:multiLevelType w:val="singleLevel"/>
    <w:tmpl w:val="CADA8C1B"/>
    <w:lvl w:ilvl="0" w:tentative="0">
      <w:start w:val="1"/>
      <w:numFmt w:val="decimal"/>
      <w:lvlText w:val="(%1)"/>
      <w:lvlJc w:val="left"/>
      <w:pPr>
        <w:ind w:left="425" w:hanging="425"/>
      </w:pPr>
      <w:rPr>
        <w:rFonts w:hint="default" w:ascii="Times New Roman" w:hAnsi="Times New Roman" w:cs="Times New Roman"/>
      </w:rPr>
    </w:lvl>
  </w:abstractNum>
  <w:abstractNum w:abstractNumId="6">
    <w:nsid w:val="E2006295"/>
    <w:multiLevelType w:val="singleLevel"/>
    <w:tmpl w:val="E2006295"/>
    <w:lvl w:ilvl="0" w:tentative="0">
      <w:start w:val="1"/>
      <w:numFmt w:val="decimal"/>
      <w:lvlText w:val="(%1)"/>
      <w:lvlJc w:val="left"/>
      <w:pPr>
        <w:ind w:left="425" w:hanging="425"/>
      </w:pPr>
      <w:rPr>
        <w:rFonts w:hint="default" w:ascii="Times New Roman" w:hAnsi="Times New Roman" w:cs="Times New Roman"/>
      </w:rPr>
    </w:lvl>
  </w:abstractNum>
  <w:abstractNum w:abstractNumId="7">
    <w:nsid w:val="E65DA171"/>
    <w:multiLevelType w:val="singleLevel"/>
    <w:tmpl w:val="E65DA171"/>
    <w:lvl w:ilvl="0" w:tentative="0">
      <w:start w:val="1"/>
      <w:numFmt w:val="decimal"/>
      <w:lvlText w:val="(%1)"/>
      <w:lvlJc w:val="left"/>
      <w:pPr>
        <w:ind w:left="425" w:hanging="425"/>
      </w:pPr>
      <w:rPr>
        <w:rFonts w:hint="default" w:ascii="Times New Roman" w:hAnsi="Times New Roman" w:cs="Times New Roman"/>
      </w:rPr>
    </w:lvl>
  </w:abstractNum>
  <w:abstractNum w:abstractNumId="8">
    <w:nsid w:val="E7F49506"/>
    <w:multiLevelType w:val="singleLevel"/>
    <w:tmpl w:val="E7F49506"/>
    <w:lvl w:ilvl="0" w:tentative="0">
      <w:start w:val="1"/>
      <w:numFmt w:val="decimal"/>
      <w:lvlText w:val="(%1)"/>
      <w:lvlJc w:val="left"/>
      <w:pPr>
        <w:ind w:left="425" w:hanging="425"/>
      </w:pPr>
      <w:rPr>
        <w:rFonts w:hint="default" w:ascii="Times New Roman" w:hAnsi="Times New Roman" w:cs="Times New Roman"/>
      </w:rPr>
    </w:lvl>
  </w:abstractNum>
  <w:abstractNum w:abstractNumId="9">
    <w:nsid w:val="EC634AD8"/>
    <w:multiLevelType w:val="singleLevel"/>
    <w:tmpl w:val="EC634AD8"/>
    <w:lvl w:ilvl="0" w:tentative="0">
      <w:start w:val="1"/>
      <w:numFmt w:val="decimal"/>
      <w:lvlText w:val="(%1)"/>
      <w:lvlJc w:val="left"/>
      <w:pPr>
        <w:ind w:left="425" w:hanging="425"/>
      </w:pPr>
      <w:rPr>
        <w:rFonts w:hint="default" w:ascii="Times New Roman" w:hAnsi="Times New Roman" w:cs="Times New Roman"/>
      </w:rPr>
    </w:lvl>
  </w:abstractNum>
  <w:abstractNum w:abstractNumId="1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753A7EF"/>
    <w:multiLevelType w:val="singleLevel"/>
    <w:tmpl w:val="0753A7EF"/>
    <w:lvl w:ilvl="0" w:tentative="0">
      <w:start w:val="1"/>
      <w:numFmt w:val="decimal"/>
      <w:lvlText w:val="(%1)"/>
      <w:lvlJc w:val="left"/>
      <w:pPr>
        <w:ind w:left="425" w:hanging="425"/>
      </w:pPr>
      <w:rPr>
        <w:rFonts w:hint="default" w:ascii="Times New Roman" w:hAnsi="Times New Roman" w:cs="Times New Roman"/>
      </w:rPr>
    </w:lvl>
  </w:abstractNum>
  <w:abstractNum w:abstractNumId="13">
    <w:nsid w:val="132A30F1"/>
    <w:multiLevelType w:val="singleLevel"/>
    <w:tmpl w:val="132A30F1"/>
    <w:lvl w:ilvl="0" w:tentative="0">
      <w:start w:val="1"/>
      <w:numFmt w:val="decimal"/>
      <w:lvlText w:val="(%1)"/>
      <w:lvlJc w:val="left"/>
      <w:pPr>
        <w:ind w:left="425" w:hanging="425"/>
      </w:pPr>
      <w:rPr>
        <w:rFonts w:hint="default" w:ascii="Times New Roman" w:hAnsi="Times New Roman" w:cs="Times New Roman"/>
      </w:rPr>
    </w:lvl>
  </w:abstractNum>
  <w:abstractNum w:abstractNumId="14">
    <w:nsid w:val="13AA0090"/>
    <w:multiLevelType w:val="singleLevel"/>
    <w:tmpl w:val="13AA0090"/>
    <w:lvl w:ilvl="0" w:tentative="0">
      <w:start w:val="1"/>
      <w:numFmt w:val="decimal"/>
      <w:lvlText w:val="(%1)"/>
      <w:lvlJc w:val="left"/>
      <w:pPr>
        <w:ind w:left="425" w:hanging="425"/>
      </w:pPr>
      <w:rPr>
        <w:rFonts w:hint="default" w:ascii="Times New Roman" w:hAnsi="Times New Roman" w:cs="Times New Roman"/>
      </w:rPr>
    </w:lvl>
  </w:abstractNum>
  <w:abstractNum w:abstractNumId="15">
    <w:nsid w:val="1FFDA0E5"/>
    <w:multiLevelType w:val="singleLevel"/>
    <w:tmpl w:val="1FFDA0E5"/>
    <w:lvl w:ilvl="0" w:tentative="0">
      <w:start w:val="1"/>
      <w:numFmt w:val="decimal"/>
      <w:suff w:val="nothing"/>
      <w:lvlText w:val="（%1）"/>
      <w:lvlJc w:val="left"/>
    </w:lvl>
  </w:abstractNum>
  <w:abstractNum w:abstractNumId="16">
    <w:nsid w:val="22A42B04"/>
    <w:multiLevelType w:val="singleLevel"/>
    <w:tmpl w:val="22A42B04"/>
    <w:lvl w:ilvl="0" w:tentative="0">
      <w:start w:val="1"/>
      <w:numFmt w:val="decimal"/>
      <w:pStyle w:val="10"/>
      <w:lvlText w:val="%1."/>
      <w:lvlJc w:val="left"/>
      <w:pPr>
        <w:tabs>
          <w:tab w:val="left" w:pos="360"/>
        </w:tabs>
        <w:ind w:left="360" w:hanging="360"/>
      </w:pPr>
    </w:lvl>
  </w:abstractNum>
  <w:abstractNum w:abstractNumId="17">
    <w:nsid w:val="3426E389"/>
    <w:multiLevelType w:val="singleLevel"/>
    <w:tmpl w:val="3426E389"/>
    <w:lvl w:ilvl="0" w:tentative="0">
      <w:start w:val="1"/>
      <w:numFmt w:val="decimal"/>
      <w:lvlText w:val="(%1)"/>
      <w:lvlJc w:val="left"/>
      <w:pPr>
        <w:ind w:left="425" w:hanging="425"/>
      </w:pPr>
      <w:rPr>
        <w:rFonts w:hint="default" w:ascii="Times New Roman" w:hAnsi="Times New Roman" w:cs="Times New Roman"/>
      </w:rPr>
    </w:lvl>
  </w:abstractNum>
  <w:abstractNum w:abstractNumId="18">
    <w:nsid w:val="5939FCBE"/>
    <w:multiLevelType w:val="singleLevel"/>
    <w:tmpl w:val="5939FCBE"/>
    <w:lvl w:ilvl="0" w:tentative="0">
      <w:start w:val="1"/>
      <w:numFmt w:val="decimal"/>
      <w:lvlText w:val="(%1)"/>
      <w:lvlJc w:val="left"/>
      <w:pPr>
        <w:ind w:left="425" w:hanging="425"/>
      </w:pPr>
      <w:rPr>
        <w:rFonts w:hint="default" w:ascii="Times New Roman" w:hAnsi="Times New Roman" w:cs="Times New Roman"/>
      </w:rPr>
    </w:lvl>
  </w:abstractNum>
  <w:abstractNum w:abstractNumId="19">
    <w:nsid w:val="667BFAF7"/>
    <w:multiLevelType w:val="singleLevel"/>
    <w:tmpl w:val="667BFAF7"/>
    <w:lvl w:ilvl="0" w:tentative="0">
      <w:start w:val="1"/>
      <w:numFmt w:val="decimal"/>
      <w:lvlText w:val="(%1)"/>
      <w:lvlJc w:val="left"/>
      <w:pPr>
        <w:ind w:left="425" w:hanging="425"/>
      </w:pPr>
      <w:rPr>
        <w:rFonts w:hint="default" w:ascii="Times New Roman" w:hAnsi="Times New Roman" w:cs="Times New Roman"/>
      </w:rPr>
    </w:lvl>
  </w:abstractNum>
  <w:abstractNum w:abstractNumId="20">
    <w:nsid w:val="77633218"/>
    <w:multiLevelType w:val="singleLevel"/>
    <w:tmpl w:val="7763321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1">
    <w:nsid w:val="7763321E"/>
    <w:multiLevelType w:val="singleLevel"/>
    <w:tmpl w:val="776332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2">
    <w:nsid w:val="7763322C"/>
    <w:multiLevelType w:val="singleLevel"/>
    <w:tmpl w:val="7763322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7763322D"/>
    <w:multiLevelType w:val="singleLevel"/>
    <w:tmpl w:val="7763322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7763322E"/>
    <w:multiLevelType w:val="singleLevel"/>
    <w:tmpl w:val="776332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5">
    <w:nsid w:val="7763322F"/>
    <w:multiLevelType w:val="singleLevel"/>
    <w:tmpl w:val="7763322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6">
    <w:nsid w:val="77633230"/>
    <w:multiLevelType w:val="singleLevel"/>
    <w:tmpl w:val="7763323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7">
    <w:nsid w:val="77633231"/>
    <w:multiLevelType w:val="singleLevel"/>
    <w:tmpl w:val="7763323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77633232"/>
    <w:multiLevelType w:val="singleLevel"/>
    <w:tmpl w:val="7763323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77633233"/>
    <w:multiLevelType w:val="singleLevel"/>
    <w:tmpl w:val="776332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77633234"/>
    <w:multiLevelType w:val="singleLevel"/>
    <w:tmpl w:val="776332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1">
    <w:nsid w:val="77633235"/>
    <w:multiLevelType w:val="singleLevel"/>
    <w:tmpl w:val="776332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77633236"/>
    <w:multiLevelType w:val="singleLevel"/>
    <w:tmpl w:val="776332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3">
    <w:nsid w:val="77633237"/>
    <w:multiLevelType w:val="singleLevel"/>
    <w:tmpl w:val="7763323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77633238"/>
    <w:multiLevelType w:val="singleLevel"/>
    <w:tmpl w:val="7763323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7763323A"/>
    <w:multiLevelType w:val="singleLevel"/>
    <w:tmpl w:val="7763323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7763323C"/>
    <w:multiLevelType w:val="singleLevel"/>
    <w:tmpl w:val="7763323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7">
    <w:nsid w:val="7763323D"/>
    <w:multiLevelType w:val="singleLevel"/>
    <w:tmpl w:val="7763323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77633241"/>
    <w:multiLevelType w:val="singleLevel"/>
    <w:tmpl w:val="776332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9">
    <w:nsid w:val="7CDB250E"/>
    <w:multiLevelType w:val="singleLevel"/>
    <w:tmpl w:val="7CDB250E"/>
    <w:lvl w:ilvl="0" w:tentative="0">
      <w:start w:val="1"/>
      <w:numFmt w:val="decimal"/>
      <w:lvlText w:val="(%1)"/>
      <w:lvlJc w:val="left"/>
      <w:pPr>
        <w:ind w:left="425" w:hanging="425"/>
      </w:pPr>
      <w:rPr>
        <w:rFonts w:hint="default" w:ascii="Times New Roman" w:hAnsi="Times New Roman" w:eastAsia="宋体" w:cs="Times New Roman"/>
      </w:rPr>
    </w:lvl>
  </w:abstractNum>
  <w:num w:numId="1">
    <w:abstractNumId w:val="16"/>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num>
  <w:num w:numId="7">
    <w:abstractNumId w:val="5"/>
  </w:num>
  <w:num w:numId="8">
    <w:abstractNumId w:val="9"/>
  </w:num>
  <w:num w:numId="9">
    <w:abstractNumId w:val="3"/>
  </w:num>
  <w:num w:numId="10">
    <w:abstractNumId w:val="21"/>
  </w:num>
  <w:num w:numId="11">
    <w:abstractNumId w:val="12"/>
  </w:num>
  <w:num w:numId="12">
    <w:abstractNumId w:val="8"/>
  </w:num>
  <w:num w:numId="13">
    <w:abstractNumId w:val="0"/>
  </w:num>
  <w:num w:numId="14">
    <w:abstractNumId w:val="19"/>
  </w:num>
  <w:num w:numId="15">
    <w:abstractNumId w:val="14"/>
  </w:num>
  <w:num w:numId="16">
    <w:abstractNumId w:val="17"/>
  </w:num>
  <w:num w:numId="17">
    <w:abstractNumId w:val="39"/>
  </w:num>
  <w:num w:numId="18">
    <w:abstractNumId w:val="13"/>
  </w:num>
  <w:num w:numId="19">
    <w:abstractNumId w:val="7"/>
  </w:num>
  <w:num w:numId="20">
    <w:abstractNumId w:val="18"/>
  </w:num>
  <w:num w:numId="21">
    <w:abstractNumId w:val="6"/>
  </w:num>
  <w:num w:numId="22">
    <w:abstractNumId w:val="4"/>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15"/>
  </w:num>
  <w:num w:numId="38">
    <w:abstractNumId w:val="36"/>
  </w:num>
  <w:num w:numId="39">
    <w:abstractNumId w:val="3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YWM0MzQyZDZkZmZlYWM5YmIwODk3Y2RhMGNhMDQifQ=="/>
  </w:docVars>
  <w:rsids>
    <w:rsidRoot w:val="4A792BC1"/>
    <w:rsid w:val="003A6B66"/>
    <w:rsid w:val="00A67D58"/>
    <w:rsid w:val="028E4F47"/>
    <w:rsid w:val="02B80216"/>
    <w:rsid w:val="031501B1"/>
    <w:rsid w:val="03ED4337"/>
    <w:rsid w:val="0442423B"/>
    <w:rsid w:val="064F4F9D"/>
    <w:rsid w:val="06694FBD"/>
    <w:rsid w:val="0927769E"/>
    <w:rsid w:val="0A0C3321"/>
    <w:rsid w:val="0B195A81"/>
    <w:rsid w:val="0B5E4333"/>
    <w:rsid w:val="0B7D0DF1"/>
    <w:rsid w:val="0C41127C"/>
    <w:rsid w:val="0CA32483"/>
    <w:rsid w:val="0E372937"/>
    <w:rsid w:val="0E7B0A75"/>
    <w:rsid w:val="0F1609AB"/>
    <w:rsid w:val="0F8F00B0"/>
    <w:rsid w:val="0FD83CA6"/>
    <w:rsid w:val="10BA7FBF"/>
    <w:rsid w:val="112847B9"/>
    <w:rsid w:val="112B39CA"/>
    <w:rsid w:val="11534786"/>
    <w:rsid w:val="11AE74B8"/>
    <w:rsid w:val="14497709"/>
    <w:rsid w:val="14554682"/>
    <w:rsid w:val="158C0236"/>
    <w:rsid w:val="164E59A4"/>
    <w:rsid w:val="18324737"/>
    <w:rsid w:val="18406443"/>
    <w:rsid w:val="188B3EA1"/>
    <w:rsid w:val="196D545F"/>
    <w:rsid w:val="19AD7661"/>
    <w:rsid w:val="19B412DF"/>
    <w:rsid w:val="1B4B2B35"/>
    <w:rsid w:val="1B54323F"/>
    <w:rsid w:val="1D867E58"/>
    <w:rsid w:val="1D8B2357"/>
    <w:rsid w:val="1DF05A29"/>
    <w:rsid w:val="1F901EA7"/>
    <w:rsid w:val="208539D6"/>
    <w:rsid w:val="227B299A"/>
    <w:rsid w:val="22C32593"/>
    <w:rsid w:val="2431093C"/>
    <w:rsid w:val="252D5589"/>
    <w:rsid w:val="25BE5AC8"/>
    <w:rsid w:val="25CC2EDF"/>
    <w:rsid w:val="26A7481C"/>
    <w:rsid w:val="28D5118E"/>
    <w:rsid w:val="2C2D1DFD"/>
    <w:rsid w:val="2CD81465"/>
    <w:rsid w:val="2E556795"/>
    <w:rsid w:val="2F1B5F91"/>
    <w:rsid w:val="2FE645BF"/>
    <w:rsid w:val="319B115F"/>
    <w:rsid w:val="31F91ADC"/>
    <w:rsid w:val="3267783E"/>
    <w:rsid w:val="33342978"/>
    <w:rsid w:val="3345560D"/>
    <w:rsid w:val="33A474CF"/>
    <w:rsid w:val="35FA7C22"/>
    <w:rsid w:val="36956DC4"/>
    <w:rsid w:val="36DF1C32"/>
    <w:rsid w:val="376E466E"/>
    <w:rsid w:val="37ED732A"/>
    <w:rsid w:val="38B1344E"/>
    <w:rsid w:val="39870694"/>
    <w:rsid w:val="3A747564"/>
    <w:rsid w:val="3B1F25AF"/>
    <w:rsid w:val="3D200751"/>
    <w:rsid w:val="3D6176CB"/>
    <w:rsid w:val="3EFF6AAC"/>
    <w:rsid w:val="3F470381"/>
    <w:rsid w:val="3F6057F8"/>
    <w:rsid w:val="40C625AD"/>
    <w:rsid w:val="43127AF9"/>
    <w:rsid w:val="432A1A6E"/>
    <w:rsid w:val="43516F22"/>
    <w:rsid w:val="443006B8"/>
    <w:rsid w:val="455A327C"/>
    <w:rsid w:val="45C02C36"/>
    <w:rsid w:val="48081CE6"/>
    <w:rsid w:val="49656BC0"/>
    <w:rsid w:val="4A050C18"/>
    <w:rsid w:val="4A792BC1"/>
    <w:rsid w:val="4AE21B38"/>
    <w:rsid w:val="4B614574"/>
    <w:rsid w:val="4BAC74BE"/>
    <w:rsid w:val="4DAC0452"/>
    <w:rsid w:val="4F7479F9"/>
    <w:rsid w:val="4F7E2B86"/>
    <w:rsid w:val="4FDE6BE1"/>
    <w:rsid w:val="50D94BAC"/>
    <w:rsid w:val="51894D3E"/>
    <w:rsid w:val="51A77922"/>
    <w:rsid w:val="52490566"/>
    <w:rsid w:val="535950B1"/>
    <w:rsid w:val="536B0AA5"/>
    <w:rsid w:val="54120E10"/>
    <w:rsid w:val="58005F43"/>
    <w:rsid w:val="5928560F"/>
    <w:rsid w:val="5AAA6FB5"/>
    <w:rsid w:val="5C06444B"/>
    <w:rsid w:val="5CE72757"/>
    <w:rsid w:val="5CE868B8"/>
    <w:rsid w:val="5DA35C00"/>
    <w:rsid w:val="5FDB4F12"/>
    <w:rsid w:val="61555AB1"/>
    <w:rsid w:val="61B21B87"/>
    <w:rsid w:val="62052439"/>
    <w:rsid w:val="6239745E"/>
    <w:rsid w:val="63042A79"/>
    <w:rsid w:val="65B90E14"/>
    <w:rsid w:val="65BD6DD7"/>
    <w:rsid w:val="660B0EF6"/>
    <w:rsid w:val="666F593F"/>
    <w:rsid w:val="66B81126"/>
    <w:rsid w:val="67375865"/>
    <w:rsid w:val="683F2481"/>
    <w:rsid w:val="68E85E7D"/>
    <w:rsid w:val="691A77E9"/>
    <w:rsid w:val="698C4A89"/>
    <w:rsid w:val="6D110330"/>
    <w:rsid w:val="6D723464"/>
    <w:rsid w:val="6DDB7D5E"/>
    <w:rsid w:val="6E0472B5"/>
    <w:rsid w:val="6E946696"/>
    <w:rsid w:val="708B319F"/>
    <w:rsid w:val="721970A7"/>
    <w:rsid w:val="7390022E"/>
    <w:rsid w:val="74890D53"/>
    <w:rsid w:val="75FA4D6A"/>
    <w:rsid w:val="762416C6"/>
    <w:rsid w:val="77DA4BE2"/>
    <w:rsid w:val="798C478A"/>
    <w:rsid w:val="7A374E51"/>
    <w:rsid w:val="7B60505B"/>
    <w:rsid w:val="7D3A35F4"/>
    <w:rsid w:val="7D807FDA"/>
    <w:rsid w:val="7FE9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4"/>
    <w:next w:val="6"/>
    <w:unhideWhenUsed/>
    <w:qFormat/>
    <w:uiPriority w:val="9"/>
    <w:pPr>
      <w:keepNext/>
      <w:keepLines/>
      <w:spacing w:before="260" w:after="260" w:line="416" w:lineRule="auto"/>
      <w:outlineLvl w:val="2"/>
    </w:pPr>
    <w:rPr>
      <w:sz w:val="32"/>
      <w:szCs w:val="32"/>
    </w:rPr>
  </w:style>
  <w:style w:type="paragraph" w:styleId="6">
    <w:name w:val="heading 4"/>
    <w:basedOn w:val="5"/>
    <w:next w:val="7"/>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6"/>
    <w:next w:val="8"/>
    <w:qFormat/>
    <w:uiPriority w:val="0"/>
    <w:pPr>
      <w:keepNext/>
      <w:keepLines/>
      <w:spacing w:before="280" w:after="290" w:line="372" w:lineRule="auto"/>
      <w:outlineLvl w:val="4"/>
    </w:pPr>
    <w:rPr>
      <w:b w:val="0"/>
      <w:sz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8">
    <w:name w:val="Normal Indent"/>
    <w:basedOn w:val="1"/>
    <w:unhideWhenUsed/>
    <w:qFormat/>
    <w:uiPriority w:val="99"/>
    <w:pPr>
      <w:ind w:firstLine="420"/>
    </w:pPr>
    <w:rPr>
      <w:szCs w:val="20"/>
    </w:rPr>
  </w:style>
  <w:style w:type="paragraph" w:styleId="9">
    <w:name w:val="index 8"/>
    <w:basedOn w:val="1"/>
    <w:next w:val="1"/>
    <w:qFormat/>
    <w:uiPriority w:val="0"/>
    <w:pPr>
      <w:tabs>
        <w:tab w:val="left" w:pos="540"/>
        <w:tab w:val="left" w:pos="900"/>
      </w:tabs>
      <w:jc w:val="center"/>
    </w:pPr>
    <w:rPr>
      <w:rFonts w:hAnsi="宋体" w:cs="宋体"/>
      <w:color w:val="000000"/>
      <w:sz w:val="32"/>
      <w:szCs w:val="32"/>
    </w:rPr>
  </w:style>
  <w:style w:type="paragraph" w:styleId="10">
    <w:name w:val="List Number"/>
    <w:basedOn w:val="1"/>
    <w:qFormat/>
    <w:uiPriority w:val="0"/>
    <w:pPr>
      <w:numPr>
        <w:ilvl w:val="0"/>
        <w:numId w:val="1"/>
      </w:numPr>
    </w:pPr>
  </w:style>
  <w:style w:type="paragraph" w:styleId="11">
    <w:name w:val="annotation text"/>
    <w:basedOn w:val="1"/>
    <w:unhideWhenUsed/>
    <w:qFormat/>
    <w:uiPriority w:val="99"/>
    <w:pPr>
      <w:jc w:val="left"/>
    </w:pPr>
  </w:style>
  <w:style w:type="paragraph" w:styleId="12">
    <w:name w:val="Body Text 3"/>
    <w:basedOn w:val="1"/>
    <w:qFormat/>
    <w:uiPriority w:val="99"/>
    <w:pPr>
      <w:spacing w:after="120"/>
    </w:pPr>
    <w:rPr>
      <w:sz w:val="16"/>
      <w:szCs w:val="16"/>
    </w:rPr>
  </w:style>
  <w:style w:type="paragraph" w:styleId="13">
    <w:name w:val="Body Text"/>
    <w:basedOn w:val="1"/>
    <w:unhideWhenUsed/>
    <w:qFormat/>
    <w:uiPriority w:val="99"/>
    <w:pPr>
      <w:spacing w:after="120"/>
    </w:pPr>
  </w:style>
  <w:style w:type="paragraph" w:styleId="14">
    <w:name w:val="Body Text Indent"/>
    <w:basedOn w:val="1"/>
    <w:unhideWhenUsed/>
    <w:qFormat/>
    <w:uiPriority w:val="99"/>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qFormat/>
    <w:uiPriority w:val="0"/>
    <w:pPr>
      <w:ind w:left="840" w:leftChars="400"/>
    </w:pPr>
  </w:style>
  <w:style w:type="paragraph" w:styleId="17">
    <w:name w:val="Plain Text"/>
    <w:basedOn w:val="18"/>
    <w:unhideWhenUsed/>
    <w:qFormat/>
    <w:uiPriority w:val="99"/>
    <w:rPr>
      <w:rFonts w:ascii="宋体" w:hAnsi="Courier New"/>
      <w:kern w:val="0"/>
      <w:sz w:val="20"/>
      <w:szCs w:val="21"/>
    </w:rPr>
  </w:style>
  <w:style w:type="paragraph" w:customStyle="1" w:styleId="18">
    <w:name w:val="正文_2_0"/>
    <w:next w:val="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页脚_2"/>
    <w:basedOn w:val="18"/>
    <w:unhideWhenUsed/>
    <w:qFormat/>
    <w:uiPriority w:val="99"/>
    <w:pPr>
      <w:tabs>
        <w:tab w:val="center" w:pos="4153"/>
        <w:tab w:val="right" w:pos="8306"/>
      </w:tabs>
      <w:snapToGrid w:val="0"/>
      <w:jc w:val="left"/>
    </w:pPr>
    <w:rPr>
      <w:sz w:val="18"/>
      <w:szCs w:val="18"/>
    </w:rPr>
  </w:style>
  <w:style w:type="paragraph" w:styleId="20">
    <w:name w:val="Date"/>
    <w:basedOn w:val="1"/>
    <w:next w:val="1"/>
    <w:unhideWhenUsed/>
    <w:qFormat/>
    <w:uiPriority w:val="99"/>
    <w:pPr>
      <w:ind w:left="100" w:leftChars="2500"/>
    </w:pPr>
  </w:style>
  <w:style w:type="paragraph" w:styleId="2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unhideWhenUsed/>
    <w:qFormat/>
    <w:uiPriority w:val="39"/>
    <w:pPr>
      <w:tabs>
        <w:tab w:val="right" w:leader="dot" w:pos="8296"/>
      </w:tabs>
      <w:ind w:left="420" w:leftChars="200"/>
    </w:pPr>
  </w:style>
  <w:style w:type="paragraph" w:styleId="26">
    <w:name w:val="Body Text First Indent 2"/>
    <w:basedOn w:val="14"/>
    <w:next w:val="1"/>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unhideWhenUsed/>
    <w:qFormat/>
    <w:uiPriority w:val="99"/>
    <w:rPr>
      <w:color w:val="0000FF"/>
      <w:u w:val="single"/>
    </w:rPr>
  </w:style>
  <w:style w:type="paragraph" w:customStyle="1" w:styleId="32">
    <w:name w:val="表格文字"/>
    <w:basedOn w:val="14"/>
    <w:qFormat/>
    <w:uiPriority w:val="0"/>
    <w:pPr>
      <w:spacing w:before="60" w:after="60" w:line="240" w:lineRule="auto"/>
      <w:ind w:firstLine="0"/>
    </w:pPr>
    <w:rPr>
      <w:rFonts w:ascii="Times New Roman" w:hAnsi="Times New Roman"/>
      <w:szCs w:val="24"/>
    </w:rPr>
  </w:style>
  <w:style w:type="paragraph" w:customStyle="1" w:styleId="33">
    <w:name w:val="正文2"/>
    <w:basedOn w:val="1"/>
    <w:qFormat/>
    <w:uiPriority w:val="0"/>
    <w:pPr>
      <w:adjustRightInd w:val="0"/>
      <w:spacing w:before="156" w:line="360" w:lineRule="auto"/>
      <w:ind w:firstLine="510" w:firstLineChars="200"/>
    </w:pPr>
    <w:rPr>
      <w:kern w:val="0"/>
      <w:sz w:val="24"/>
      <w:szCs w:val="20"/>
    </w:rPr>
  </w:style>
  <w:style w:type="paragraph" w:customStyle="1" w:styleId="3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10"/>
    <w:qFormat/>
    <w:uiPriority w:val="0"/>
    <w:rPr>
      <w:rFonts w:hint="default" w:ascii="Times New Roman" w:hAnsi="Times New Roman" w:cs="Times New Roman"/>
    </w:rPr>
  </w:style>
  <w:style w:type="paragraph" w:customStyle="1" w:styleId="39">
    <w:name w:val="正文_2"/>
    <w:basedOn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3"/>
    <w:basedOn w:val="1"/>
    <w:qFormat/>
    <w:uiPriority w:val="0"/>
    <w:rPr>
      <w:szCs w:val="22"/>
    </w:rPr>
  </w:style>
  <w:style w:type="paragraph" w:customStyle="1" w:styleId="41">
    <w:name w:val="标题 2_1"/>
    <w:basedOn w:val="39"/>
    <w:next w:val="18"/>
    <w:qFormat/>
    <w:uiPriority w:val="99"/>
    <w:pPr>
      <w:keepNext/>
      <w:keepLines/>
      <w:spacing w:before="60" w:after="60" w:line="413" w:lineRule="auto"/>
      <w:outlineLvl w:val="1"/>
    </w:pPr>
    <w:rPr>
      <w:rFonts w:ascii="Arial" w:hAnsi="Arial" w:eastAsia="黑体"/>
      <w:b/>
      <w:bCs/>
      <w:szCs w:val="32"/>
    </w:rPr>
  </w:style>
  <w:style w:type="paragraph" w:customStyle="1" w:styleId="42">
    <w:name w:val="表格文字115"/>
    <w:basedOn w:val="1"/>
    <w:qFormat/>
    <w:uiPriority w:val="0"/>
    <w:pPr>
      <w:spacing w:before="25" w:after="25"/>
      <w:jc w:val="left"/>
    </w:pPr>
    <w:rPr>
      <w:bCs/>
      <w:spacing w:val="10"/>
      <w:kern w:val="0"/>
      <w:sz w:val="24"/>
    </w:rPr>
  </w:style>
  <w:style w:type="paragraph" w:customStyle="1" w:styleId="43">
    <w:name w:val="Normal Indent1"/>
    <w:basedOn w:val="1"/>
    <w:qFormat/>
    <w:uiPriority w:val="0"/>
    <w:pPr>
      <w:spacing w:line="660" w:lineRule="exact"/>
      <w:ind w:firstLine="720"/>
    </w:pPr>
    <w:rPr>
      <w:rFonts w:eastAsia="Cambria Math"/>
      <w:sz w:val="36"/>
      <w:szCs w:val="36"/>
    </w:rPr>
  </w:style>
  <w:style w:type="paragraph" w:customStyle="1" w:styleId="44">
    <w:name w:val="font5"/>
    <w:basedOn w:val="1"/>
    <w:qFormat/>
    <w:uiPriority w:val="0"/>
    <w:pPr>
      <w:widowControl/>
      <w:spacing w:before="100" w:beforeAutospacing="1" w:after="100" w:afterAutospacing="1"/>
      <w:jc w:val="left"/>
    </w:pPr>
    <w:rPr>
      <w:kern w:val="0"/>
      <w:sz w:val="24"/>
      <w:szCs w:val="20"/>
    </w:rPr>
  </w:style>
  <w:style w:type="paragraph" w:customStyle="1" w:styleId="45">
    <w:name w:val="正文文本 (2)4"/>
    <w:basedOn w:val="1"/>
    <w:qFormat/>
    <w:uiPriority w:val="0"/>
    <w:pPr>
      <w:shd w:val="clear" w:color="auto" w:fill="FFFFFF"/>
      <w:spacing w:before="300" w:line="439" w:lineRule="exact"/>
      <w:jc w:val="distribute"/>
    </w:pPr>
    <w:rPr>
      <w:rFonts w:ascii="MingLiU" w:hAnsi="MingLiU" w:eastAsia="MingLiU"/>
      <w:spacing w:val="20"/>
    </w:rPr>
  </w:style>
  <w:style w:type="character" w:customStyle="1" w:styleId="46">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7">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52">
    <w:name w:val="Body text|1"/>
    <w:basedOn w:val="1"/>
    <w:qFormat/>
    <w:uiPriority w:val="0"/>
    <w:pPr>
      <w:spacing w:line="360" w:lineRule="auto"/>
      <w:ind w:firstLine="400"/>
    </w:pPr>
    <w:rPr>
      <w:rFonts w:ascii="宋体" w:hAnsi="宋体" w:cs="宋体"/>
      <w:kern w:val="0"/>
      <w:sz w:val="20"/>
      <w:szCs w:val="20"/>
      <w:lang w:val="zh-CN" w:bidi="zh-CN"/>
    </w:rPr>
  </w:style>
  <w:style w:type="paragraph" w:customStyle="1" w:styleId="53">
    <w:name w:val="Body text|1_1"/>
    <w:basedOn w:val="18"/>
    <w:qFormat/>
    <w:uiPriority w:val="0"/>
    <w:pPr>
      <w:spacing w:line="360" w:lineRule="auto"/>
      <w:ind w:firstLine="400"/>
    </w:pPr>
    <w:rPr>
      <w:rFonts w:ascii="宋体" w:hAnsi="宋体" w:eastAsia="宋体" w:cs="宋体"/>
      <w:color w:val="auto"/>
      <w:kern w:val="2"/>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oleObject" Target="embeddings/oleObject1.bin"/><Relationship Id="rId23" Type="http://schemas.openxmlformats.org/officeDocument/2006/relationships/image" Target="media/image2.wmf"/><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89291</Words>
  <Characters>95382</Characters>
  <Lines>0</Lines>
  <Paragraphs>0</Paragraphs>
  <TotalTime>41</TotalTime>
  <ScaleCrop>false</ScaleCrop>
  <LinksUpToDate>false</LinksUpToDate>
  <CharactersWithSpaces>104409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Administrator</cp:lastModifiedBy>
  <cp:lastPrinted>2023-09-11T02:23:00Z</cp:lastPrinted>
  <dcterms:modified xsi:type="dcterms:W3CDTF">2024-10-14T08:02:28Z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9646A40F97B1463C94B488A3F8AF1AA9_13</vt:lpwstr>
  </property>
</Properties>
</file>