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3369D">
      <w:pPr>
        <w:spacing w:line="360" w:lineRule="auto"/>
        <w:jc w:val="both"/>
        <w:rPr>
          <w:rFonts w:hint="eastAsia" w:ascii="宋体" w:hAnsi="宋体" w:cs="宋体"/>
          <w:b/>
          <w:color w:val="auto"/>
          <w:sz w:val="24"/>
          <w:highlight w:val="none"/>
        </w:rPr>
      </w:pPr>
      <w:r>
        <w:rPr>
          <w:rFonts w:hint="eastAsia" w:ascii="宋体" w:hAnsi="宋体" w:eastAsia="宋体" w:cs="宋体"/>
          <w:b/>
          <w:color w:val="000000"/>
          <w:sz w:val="24"/>
        </w:rPr>
        <w:drawing>
          <wp:inline distT="0" distB="0" distL="114300" distR="114300">
            <wp:extent cx="940435" cy="1155700"/>
            <wp:effectExtent l="0" t="0" r="1206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5"/>
                    <a:stretch>
                      <a:fillRect/>
                    </a:stretch>
                  </pic:blipFill>
                  <pic:spPr>
                    <a:xfrm>
                      <a:off x="0" y="0"/>
                      <a:ext cx="940435" cy="1155700"/>
                    </a:xfrm>
                    <a:prstGeom prst="rect">
                      <a:avLst/>
                    </a:prstGeom>
                    <a:noFill/>
                    <a:ln>
                      <a:noFill/>
                    </a:ln>
                  </pic:spPr>
                </pic:pic>
              </a:graphicData>
            </a:graphic>
          </wp:inline>
        </w:drawing>
      </w:r>
    </w:p>
    <w:p w14:paraId="0AB9A437">
      <w:pPr>
        <w:spacing w:line="360" w:lineRule="auto"/>
        <w:jc w:val="center"/>
        <w:rPr>
          <w:rFonts w:ascii="宋体" w:hAnsi="宋体" w:cs="宋体"/>
          <w:b/>
          <w:color w:val="auto"/>
          <w:sz w:val="44"/>
          <w:szCs w:val="44"/>
          <w:highlight w:val="none"/>
        </w:rPr>
      </w:pPr>
    </w:p>
    <w:p w14:paraId="1E8970F0">
      <w:pPr>
        <w:adjustRightInd/>
        <w:spacing w:line="360" w:lineRule="auto"/>
        <w:jc w:val="center"/>
        <w:rPr>
          <w:rFonts w:ascii="宋体" w:hAnsi="宋体" w:cs="宋体"/>
          <w:b/>
          <w:color w:val="auto"/>
          <w:sz w:val="48"/>
          <w:szCs w:val="48"/>
          <w:highlight w:val="none"/>
        </w:rPr>
      </w:pPr>
    </w:p>
    <w:p w14:paraId="42CEBB52">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合浦县人民医院国家标准化心血管病诊疗中心项目设备（远程异地评标）项目</w:t>
      </w:r>
    </w:p>
    <w:p w14:paraId="7C3037FF">
      <w:pPr>
        <w:adjustRightInd/>
        <w:spacing w:line="360" w:lineRule="auto"/>
        <w:jc w:val="center"/>
        <w:rPr>
          <w:rFonts w:hint="eastAsia" w:ascii="宋体" w:hAnsi="宋体" w:cs="宋体"/>
          <w:color w:val="auto"/>
          <w:sz w:val="48"/>
          <w:szCs w:val="48"/>
          <w:highlight w:val="none"/>
        </w:rPr>
      </w:pPr>
    </w:p>
    <w:p w14:paraId="4723F4F8">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14:paraId="0E8644AB">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3E9EE891">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https://www.gcy.zfcg.gxzf.gov.cn/gaea/api/project/flow/redirect?projectId=7206343455622824030&amp;newUrl=https://www.gcy.zfcg.gxzf.gov.cn/micro-app-back-index/blank?_flow_type_=agency&amp;_flow_projectId_=7206343455622824030&amp;_jump_page_type_=project_procurement_management_flow&amp;_app_=zcy.procurement&amp;oldUrl=https://www.gcy.zfcg.gxzf.gov.cn/project-center/_procurement_/project-result-detail/7206343455622824030" \t "https://www.gcy.zfcg.gxzf.gov.cn/project-center/_procurement_/self-project/_blank"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BHZC2025-G1-210009-ZZGJ</w:t>
      </w:r>
      <w:r>
        <w:rPr>
          <w:rFonts w:hint="eastAsia" w:ascii="宋体" w:hAnsi="宋体" w:cs="宋体"/>
          <w:color w:val="auto"/>
          <w:sz w:val="30"/>
          <w:szCs w:val="30"/>
          <w:highlight w:val="none"/>
        </w:rPr>
        <w:fldChar w:fldCharType="end"/>
      </w:r>
      <w:r>
        <w:rPr>
          <w:rFonts w:hint="eastAsia" w:ascii="宋体" w:hAnsi="宋体" w:cs="宋体"/>
          <w:color w:val="auto"/>
          <w:sz w:val="30"/>
          <w:szCs w:val="30"/>
          <w:highlight w:val="none"/>
          <w:lang w:eastAsia="zh-CN"/>
        </w:rPr>
        <w:t>（TC250407Y）</w:t>
      </w:r>
    </w:p>
    <w:p w14:paraId="5AB43A0A">
      <w:pPr>
        <w:adjustRightInd/>
        <w:spacing w:line="360" w:lineRule="auto"/>
        <w:rPr>
          <w:rFonts w:ascii="宋体" w:hAnsi="宋体" w:cs="宋体"/>
          <w:color w:val="auto"/>
          <w:sz w:val="28"/>
          <w:szCs w:val="20"/>
          <w:highlight w:val="none"/>
        </w:rPr>
      </w:pPr>
    </w:p>
    <w:p w14:paraId="01A2CF75">
      <w:pPr>
        <w:spacing w:line="360" w:lineRule="auto"/>
        <w:jc w:val="center"/>
        <w:rPr>
          <w:rFonts w:ascii="宋体" w:hAnsi="宋体" w:cs="宋体"/>
          <w:b/>
          <w:color w:val="auto"/>
          <w:sz w:val="44"/>
          <w:szCs w:val="44"/>
          <w:highlight w:val="none"/>
        </w:rPr>
      </w:pPr>
    </w:p>
    <w:p w14:paraId="2BFDBD32">
      <w:pPr>
        <w:spacing w:line="360" w:lineRule="auto"/>
        <w:jc w:val="center"/>
        <w:rPr>
          <w:rFonts w:ascii="宋体" w:hAnsi="宋体" w:cs="宋体"/>
          <w:b/>
          <w:color w:val="auto"/>
          <w:sz w:val="44"/>
          <w:szCs w:val="44"/>
          <w:highlight w:val="none"/>
        </w:rPr>
      </w:pPr>
    </w:p>
    <w:p w14:paraId="598E0985">
      <w:pPr>
        <w:spacing w:line="360" w:lineRule="auto"/>
        <w:jc w:val="center"/>
        <w:rPr>
          <w:rFonts w:ascii="宋体" w:hAnsi="宋体" w:cs="宋体"/>
          <w:color w:val="auto"/>
          <w:sz w:val="24"/>
          <w:highlight w:val="none"/>
        </w:rPr>
      </w:pPr>
    </w:p>
    <w:p w14:paraId="45AEC860">
      <w:pPr>
        <w:spacing w:line="360" w:lineRule="auto"/>
        <w:rPr>
          <w:rFonts w:ascii="宋体" w:hAnsi="宋体" w:cs="宋体"/>
          <w:color w:val="auto"/>
          <w:sz w:val="32"/>
          <w:szCs w:val="32"/>
          <w:highlight w:val="none"/>
        </w:rPr>
      </w:pPr>
    </w:p>
    <w:p w14:paraId="4761F915">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合浦县人民医院</w:t>
      </w:r>
    </w:p>
    <w:p w14:paraId="0AF85BFC">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中招国际招标有限公司</w:t>
      </w:r>
    </w:p>
    <w:p w14:paraId="01686F73">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三</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十二</w:t>
      </w:r>
      <w:r>
        <w:rPr>
          <w:rFonts w:hint="eastAsia" w:ascii="宋体" w:hAnsi="宋体" w:cs="宋体"/>
          <w:bCs/>
          <w:color w:val="auto"/>
          <w:sz w:val="32"/>
          <w:szCs w:val="32"/>
          <w:highlight w:val="none"/>
        </w:rPr>
        <w:t>日</w:t>
      </w:r>
    </w:p>
    <w:p w14:paraId="54AB1371">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B2D1B97">
      <w:pPr>
        <w:spacing w:line="360" w:lineRule="auto"/>
        <w:jc w:val="center"/>
        <w:rPr>
          <w:rFonts w:ascii="宋体" w:hAnsi="宋体" w:cs="宋体"/>
          <w:color w:val="auto"/>
          <w:sz w:val="24"/>
          <w:highlight w:val="none"/>
        </w:rPr>
      </w:pPr>
    </w:p>
    <w:p w14:paraId="058239D1">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F7A616E">
      <w:pPr>
        <w:spacing w:line="360" w:lineRule="auto"/>
        <w:rPr>
          <w:rFonts w:ascii="宋体" w:hAnsi="宋体" w:cs="宋体"/>
          <w:color w:val="auto"/>
          <w:sz w:val="32"/>
          <w:szCs w:val="32"/>
          <w:highlight w:val="none"/>
        </w:rPr>
      </w:pPr>
    </w:p>
    <w:p w14:paraId="30F9B13B">
      <w:pPr>
        <w:spacing w:line="360" w:lineRule="auto"/>
        <w:rPr>
          <w:rFonts w:ascii="宋体" w:hAnsi="宋体" w:cs="宋体"/>
          <w:color w:val="auto"/>
          <w:sz w:val="32"/>
          <w:szCs w:val="32"/>
          <w:highlight w:val="none"/>
        </w:rPr>
      </w:pPr>
    </w:p>
    <w:p w14:paraId="11203A90">
      <w:pPr>
        <w:pStyle w:val="42"/>
        <w:tabs>
          <w:tab w:val="right" w:leader="dot" w:pos="9060"/>
        </w:tabs>
        <w:spacing w:line="360" w:lineRule="auto"/>
        <w:rPr>
          <w:rFonts w:ascii="宋体" w:hAnsi="宋体" w:cstheme="minorBidi"/>
          <w:color w:val="auto"/>
          <w:sz w:val="32"/>
          <w:szCs w:val="32"/>
          <w:highlight w:val="none"/>
        </w:rPr>
      </w:pPr>
      <w:bookmarkStart w:id="1" w:name="_Hlt91233176"/>
      <w:bookmarkEnd w:id="1"/>
      <w:bookmarkStart w:id="2" w:name="_Toc91899869"/>
      <w:r>
        <w:rPr>
          <w:rFonts w:ascii="宋体" w:hAnsi="宋体" w:cs="宋体"/>
          <w:color w:val="auto"/>
          <w:sz w:val="32"/>
          <w:szCs w:val="32"/>
          <w:highlight w:val="none"/>
        </w:rPr>
        <w:fldChar w:fldCharType="begin"/>
      </w:r>
      <w:r>
        <w:rPr>
          <w:rFonts w:ascii="宋体" w:hAnsi="宋体" w:cs="宋体"/>
          <w:color w:val="auto"/>
          <w:sz w:val="32"/>
          <w:szCs w:val="32"/>
          <w:highlight w:val="none"/>
        </w:rPr>
        <w:instrText xml:space="preserve"> TOC \o "1-1" \h \z \u </w:instrText>
      </w:r>
      <w:r>
        <w:rPr>
          <w:rFonts w:ascii="宋体" w:hAnsi="宋体"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"_Toc176343848" </w:instrText>
      </w:r>
      <w:r>
        <w:rPr>
          <w:color w:val="auto"/>
          <w:highlight w:val="none"/>
        </w:rPr>
        <w:fldChar w:fldCharType="separate"/>
      </w:r>
      <w:r>
        <w:rPr>
          <w:rStyle w:val="76"/>
          <w:rFonts w:hint="eastAsia" w:ascii="宋体" w:hAnsi="宋体" w:eastAsia="宋体" w:cs="宋体"/>
          <w:color w:val="auto"/>
          <w:sz w:val="32"/>
          <w:szCs w:val="32"/>
          <w:highlight w:val="none"/>
        </w:rPr>
        <w:t>第一部分</w:t>
      </w:r>
      <w:r>
        <w:rPr>
          <w:rStyle w:val="76"/>
          <w:rFonts w:ascii="宋体" w:hAnsi="宋体" w:eastAsia="宋体" w:cs="宋体"/>
          <w:color w:val="auto"/>
          <w:sz w:val="32"/>
          <w:szCs w:val="32"/>
          <w:highlight w:val="none"/>
        </w:rPr>
        <w:t xml:space="preserve">  </w:t>
      </w:r>
      <w:r>
        <w:rPr>
          <w:rStyle w:val="76"/>
          <w:rFonts w:hint="eastAsia" w:ascii="宋体" w:hAnsi="宋体" w:eastAsia="宋体" w:cs="宋体"/>
          <w:color w:val="auto"/>
          <w:sz w:val="32"/>
          <w:szCs w:val="32"/>
          <w:highlight w:val="none"/>
        </w:rPr>
        <w:t>招标公告</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_Toc176343848 \h </w:instrText>
      </w:r>
      <w:r>
        <w:rPr>
          <w:rFonts w:ascii="宋体" w:hAnsi="宋体"/>
          <w:color w:val="auto"/>
          <w:sz w:val="32"/>
          <w:szCs w:val="32"/>
          <w:highlight w:val="none"/>
        </w:rPr>
        <w:fldChar w:fldCharType="separate"/>
      </w:r>
      <w:r>
        <w:rPr>
          <w:rFonts w:ascii="宋体" w:hAnsi="宋体"/>
          <w:color w:val="auto"/>
          <w:sz w:val="32"/>
          <w:szCs w:val="32"/>
          <w:highlight w:val="none"/>
        </w:rPr>
        <w:t>3</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744632D5">
      <w:pPr>
        <w:pStyle w:val="42"/>
        <w:tabs>
          <w:tab w:val="right" w:leader="dot" w:pos="9060"/>
        </w:tabs>
        <w:spacing w:line="360" w:lineRule="auto"/>
        <w:rPr>
          <w:rFonts w:ascii="宋体" w:hAnsi="宋体" w:cstheme="minorBidi"/>
          <w:color w:val="auto"/>
          <w:sz w:val="32"/>
          <w:szCs w:val="32"/>
          <w:highlight w:val="none"/>
        </w:rPr>
      </w:pPr>
      <w:r>
        <w:rPr>
          <w:color w:val="auto"/>
          <w:highlight w:val="none"/>
        </w:rPr>
        <w:fldChar w:fldCharType="begin"/>
      </w:r>
      <w:r>
        <w:rPr>
          <w:color w:val="auto"/>
          <w:highlight w:val="none"/>
        </w:rPr>
        <w:instrText xml:space="preserve"> HYPERLINK \l "_Toc176343849" </w:instrText>
      </w:r>
      <w:r>
        <w:rPr>
          <w:color w:val="auto"/>
          <w:highlight w:val="none"/>
        </w:rPr>
        <w:fldChar w:fldCharType="separate"/>
      </w:r>
      <w:r>
        <w:rPr>
          <w:rStyle w:val="76"/>
          <w:rFonts w:hint="eastAsia" w:ascii="宋体" w:hAnsi="宋体" w:eastAsia="宋体" w:cs="宋体"/>
          <w:color w:val="auto"/>
          <w:sz w:val="32"/>
          <w:szCs w:val="32"/>
          <w:highlight w:val="none"/>
        </w:rPr>
        <w:t>第二部分</w:t>
      </w:r>
      <w:r>
        <w:rPr>
          <w:rStyle w:val="76"/>
          <w:rFonts w:ascii="宋体" w:hAnsi="宋体" w:eastAsia="宋体" w:cs="宋体"/>
          <w:color w:val="auto"/>
          <w:sz w:val="32"/>
          <w:szCs w:val="32"/>
          <w:highlight w:val="none"/>
        </w:rPr>
        <w:t xml:space="preserve">  </w:t>
      </w:r>
      <w:r>
        <w:rPr>
          <w:rStyle w:val="76"/>
          <w:rFonts w:hint="eastAsia" w:ascii="宋体" w:hAnsi="宋体" w:eastAsia="宋体" w:cs="宋体"/>
          <w:color w:val="auto"/>
          <w:sz w:val="32"/>
          <w:szCs w:val="32"/>
          <w:highlight w:val="none"/>
        </w:rPr>
        <w:t>投标人须知</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_Toc176343849 \h </w:instrText>
      </w:r>
      <w:r>
        <w:rPr>
          <w:rFonts w:ascii="宋体" w:hAnsi="宋体"/>
          <w:color w:val="auto"/>
          <w:sz w:val="32"/>
          <w:szCs w:val="32"/>
          <w:highlight w:val="none"/>
        </w:rPr>
        <w:fldChar w:fldCharType="separate"/>
      </w:r>
      <w:r>
        <w:rPr>
          <w:rFonts w:ascii="宋体" w:hAnsi="宋体"/>
          <w:color w:val="auto"/>
          <w:sz w:val="32"/>
          <w:szCs w:val="32"/>
          <w:highlight w:val="none"/>
        </w:rPr>
        <w:t>8</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14A13E54">
      <w:pPr>
        <w:pStyle w:val="42"/>
        <w:tabs>
          <w:tab w:val="right" w:leader="dot" w:pos="9060"/>
        </w:tabs>
        <w:spacing w:line="360" w:lineRule="auto"/>
        <w:rPr>
          <w:rFonts w:ascii="宋体" w:hAnsi="宋体" w:cstheme="minorBidi"/>
          <w:color w:val="auto"/>
          <w:sz w:val="32"/>
          <w:szCs w:val="32"/>
          <w:highlight w:val="none"/>
        </w:rPr>
      </w:pPr>
      <w:r>
        <w:rPr>
          <w:color w:val="auto"/>
          <w:highlight w:val="none"/>
        </w:rPr>
        <w:fldChar w:fldCharType="begin"/>
      </w:r>
      <w:r>
        <w:rPr>
          <w:color w:val="auto"/>
          <w:highlight w:val="none"/>
        </w:rPr>
        <w:instrText xml:space="preserve"> HYPERLINK \l "_Toc176343850" </w:instrText>
      </w:r>
      <w:r>
        <w:rPr>
          <w:color w:val="auto"/>
          <w:highlight w:val="none"/>
        </w:rPr>
        <w:fldChar w:fldCharType="separate"/>
      </w:r>
      <w:r>
        <w:rPr>
          <w:rStyle w:val="76"/>
          <w:rFonts w:hint="eastAsia" w:ascii="宋体" w:hAnsi="宋体" w:eastAsia="宋体" w:cs="宋体"/>
          <w:color w:val="auto"/>
          <w:sz w:val="32"/>
          <w:szCs w:val="32"/>
          <w:highlight w:val="none"/>
        </w:rPr>
        <w:t>第三部分</w:t>
      </w:r>
      <w:r>
        <w:rPr>
          <w:rStyle w:val="76"/>
          <w:rFonts w:ascii="宋体" w:hAnsi="宋体" w:eastAsia="宋体" w:cs="宋体"/>
          <w:color w:val="auto"/>
          <w:sz w:val="32"/>
          <w:szCs w:val="32"/>
          <w:highlight w:val="none"/>
        </w:rPr>
        <w:t xml:space="preserve">  </w:t>
      </w:r>
      <w:r>
        <w:rPr>
          <w:rStyle w:val="76"/>
          <w:rFonts w:hint="eastAsia" w:ascii="宋体" w:hAnsi="宋体" w:eastAsia="宋体" w:cs="宋体"/>
          <w:color w:val="auto"/>
          <w:sz w:val="32"/>
          <w:szCs w:val="32"/>
          <w:highlight w:val="none"/>
        </w:rPr>
        <w:t>采购需求</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_Toc176343850 \h </w:instrText>
      </w:r>
      <w:r>
        <w:rPr>
          <w:rFonts w:ascii="宋体" w:hAnsi="宋体"/>
          <w:color w:val="auto"/>
          <w:sz w:val="32"/>
          <w:szCs w:val="32"/>
          <w:highlight w:val="none"/>
        </w:rPr>
        <w:fldChar w:fldCharType="separate"/>
      </w:r>
      <w:r>
        <w:rPr>
          <w:rFonts w:ascii="宋体" w:hAnsi="宋体"/>
          <w:color w:val="auto"/>
          <w:sz w:val="32"/>
          <w:szCs w:val="32"/>
          <w:highlight w:val="none"/>
        </w:rPr>
        <w:t>28</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733F5F43">
      <w:pPr>
        <w:pStyle w:val="42"/>
        <w:tabs>
          <w:tab w:val="right" w:leader="dot" w:pos="9060"/>
        </w:tabs>
        <w:spacing w:line="360" w:lineRule="auto"/>
        <w:rPr>
          <w:rFonts w:ascii="宋体" w:hAnsi="宋体" w:cstheme="minorBidi"/>
          <w:color w:val="auto"/>
          <w:sz w:val="32"/>
          <w:szCs w:val="32"/>
          <w:highlight w:val="none"/>
        </w:rPr>
      </w:pPr>
      <w:r>
        <w:rPr>
          <w:color w:val="auto"/>
          <w:highlight w:val="none"/>
        </w:rPr>
        <w:fldChar w:fldCharType="begin"/>
      </w:r>
      <w:r>
        <w:rPr>
          <w:color w:val="auto"/>
          <w:highlight w:val="none"/>
        </w:rPr>
        <w:instrText xml:space="preserve"> HYPERLINK \l "_Toc176343851" </w:instrText>
      </w:r>
      <w:r>
        <w:rPr>
          <w:color w:val="auto"/>
          <w:highlight w:val="none"/>
        </w:rPr>
        <w:fldChar w:fldCharType="separate"/>
      </w:r>
      <w:r>
        <w:rPr>
          <w:rStyle w:val="76"/>
          <w:rFonts w:hint="eastAsia" w:ascii="宋体" w:hAnsi="宋体" w:eastAsia="宋体" w:cs="宋体"/>
          <w:color w:val="auto"/>
          <w:sz w:val="32"/>
          <w:szCs w:val="32"/>
          <w:highlight w:val="none"/>
        </w:rPr>
        <w:t>第四部分</w:t>
      </w:r>
      <w:r>
        <w:rPr>
          <w:rStyle w:val="76"/>
          <w:rFonts w:ascii="宋体" w:hAnsi="宋体" w:eastAsia="宋体" w:cs="宋体"/>
          <w:color w:val="auto"/>
          <w:sz w:val="32"/>
          <w:szCs w:val="32"/>
          <w:highlight w:val="none"/>
        </w:rPr>
        <w:t xml:space="preserve">  </w:t>
      </w:r>
      <w:r>
        <w:rPr>
          <w:rStyle w:val="76"/>
          <w:rFonts w:hint="eastAsia" w:ascii="宋体" w:hAnsi="宋体" w:eastAsia="宋体" w:cs="宋体"/>
          <w:color w:val="auto"/>
          <w:sz w:val="32"/>
          <w:szCs w:val="32"/>
          <w:highlight w:val="none"/>
        </w:rPr>
        <w:t>评标办法</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_Toc176343851 \h </w:instrText>
      </w:r>
      <w:r>
        <w:rPr>
          <w:rFonts w:ascii="宋体" w:hAnsi="宋体"/>
          <w:color w:val="auto"/>
          <w:sz w:val="32"/>
          <w:szCs w:val="32"/>
          <w:highlight w:val="none"/>
        </w:rPr>
        <w:fldChar w:fldCharType="separate"/>
      </w:r>
      <w:r>
        <w:rPr>
          <w:rFonts w:ascii="宋体" w:hAnsi="宋体"/>
          <w:color w:val="auto"/>
          <w:sz w:val="32"/>
          <w:szCs w:val="32"/>
          <w:highlight w:val="none"/>
        </w:rPr>
        <w:t>62</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05C92580">
      <w:pPr>
        <w:pStyle w:val="42"/>
        <w:tabs>
          <w:tab w:val="right" w:leader="dot" w:pos="9060"/>
        </w:tabs>
        <w:spacing w:line="360" w:lineRule="auto"/>
        <w:rPr>
          <w:rFonts w:ascii="宋体" w:hAnsi="宋体" w:cstheme="minorBidi"/>
          <w:color w:val="auto"/>
          <w:sz w:val="32"/>
          <w:szCs w:val="32"/>
          <w:highlight w:val="none"/>
        </w:rPr>
      </w:pPr>
      <w:r>
        <w:rPr>
          <w:color w:val="auto"/>
          <w:highlight w:val="none"/>
        </w:rPr>
        <w:fldChar w:fldCharType="begin"/>
      </w:r>
      <w:r>
        <w:rPr>
          <w:color w:val="auto"/>
          <w:highlight w:val="none"/>
        </w:rPr>
        <w:instrText xml:space="preserve"> HYPERLINK \l "_Toc176343852" </w:instrText>
      </w:r>
      <w:r>
        <w:rPr>
          <w:color w:val="auto"/>
          <w:highlight w:val="none"/>
        </w:rPr>
        <w:fldChar w:fldCharType="separate"/>
      </w:r>
      <w:r>
        <w:rPr>
          <w:rStyle w:val="76"/>
          <w:rFonts w:hint="eastAsia" w:ascii="宋体" w:hAnsi="宋体" w:eastAsia="宋体" w:cs="宋体"/>
          <w:color w:val="auto"/>
          <w:sz w:val="32"/>
          <w:szCs w:val="32"/>
          <w:highlight w:val="none"/>
        </w:rPr>
        <w:t>第五部分</w:t>
      </w:r>
      <w:r>
        <w:rPr>
          <w:rStyle w:val="76"/>
          <w:rFonts w:ascii="宋体" w:hAnsi="宋体" w:eastAsia="宋体" w:cs="宋体"/>
          <w:color w:val="auto"/>
          <w:sz w:val="32"/>
          <w:szCs w:val="32"/>
          <w:highlight w:val="none"/>
        </w:rPr>
        <w:t xml:space="preserve">  </w:t>
      </w:r>
      <w:r>
        <w:rPr>
          <w:rStyle w:val="76"/>
          <w:rFonts w:hint="eastAsia" w:ascii="宋体" w:hAnsi="宋体" w:eastAsia="宋体" w:cs="宋体"/>
          <w:color w:val="auto"/>
          <w:sz w:val="32"/>
          <w:szCs w:val="32"/>
          <w:highlight w:val="none"/>
        </w:rPr>
        <w:t>拟签订的合同文本</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_Toc176343852 \h </w:instrText>
      </w:r>
      <w:r>
        <w:rPr>
          <w:rFonts w:ascii="宋体" w:hAnsi="宋体"/>
          <w:color w:val="auto"/>
          <w:sz w:val="32"/>
          <w:szCs w:val="32"/>
          <w:highlight w:val="none"/>
        </w:rPr>
        <w:fldChar w:fldCharType="separate"/>
      </w:r>
      <w:r>
        <w:rPr>
          <w:rFonts w:ascii="宋体" w:hAnsi="宋体"/>
          <w:color w:val="auto"/>
          <w:sz w:val="32"/>
          <w:szCs w:val="32"/>
          <w:highlight w:val="none"/>
        </w:rPr>
        <w:t>70</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144C42A4">
      <w:pPr>
        <w:pStyle w:val="42"/>
        <w:tabs>
          <w:tab w:val="right" w:leader="dot" w:pos="9060"/>
        </w:tabs>
        <w:spacing w:line="360" w:lineRule="auto"/>
        <w:rPr>
          <w:rFonts w:ascii="宋体" w:hAnsi="宋体" w:cstheme="minorBidi"/>
          <w:color w:val="auto"/>
          <w:sz w:val="32"/>
          <w:szCs w:val="32"/>
          <w:highlight w:val="none"/>
        </w:rPr>
      </w:pPr>
      <w:r>
        <w:rPr>
          <w:color w:val="auto"/>
          <w:highlight w:val="none"/>
        </w:rPr>
        <w:fldChar w:fldCharType="begin"/>
      </w:r>
      <w:r>
        <w:rPr>
          <w:color w:val="auto"/>
          <w:highlight w:val="none"/>
        </w:rPr>
        <w:instrText xml:space="preserve"> HYPERLINK \l "_Toc176343853" </w:instrText>
      </w:r>
      <w:r>
        <w:rPr>
          <w:color w:val="auto"/>
          <w:highlight w:val="none"/>
        </w:rPr>
        <w:fldChar w:fldCharType="separate"/>
      </w:r>
      <w:r>
        <w:rPr>
          <w:rStyle w:val="76"/>
          <w:rFonts w:hint="eastAsia" w:ascii="宋体" w:hAnsi="宋体" w:eastAsia="宋体" w:cs="宋体"/>
          <w:color w:val="auto"/>
          <w:sz w:val="32"/>
          <w:szCs w:val="32"/>
          <w:highlight w:val="none"/>
        </w:rPr>
        <w:t>第六部分</w:t>
      </w:r>
      <w:r>
        <w:rPr>
          <w:rStyle w:val="76"/>
          <w:rFonts w:ascii="宋体" w:hAnsi="宋体" w:eastAsia="宋体" w:cs="宋体"/>
          <w:color w:val="auto"/>
          <w:sz w:val="32"/>
          <w:szCs w:val="32"/>
          <w:highlight w:val="none"/>
        </w:rPr>
        <w:t xml:space="preserve">  </w:t>
      </w:r>
      <w:r>
        <w:rPr>
          <w:rStyle w:val="76"/>
          <w:rFonts w:hint="eastAsia" w:ascii="宋体" w:hAnsi="宋体" w:eastAsia="宋体" w:cs="宋体"/>
          <w:color w:val="auto"/>
          <w:sz w:val="32"/>
          <w:szCs w:val="32"/>
          <w:highlight w:val="none"/>
        </w:rPr>
        <w:t>应提交的有关格式范例</w:t>
      </w:r>
      <w:r>
        <w:rPr>
          <w:rFonts w:ascii="宋体" w:hAnsi="宋体"/>
          <w:color w:val="auto"/>
          <w:sz w:val="32"/>
          <w:szCs w:val="32"/>
          <w:highlight w:val="none"/>
        </w:rPr>
        <w:tab/>
      </w:r>
      <w:r>
        <w:rPr>
          <w:rFonts w:ascii="宋体" w:hAnsi="宋体"/>
          <w:color w:val="auto"/>
          <w:sz w:val="32"/>
          <w:szCs w:val="32"/>
          <w:highlight w:val="none"/>
        </w:rPr>
        <w:fldChar w:fldCharType="begin"/>
      </w:r>
      <w:r>
        <w:rPr>
          <w:rFonts w:ascii="宋体" w:hAnsi="宋体"/>
          <w:color w:val="auto"/>
          <w:sz w:val="32"/>
          <w:szCs w:val="32"/>
          <w:highlight w:val="none"/>
        </w:rPr>
        <w:instrText xml:space="preserve"> PAGEREF _Toc176343853 \h </w:instrText>
      </w:r>
      <w:r>
        <w:rPr>
          <w:rFonts w:ascii="宋体" w:hAnsi="宋体"/>
          <w:color w:val="auto"/>
          <w:sz w:val="32"/>
          <w:szCs w:val="32"/>
          <w:highlight w:val="none"/>
        </w:rPr>
        <w:fldChar w:fldCharType="separate"/>
      </w:r>
      <w:r>
        <w:rPr>
          <w:rFonts w:ascii="宋体" w:hAnsi="宋体"/>
          <w:color w:val="auto"/>
          <w:sz w:val="32"/>
          <w:szCs w:val="32"/>
          <w:highlight w:val="none"/>
        </w:rPr>
        <w:t>79</w:t>
      </w:r>
      <w:r>
        <w:rPr>
          <w:rFonts w:ascii="宋体" w:hAnsi="宋体"/>
          <w:color w:val="auto"/>
          <w:sz w:val="32"/>
          <w:szCs w:val="32"/>
          <w:highlight w:val="none"/>
        </w:rPr>
        <w:fldChar w:fldCharType="end"/>
      </w:r>
      <w:r>
        <w:rPr>
          <w:rFonts w:ascii="宋体" w:hAnsi="宋体"/>
          <w:color w:val="auto"/>
          <w:sz w:val="32"/>
          <w:szCs w:val="32"/>
          <w:highlight w:val="none"/>
        </w:rPr>
        <w:fldChar w:fldCharType="end"/>
      </w:r>
    </w:p>
    <w:p w14:paraId="51CCE76A">
      <w:pPr>
        <w:spacing w:line="360" w:lineRule="auto"/>
        <w:ind w:firstLine="732" w:firstLineChars="229"/>
        <w:rPr>
          <w:rFonts w:ascii="宋体" w:hAnsi="宋体" w:cs="宋体"/>
          <w:color w:val="auto"/>
          <w:sz w:val="32"/>
          <w:szCs w:val="32"/>
          <w:highlight w:val="none"/>
        </w:rPr>
      </w:pPr>
      <w:r>
        <w:rPr>
          <w:rFonts w:ascii="宋体" w:hAnsi="宋体" w:cs="宋体"/>
          <w:color w:val="auto"/>
          <w:sz w:val="32"/>
          <w:szCs w:val="32"/>
          <w:highlight w:val="none"/>
        </w:rPr>
        <w:fldChar w:fldCharType="end"/>
      </w:r>
    </w:p>
    <w:p w14:paraId="4F57647C">
      <w:pPr>
        <w:spacing w:line="360" w:lineRule="auto"/>
        <w:ind w:firstLine="549" w:firstLineChars="229"/>
        <w:rPr>
          <w:rFonts w:ascii="宋体" w:hAnsi="宋体" w:cs="宋体"/>
          <w:color w:val="auto"/>
          <w:sz w:val="24"/>
          <w:highlight w:val="none"/>
        </w:rPr>
      </w:pPr>
    </w:p>
    <w:p w14:paraId="1A6D51B7">
      <w:pPr>
        <w:spacing w:line="360" w:lineRule="auto"/>
        <w:ind w:firstLine="549" w:firstLineChars="229"/>
        <w:rPr>
          <w:rFonts w:ascii="宋体" w:hAnsi="宋体" w:cs="宋体"/>
          <w:color w:val="auto"/>
          <w:sz w:val="24"/>
          <w:highlight w:val="none"/>
        </w:rPr>
      </w:pPr>
    </w:p>
    <w:p w14:paraId="7DED1065">
      <w:pPr>
        <w:spacing w:line="360" w:lineRule="auto"/>
        <w:ind w:firstLine="549" w:firstLineChars="229"/>
        <w:rPr>
          <w:rFonts w:ascii="宋体" w:hAnsi="宋体" w:cs="宋体"/>
          <w:color w:val="auto"/>
          <w:sz w:val="24"/>
          <w:highlight w:val="none"/>
        </w:rPr>
      </w:pPr>
    </w:p>
    <w:p w14:paraId="172183CE">
      <w:pPr>
        <w:spacing w:line="360" w:lineRule="auto"/>
        <w:ind w:firstLine="549" w:firstLineChars="229"/>
        <w:rPr>
          <w:rFonts w:ascii="宋体" w:hAnsi="宋体" w:cs="宋体"/>
          <w:color w:val="auto"/>
          <w:sz w:val="24"/>
          <w:highlight w:val="none"/>
        </w:rPr>
      </w:pPr>
    </w:p>
    <w:p w14:paraId="75E66889">
      <w:pPr>
        <w:spacing w:line="360" w:lineRule="auto"/>
        <w:ind w:firstLine="549" w:firstLineChars="229"/>
        <w:rPr>
          <w:rFonts w:ascii="宋体" w:hAnsi="宋体" w:cs="宋体"/>
          <w:color w:val="auto"/>
          <w:sz w:val="24"/>
          <w:highlight w:val="none"/>
        </w:rPr>
      </w:pPr>
    </w:p>
    <w:p w14:paraId="3B988F5E">
      <w:pPr>
        <w:spacing w:line="360" w:lineRule="auto"/>
        <w:ind w:firstLine="549" w:firstLineChars="229"/>
        <w:rPr>
          <w:rFonts w:ascii="宋体" w:hAnsi="宋体" w:cs="宋体"/>
          <w:color w:val="auto"/>
          <w:sz w:val="24"/>
          <w:highlight w:val="none"/>
        </w:rPr>
      </w:pPr>
    </w:p>
    <w:p w14:paraId="29A834D4">
      <w:pPr>
        <w:spacing w:line="360" w:lineRule="auto"/>
        <w:ind w:firstLine="549" w:firstLineChars="229"/>
        <w:rPr>
          <w:rFonts w:ascii="宋体" w:hAnsi="宋体" w:cs="宋体"/>
          <w:color w:val="auto"/>
          <w:sz w:val="24"/>
          <w:highlight w:val="none"/>
        </w:rPr>
      </w:pPr>
    </w:p>
    <w:p w14:paraId="57D68E0C">
      <w:pPr>
        <w:spacing w:line="360" w:lineRule="auto"/>
        <w:ind w:firstLine="549" w:firstLineChars="229"/>
        <w:rPr>
          <w:rFonts w:ascii="宋体" w:hAnsi="宋体" w:cs="宋体"/>
          <w:color w:val="auto"/>
          <w:sz w:val="24"/>
          <w:highlight w:val="none"/>
        </w:rPr>
      </w:pPr>
    </w:p>
    <w:p w14:paraId="2CD358CA">
      <w:pPr>
        <w:spacing w:line="360" w:lineRule="auto"/>
        <w:ind w:firstLine="549" w:firstLineChars="229"/>
        <w:rPr>
          <w:rFonts w:ascii="宋体" w:hAnsi="宋体" w:cs="宋体"/>
          <w:color w:val="auto"/>
          <w:sz w:val="24"/>
          <w:highlight w:val="none"/>
        </w:rPr>
      </w:pPr>
    </w:p>
    <w:p w14:paraId="0F5C2F23">
      <w:pPr>
        <w:spacing w:line="360" w:lineRule="auto"/>
        <w:ind w:firstLine="549" w:firstLineChars="229"/>
        <w:rPr>
          <w:rFonts w:ascii="宋体" w:hAnsi="宋体" w:cs="宋体"/>
          <w:color w:val="auto"/>
          <w:sz w:val="24"/>
          <w:highlight w:val="none"/>
        </w:rPr>
      </w:pPr>
    </w:p>
    <w:p w14:paraId="7A9A142D">
      <w:pPr>
        <w:spacing w:line="360" w:lineRule="auto"/>
        <w:ind w:firstLine="549" w:firstLineChars="229"/>
        <w:rPr>
          <w:rFonts w:ascii="宋体" w:hAnsi="宋体" w:cs="宋体"/>
          <w:color w:val="auto"/>
          <w:sz w:val="24"/>
          <w:highlight w:val="none"/>
        </w:rPr>
      </w:pPr>
    </w:p>
    <w:p w14:paraId="37CE0F25">
      <w:pPr>
        <w:spacing w:line="360" w:lineRule="auto"/>
        <w:rPr>
          <w:rFonts w:ascii="宋体" w:hAnsi="宋体" w:cs="宋体"/>
          <w:color w:val="auto"/>
          <w:sz w:val="24"/>
          <w:highlight w:val="none"/>
        </w:rPr>
      </w:pPr>
    </w:p>
    <w:p w14:paraId="58282144">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_Toc176343848"/>
      <w:bookmarkStart w:id="9" w:name="_Toc176185119"/>
      <w:bookmarkStart w:id="10" w:name="第二部分"/>
      <w:bookmarkStart w:id="11" w:name="_Toc91899870"/>
      <w:bookmarkStart w:id="12" w:name="_Toc91899871"/>
      <w:r>
        <w:rPr>
          <w:rFonts w:hint="eastAsia" w:ascii="宋体" w:hAnsi="宋体" w:cs="宋体"/>
          <w:b/>
          <w:color w:val="auto"/>
          <w:sz w:val="36"/>
          <w:szCs w:val="20"/>
          <w:highlight w:val="none"/>
        </w:rPr>
        <w:t>第一部分  招标公告</w:t>
      </w:r>
      <w:bookmarkEnd w:id="8"/>
      <w:bookmarkEnd w:id="9"/>
    </w:p>
    <w:p w14:paraId="1EE5388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3A795B4A">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合浦县人民医院国家标准化心血管病诊疗中心项目设备（远程异地评标）招标项目的潜在投标人应在</w:t>
      </w:r>
      <w:r>
        <w:rPr>
          <w:rFonts w:hint="eastAsia" w:ascii="宋体" w:hAnsi="宋体" w:cs="宋体"/>
          <w:color w:val="auto"/>
          <w:sz w:val="24"/>
          <w:highlight w:val="none"/>
        </w:rPr>
        <w:t>广西政府采购云平台（https://www.gcy.zfcg.gxzf.gov.cn/）</w:t>
      </w:r>
      <w:r>
        <w:rPr>
          <w:rFonts w:asciiTheme="minorEastAsia" w:hAnsiTheme="minorEastAsia" w:eastAsiaTheme="minorEastAsia"/>
          <w:color w:val="auto"/>
          <w:sz w:val="24"/>
          <w:highlight w:val="none"/>
        </w:rPr>
        <w:t>获取（下载）招标文件，并于</w:t>
      </w:r>
      <w:r>
        <w:rPr>
          <w:rFonts w:hint="eastAsia" w:asciiTheme="minorEastAsia" w:hAnsiTheme="minorEastAsia" w:eastAsiaTheme="minorEastAsia"/>
          <w:color w:val="auto"/>
          <w:sz w:val="24"/>
          <w:highlight w:val="none"/>
        </w:rPr>
        <w:t>202</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日</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点</w:t>
      </w:r>
      <w:r>
        <w:rPr>
          <w:rFonts w:hint="eastAsia" w:asciiTheme="minorEastAsia" w:hAnsiTheme="minorEastAsia" w:eastAsiaTheme="minorEastAsia"/>
          <w:color w:val="auto"/>
          <w:sz w:val="24"/>
          <w:highlight w:val="none"/>
          <w:lang w:val="en-US" w:eastAsia="zh-CN"/>
        </w:rPr>
        <w:t>30</w:t>
      </w:r>
      <w:r>
        <w:rPr>
          <w:rFonts w:hint="eastAsia" w:asciiTheme="minorEastAsia" w:hAnsiTheme="minorEastAsia" w:eastAsiaTheme="minorEastAsia"/>
          <w:color w:val="auto"/>
          <w:sz w:val="24"/>
          <w:highlight w:val="none"/>
        </w:rPr>
        <w:t>分</w:t>
      </w:r>
      <w:r>
        <w:rPr>
          <w:rFonts w:hint="eastAsia" w:asciiTheme="minorEastAsia" w:hAnsiTheme="minorEastAsia" w:eastAsiaTheme="minorEastAsia"/>
          <w:bCs/>
          <w:color w:val="auto"/>
          <w:sz w:val="24"/>
          <w:highlight w:val="none"/>
          <w:lang w:val="en-US" w:eastAsia="zh-CN"/>
        </w:rPr>
        <w:t>0</w:t>
      </w:r>
      <w:r>
        <w:rPr>
          <w:rFonts w:hint="eastAsia" w:asciiTheme="minorEastAsia" w:hAnsiTheme="minorEastAsia" w:eastAsiaTheme="minorEastAsia"/>
          <w:bCs/>
          <w:color w:val="auto"/>
          <w:sz w:val="24"/>
          <w:highlight w:val="none"/>
        </w:rPr>
        <w:t>0秒（北京时间）前</w:t>
      </w:r>
      <w:r>
        <w:rPr>
          <w:rFonts w:hint="eastAsia" w:asciiTheme="minorEastAsia" w:hAnsiTheme="minorEastAsia" w:eastAsiaTheme="minorEastAsia"/>
          <w:color w:val="auto"/>
          <w:sz w:val="24"/>
          <w:highlight w:val="none"/>
        </w:rPr>
        <w:t>递交（上传）投标文件。</w:t>
      </w:r>
    </w:p>
    <w:p w14:paraId="6EE039DC">
      <w:pPr>
        <w:spacing w:line="360" w:lineRule="auto"/>
        <w:rPr>
          <w:rFonts w:ascii="宋体" w:hAnsi="宋体" w:cs="宋体"/>
          <w:b/>
          <w:color w:val="auto"/>
          <w:sz w:val="24"/>
          <w:highlight w:val="none"/>
        </w:rPr>
      </w:pPr>
      <w:r>
        <w:rPr>
          <w:rFonts w:hint="eastAsia" w:ascii="宋体" w:hAnsi="宋体" w:cs="宋体"/>
          <w:b/>
          <w:color w:val="auto"/>
          <w:sz w:val="24"/>
          <w:highlight w:val="none"/>
        </w:rPr>
        <w:t>一、项目基本情况</w:t>
      </w:r>
    </w:p>
    <w:p w14:paraId="348F78C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项目编号：BHZC2025-G1-210009-ZZGJ（TC250407Y）</w:t>
      </w:r>
    </w:p>
    <w:p w14:paraId="215CDC2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项目名称：合浦县人民医院国家标准化心血管病诊疗中心项目设备（远程异地评标）</w:t>
      </w:r>
    </w:p>
    <w:p w14:paraId="14F1BD4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预算金额（元）：</w:t>
      </w:r>
      <w:r>
        <w:rPr>
          <w:rFonts w:hint="eastAsia" w:ascii="宋体" w:hAnsi="宋体" w:eastAsia="宋体" w:cs="宋体"/>
          <w:color w:val="auto"/>
          <w:sz w:val="24"/>
          <w:szCs w:val="24"/>
          <w:u w:val="none"/>
          <w:lang w:val="en-US" w:eastAsia="zh-CN"/>
        </w:rPr>
        <w:t>19550000.00</w:t>
      </w:r>
    </w:p>
    <w:p w14:paraId="6C797B5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最高限价（元）：</w:t>
      </w:r>
      <w:r>
        <w:rPr>
          <w:rFonts w:hint="eastAsia" w:ascii="宋体" w:hAnsi="宋体" w:eastAsia="宋体" w:cs="宋体"/>
          <w:color w:val="auto"/>
          <w:sz w:val="24"/>
          <w:szCs w:val="24"/>
          <w:u w:val="none"/>
          <w:lang w:val="en-US" w:eastAsia="zh-CN"/>
        </w:rPr>
        <w:t>19550000.00</w:t>
      </w:r>
    </w:p>
    <w:p w14:paraId="7DA50759">
      <w:pPr>
        <w:pStyle w:val="5"/>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hAnsi="宋体" w:cs="宋体"/>
          <w:color w:val="auto"/>
          <w:sz w:val="24"/>
          <w:highlight w:val="none"/>
        </w:rPr>
        <w:t>简要规格描述或项目基本概况介绍、用途：</w:t>
      </w:r>
      <w:r>
        <w:rPr>
          <w:rFonts w:hint="eastAsia" w:hAnsi="宋体" w:cs="宋体"/>
          <w:color w:val="auto"/>
          <w:sz w:val="24"/>
          <w:highlight w:val="none"/>
          <w:lang w:eastAsia="zh-CN"/>
        </w:rPr>
        <w:t>国家标准化心血管病诊疗中心项目设备</w:t>
      </w:r>
      <w:r>
        <w:rPr>
          <w:rFonts w:hint="eastAsia" w:hAnsi="宋体" w:cs="宋体"/>
          <w:bCs/>
          <w:snapToGrid/>
          <w:color w:val="auto"/>
          <w:kern w:val="2"/>
          <w:sz w:val="24"/>
          <w:szCs w:val="24"/>
          <w:highlight w:val="none"/>
          <w:lang w:eastAsia="zh-CN"/>
        </w:rPr>
        <w:t>，</w:t>
      </w:r>
      <w:r>
        <w:rPr>
          <w:rFonts w:hint="eastAsia" w:asciiTheme="minorEastAsia" w:hAnsiTheme="minorEastAsia" w:eastAsiaTheme="minorEastAsia"/>
          <w:snapToGrid/>
          <w:color w:val="auto"/>
          <w:kern w:val="2"/>
          <w:sz w:val="24"/>
          <w:szCs w:val="24"/>
          <w:highlight w:val="none"/>
        </w:rPr>
        <w:t>具体以招标文件第三部分采购需求为准。</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4"/>
        <w:gridCol w:w="3140"/>
        <w:gridCol w:w="1440"/>
        <w:gridCol w:w="2353"/>
        <w:gridCol w:w="1750"/>
      </w:tblGrid>
      <w:tr w14:paraId="4C227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3" w:hRule="atLeast"/>
          <w:jc w:val="center"/>
        </w:trPr>
        <w:tc>
          <w:tcPr>
            <w:tcW w:w="894" w:type="dxa"/>
            <w:tcBorders>
              <w:top w:val="single" w:color="auto" w:sz="4" w:space="0"/>
              <w:left w:val="single" w:color="auto" w:sz="4" w:space="0"/>
              <w:bottom w:val="single" w:color="auto" w:sz="4" w:space="0"/>
              <w:right w:val="single" w:color="auto" w:sz="4" w:space="0"/>
            </w:tcBorders>
            <w:noWrap w:val="0"/>
            <w:vAlign w:val="center"/>
          </w:tcPr>
          <w:p w14:paraId="3DAC10B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3140" w:type="dxa"/>
            <w:tcBorders>
              <w:top w:val="single" w:color="auto" w:sz="4" w:space="0"/>
              <w:left w:val="single" w:color="auto" w:sz="4" w:space="0"/>
              <w:bottom w:val="single" w:color="auto" w:sz="4" w:space="0"/>
              <w:right w:val="single" w:color="auto" w:sz="4" w:space="0"/>
            </w:tcBorders>
            <w:noWrap w:val="0"/>
            <w:vAlign w:val="center"/>
          </w:tcPr>
          <w:p w14:paraId="7AF6D01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标的名称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04EDCC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数量及单位</w:t>
            </w:r>
          </w:p>
        </w:tc>
        <w:tc>
          <w:tcPr>
            <w:tcW w:w="2353" w:type="dxa"/>
            <w:tcBorders>
              <w:top w:val="single" w:color="auto" w:sz="4" w:space="0"/>
              <w:left w:val="single" w:color="auto" w:sz="4" w:space="0"/>
              <w:bottom w:val="single" w:color="auto" w:sz="4" w:space="0"/>
              <w:right w:val="single" w:color="auto" w:sz="4" w:space="0"/>
            </w:tcBorders>
            <w:noWrap w:val="0"/>
            <w:vAlign w:val="center"/>
          </w:tcPr>
          <w:p w14:paraId="17FC99D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简要技术需求</w:t>
            </w:r>
          </w:p>
        </w:tc>
        <w:tc>
          <w:tcPr>
            <w:tcW w:w="1750" w:type="dxa"/>
            <w:tcBorders>
              <w:top w:val="single" w:color="auto" w:sz="4" w:space="0"/>
              <w:left w:val="single" w:color="auto" w:sz="4" w:space="0"/>
              <w:bottom w:val="single" w:color="auto" w:sz="4" w:space="0"/>
              <w:right w:val="single" w:color="auto" w:sz="4" w:space="0"/>
            </w:tcBorders>
            <w:noWrap w:val="0"/>
            <w:vAlign w:val="center"/>
          </w:tcPr>
          <w:p w14:paraId="56FD824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0B618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4" w:type="dxa"/>
            <w:tcBorders>
              <w:top w:val="single" w:color="auto" w:sz="4" w:space="0"/>
              <w:left w:val="single" w:color="auto" w:sz="4" w:space="0"/>
              <w:bottom w:val="single" w:color="auto" w:sz="4" w:space="0"/>
              <w:right w:val="single" w:color="auto" w:sz="4" w:space="0"/>
            </w:tcBorders>
            <w:noWrap w:val="0"/>
            <w:vAlign w:val="center"/>
          </w:tcPr>
          <w:p w14:paraId="7546CF1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3140" w:type="dxa"/>
            <w:tcBorders>
              <w:top w:val="single" w:color="auto" w:sz="4" w:space="0"/>
              <w:left w:val="single" w:color="auto" w:sz="4" w:space="0"/>
              <w:bottom w:val="single" w:color="auto" w:sz="4" w:space="0"/>
              <w:right w:val="single" w:color="auto" w:sz="4" w:space="0"/>
            </w:tcBorders>
            <w:noWrap w:val="0"/>
            <w:vAlign w:val="center"/>
          </w:tcPr>
          <w:p w14:paraId="4E8850A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血流动力学分析仪</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8E6BFC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sz w:val="24"/>
                <w:szCs w:val="24"/>
              </w:rPr>
              <w:t>1套</w:t>
            </w:r>
          </w:p>
        </w:tc>
        <w:tc>
          <w:tcPr>
            <w:tcW w:w="2353" w:type="dxa"/>
            <w:tcBorders>
              <w:top w:val="single" w:color="auto" w:sz="4" w:space="0"/>
              <w:left w:val="single" w:color="auto" w:sz="4" w:space="0"/>
              <w:bottom w:val="single" w:color="auto" w:sz="4" w:space="0"/>
              <w:right w:val="single" w:color="auto" w:sz="4" w:space="0"/>
            </w:tcBorders>
            <w:noWrap w:val="0"/>
            <w:vAlign w:val="center"/>
          </w:tcPr>
          <w:p w14:paraId="1EBDCDA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bCs/>
                <w:sz w:val="24"/>
                <w:szCs w:val="24"/>
              </w:rPr>
              <w:t>详见货物采购需求</w:t>
            </w:r>
          </w:p>
        </w:tc>
        <w:tc>
          <w:tcPr>
            <w:tcW w:w="1750" w:type="dxa"/>
            <w:tcBorders>
              <w:top w:val="single" w:color="auto" w:sz="4" w:space="0"/>
              <w:left w:val="single" w:color="auto" w:sz="4" w:space="0"/>
              <w:bottom w:val="single" w:color="auto" w:sz="4" w:space="0"/>
              <w:right w:val="single" w:color="auto" w:sz="4" w:space="0"/>
            </w:tcBorders>
            <w:noWrap w:val="0"/>
            <w:vAlign w:val="center"/>
          </w:tcPr>
          <w:p w14:paraId="1B6B983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sz w:val="24"/>
                <w:szCs w:val="24"/>
                <w:lang w:val="en-US" w:eastAsia="zh-CN"/>
              </w:rPr>
            </w:pPr>
          </w:p>
        </w:tc>
      </w:tr>
      <w:tr w14:paraId="2E719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4" w:type="dxa"/>
            <w:tcBorders>
              <w:top w:val="single" w:color="auto" w:sz="4" w:space="0"/>
              <w:left w:val="single" w:color="auto" w:sz="4" w:space="0"/>
              <w:bottom w:val="single" w:color="auto" w:sz="4" w:space="0"/>
              <w:right w:val="single" w:color="auto" w:sz="4" w:space="0"/>
            </w:tcBorders>
            <w:noWrap w:val="0"/>
            <w:vAlign w:val="center"/>
          </w:tcPr>
          <w:p w14:paraId="7ABD6B0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3140" w:type="dxa"/>
            <w:tcBorders>
              <w:top w:val="single" w:color="auto" w:sz="4" w:space="0"/>
              <w:left w:val="single" w:color="auto" w:sz="4" w:space="0"/>
              <w:bottom w:val="single" w:color="auto" w:sz="4" w:space="0"/>
              <w:right w:val="single" w:color="auto" w:sz="4" w:space="0"/>
            </w:tcBorders>
            <w:noWrap w:val="0"/>
            <w:vAlign w:val="center"/>
          </w:tcPr>
          <w:p w14:paraId="6D6D210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三维电生理标测系统</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FF65AE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1套</w:t>
            </w:r>
          </w:p>
        </w:tc>
        <w:tc>
          <w:tcPr>
            <w:tcW w:w="2353" w:type="dxa"/>
            <w:tcBorders>
              <w:top w:val="single" w:color="auto" w:sz="4" w:space="0"/>
              <w:left w:val="single" w:color="auto" w:sz="4" w:space="0"/>
              <w:bottom w:val="single" w:color="auto" w:sz="4" w:space="0"/>
              <w:right w:val="single" w:color="auto" w:sz="4" w:space="0"/>
            </w:tcBorders>
            <w:noWrap w:val="0"/>
            <w:vAlign w:val="center"/>
          </w:tcPr>
          <w:p w14:paraId="571D27C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详见货物采购需求</w:t>
            </w:r>
          </w:p>
        </w:tc>
        <w:tc>
          <w:tcPr>
            <w:tcW w:w="1750" w:type="dxa"/>
            <w:tcBorders>
              <w:top w:val="single" w:color="auto" w:sz="4" w:space="0"/>
              <w:left w:val="single" w:color="auto" w:sz="4" w:space="0"/>
              <w:bottom w:val="single" w:color="auto" w:sz="4" w:space="0"/>
              <w:right w:val="single" w:color="auto" w:sz="4" w:space="0"/>
            </w:tcBorders>
            <w:noWrap w:val="0"/>
            <w:vAlign w:val="center"/>
          </w:tcPr>
          <w:p w14:paraId="688D8D3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宋体" w:hAnsi="宋体" w:eastAsia="宋体" w:cs="宋体"/>
                <w:bCs/>
                <w:sz w:val="24"/>
                <w:szCs w:val="24"/>
                <w:lang w:val="en-US" w:eastAsia="zh-CN"/>
              </w:rPr>
            </w:pPr>
          </w:p>
        </w:tc>
      </w:tr>
      <w:tr w14:paraId="0A2D4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4" w:type="dxa"/>
            <w:tcBorders>
              <w:top w:val="single" w:color="auto" w:sz="4" w:space="0"/>
              <w:left w:val="single" w:color="auto" w:sz="4" w:space="0"/>
              <w:bottom w:val="single" w:color="auto" w:sz="4" w:space="0"/>
              <w:right w:val="single" w:color="auto" w:sz="4" w:space="0"/>
            </w:tcBorders>
            <w:noWrap w:val="0"/>
            <w:vAlign w:val="center"/>
          </w:tcPr>
          <w:p w14:paraId="04B64A5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3140" w:type="dxa"/>
            <w:tcBorders>
              <w:top w:val="single" w:color="auto" w:sz="4" w:space="0"/>
              <w:left w:val="single" w:color="auto" w:sz="4" w:space="0"/>
              <w:bottom w:val="single" w:color="auto" w:sz="4" w:space="0"/>
              <w:right w:val="single" w:color="auto" w:sz="4" w:space="0"/>
            </w:tcBorders>
            <w:noWrap w:val="0"/>
            <w:vAlign w:val="center"/>
          </w:tcPr>
          <w:p w14:paraId="5BD556B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光学相干断层扫描系统</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9E409A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1套</w:t>
            </w:r>
          </w:p>
        </w:tc>
        <w:tc>
          <w:tcPr>
            <w:tcW w:w="2353" w:type="dxa"/>
            <w:tcBorders>
              <w:top w:val="single" w:color="auto" w:sz="4" w:space="0"/>
              <w:left w:val="single" w:color="auto" w:sz="4" w:space="0"/>
              <w:bottom w:val="single" w:color="auto" w:sz="4" w:space="0"/>
              <w:right w:val="single" w:color="auto" w:sz="4" w:space="0"/>
            </w:tcBorders>
            <w:noWrap w:val="0"/>
            <w:vAlign w:val="center"/>
          </w:tcPr>
          <w:p w14:paraId="57AE755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详见货物采购需求</w:t>
            </w:r>
          </w:p>
        </w:tc>
        <w:tc>
          <w:tcPr>
            <w:tcW w:w="1750" w:type="dxa"/>
            <w:tcBorders>
              <w:top w:val="single" w:color="auto" w:sz="4" w:space="0"/>
              <w:left w:val="single" w:color="auto" w:sz="4" w:space="0"/>
              <w:bottom w:val="single" w:color="auto" w:sz="4" w:space="0"/>
              <w:right w:val="single" w:color="auto" w:sz="4" w:space="0"/>
            </w:tcBorders>
            <w:noWrap w:val="0"/>
            <w:vAlign w:val="center"/>
          </w:tcPr>
          <w:p w14:paraId="29DCFF0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sz w:val="24"/>
                <w:szCs w:val="24"/>
                <w:lang w:val="en-US" w:eastAsia="zh-CN"/>
              </w:rPr>
            </w:pPr>
          </w:p>
        </w:tc>
      </w:tr>
      <w:tr w14:paraId="1F287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4" w:type="dxa"/>
            <w:tcBorders>
              <w:top w:val="single" w:color="auto" w:sz="4" w:space="0"/>
              <w:left w:val="single" w:color="auto" w:sz="4" w:space="0"/>
              <w:bottom w:val="single" w:color="auto" w:sz="4" w:space="0"/>
              <w:right w:val="single" w:color="auto" w:sz="4" w:space="0"/>
            </w:tcBorders>
            <w:noWrap w:val="0"/>
            <w:vAlign w:val="center"/>
          </w:tcPr>
          <w:p w14:paraId="413A24A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3140" w:type="dxa"/>
            <w:tcBorders>
              <w:top w:val="single" w:color="auto" w:sz="4" w:space="0"/>
              <w:left w:val="single" w:color="auto" w:sz="4" w:space="0"/>
              <w:bottom w:val="single" w:color="auto" w:sz="4" w:space="0"/>
              <w:right w:val="single" w:color="auto" w:sz="4" w:space="0"/>
            </w:tcBorders>
            <w:noWrap w:val="0"/>
            <w:vAlign w:val="center"/>
          </w:tcPr>
          <w:p w14:paraId="24D1638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血管内超声系统</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A57F22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1套</w:t>
            </w:r>
          </w:p>
        </w:tc>
        <w:tc>
          <w:tcPr>
            <w:tcW w:w="2353" w:type="dxa"/>
            <w:tcBorders>
              <w:top w:val="single" w:color="auto" w:sz="4" w:space="0"/>
              <w:left w:val="single" w:color="auto" w:sz="4" w:space="0"/>
              <w:bottom w:val="single" w:color="auto" w:sz="4" w:space="0"/>
              <w:right w:val="single" w:color="auto" w:sz="4" w:space="0"/>
            </w:tcBorders>
            <w:noWrap w:val="0"/>
            <w:vAlign w:val="center"/>
          </w:tcPr>
          <w:p w14:paraId="4726489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详见货物采购需求</w:t>
            </w:r>
          </w:p>
        </w:tc>
        <w:tc>
          <w:tcPr>
            <w:tcW w:w="1750" w:type="dxa"/>
            <w:tcBorders>
              <w:top w:val="single" w:color="auto" w:sz="4" w:space="0"/>
              <w:left w:val="single" w:color="auto" w:sz="4" w:space="0"/>
              <w:bottom w:val="single" w:color="auto" w:sz="4" w:space="0"/>
              <w:right w:val="single" w:color="auto" w:sz="4" w:space="0"/>
            </w:tcBorders>
            <w:noWrap w:val="0"/>
            <w:vAlign w:val="center"/>
          </w:tcPr>
          <w:p w14:paraId="4350F7D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核心产品</w:t>
            </w:r>
          </w:p>
        </w:tc>
      </w:tr>
      <w:tr w14:paraId="46B51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4" w:type="dxa"/>
            <w:tcBorders>
              <w:top w:val="single" w:color="auto" w:sz="4" w:space="0"/>
              <w:left w:val="single" w:color="auto" w:sz="4" w:space="0"/>
              <w:bottom w:val="single" w:color="auto" w:sz="4" w:space="0"/>
              <w:right w:val="single" w:color="auto" w:sz="4" w:space="0"/>
            </w:tcBorders>
            <w:noWrap w:val="0"/>
            <w:vAlign w:val="center"/>
          </w:tcPr>
          <w:p w14:paraId="520191B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3140" w:type="dxa"/>
            <w:tcBorders>
              <w:top w:val="single" w:color="auto" w:sz="4" w:space="0"/>
              <w:left w:val="single" w:color="auto" w:sz="4" w:space="0"/>
              <w:bottom w:val="single" w:color="auto" w:sz="4" w:space="0"/>
              <w:right w:val="single" w:color="auto" w:sz="4" w:space="0"/>
            </w:tcBorders>
            <w:noWrap w:val="0"/>
            <w:vAlign w:val="center"/>
          </w:tcPr>
          <w:p w14:paraId="4F94CB4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心脏病质量指标体系及科研服务大数据平台</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1A46F12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1套</w:t>
            </w:r>
          </w:p>
        </w:tc>
        <w:tc>
          <w:tcPr>
            <w:tcW w:w="2353" w:type="dxa"/>
            <w:tcBorders>
              <w:top w:val="single" w:color="auto" w:sz="4" w:space="0"/>
              <w:left w:val="single" w:color="auto" w:sz="4" w:space="0"/>
              <w:bottom w:val="single" w:color="auto" w:sz="4" w:space="0"/>
              <w:right w:val="single" w:color="auto" w:sz="4" w:space="0"/>
            </w:tcBorders>
            <w:noWrap w:val="0"/>
            <w:vAlign w:val="center"/>
          </w:tcPr>
          <w:p w14:paraId="3668997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详见货物采购需求</w:t>
            </w:r>
          </w:p>
        </w:tc>
        <w:tc>
          <w:tcPr>
            <w:tcW w:w="1750" w:type="dxa"/>
            <w:tcBorders>
              <w:top w:val="single" w:color="auto" w:sz="4" w:space="0"/>
              <w:left w:val="single" w:color="auto" w:sz="4" w:space="0"/>
              <w:bottom w:val="single" w:color="auto" w:sz="4" w:space="0"/>
              <w:right w:val="single" w:color="auto" w:sz="4" w:space="0"/>
            </w:tcBorders>
            <w:noWrap w:val="0"/>
            <w:vAlign w:val="center"/>
          </w:tcPr>
          <w:p w14:paraId="3A5B0C8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sz w:val="24"/>
                <w:szCs w:val="24"/>
              </w:rPr>
            </w:pPr>
          </w:p>
        </w:tc>
      </w:tr>
      <w:tr w14:paraId="36FCC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4" w:type="dxa"/>
            <w:tcBorders>
              <w:top w:val="single" w:color="auto" w:sz="4" w:space="0"/>
              <w:left w:val="single" w:color="auto" w:sz="4" w:space="0"/>
              <w:bottom w:val="single" w:color="auto" w:sz="4" w:space="0"/>
              <w:right w:val="single" w:color="auto" w:sz="4" w:space="0"/>
            </w:tcBorders>
            <w:noWrap w:val="0"/>
            <w:vAlign w:val="center"/>
          </w:tcPr>
          <w:p w14:paraId="6E9A783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p>
        </w:tc>
        <w:tc>
          <w:tcPr>
            <w:tcW w:w="3140" w:type="dxa"/>
            <w:tcBorders>
              <w:top w:val="single" w:color="auto" w:sz="4" w:space="0"/>
              <w:left w:val="single" w:color="auto" w:sz="4" w:space="0"/>
              <w:bottom w:val="single" w:color="auto" w:sz="4" w:space="0"/>
              <w:right w:val="single" w:color="auto" w:sz="4" w:space="0"/>
            </w:tcBorders>
            <w:noWrap w:val="0"/>
            <w:vAlign w:val="center"/>
          </w:tcPr>
          <w:p w14:paraId="5FCD535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国家级远程专家诊疗中心</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BC086B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1套</w:t>
            </w:r>
          </w:p>
        </w:tc>
        <w:tc>
          <w:tcPr>
            <w:tcW w:w="2353" w:type="dxa"/>
            <w:tcBorders>
              <w:top w:val="single" w:color="auto" w:sz="4" w:space="0"/>
              <w:left w:val="single" w:color="auto" w:sz="4" w:space="0"/>
              <w:bottom w:val="single" w:color="auto" w:sz="4" w:space="0"/>
              <w:right w:val="single" w:color="auto" w:sz="4" w:space="0"/>
            </w:tcBorders>
            <w:noWrap w:val="0"/>
            <w:vAlign w:val="center"/>
          </w:tcPr>
          <w:p w14:paraId="7277514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详见货物采购需求</w:t>
            </w:r>
          </w:p>
        </w:tc>
        <w:tc>
          <w:tcPr>
            <w:tcW w:w="1750" w:type="dxa"/>
            <w:tcBorders>
              <w:top w:val="single" w:color="auto" w:sz="4" w:space="0"/>
              <w:left w:val="single" w:color="auto" w:sz="4" w:space="0"/>
              <w:bottom w:val="single" w:color="auto" w:sz="4" w:space="0"/>
              <w:right w:val="single" w:color="auto" w:sz="4" w:space="0"/>
            </w:tcBorders>
            <w:noWrap w:val="0"/>
            <w:vAlign w:val="center"/>
          </w:tcPr>
          <w:p w14:paraId="1C5C599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sz w:val="24"/>
                <w:szCs w:val="24"/>
              </w:rPr>
            </w:pPr>
          </w:p>
        </w:tc>
      </w:tr>
      <w:tr w14:paraId="202DD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4" w:type="dxa"/>
            <w:tcBorders>
              <w:top w:val="single" w:color="auto" w:sz="4" w:space="0"/>
              <w:left w:val="single" w:color="auto" w:sz="4" w:space="0"/>
              <w:bottom w:val="single" w:color="auto" w:sz="4" w:space="0"/>
              <w:right w:val="single" w:color="auto" w:sz="4" w:space="0"/>
            </w:tcBorders>
            <w:noWrap w:val="0"/>
            <w:vAlign w:val="center"/>
          </w:tcPr>
          <w:p w14:paraId="09A36AD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c>
          <w:tcPr>
            <w:tcW w:w="3140" w:type="dxa"/>
            <w:tcBorders>
              <w:top w:val="single" w:color="auto" w:sz="4" w:space="0"/>
              <w:left w:val="single" w:color="auto" w:sz="4" w:space="0"/>
              <w:bottom w:val="single" w:color="auto" w:sz="4" w:space="0"/>
              <w:right w:val="single" w:color="auto" w:sz="4" w:space="0"/>
            </w:tcBorders>
            <w:noWrap w:val="0"/>
            <w:vAlign w:val="center"/>
          </w:tcPr>
          <w:p w14:paraId="4898D2E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精准复杂冠脉介入手术指导系统（含科室指导）</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C26F82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1套</w:t>
            </w:r>
          </w:p>
        </w:tc>
        <w:tc>
          <w:tcPr>
            <w:tcW w:w="2353" w:type="dxa"/>
            <w:tcBorders>
              <w:top w:val="single" w:color="auto" w:sz="4" w:space="0"/>
              <w:left w:val="single" w:color="auto" w:sz="4" w:space="0"/>
              <w:bottom w:val="single" w:color="auto" w:sz="4" w:space="0"/>
              <w:right w:val="single" w:color="auto" w:sz="4" w:space="0"/>
            </w:tcBorders>
            <w:noWrap w:val="0"/>
            <w:vAlign w:val="center"/>
          </w:tcPr>
          <w:p w14:paraId="30D9552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详见货物采购需求</w:t>
            </w:r>
          </w:p>
        </w:tc>
        <w:tc>
          <w:tcPr>
            <w:tcW w:w="1750" w:type="dxa"/>
            <w:tcBorders>
              <w:top w:val="single" w:color="auto" w:sz="4" w:space="0"/>
              <w:left w:val="single" w:color="auto" w:sz="4" w:space="0"/>
              <w:bottom w:val="single" w:color="auto" w:sz="4" w:space="0"/>
              <w:right w:val="single" w:color="auto" w:sz="4" w:space="0"/>
            </w:tcBorders>
            <w:noWrap w:val="0"/>
            <w:vAlign w:val="center"/>
          </w:tcPr>
          <w:p w14:paraId="5ED570F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sz w:val="24"/>
                <w:szCs w:val="24"/>
              </w:rPr>
            </w:pPr>
          </w:p>
        </w:tc>
      </w:tr>
      <w:tr w14:paraId="77960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94" w:type="dxa"/>
            <w:tcBorders>
              <w:top w:val="single" w:color="auto" w:sz="4" w:space="0"/>
              <w:left w:val="single" w:color="auto" w:sz="4" w:space="0"/>
              <w:bottom w:val="single" w:color="auto" w:sz="4" w:space="0"/>
              <w:right w:val="single" w:color="auto" w:sz="4" w:space="0"/>
            </w:tcBorders>
            <w:noWrap w:val="0"/>
            <w:vAlign w:val="center"/>
          </w:tcPr>
          <w:p w14:paraId="74D2416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w:t>
            </w:r>
          </w:p>
        </w:tc>
        <w:tc>
          <w:tcPr>
            <w:tcW w:w="3140" w:type="dxa"/>
            <w:tcBorders>
              <w:top w:val="single" w:color="auto" w:sz="4" w:space="0"/>
              <w:left w:val="single" w:color="auto" w:sz="4" w:space="0"/>
              <w:bottom w:val="single" w:color="auto" w:sz="4" w:space="0"/>
              <w:right w:val="single" w:color="auto" w:sz="4" w:space="0"/>
            </w:tcBorders>
            <w:noWrap w:val="0"/>
            <w:vAlign w:val="center"/>
          </w:tcPr>
          <w:p w14:paraId="26C127D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无创冠脉血流储备分数测定</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5A9F3FE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1套</w:t>
            </w:r>
          </w:p>
        </w:tc>
        <w:tc>
          <w:tcPr>
            <w:tcW w:w="2353" w:type="dxa"/>
            <w:tcBorders>
              <w:top w:val="single" w:color="auto" w:sz="4" w:space="0"/>
              <w:left w:val="single" w:color="auto" w:sz="4" w:space="0"/>
              <w:bottom w:val="single" w:color="auto" w:sz="4" w:space="0"/>
              <w:right w:val="single" w:color="auto" w:sz="4" w:space="0"/>
            </w:tcBorders>
            <w:noWrap w:val="0"/>
            <w:vAlign w:val="center"/>
          </w:tcPr>
          <w:p w14:paraId="5A4E9BE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sz w:val="24"/>
                <w:szCs w:val="24"/>
              </w:rPr>
            </w:pPr>
            <w:r>
              <w:rPr>
                <w:rFonts w:hint="eastAsia" w:ascii="宋体" w:hAnsi="宋体" w:eastAsia="宋体" w:cs="宋体"/>
                <w:bCs/>
                <w:sz w:val="24"/>
                <w:szCs w:val="24"/>
              </w:rPr>
              <w:t>详见货物采购需求</w:t>
            </w:r>
          </w:p>
        </w:tc>
        <w:tc>
          <w:tcPr>
            <w:tcW w:w="1750" w:type="dxa"/>
            <w:tcBorders>
              <w:top w:val="single" w:color="auto" w:sz="4" w:space="0"/>
              <w:left w:val="single" w:color="auto" w:sz="4" w:space="0"/>
              <w:bottom w:val="single" w:color="auto" w:sz="4" w:space="0"/>
              <w:right w:val="single" w:color="auto" w:sz="4" w:space="0"/>
            </w:tcBorders>
            <w:noWrap w:val="0"/>
            <w:vAlign w:val="center"/>
          </w:tcPr>
          <w:p w14:paraId="3BA3B8D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sz w:val="24"/>
                <w:szCs w:val="24"/>
              </w:rPr>
            </w:pPr>
          </w:p>
        </w:tc>
      </w:tr>
    </w:tbl>
    <w:p w14:paraId="56BC1BFF">
      <w:pPr>
        <w:pStyle w:val="129"/>
        <w:spacing w:before="0"/>
        <w:ind w:firstLine="480"/>
        <w:rPr>
          <w:rFonts w:hint="eastAsia" w:ascii="宋体" w:hAnsi="宋体" w:eastAsia="宋体" w:cs="宋体"/>
          <w:color w:val="auto"/>
          <w:highlight w:val="none"/>
          <w:lang w:eastAsia="zh-CN"/>
        </w:rPr>
      </w:pPr>
      <w:r>
        <w:rPr>
          <w:rFonts w:hint="eastAsia" w:ascii="宋体" w:hAnsi="宋体" w:cs="宋体"/>
          <w:color w:val="auto"/>
          <w:highlight w:val="none"/>
        </w:rPr>
        <w:t>合同履约期限：合同签订后180天内</w:t>
      </w:r>
      <w:r>
        <w:rPr>
          <w:rFonts w:hint="eastAsia" w:ascii="宋体" w:hAnsi="宋体" w:cs="宋体"/>
          <w:color w:val="auto"/>
          <w:highlight w:val="none"/>
          <w:lang w:eastAsia="zh-CN"/>
        </w:rPr>
        <w:t>。</w:t>
      </w:r>
    </w:p>
    <w:p w14:paraId="10A5CC64">
      <w:pPr>
        <w:pStyle w:val="5"/>
        <w:spacing w:line="360" w:lineRule="auto"/>
        <w:ind w:firstLine="480"/>
        <w:rPr>
          <w:rFonts w:hAnsi="宋体" w:cs="宋体"/>
          <w:color w:val="auto"/>
          <w:kern w:val="0"/>
          <w:sz w:val="24"/>
          <w:highlight w:val="none"/>
        </w:rPr>
      </w:pPr>
      <w:r>
        <w:rPr>
          <w:rFonts w:hint="eastAsia" w:hAnsi="宋体" w:cs="宋体"/>
          <w:color w:val="auto"/>
          <w:sz w:val="24"/>
          <w:highlight w:val="none"/>
        </w:rPr>
        <w:t>本项目是否接受联合体投标：</w:t>
      </w:r>
      <w:sdt>
        <w:sdtPr>
          <w:rPr>
            <w:rFonts w:hint="eastAsia" w:hAnsi="宋体" w:cs="宋体"/>
            <w:color w:val="auto"/>
            <w:kern w:val="0"/>
            <w:sz w:val="24"/>
            <w:highlight w:val="none"/>
          </w:rPr>
          <w:id w:val="203545383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hAnsi="宋体" w:cs="宋体"/>
          <w:color w:val="auto"/>
          <w:sz w:val="24"/>
          <w:highlight w:val="none"/>
        </w:rPr>
        <w:t>是</w:t>
      </w:r>
      <w:r>
        <w:rPr>
          <w:rFonts w:hint="eastAsia" w:hAnsi="宋体" w:cs="宋体"/>
          <w:snapToGrid/>
          <w:color w:val="auto"/>
          <w:kern w:val="2"/>
          <w:sz w:val="24"/>
          <w:highlight w:val="none"/>
        </w:rPr>
        <w:t>；</w:t>
      </w:r>
      <w:sdt>
        <w:sdtPr>
          <w:rPr>
            <w:rFonts w:hint="eastAsia" w:hAnsi="宋体" w:cs="宋体"/>
            <w:color w:val="auto"/>
            <w:kern w:val="0"/>
            <w:sz w:val="24"/>
            <w:highlight w:val="none"/>
          </w:rPr>
          <w:id w:val="-176552672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ascii="Wingdings" w:hAnsi="Wingdings" w:cs="宋体"/>
              <w:color w:val="auto"/>
              <w:kern w:val="0"/>
              <w:sz w:val="24"/>
              <w:highlight w:val="none"/>
            </w:rPr>
            <w:t>þ</w:t>
          </w:r>
        </w:sdtContent>
      </w:sdt>
      <w:r>
        <w:rPr>
          <w:rFonts w:hint="eastAsia" w:hAnsi="宋体" w:cs="宋体"/>
          <w:color w:val="auto"/>
          <w:sz w:val="24"/>
          <w:highlight w:val="none"/>
        </w:rPr>
        <w:t>否</w:t>
      </w:r>
      <w:r>
        <w:rPr>
          <w:rFonts w:hint="eastAsia" w:hAnsi="宋体" w:cs="宋体"/>
          <w:color w:val="auto"/>
          <w:kern w:val="0"/>
          <w:sz w:val="24"/>
          <w:highlight w:val="none"/>
        </w:rPr>
        <w:t>。</w:t>
      </w:r>
    </w:p>
    <w:p w14:paraId="3BA7858C">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3" w:name="_Hlk101132948"/>
      <w:r>
        <w:rPr>
          <w:rFonts w:hint="eastAsia" w:ascii="宋体" w:hAnsi="宋体" w:cs="宋体"/>
          <w:b/>
          <w:color w:val="auto"/>
          <w:sz w:val="24"/>
          <w:highlight w:val="none"/>
        </w:rPr>
        <w:t>申请人的资格要求</w:t>
      </w:r>
      <w:bookmarkEnd w:id="13"/>
      <w:r>
        <w:rPr>
          <w:rFonts w:hint="eastAsia" w:ascii="宋体" w:hAnsi="宋体" w:cs="宋体"/>
          <w:b/>
          <w:color w:val="auto"/>
          <w:sz w:val="24"/>
          <w:highlight w:val="none"/>
        </w:rPr>
        <w:t>：</w:t>
      </w:r>
    </w:p>
    <w:p w14:paraId="22F1E601">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C5CC1C1">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w:t>
      </w:r>
    </w:p>
    <w:p w14:paraId="7B387D0A">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B6617C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（注：本项目非专门面向中小企业）</w:t>
      </w:r>
      <w:r>
        <w:rPr>
          <w:rFonts w:hint="eastAsia" w:ascii="宋体" w:hAnsi="宋体" w:cs="宋体"/>
          <w:color w:val="auto"/>
          <w:sz w:val="24"/>
          <w:highlight w:val="none"/>
        </w:rPr>
        <w:t>；</w:t>
      </w:r>
    </w:p>
    <w:p w14:paraId="60ED95F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F72952A">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货物全部由符合政策要求的中小企业制造，提供中小企业声明函；</w:t>
      </w:r>
    </w:p>
    <w:p w14:paraId="36C523DD">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39646DC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4"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4"/>
    <w:p w14:paraId="15B10EA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5FB2C6F">
      <w:pPr>
        <w:numPr>
          <w:ilvl w:val="0"/>
          <w:numId w:val="0"/>
        </w:numPr>
        <w:spacing w:line="360" w:lineRule="auto"/>
        <w:ind w:firstLine="480" w:firstLineChars="200"/>
        <w:rPr>
          <w:rFonts w:hint="eastAsia" w:ascii="宋体" w:hAnsi="宋体" w:cs="宋体"/>
          <w:color w:val="auto"/>
          <w:sz w:val="24"/>
          <w:highlight w:val="none"/>
        </w:rPr>
      </w:pPr>
      <w:r>
        <w:rPr>
          <w:rFonts w:hint="eastAsia" w:ascii="宋体" w:hAnsi="宋体" w:eastAsia="宋体" w:cs="宋体"/>
          <w:color w:val="auto"/>
          <w:kern w:val="2"/>
          <w:sz w:val="24"/>
          <w:szCs w:val="24"/>
          <w:lang w:val="en-US" w:eastAsia="zh-CN" w:bidi="ar-SA"/>
        </w:rPr>
        <w:t>4.</w:t>
      </w:r>
      <w:r>
        <w:rPr>
          <w:rFonts w:hint="eastAsia" w:ascii="宋体" w:hAnsi="宋体" w:cs="宋体"/>
          <w:color w:val="auto"/>
          <w:sz w:val="24"/>
          <w:highlight w:val="none"/>
        </w:rPr>
        <w:t>本项目的特定资格要求：所投货物若属于医疗器械管理范畴，按照国家《医疗器械监督管理条例》，应符合以下条件：</w:t>
      </w:r>
    </w:p>
    <w:p w14:paraId="663E81B7">
      <w:pPr>
        <w:numPr>
          <w:ilvl w:val="0"/>
          <w:numId w:val="0"/>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1投标人为所投货物的制造商，其所投货物若属于第二类或第三类医疗器械的，应提供相应货物的有效《医疗器械生产许可证》。</w:t>
      </w:r>
    </w:p>
    <w:p w14:paraId="2D9F6C09">
      <w:pPr>
        <w:numPr>
          <w:ilvl w:val="0"/>
          <w:numId w:val="0"/>
        </w:num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2投标人非所投货物的制造商，其所投货物若属于第三类医疗器械，须提供相应货物的有效《医疗器械经营企业许可证》</w:t>
      </w:r>
      <w:r>
        <w:rPr>
          <w:rFonts w:hint="eastAsia" w:ascii="宋体" w:hAnsi="宋体" w:cs="宋体"/>
          <w:color w:val="auto"/>
          <w:sz w:val="24"/>
          <w:highlight w:val="none"/>
          <w:lang w:eastAsia="zh-CN"/>
        </w:rPr>
        <w:t>。</w:t>
      </w:r>
    </w:p>
    <w:p w14:paraId="4CB3399E">
      <w:pPr>
        <w:numPr>
          <w:ilvl w:val="0"/>
          <w:numId w:val="0"/>
        </w:numPr>
        <w:snapToGrid w:val="0"/>
        <w:spacing w:line="360" w:lineRule="auto"/>
        <w:ind w:firstLine="480" w:firstLineChars="200"/>
        <w:rPr>
          <w:rFonts w:hint="eastAsia" w:ascii="宋体" w:hAnsi="宋体" w:cs="宋体"/>
          <w:color w:val="auto"/>
          <w:sz w:val="24"/>
          <w:highlight w:val="none"/>
        </w:rPr>
      </w:pPr>
      <w:r>
        <w:rPr>
          <w:rFonts w:hint="eastAsia" w:ascii="宋体" w:hAnsi="宋体" w:eastAsia="宋体" w:cs="宋体"/>
          <w:color w:val="auto"/>
          <w:kern w:val="2"/>
          <w:sz w:val="24"/>
          <w:szCs w:val="24"/>
          <w:lang w:val="en-US" w:eastAsia="zh-CN" w:bidi="ar-SA"/>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3D0F4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F1F2B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，每天上午00:00至12:00，下午12:00至23:59（北京时间，法定节假日除外）</w:t>
      </w:r>
    </w:p>
    <w:p w14:paraId="3E9B88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地点（网址）：广西政府采购云平台（https://www.gcy.zfcg.gxzf.gov.cn/）</w:t>
      </w:r>
    </w:p>
    <w:p w14:paraId="4A5BD3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方式：供应商登录广西政府采购云平台（https://www.gcy.zfcg.gxzf.gov.cn/）在线申请获取采购文件（进入“项目采购”应用，在获取采购文件菜单中选择项目，申请获取采购文件）。</w:t>
      </w:r>
    </w:p>
    <w:p w14:paraId="2CCBB7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售价（元）：0</w:t>
      </w:r>
    </w:p>
    <w:p w14:paraId="7180823C">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009786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4BD4A5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投标地点（网址）：广西政府采购云平台（https://www.gcy.zfcg.gxzf.gov.cn/）</w:t>
      </w:r>
    </w:p>
    <w:p w14:paraId="3D8BE832">
      <w:pPr>
        <w:spacing w:line="360" w:lineRule="auto"/>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6F5EB5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开标地点（网址）：广西政府采购云平台（https://www.gcy.zfcg.gxzf.gov.cn/）</w:t>
      </w:r>
    </w:p>
    <w:p w14:paraId="7186B0D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A421C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0A910AB0">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4A753ED">
      <w:pPr>
        <w:spacing w:line="360" w:lineRule="auto"/>
        <w:ind w:firstLine="480" w:firstLineChars="200"/>
        <w:rPr>
          <w:rFonts w:hint="default" w:ascii="宋体" w:hAnsi="宋体" w:cs="宋体"/>
          <w:color w:val="auto"/>
          <w:sz w:val="24"/>
          <w:highlight w:val="none"/>
          <w:lang w:val="en-US"/>
        </w:rPr>
      </w:pPr>
      <w:r>
        <w:rPr>
          <w:rFonts w:hint="eastAsia" w:ascii="宋体" w:hAnsi="宋体" w:cs="宋体"/>
          <w:color w:val="auto"/>
          <w:sz w:val="24"/>
          <w:highlight w:val="none"/>
        </w:rPr>
        <w:t>1.本项目不收取投标保证金</w:t>
      </w:r>
      <w:r>
        <w:rPr>
          <w:rFonts w:hint="eastAsia" w:ascii="宋体" w:hAnsi="宋体" w:cs="宋体"/>
          <w:color w:val="auto"/>
          <w:sz w:val="24"/>
          <w:highlight w:val="none"/>
          <w:lang w:val="en-US" w:eastAsia="zh-CN"/>
        </w:rPr>
        <w:t>。</w:t>
      </w:r>
    </w:p>
    <w:p w14:paraId="17DF95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采购限额标准以上，200 万元以下的货物和服务采购项目、400万元以下的工程采购项目，适宜由中小企业提供的，采购人应当专门面向中小企业采购。超过 200万元的货物和服务采购项目、超过400 万元的工程采购项目中适宜由中小企业提供的，预留该部分采购项目预算总额的 30%以上专门面向中小企业采购，其中预留给小微企业的比例不低于60%。对于未预留份额专门面向中小企业采购的政府采购项目，以及预留份额政府采购项目中的非预留部分标项，对小型和微型企业的投标报价给予20%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2B3FBA25">
      <w:pPr>
        <w:spacing w:line="360" w:lineRule="auto"/>
        <w:ind w:firstLine="480" w:firstLineChars="200"/>
        <w:rPr>
          <w:color w:val="auto"/>
          <w:highlight w:val="none"/>
        </w:rPr>
      </w:pPr>
      <w:r>
        <w:rPr>
          <w:rFonts w:hint="eastAsia" w:ascii="宋体" w:hAnsi="宋体" w:cs="宋体"/>
          <w:snapToGrid w:val="0"/>
          <w:color w:val="auto"/>
          <w:kern w:val="28"/>
          <w:sz w:val="24"/>
          <w:highlight w:val="none"/>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政采贷：操作路径：登录广西政府采购云平台-金融服务中心-【融资服务】，可在热门申请中选择产品直接申请。</w:t>
      </w:r>
    </w:p>
    <w:p w14:paraId="54F23C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4.网上公告媒体查询：中国政府采购网、广西政府采购网、北海市政府采购监管网</w:t>
      </w:r>
      <w:r>
        <w:rPr>
          <w:rFonts w:hint="eastAsia" w:ascii="宋体" w:hAnsi="宋体" w:cs="宋体"/>
          <w:color w:val="auto"/>
          <w:sz w:val="24"/>
          <w:highlight w:val="none"/>
          <w:lang w:eastAsia="zh-CN"/>
        </w:rPr>
        <w:t>、全国公共资源交易平台（广西•北海）</w:t>
      </w:r>
      <w:r>
        <w:rPr>
          <w:rFonts w:hint="eastAsia" w:ascii="宋体" w:hAnsi="宋体" w:cs="宋体"/>
          <w:color w:val="auto"/>
          <w:sz w:val="24"/>
          <w:highlight w:val="none"/>
        </w:rPr>
        <w:t>。</w:t>
      </w:r>
    </w:p>
    <w:p w14:paraId="36C729F6">
      <w:pPr>
        <w:keepNext w:val="0"/>
        <w:keepLines w:val="0"/>
        <w:pageBreakBefore w:val="0"/>
        <w:widowControl w:val="0"/>
        <w:kinsoku w:val="0"/>
        <w:wordWrap w:val="0"/>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本项目通过广西政府采购云平台实行在线投标响应（电子投标），为确保网上操作合法、有效和安全，供应商应当在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31A6AD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227782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7.本项目采用远程异地评标，评标主场设在合浦县公共资源交易中心，分会场设在百色市公共资源交易中心。</w:t>
      </w:r>
    </w:p>
    <w:p w14:paraId="7D6728D8">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22B6FE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1.采购人信息</w:t>
      </w:r>
    </w:p>
    <w:p w14:paraId="732AF4C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称：合浦县人民医院</w:t>
      </w:r>
    </w:p>
    <w:p w14:paraId="7A2F505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址：合浦县廉州镇定海北路95号</w:t>
      </w:r>
    </w:p>
    <w:p w14:paraId="0B087ED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项目联系人：张老师</w:t>
      </w:r>
    </w:p>
    <w:p w14:paraId="0370966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项目联系方式：0779-7284218</w:t>
      </w:r>
    </w:p>
    <w:p w14:paraId="46D1E7C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A0BB8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1B1671A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称：中招国际招标有限公司</w:t>
      </w:r>
    </w:p>
    <w:p w14:paraId="2CC6001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址：北京市海淀区学院南路62号院中关村资本大厦</w:t>
      </w:r>
    </w:p>
    <w:p w14:paraId="6DEB79C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项目联系人（询问）：张百娇、</w:t>
      </w:r>
      <w:r>
        <w:rPr>
          <w:rFonts w:hint="eastAsia" w:ascii="宋体" w:hAnsi="宋体" w:cs="宋体"/>
          <w:color w:val="auto"/>
          <w:sz w:val="24"/>
          <w:highlight w:val="none"/>
          <w:lang w:val="en-US" w:eastAsia="zh-CN"/>
        </w:rPr>
        <w:t>李柯利、赵曰贤、</w:t>
      </w:r>
      <w:r>
        <w:rPr>
          <w:rFonts w:hint="eastAsia" w:ascii="宋体" w:hAnsi="宋体" w:cs="宋体"/>
          <w:color w:val="auto"/>
          <w:sz w:val="24"/>
          <w:highlight w:val="none"/>
        </w:rPr>
        <w:t>张 洁</w:t>
      </w:r>
    </w:p>
    <w:p w14:paraId="72433FC8">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项目联系方式（询问）：010-62108084</w:t>
      </w:r>
    </w:p>
    <w:p w14:paraId="3FCF5BC7">
      <w:pPr>
        <w:spacing w:line="360" w:lineRule="auto"/>
        <w:ind w:firstLine="480"/>
        <w:rPr>
          <w:rFonts w:hint="eastAsia" w:ascii="宋体" w:hAnsi="宋体" w:cs="宋体"/>
          <w:color w:val="auto"/>
          <w:sz w:val="24"/>
          <w:highlight w:val="none"/>
        </w:rPr>
      </w:pPr>
    </w:p>
    <w:p w14:paraId="21EE3FE1">
      <w:pPr>
        <w:numPr>
          <w:ilvl w:val="0"/>
          <w:numId w:val="0"/>
        </w:numPr>
        <w:spacing w:line="360" w:lineRule="auto"/>
        <w:ind w:firstLine="480"/>
        <w:rPr>
          <w:rFonts w:hint="eastAsia" w:ascii="宋体" w:hAnsi="宋体" w:cs="宋体"/>
          <w:color w:val="auto"/>
          <w:sz w:val="24"/>
          <w:highlight w:val="none"/>
          <w:lang w:val="en-US" w:eastAsia="zh-CN"/>
        </w:rPr>
      </w:pPr>
      <w:r>
        <w:rPr>
          <w:rFonts w:hint="eastAsia" w:ascii="宋体" w:hAnsi="宋体" w:eastAsia="宋体" w:cs="宋体"/>
          <w:color w:val="auto"/>
          <w:kern w:val="2"/>
          <w:sz w:val="24"/>
          <w:szCs w:val="24"/>
          <w:lang w:val="en-US" w:eastAsia="zh-CN" w:bidi="ar-SA"/>
        </w:rPr>
        <w:t>3.</w:t>
      </w:r>
      <w:r>
        <w:rPr>
          <w:rFonts w:hint="eastAsia" w:ascii="宋体" w:hAnsi="宋体" w:cs="宋体"/>
          <w:color w:val="auto"/>
          <w:sz w:val="24"/>
          <w:highlight w:val="none"/>
          <w:lang w:val="en-US" w:eastAsia="zh-CN"/>
        </w:rPr>
        <w:t>监督管理部门信息</w:t>
      </w:r>
    </w:p>
    <w:p w14:paraId="63223637">
      <w:pPr>
        <w:numPr>
          <w:ilvl w:val="-1"/>
          <w:numId w:val="0"/>
        </w:num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名称：合浦县财政局</w:t>
      </w:r>
    </w:p>
    <w:p w14:paraId="1F490270">
      <w:pPr>
        <w:numPr>
          <w:ilvl w:val="-1"/>
          <w:numId w:val="0"/>
        </w:numPr>
        <w:spacing w:line="360" w:lineRule="auto"/>
        <w:ind w:firstLine="48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地址：合浦县廉州镇明园南路50号</w:t>
      </w:r>
    </w:p>
    <w:p w14:paraId="38303B8A">
      <w:pPr>
        <w:numPr>
          <w:ilvl w:val="-1"/>
          <w:numId w:val="0"/>
        </w:numPr>
        <w:spacing w:line="360" w:lineRule="auto"/>
        <w:ind w:firstLine="48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联系方式：0779-7213187</w:t>
      </w:r>
    </w:p>
    <w:p w14:paraId="4184021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D57A7DA">
      <w:pPr>
        <w:spacing w:line="360" w:lineRule="auto"/>
        <w:ind w:firstLine="480" w:firstLineChars="200"/>
        <w:rPr>
          <w:rFonts w:hAnsi="宋体" w:cs="宋体"/>
          <w:b/>
          <w:color w:val="auto"/>
          <w:sz w:val="36"/>
          <w:szCs w:val="20"/>
          <w:highlight w:val="none"/>
        </w:rPr>
      </w:pPr>
      <w:r>
        <w:rPr>
          <w:rFonts w:hint="eastAsia" w:ascii="宋体" w:hAnsi="宋体" w:cs="宋体"/>
          <w:color w:val="auto"/>
          <w:sz w:val="24"/>
          <w:highlight w:val="none"/>
        </w:rPr>
        <w:t>若对项目采购电子交易系统操作有疑问，可登录广西政府采购云平台（https://www.gcy.zfcg.gxzf.gov.cn/），点击右侧咨询小采，获取采小蜜智能服务管家帮助，或拨打广西政府采购云平台服务热线95763获取热线服务帮助。</w:t>
      </w:r>
    </w:p>
    <w:p w14:paraId="579673B8">
      <w:pPr>
        <w:pStyle w:val="84"/>
        <w:rPr>
          <w:snapToGrid w:val="0"/>
          <w:color w:val="auto"/>
          <w:highlight w:val="none"/>
        </w:rPr>
      </w:pPr>
      <w:r>
        <w:rPr>
          <w:color w:val="auto"/>
          <w:highlight w:val="none"/>
        </w:rPr>
        <w:br w:type="page"/>
      </w:r>
    </w:p>
    <w:p w14:paraId="696615BC">
      <w:pPr>
        <w:adjustRightInd/>
        <w:spacing w:line="360" w:lineRule="auto"/>
        <w:jc w:val="center"/>
        <w:outlineLvl w:val="0"/>
        <w:rPr>
          <w:rFonts w:ascii="宋体" w:hAnsi="宋体" w:cs="宋体"/>
          <w:b/>
          <w:color w:val="auto"/>
          <w:sz w:val="36"/>
          <w:szCs w:val="20"/>
          <w:highlight w:val="none"/>
        </w:rPr>
      </w:pPr>
      <w:bookmarkStart w:id="15" w:name="_Toc176343849"/>
      <w:bookmarkStart w:id="16" w:name="_Toc176185120"/>
      <w:r>
        <w:rPr>
          <w:rFonts w:hint="eastAsia" w:ascii="宋体" w:hAnsi="宋体" w:cs="宋体"/>
          <w:b/>
          <w:color w:val="auto"/>
          <w:sz w:val="36"/>
          <w:szCs w:val="20"/>
          <w:highlight w:val="none"/>
        </w:rPr>
        <w:t>第二部分</w:t>
      </w:r>
      <w:bookmarkEnd w:id="10"/>
      <w:r>
        <w:rPr>
          <w:rFonts w:hint="eastAsia" w:ascii="宋体" w:hAnsi="宋体" w:cs="宋体"/>
          <w:b/>
          <w:color w:val="auto"/>
          <w:sz w:val="36"/>
          <w:szCs w:val="20"/>
          <w:highlight w:val="none"/>
        </w:rPr>
        <w:t xml:space="preserve">  投标人须知</w:t>
      </w:r>
      <w:bookmarkEnd w:id="11"/>
      <w:bookmarkEnd w:id="15"/>
      <w:bookmarkEnd w:id="16"/>
    </w:p>
    <w:p w14:paraId="429109A2">
      <w:pPr>
        <w:adjustRightInd/>
        <w:spacing w:line="360" w:lineRule="auto"/>
        <w:ind w:firstLine="3845" w:firstLineChars="1197"/>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2087"/>
        <w:gridCol w:w="6787"/>
      </w:tblGrid>
      <w:tr w14:paraId="1A0D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shd w:val="clear" w:color="auto" w:fill="auto"/>
            <w:vAlign w:val="center"/>
          </w:tcPr>
          <w:p w14:paraId="15F0BD2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序号</w:t>
            </w:r>
          </w:p>
        </w:tc>
        <w:tc>
          <w:tcPr>
            <w:tcW w:w="2087" w:type="dxa"/>
            <w:shd w:val="clear" w:color="auto" w:fill="auto"/>
            <w:vAlign w:val="center"/>
          </w:tcPr>
          <w:p w14:paraId="20C5665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事项</w:t>
            </w:r>
          </w:p>
        </w:tc>
        <w:tc>
          <w:tcPr>
            <w:tcW w:w="6787" w:type="dxa"/>
            <w:shd w:val="clear" w:color="auto" w:fill="auto"/>
            <w:vAlign w:val="center"/>
          </w:tcPr>
          <w:p w14:paraId="020C62B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本项目的特别规定</w:t>
            </w:r>
          </w:p>
        </w:tc>
      </w:tr>
      <w:tr w14:paraId="2B75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shd w:val="clear" w:color="auto" w:fill="auto"/>
            <w:vAlign w:val="center"/>
          </w:tcPr>
          <w:p w14:paraId="627612B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p>
        </w:tc>
        <w:tc>
          <w:tcPr>
            <w:tcW w:w="2087" w:type="dxa"/>
            <w:shd w:val="clear" w:color="auto" w:fill="auto"/>
            <w:vAlign w:val="center"/>
          </w:tcPr>
          <w:p w14:paraId="0B6465D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项目属性与核心产品</w:t>
            </w:r>
          </w:p>
        </w:tc>
        <w:tc>
          <w:tcPr>
            <w:tcW w:w="6787" w:type="dxa"/>
            <w:shd w:val="clear" w:color="auto" w:fill="auto"/>
            <w:vAlign w:val="center"/>
          </w:tcPr>
          <w:p w14:paraId="480CACF5">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lang w:val="en-US" w:eastAsia="zh-CN"/>
              </w:rPr>
              <w:t>血管内超声系统</w:t>
            </w:r>
            <w:r>
              <w:rPr>
                <w:rFonts w:hint="eastAsia" w:ascii="宋体" w:hAnsi="宋体" w:cs="宋体"/>
                <w:color w:val="auto"/>
                <w:sz w:val="24"/>
                <w:highlight w:val="none"/>
              </w:rPr>
              <w:t>。</w:t>
            </w:r>
          </w:p>
        </w:tc>
      </w:tr>
      <w:tr w14:paraId="1174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981" w:type="dxa"/>
            <w:shd w:val="clear" w:color="auto" w:fill="auto"/>
            <w:vAlign w:val="center"/>
          </w:tcPr>
          <w:p w14:paraId="2DE2BA7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w:t>
            </w:r>
          </w:p>
        </w:tc>
        <w:tc>
          <w:tcPr>
            <w:tcW w:w="2087" w:type="dxa"/>
            <w:shd w:val="clear" w:color="auto" w:fill="auto"/>
            <w:vAlign w:val="center"/>
          </w:tcPr>
          <w:p w14:paraId="6E6E156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采购标的及其对应的中小企业划分标准所属行业</w:t>
            </w:r>
          </w:p>
        </w:tc>
        <w:tc>
          <w:tcPr>
            <w:tcW w:w="6787" w:type="dxa"/>
            <w:shd w:val="clear" w:color="auto" w:fill="auto"/>
            <w:vAlign w:val="center"/>
          </w:tcPr>
          <w:p w14:paraId="173840D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val="en-US" w:eastAsia="zh-CN"/>
              </w:rPr>
              <w:t>医疗设备</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tc>
      </w:tr>
      <w:tr w14:paraId="5F12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shd w:val="clear" w:color="auto" w:fill="auto"/>
            <w:vAlign w:val="center"/>
          </w:tcPr>
          <w:p w14:paraId="79EAE3F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3</w:t>
            </w:r>
          </w:p>
        </w:tc>
        <w:tc>
          <w:tcPr>
            <w:tcW w:w="2087" w:type="dxa"/>
            <w:shd w:val="clear" w:color="auto" w:fill="auto"/>
            <w:vAlign w:val="center"/>
          </w:tcPr>
          <w:p w14:paraId="1DAFB24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是否允许采购</w:t>
            </w:r>
          </w:p>
          <w:p w14:paraId="376E455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进口产品</w:t>
            </w:r>
          </w:p>
        </w:tc>
        <w:tc>
          <w:tcPr>
            <w:tcW w:w="6787" w:type="dxa"/>
            <w:shd w:val="clear" w:color="auto" w:fill="auto"/>
            <w:vAlign w:val="center"/>
          </w:tcPr>
          <w:p w14:paraId="5B14730B">
            <w:pPr>
              <w:keepNext w:val="0"/>
              <w:keepLines w:val="0"/>
              <w:pageBreakBefore w:val="0"/>
              <w:widowControl w:val="0"/>
              <w:kinsoku/>
              <w:wordWrap/>
              <w:overflowPunct/>
              <w:topLinePunct w:val="0"/>
              <w:autoSpaceDE/>
              <w:autoSpaceDN/>
              <w:bidi w:val="0"/>
              <w:adjustRightInd w:val="0"/>
              <w:spacing w:line="36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474718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þ</w:t>
                </w:r>
              </w:sdtContent>
            </w:sdt>
            <w:r>
              <w:rPr>
                <w:rFonts w:hint="eastAsia" w:ascii="宋体" w:hAnsi="宋体" w:cs="宋体"/>
                <w:color w:val="auto"/>
                <w:kern w:val="0"/>
                <w:sz w:val="24"/>
                <w:highlight w:val="none"/>
              </w:rPr>
              <w:t>本项目不允许采购进口产品。</w:t>
            </w:r>
          </w:p>
          <w:p w14:paraId="3CD5408B">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kern w:val="2"/>
                <w:sz w:val="21"/>
                <w:szCs w:val="24"/>
                <w:highlight w:val="none"/>
                <w:lang w:val="en-US" w:eastAsia="zh-CN" w:bidi="ar-SA"/>
              </w:rPr>
            </w:pPr>
            <w:sdt>
              <w:sdtPr>
                <w:rPr>
                  <w:rFonts w:hint="eastAsia" w:ascii="宋体" w:hAnsi="宋体" w:cs="宋体"/>
                  <w:color w:val="auto"/>
                  <w:kern w:val="0"/>
                  <w:sz w:val="24"/>
                  <w:highlight w:val="none"/>
                </w:rPr>
                <w:id w:val="14745368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69CE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shd w:val="clear" w:color="auto" w:fill="auto"/>
            <w:vAlign w:val="center"/>
          </w:tcPr>
          <w:p w14:paraId="084F6FC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4</w:t>
            </w:r>
          </w:p>
        </w:tc>
        <w:tc>
          <w:tcPr>
            <w:tcW w:w="2087" w:type="dxa"/>
            <w:shd w:val="clear" w:color="auto" w:fill="auto"/>
            <w:vAlign w:val="center"/>
          </w:tcPr>
          <w:p w14:paraId="71E03F5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分包</w:t>
            </w:r>
          </w:p>
        </w:tc>
        <w:tc>
          <w:tcPr>
            <w:tcW w:w="6787" w:type="dxa"/>
            <w:shd w:val="clear" w:color="auto" w:fill="auto"/>
            <w:vAlign w:val="center"/>
          </w:tcPr>
          <w:p w14:paraId="57A2D771">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14745465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r>
              <w:rPr>
                <w:rFonts w:hint="eastAsia" w:ascii="宋体" w:hAnsi="宋体" w:cs="宋体"/>
                <w:color w:val="auto"/>
                <w:sz w:val="24"/>
                <w:highlight w:val="none"/>
                <w:lang w:eastAsia="zh-CN"/>
              </w:rPr>
              <w:t>。</w:t>
            </w:r>
          </w:p>
          <w:p w14:paraId="19C04329">
            <w:pPr>
              <w:keepNext w:val="0"/>
              <w:keepLines w:val="0"/>
              <w:pageBreakBefore w:val="0"/>
              <w:widowControl w:val="0"/>
              <w:kinsoku/>
              <w:wordWrap/>
              <w:overflowPunct/>
              <w:topLinePunct w:val="0"/>
              <w:autoSpaceDE/>
              <w:autoSpaceDN/>
              <w:bidi w:val="0"/>
              <w:adjustRightInd w:val="0"/>
              <w:spacing w:line="36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4746973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B81A2B6">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注：不得限制大中型企业向小微企业合理分包。</w:t>
            </w:r>
          </w:p>
        </w:tc>
      </w:tr>
      <w:tr w14:paraId="546F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shd w:val="clear" w:color="auto" w:fill="auto"/>
            <w:vAlign w:val="center"/>
          </w:tcPr>
          <w:p w14:paraId="6543F01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5</w:t>
            </w:r>
          </w:p>
        </w:tc>
        <w:tc>
          <w:tcPr>
            <w:tcW w:w="2087" w:type="dxa"/>
            <w:shd w:val="clear" w:color="auto" w:fill="auto"/>
            <w:vAlign w:val="center"/>
          </w:tcPr>
          <w:p w14:paraId="04A16F1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开标前答疑会或现场考察</w:t>
            </w:r>
          </w:p>
        </w:tc>
        <w:tc>
          <w:tcPr>
            <w:tcW w:w="6787" w:type="dxa"/>
            <w:shd w:val="clear" w:color="auto" w:fill="auto"/>
            <w:vAlign w:val="center"/>
          </w:tcPr>
          <w:p w14:paraId="15048CF3">
            <w:pPr>
              <w:keepNext w:val="0"/>
              <w:keepLines w:val="0"/>
              <w:pageBreakBefore w:val="0"/>
              <w:widowControl w:val="0"/>
              <w:kinsoku/>
              <w:wordWrap/>
              <w:overflowPunct/>
              <w:topLinePunct w:val="0"/>
              <w:autoSpaceDE/>
              <w:autoSpaceDN/>
              <w:bidi w:val="0"/>
              <w:adjustRightInd w:val="0"/>
              <w:spacing w:line="36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474543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4187B1E">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kern w:val="2"/>
                <w:sz w:val="24"/>
                <w:szCs w:val="20"/>
                <w:highlight w:val="none"/>
                <w:lang w:val="en-US" w:eastAsia="zh-CN" w:bidi="ar-SA"/>
              </w:rPr>
            </w:pPr>
            <w:sdt>
              <w:sdtPr>
                <w:rPr>
                  <w:rFonts w:hint="eastAsia" w:ascii="宋体" w:hAnsi="宋体" w:cs="宋体"/>
                  <w:color w:val="auto"/>
                  <w:kern w:val="0"/>
                  <w:sz w:val="24"/>
                  <w:highlight w:val="none"/>
                </w:rPr>
                <w:id w:val="14747062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5F1C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shd w:val="clear" w:color="auto" w:fill="auto"/>
            <w:vAlign w:val="center"/>
          </w:tcPr>
          <w:p w14:paraId="0DC0FA2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6</w:t>
            </w:r>
          </w:p>
        </w:tc>
        <w:tc>
          <w:tcPr>
            <w:tcW w:w="2087" w:type="dxa"/>
            <w:shd w:val="clear" w:color="auto" w:fill="auto"/>
            <w:vAlign w:val="center"/>
          </w:tcPr>
          <w:p w14:paraId="29D0D99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样品提供</w:t>
            </w:r>
          </w:p>
        </w:tc>
        <w:tc>
          <w:tcPr>
            <w:tcW w:w="6787" w:type="dxa"/>
            <w:shd w:val="clear" w:color="auto" w:fill="auto"/>
            <w:vAlign w:val="center"/>
          </w:tcPr>
          <w:p w14:paraId="1AEF11B5">
            <w:pPr>
              <w:keepNext w:val="0"/>
              <w:keepLines w:val="0"/>
              <w:pageBreakBefore w:val="0"/>
              <w:widowControl w:val="0"/>
              <w:kinsoku/>
              <w:wordWrap/>
              <w:overflowPunct/>
              <w:topLinePunct w:val="0"/>
              <w:autoSpaceDE/>
              <w:autoSpaceDN/>
              <w:bidi w:val="0"/>
              <w:adjustRightInd w:val="0"/>
              <w:spacing w:line="36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4747968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9100C2E">
            <w:pPr>
              <w:keepNext w:val="0"/>
              <w:keepLines w:val="0"/>
              <w:pageBreakBefore w:val="0"/>
              <w:widowControl w:val="0"/>
              <w:kinsoku/>
              <w:wordWrap/>
              <w:overflowPunct/>
              <w:topLinePunct w:val="0"/>
              <w:autoSpaceDE/>
              <w:autoSpaceDN/>
              <w:bidi w:val="0"/>
              <w:adjustRightInd w:val="0"/>
              <w:spacing w:line="36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4745598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9118BC4">
            <w:pPr>
              <w:keepNext w:val="0"/>
              <w:keepLines w:val="0"/>
              <w:pageBreakBefore w:val="0"/>
              <w:widowControl w:val="0"/>
              <w:kinsoku/>
              <w:wordWrap/>
              <w:overflowPunct/>
              <w:topLinePunct w:val="0"/>
              <w:autoSpaceDE/>
              <w:autoSpaceDN/>
              <w:bidi w:val="0"/>
              <w:adjustRightIn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EBA76D1">
            <w:pPr>
              <w:keepNext w:val="0"/>
              <w:keepLines w:val="0"/>
              <w:pageBreakBefore w:val="0"/>
              <w:widowControl w:val="0"/>
              <w:kinsoku/>
              <w:wordWrap/>
              <w:overflowPunct/>
              <w:topLinePunct w:val="0"/>
              <w:autoSpaceDE/>
              <w:autoSpaceDN/>
              <w:bidi w:val="0"/>
              <w:adjustRightIn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1D47569">
            <w:pPr>
              <w:keepNext w:val="0"/>
              <w:keepLines w:val="0"/>
              <w:pageBreakBefore w:val="0"/>
              <w:widowControl w:val="0"/>
              <w:kinsoku/>
              <w:wordWrap/>
              <w:overflowPunct/>
              <w:topLinePunct w:val="0"/>
              <w:autoSpaceDE/>
              <w:autoSpaceDN/>
              <w:bidi w:val="0"/>
              <w:adjustRightIn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A8CB964">
            <w:pPr>
              <w:keepNext w:val="0"/>
              <w:keepLines w:val="0"/>
              <w:pageBreakBefore w:val="0"/>
              <w:widowControl w:val="0"/>
              <w:kinsoku/>
              <w:wordWrap/>
              <w:overflowPunct/>
              <w:topLinePunct w:val="0"/>
              <w:autoSpaceDE/>
              <w:autoSpaceDN/>
              <w:bidi w:val="0"/>
              <w:adjustRightIn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4746053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4747098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2D79CA0">
            <w:pPr>
              <w:keepNext w:val="0"/>
              <w:keepLines w:val="0"/>
              <w:pageBreakBefore w:val="0"/>
              <w:widowControl w:val="0"/>
              <w:kinsoku/>
              <w:wordWrap/>
              <w:overflowPunct/>
              <w:topLinePunct w:val="0"/>
              <w:autoSpaceDE/>
              <w:autoSpaceDN/>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62738856">
            <w:pPr>
              <w:keepNext w:val="0"/>
              <w:keepLines w:val="0"/>
              <w:pageBreakBefore w:val="0"/>
              <w:widowControl w:val="0"/>
              <w:kinsoku/>
              <w:wordWrap/>
              <w:overflowPunct/>
              <w:topLinePunct w:val="0"/>
              <w:autoSpaceDE/>
              <w:autoSpaceDN/>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2256515">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cs="宋体"/>
                <w:color w:val="auto"/>
                <w:sz w:val="24"/>
                <w:highlight w:val="none"/>
              </w:rPr>
              <w:t>（7）制作、运输、安装和保管样品所发生的一切费用由投标人自理。</w:t>
            </w:r>
          </w:p>
        </w:tc>
      </w:tr>
      <w:tr w14:paraId="11CB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shd w:val="clear" w:color="auto" w:fill="auto"/>
            <w:vAlign w:val="center"/>
          </w:tcPr>
          <w:p w14:paraId="47FA38A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7</w:t>
            </w:r>
          </w:p>
        </w:tc>
        <w:tc>
          <w:tcPr>
            <w:tcW w:w="2087" w:type="dxa"/>
            <w:shd w:val="clear" w:color="auto" w:fill="auto"/>
            <w:vAlign w:val="center"/>
          </w:tcPr>
          <w:p w14:paraId="375EAE8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
                <w:color w:val="auto"/>
                <w:sz w:val="24"/>
                <w:highlight w:val="none"/>
              </w:rPr>
              <w:t>方案讲解演示</w:t>
            </w:r>
          </w:p>
        </w:tc>
        <w:tc>
          <w:tcPr>
            <w:tcW w:w="6787" w:type="dxa"/>
            <w:shd w:val="clear" w:color="auto" w:fill="auto"/>
            <w:vAlign w:val="center"/>
          </w:tcPr>
          <w:p w14:paraId="4A5C6205">
            <w:pPr>
              <w:keepNext w:val="0"/>
              <w:keepLines w:val="0"/>
              <w:pageBreakBefore w:val="0"/>
              <w:widowControl w:val="0"/>
              <w:kinsoku/>
              <w:wordWrap/>
              <w:overflowPunct/>
              <w:topLinePunct w:val="0"/>
              <w:autoSpaceDE/>
              <w:autoSpaceDN/>
              <w:bidi w:val="0"/>
              <w:adjustRightInd w:val="0"/>
              <w:spacing w:line="36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4747093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A586B84">
            <w:pPr>
              <w:keepNext w:val="0"/>
              <w:keepLines w:val="0"/>
              <w:pageBreakBefore w:val="0"/>
              <w:widowControl w:val="0"/>
              <w:kinsoku/>
              <w:wordWrap/>
              <w:overflowPunct/>
              <w:topLinePunct w:val="0"/>
              <w:autoSpaceDE/>
              <w:autoSpaceDN/>
              <w:bidi w:val="0"/>
              <w:adjustRightInd w:val="0"/>
              <w:spacing w:line="360" w:lineRule="auto"/>
              <w:textAlignment w:val="auto"/>
              <w:rPr>
                <w:rFonts w:ascii="宋体" w:hAnsi="宋体" w:cs="宋体"/>
                <w:color w:val="auto"/>
                <w:kern w:val="0"/>
                <w:sz w:val="24"/>
                <w:highlight w:val="none"/>
              </w:rPr>
            </w:pPr>
            <w:sdt>
              <w:sdtPr>
                <w:rPr>
                  <w:rFonts w:hint="eastAsia" w:ascii="宋体" w:hAnsi="宋体" w:cs="宋体"/>
                  <w:color w:val="auto"/>
                  <w:kern w:val="0"/>
                  <w:sz w:val="24"/>
                  <w:highlight w:val="none"/>
                </w:rPr>
                <w:id w:val="14747325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67F9640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300C576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38B69D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方式一：广西政府采购云平台在线讲解演示。广西政府采购云平台在线讲解需投标人根据广西政府采购云平台操作要求做好准备工作，提前完善软硬件配置环境。</w:t>
            </w:r>
          </w:p>
          <w:p w14:paraId="66AE7D8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auto"/>
                <w:kern w:val="0"/>
                <w:sz w:val="24"/>
                <w:highlight w:val="none"/>
              </w:rPr>
            </w:pPr>
            <w:r>
              <w:rPr>
                <w:rFonts w:hint="eastAsia" w:ascii="宋体" w:hAnsi="宋体" w:cs="宋体"/>
                <w:color w:val="auto"/>
                <w:kern w:val="0"/>
                <w:sz w:val="24"/>
                <w:highlight w:val="none"/>
              </w:rPr>
              <w:t>方式二：评审现场讲解演示。现场讲解地点为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DA5F45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kern w:val="0"/>
                <w:sz w:val="24"/>
                <w:szCs w:val="24"/>
                <w:highlight w:val="none"/>
                <w:lang w:val="zh-CN" w:eastAsia="zh-CN" w:bidi="ar-SA"/>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注：因投标人自身原因导致无法演示或者演示效果不理想的，责任自负。因平台原因导致本项目方案讲解演示环节无法顺利开展，按照相关规定执行。</w:t>
            </w:r>
          </w:p>
        </w:tc>
      </w:tr>
      <w:tr w14:paraId="61E1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81" w:type="dxa"/>
            <w:vMerge w:val="restart"/>
            <w:shd w:val="clear" w:color="auto" w:fill="auto"/>
            <w:vAlign w:val="center"/>
          </w:tcPr>
          <w:p w14:paraId="255AF5E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8</w:t>
            </w:r>
          </w:p>
          <w:p w14:paraId="33B0063B">
            <w:pPr>
              <w:adjustRightInd/>
              <w:spacing w:line="360" w:lineRule="auto"/>
              <w:outlineLvl w:val="1"/>
              <w:rPr>
                <w:rFonts w:hint="eastAsia" w:ascii="宋体" w:hAnsi="宋体" w:cs="宋体"/>
                <w:b/>
                <w:color w:val="auto"/>
                <w:sz w:val="32"/>
                <w:szCs w:val="20"/>
                <w:highlight w:val="none"/>
                <w:vertAlign w:val="baseline"/>
              </w:rPr>
            </w:pPr>
          </w:p>
        </w:tc>
        <w:tc>
          <w:tcPr>
            <w:tcW w:w="2087" w:type="dxa"/>
            <w:vMerge w:val="restart"/>
            <w:vAlign w:val="center"/>
          </w:tcPr>
          <w:p w14:paraId="7947B41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32"/>
                <w:szCs w:val="20"/>
                <w:highlight w:val="none"/>
                <w:vertAlign w:val="baseline"/>
              </w:rPr>
            </w:pPr>
            <w:r>
              <w:rPr>
                <w:rFonts w:hint="eastAsia" w:ascii="宋体" w:hAnsi="宋体" w:cs="宋体"/>
                <w:b/>
                <w:color w:val="auto"/>
                <w:sz w:val="24"/>
                <w:highlight w:val="none"/>
              </w:rPr>
              <w:t>投标人应当提供的资格、资信证明文件</w:t>
            </w:r>
          </w:p>
        </w:tc>
        <w:tc>
          <w:tcPr>
            <w:tcW w:w="6787" w:type="dxa"/>
            <w:vAlign w:val="center"/>
          </w:tcPr>
          <w:p w14:paraId="1CB78DAD">
            <w:pPr>
              <w:keepNext w:val="0"/>
              <w:keepLines w:val="0"/>
              <w:pageBreakBefore w:val="0"/>
              <w:widowControl w:val="0"/>
              <w:kinsoku/>
              <w:wordWrap/>
              <w:overflowPunct/>
              <w:topLinePunct w:val="0"/>
              <w:autoSpaceDE/>
              <w:autoSpaceDN/>
              <w:bidi w:val="0"/>
              <w:adjustRightInd w:val="0"/>
              <w:spacing w:line="360" w:lineRule="auto"/>
              <w:textAlignment w:val="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35B8651">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cs="宋体"/>
                <w:b/>
                <w:color w:val="auto"/>
                <w:sz w:val="32"/>
                <w:szCs w:val="20"/>
                <w:highlight w:val="none"/>
                <w:vertAlign w:val="baseli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0FE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81" w:type="dxa"/>
            <w:vMerge w:val="continue"/>
          </w:tcPr>
          <w:p w14:paraId="7BF9CBF0">
            <w:pPr>
              <w:adjustRightInd/>
              <w:spacing w:line="360" w:lineRule="auto"/>
              <w:outlineLvl w:val="1"/>
            </w:pPr>
          </w:p>
        </w:tc>
        <w:tc>
          <w:tcPr>
            <w:tcW w:w="2087" w:type="dxa"/>
            <w:vMerge w:val="continue"/>
            <w:vAlign w:val="center"/>
          </w:tcPr>
          <w:p w14:paraId="10C1D9F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pPr>
          </w:p>
        </w:tc>
        <w:tc>
          <w:tcPr>
            <w:tcW w:w="6787" w:type="dxa"/>
            <w:vAlign w:val="center"/>
          </w:tcPr>
          <w:p w14:paraId="7034B20D">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cs="宋体"/>
                <w:b/>
                <w:color w:val="auto"/>
                <w:sz w:val="32"/>
                <w:szCs w:val="20"/>
                <w:highlight w:val="none"/>
                <w:vertAlign w:val="baseline"/>
              </w:rPr>
            </w:pPr>
            <w:r>
              <w:rPr>
                <w:rFonts w:hint="eastAsia" w:ascii="宋体" w:hAnsi="宋体" w:cs="宋体"/>
                <w:color w:val="auto"/>
                <w:sz w:val="24"/>
                <w:highlight w:val="none"/>
              </w:rPr>
              <w:t>（2）资信证明文件：根据招标文件第四部分评标标准提供。</w:t>
            </w:r>
          </w:p>
        </w:tc>
      </w:tr>
      <w:tr w14:paraId="6E4D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shd w:val="clear" w:color="auto" w:fill="auto"/>
            <w:vAlign w:val="center"/>
          </w:tcPr>
          <w:p w14:paraId="6F6C185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9</w:t>
            </w:r>
          </w:p>
        </w:tc>
        <w:tc>
          <w:tcPr>
            <w:tcW w:w="2087" w:type="dxa"/>
            <w:shd w:val="clear" w:color="auto" w:fill="auto"/>
            <w:vAlign w:val="center"/>
          </w:tcPr>
          <w:p w14:paraId="31CEE27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节能产品、环境标志产品</w:t>
            </w:r>
          </w:p>
        </w:tc>
        <w:tc>
          <w:tcPr>
            <w:tcW w:w="6787" w:type="dxa"/>
            <w:shd w:val="clear" w:color="auto" w:fill="auto"/>
            <w:vAlign w:val="center"/>
          </w:tcPr>
          <w:p w14:paraId="5624508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979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shd w:val="clear" w:color="auto" w:fill="auto"/>
            <w:vAlign w:val="center"/>
          </w:tcPr>
          <w:p w14:paraId="0240445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10</w:t>
            </w:r>
          </w:p>
        </w:tc>
        <w:tc>
          <w:tcPr>
            <w:tcW w:w="2087" w:type="dxa"/>
            <w:shd w:val="clear" w:color="auto" w:fill="auto"/>
            <w:vAlign w:val="center"/>
          </w:tcPr>
          <w:p w14:paraId="4FF76E1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lang w:val="en-US" w:eastAsia="zh-CN"/>
              </w:rPr>
              <w:t>投标保证金</w:t>
            </w:r>
          </w:p>
        </w:tc>
        <w:tc>
          <w:tcPr>
            <w:tcW w:w="6787" w:type="dxa"/>
            <w:shd w:val="clear" w:color="auto" w:fill="auto"/>
            <w:vAlign w:val="center"/>
          </w:tcPr>
          <w:p w14:paraId="13332E82">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本项目不收取投标保证金。</w:t>
            </w:r>
          </w:p>
        </w:tc>
      </w:tr>
      <w:tr w14:paraId="69092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shd w:val="clear" w:color="auto" w:fill="auto"/>
            <w:vAlign w:val="center"/>
          </w:tcPr>
          <w:p w14:paraId="7779F8B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1</w:t>
            </w:r>
          </w:p>
        </w:tc>
        <w:tc>
          <w:tcPr>
            <w:tcW w:w="2087" w:type="dxa"/>
            <w:shd w:val="clear" w:color="auto" w:fill="auto"/>
            <w:vAlign w:val="center"/>
          </w:tcPr>
          <w:p w14:paraId="756C9EC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报价要求</w:t>
            </w:r>
          </w:p>
        </w:tc>
        <w:tc>
          <w:tcPr>
            <w:tcW w:w="6787" w:type="dxa"/>
            <w:shd w:val="clear" w:color="auto" w:fill="auto"/>
            <w:vAlign w:val="center"/>
          </w:tcPr>
          <w:p w14:paraId="5FE93A4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lang w:val="zh-CN"/>
              </w:rPr>
              <w:t>投标文件</w:t>
            </w:r>
            <w:r>
              <w:rPr>
                <w:rFonts w:hint="eastAsia" w:ascii="宋体" w:hAnsi="宋体" w:cs="宋体"/>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14:paraId="544D72D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投标报价出现下列情形的，投标无效：</w:t>
            </w:r>
          </w:p>
          <w:p w14:paraId="2EBB2E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投标文件出现不是唯一的、有选择性投标报价的；</w:t>
            </w:r>
          </w:p>
          <w:p w14:paraId="547776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投标报价超过招标文件中规定的预算金额或者最高限价的;</w:t>
            </w:r>
          </w:p>
          <w:p w14:paraId="40FBE7D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color w:val="auto"/>
                <w:sz w:val="24"/>
                <w:szCs w:val="21"/>
                <w:highlight w:val="none"/>
              </w:rPr>
              <w:t>;</w:t>
            </w:r>
          </w:p>
          <w:p w14:paraId="599DF61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highlight w:val="none"/>
              </w:rPr>
              <w:t>投标人对根据修正原则修正后的报价不确认的</w:t>
            </w:r>
            <w:r>
              <w:rPr>
                <w:rFonts w:hint="eastAsia" w:ascii="宋体" w:hAnsi="宋体" w:cs="宋体"/>
                <w:color w:val="auto"/>
                <w:sz w:val="24"/>
                <w:highlight w:val="none"/>
              </w:rPr>
              <w:t>。</w:t>
            </w:r>
          </w:p>
        </w:tc>
      </w:tr>
      <w:tr w14:paraId="39BDA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shd w:val="clear" w:color="auto" w:fill="auto"/>
            <w:vAlign w:val="center"/>
          </w:tcPr>
          <w:p w14:paraId="4C666ED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p>
        </w:tc>
        <w:tc>
          <w:tcPr>
            <w:tcW w:w="2087" w:type="dxa"/>
            <w:shd w:val="clear" w:color="auto" w:fill="auto"/>
            <w:vAlign w:val="center"/>
          </w:tcPr>
          <w:p w14:paraId="03471B3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中小企业信用</w:t>
            </w:r>
          </w:p>
          <w:p w14:paraId="6986B68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融资</w:t>
            </w:r>
          </w:p>
        </w:tc>
        <w:tc>
          <w:tcPr>
            <w:tcW w:w="6787" w:type="dxa"/>
            <w:shd w:val="clear" w:color="auto" w:fill="auto"/>
            <w:vAlign w:val="center"/>
          </w:tcPr>
          <w:p w14:paraId="335273F1">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33BF8BE5">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snapToGrid w:val="0"/>
                <w:color w:val="auto"/>
                <w:kern w:val="28"/>
                <w:sz w:val="24"/>
                <w:highlight w:val="none"/>
              </w:rPr>
              <w:t>供应商中标后也可在“广西政府采购云”平台申请政采贷：操作路径：登录广西政府采购云平台-金融服务中心-【融资服务】，可在热门申请中选择产品直接申请。</w:t>
            </w:r>
          </w:p>
        </w:tc>
      </w:tr>
      <w:tr w14:paraId="2553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shd w:val="clear" w:color="auto" w:fill="auto"/>
            <w:vAlign w:val="center"/>
          </w:tcPr>
          <w:p w14:paraId="49C7FC0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2087" w:type="dxa"/>
            <w:shd w:val="clear" w:color="auto" w:fill="auto"/>
            <w:vAlign w:val="center"/>
          </w:tcPr>
          <w:p w14:paraId="7740E98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备份投标文件送达地点和签收人员</w:t>
            </w:r>
          </w:p>
        </w:tc>
        <w:tc>
          <w:tcPr>
            <w:tcW w:w="6787" w:type="dxa"/>
            <w:shd w:val="clear" w:color="auto" w:fill="auto"/>
            <w:vAlign w:val="center"/>
          </w:tcPr>
          <w:p w14:paraId="71B3F0BB">
            <w:pPr>
              <w:keepNext w:val="0"/>
              <w:keepLines w:val="0"/>
              <w:pageBreakBefore w:val="0"/>
              <w:widowControl w:val="0"/>
              <w:kinsoku/>
              <w:wordWrap/>
              <w:overflowPunct/>
              <w:topLinePunct w:val="0"/>
              <w:autoSpaceDE/>
              <w:autoSpaceDN/>
              <w:bidi w:val="0"/>
              <w:adjustRightInd w:val="0"/>
              <w:spacing w:line="36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4746339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不接受。</w:t>
            </w:r>
          </w:p>
          <w:p w14:paraId="526E1BC0">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imes New Roman" w:hAnsi="宋体" w:eastAsia="宋体" w:cs="宋体"/>
                <w:color w:val="auto"/>
                <w:kern w:val="28"/>
                <w:sz w:val="24"/>
                <w:szCs w:val="24"/>
                <w:highlight w:val="none"/>
                <w:lang w:val="en-US" w:eastAsia="zh-CN" w:bidi="ar-SA"/>
              </w:rPr>
            </w:pPr>
            <w:sdt>
              <w:sdtPr>
                <w:rPr>
                  <w:rFonts w:hint="eastAsia" w:ascii="宋体" w:hAnsi="宋体" w:cs="宋体"/>
                  <w:color w:val="auto"/>
                  <w:kern w:val="0"/>
                  <w:sz w:val="24"/>
                  <w:highlight w:val="none"/>
                </w:rPr>
                <w:id w:val="14746139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color w:val="auto"/>
                <w:kern w:val="0"/>
                <w:sz w:val="24"/>
                <w:highlight w:val="none"/>
              </w:rPr>
              <w:t>B</w:t>
            </w:r>
            <w:r>
              <w:rPr>
                <w:rFonts w:hint="eastAsia" w:ascii="宋体" w:hAnsi="宋体" w:cs="宋体"/>
                <w:color w:val="auto"/>
                <w:sz w:val="24"/>
                <w:highlight w:val="none"/>
              </w:rPr>
              <w:t>接受</w:t>
            </w:r>
            <w:r>
              <w:rPr>
                <w:rFonts w:hint="eastAsia" w:ascii="宋体" w:hAnsi="宋体" w:cs="宋体"/>
                <w:color w:val="auto"/>
                <w:kern w:val="0"/>
                <w:sz w:val="24"/>
                <w:highlight w:val="none"/>
              </w:rPr>
              <w:t>：</w:t>
            </w:r>
            <w:r>
              <w:rPr>
                <w:rFonts w:hint="eastAsia" w:hAnsi="宋体" w:cs="宋体"/>
                <w:color w:val="auto"/>
                <w:kern w:val="28"/>
                <w:sz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kern w:val="28"/>
                <w:sz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rPr>
              <w:t>。采购人、采购代理机构不强制或变相强制投标人提交备份投标文件。</w:t>
            </w:r>
          </w:p>
        </w:tc>
      </w:tr>
      <w:tr w14:paraId="15EC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81" w:type="dxa"/>
            <w:vMerge w:val="restart"/>
            <w:shd w:val="clear" w:color="auto" w:fill="auto"/>
            <w:vAlign w:val="center"/>
          </w:tcPr>
          <w:p w14:paraId="1792FED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p w14:paraId="11EE4FDD">
            <w:pPr>
              <w:adjustRightInd/>
              <w:spacing w:line="360" w:lineRule="auto"/>
              <w:outlineLvl w:val="1"/>
              <w:rPr>
                <w:rFonts w:hint="eastAsia" w:ascii="宋体" w:hAnsi="宋体" w:cs="宋体"/>
                <w:b/>
                <w:color w:val="auto"/>
                <w:sz w:val="32"/>
                <w:szCs w:val="20"/>
                <w:highlight w:val="none"/>
                <w:vertAlign w:val="baseline"/>
              </w:rPr>
            </w:pPr>
          </w:p>
        </w:tc>
        <w:tc>
          <w:tcPr>
            <w:tcW w:w="2087" w:type="dxa"/>
            <w:vMerge w:val="restart"/>
            <w:vAlign w:val="center"/>
          </w:tcPr>
          <w:p w14:paraId="6C156D3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32"/>
                <w:szCs w:val="20"/>
                <w:highlight w:val="none"/>
                <w:vertAlign w:val="baseline"/>
              </w:rPr>
            </w:pPr>
            <w:r>
              <w:rPr>
                <w:rFonts w:hint="eastAsia" w:cs="仿宋_GB2312" w:asciiTheme="minorEastAsia" w:hAnsiTheme="minorEastAsia" w:eastAsiaTheme="minorEastAsia"/>
                <w:b/>
                <w:color w:val="auto"/>
                <w:sz w:val="24"/>
                <w:highlight w:val="none"/>
              </w:rPr>
              <w:t>特别说明</w:t>
            </w:r>
          </w:p>
        </w:tc>
        <w:tc>
          <w:tcPr>
            <w:tcW w:w="6787" w:type="dxa"/>
            <w:vAlign w:val="center"/>
          </w:tcPr>
          <w:p w14:paraId="540BF1E9">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cs="宋体"/>
                <w:b/>
                <w:color w:val="auto"/>
                <w:sz w:val="32"/>
                <w:szCs w:val="20"/>
                <w:highlight w:val="none"/>
                <w:vertAlign w:val="baseli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F67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81" w:type="dxa"/>
            <w:vMerge w:val="continue"/>
          </w:tcPr>
          <w:p w14:paraId="234F433E">
            <w:pPr>
              <w:adjustRightInd/>
              <w:spacing w:line="360" w:lineRule="auto"/>
              <w:outlineLvl w:val="1"/>
            </w:pPr>
          </w:p>
        </w:tc>
        <w:tc>
          <w:tcPr>
            <w:tcW w:w="2087" w:type="dxa"/>
            <w:vMerge w:val="continue"/>
            <w:vAlign w:val="center"/>
          </w:tcPr>
          <w:p w14:paraId="200D571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pPr>
          </w:p>
        </w:tc>
        <w:tc>
          <w:tcPr>
            <w:tcW w:w="6787" w:type="dxa"/>
            <w:vAlign w:val="center"/>
          </w:tcPr>
          <w:p w14:paraId="4D990E1E">
            <w:pPr>
              <w:keepNext w:val="0"/>
              <w:keepLines w:val="0"/>
              <w:pageBreakBefore w:val="0"/>
              <w:widowControl w:val="0"/>
              <w:kinsoku/>
              <w:wordWrap/>
              <w:overflowPunct/>
              <w:topLinePunct w:val="0"/>
              <w:autoSpaceDE/>
              <w:autoSpaceDN/>
              <w:bidi w:val="0"/>
              <w:adjustRightInd w:val="0"/>
              <w:spacing w:line="360" w:lineRule="auto"/>
              <w:textAlignment w:val="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75689"/>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3D0E7A3B">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cs="宋体"/>
                <w:b/>
                <w:color w:val="auto"/>
                <w:sz w:val="32"/>
                <w:szCs w:val="20"/>
                <w:highlight w:val="none"/>
                <w:vertAlign w:val="baseline"/>
              </w:rPr>
            </w:pPr>
            <w:sdt>
              <w:sdtPr>
                <w:rPr>
                  <w:rFonts w:hint="eastAsia" w:cs="Arial" w:asciiTheme="minorEastAsia" w:hAnsiTheme="minorEastAsia" w:eastAsiaTheme="minorEastAsia"/>
                  <w:color w:val="auto"/>
                  <w:kern w:val="0"/>
                  <w:sz w:val="24"/>
                  <w:highlight w:val="none"/>
                </w:rPr>
                <w:id w:val="147468886"/>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92C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shd w:val="clear" w:color="auto" w:fill="auto"/>
            <w:vAlign w:val="center"/>
          </w:tcPr>
          <w:p w14:paraId="703F397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15</w:t>
            </w:r>
          </w:p>
        </w:tc>
        <w:tc>
          <w:tcPr>
            <w:tcW w:w="2087" w:type="dxa"/>
            <w:vAlign w:val="center"/>
          </w:tcPr>
          <w:p w14:paraId="35D507A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32"/>
                <w:szCs w:val="20"/>
                <w:highlight w:val="none"/>
                <w:vertAlign w:val="baseline"/>
              </w:rPr>
            </w:pPr>
            <w:r>
              <w:rPr>
                <w:rFonts w:hint="eastAsia" w:ascii="宋体" w:hAnsi="宋体" w:cs="宋体"/>
                <w:b/>
                <w:color w:val="auto"/>
                <w:sz w:val="24"/>
                <w:highlight w:val="none"/>
                <w:lang w:val="en-US" w:eastAsia="zh-CN"/>
              </w:rPr>
              <w:t>代理费用</w:t>
            </w:r>
          </w:p>
        </w:tc>
        <w:tc>
          <w:tcPr>
            <w:tcW w:w="6787" w:type="dxa"/>
            <w:vAlign w:val="center"/>
          </w:tcPr>
          <w:p w14:paraId="367344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sz w:val="24"/>
                <w:highlight w:val="none"/>
                <w:lang w:eastAsia="zh-CN"/>
              </w:rPr>
            </w:pPr>
            <w:r>
              <w:rPr>
                <w:rFonts w:hint="eastAsia" w:ascii="宋体" w:hAnsi="宋体" w:cs="宋体"/>
                <w:bCs/>
                <w:color w:val="auto"/>
                <w:sz w:val="24"/>
                <w:highlight w:val="none"/>
              </w:rPr>
              <w:t>招标代理服务费参照《关于印发招标代理服务收费管理暂行办法的通知》（计价格[2002]1980号）规定标准</w:t>
            </w:r>
            <w:r>
              <w:rPr>
                <w:rFonts w:hint="eastAsia" w:ascii="宋体" w:hAnsi="宋体" w:cs="宋体"/>
                <w:bCs/>
                <w:color w:val="auto"/>
                <w:sz w:val="24"/>
                <w:highlight w:val="none"/>
                <w:lang w:val="en-US" w:eastAsia="zh-CN"/>
              </w:rPr>
              <w:t>下浮20%收取</w:t>
            </w:r>
            <w:r>
              <w:rPr>
                <w:rFonts w:hint="eastAsia" w:ascii="宋体" w:hAnsi="宋体" w:cs="宋体"/>
                <w:bCs/>
                <w:color w:val="auto"/>
                <w:sz w:val="24"/>
                <w:highlight w:val="none"/>
              </w:rPr>
              <w:t>，以差额定率累进法计算。由</w:t>
            </w:r>
            <w:r>
              <w:rPr>
                <w:rFonts w:hint="eastAsia" w:ascii="宋体" w:hAnsi="宋体" w:cs="宋体"/>
                <w:bCs/>
                <w:color w:val="auto"/>
                <w:sz w:val="24"/>
                <w:highlight w:val="none"/>
                <w:lang w:val="en-US" w:eastAsia="zh-CN"/>
              </w:rPr>
              <w:t>采购人在发布中标结果公告10个工作日内</w:t>
            </w:r>
            <w:r>
              <w:rPr>
                <w:rFonts w:hint="eastAsia" w:ascii="宋体" w:hAnsi="宋体" w:cs="宋体"/>
                <w:bCs/>
                <w:color w:val="auto"/>
                <w:sz w:val="24"/>
                <w:highlight w:val="none"/>
              </w:rPr>
              <w:t>，一次性向采购代理机构支付</w:t>
            </w:r>
            <w:r>
              <w:rPr>
                <w:rFonts w:hint="eastAsia" w:ascii="宋体" w:hAnsi="宋体" w:cs="宋体"/>
                <w:bCs/>
                <w:color w:val="auto"/>
                <w:sz w:val="24"/>
                <w:highlight w:val="none"/>
                <w:lang w:eastAsia="zh-CN"/>
              </w:rPr>
              <w:t>。</w:t>
            </w:r>
          </w:p>
          <w:p w14:paraId="2A04B009">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cs="宋体"/>
                <w:b/>
                <w:color w:val="auto"/>
                <w:sz w:val="32"/>
                <w:szCs w:val="20"/>
                <w:highlight w:val="none"/>
                <w:vertAlign w:val="baseline"/>
              </w:rPr>
            </w:pPr>
            <w:r>
              <w:rPr>
                <w:rFonts w:hint="eastAsia" w:ascii="宋体" w:hAnsi="宋体" w:cs="宋体"/>
                <w:bCs/>
                <w:color w:val="auto"/>
                <w:sz w:val="24"/>
                <w:highlight w:val="none"/>
                <w:lang w:eastAsia="zh-CN"/>
              </w:rPr>
              <w:t>注：如因采购人原因造成本次招标失败，招标公司服务费将由采购人承担</w:t>
            </w:r>
          </w:p>
        </w:tc>
      </w:tr>
      <w:tr w14:paraId="61121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shd w:val="clear" w:color="auto" w:fill="auto"/>
            <w:vAlign w:val="center"/>
          </w:tcPr>
          <w:p w14:paraId="48F5A09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16</w:t>
            </w:r>
          </w:p>
        </w:tc>
        <w:tc>
          <w:tcPr>
            <w:tcW w:w="2087" w:type="dxa"/>
            <w:vAlign w:val="center"/>
          </w:tcPr>
          <w:p w14:paraId="6CE9665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32"/>
                <w:szCs w:val="20"/>
                <w:highlight w:val="none"/>
                <w:vertAlign w:val="baseline"/>
              </w:rPr>
            </w:pPr>
            <w:r>
              <w:rPr>
                <w:rFonts w:hint="eastAsia" w:ascii="宋体" w:hAnsi="宋体" w:cs="宋体"/>
                <w:b/>
                <w:color w:val="auto"/>
                <w:sz w:val="24"/>
                <w:highlight w:val="none"/>
              </w:rPr>
              <w:t>解释权</w:t>
            </w:r>
          </w:p>
        </w:tc>
        <w:tc>
          <w:tcPr>
            <w:tcW w:w="6787" w:type="dxa"/>
            <w:vAlign w:val="center"/>
          </w:tcPr>
          <w:p w14:paraId="78EDB02A">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cs="宋体"/>
                <w:b/>
                <w:color w:val="auto"/>
                <w:sz w:val="32"/>
                <w:szCs w:val="20"/>
                <w:highlight w:val="none"/>
                <w:vertAlign w:val="baseline"/>
              </w:rPr>
            </w:pPr>
            <w:r>
              <w:rPr>
                <w:rFonts w:hint="eastAsia" w:cs="Arial" w:asciiTheme="minorEastAsia" w:hAnsiTheme="minorEastAsia" w:eastAsiaTheme="minorEastAsia"/>
                <w:color w:val="auto"/>
                <w:kern w:val="0"/>
                <w:sz w:val="24"/>
                <w:highlight w:val="none"/>
              </w:rPr>
              <w:t>本招标文件解释权属采购人及代理机构。</w:t>
            </w:r>
          </w:p>
        </w:tc>
      </w:tr>
    </w:tbl>
    <w:p w14:paraId="6A4C25F5">
      <w:pPr>
        <w:snapToGrid w:val="0"/>
        <w:spacing w:line="360" w:lineRule="auto"/>
        <w:jc w:val="center"/>
        <w:rPr>
          <w:rFonts w:ascii="宋体" w:hAnsi="宋体" w:cs="宋体"/>
          <w:b/>
          <w:color w:val="auto"/>
          <w:sz w:val="32"/>
          <w:szCs w:val="20"/>
          <w:highlight w:val="none"/>
        </w:rPr>
      </w:pPr>
    </w:p>
    <w:bookmarkEnd w:id="12"/>
    <w:p w14:paraId="46E8EF66">
      <w:pPr>
        <w:rPr>
          <w:rFonts w:hint="eastAsia" w:ascii="宋体" w:hAnsi="宋体" w:cs="宋体"/>
          <w:b/>
          <w:color w:val="auto"/>
          <w:sz w:val="32"/>
          <w:szCs w:val="20"/>
          <w:highlight w:val="none"/>
        </w:rPr>
      </w:pPr>
      <w:bookmarkStart w:id="17" w:name="_Toc164416483"/>
      <w:bookmarkStart w:id="18" w:name="第三部分"/>
      <w:r>
        <w:rPr>
          <w:rFonts w:hint="eastAsia" w:ascii="宋体" w:hAnsi="宋体" w:cs="宋体"/>
          <w:b/>
          <w:color w:val="auto"/>
          <w:sz w:val="32"/>
          <w:szCs w:val="20"/>
          <w:highlight w:val="none"/>
        </w:rPr>
        <w:br w:type="page"/>
      </w:r>
    </w:p>
    <w:p w14:paraId="3E1B737B">
      <w:pPr>
        <w:adjustRightInd/>
        <w:spacing w:line="360" w:lineRule="auto"/>
        <w:ind w:firstLine="3845" w:firstLineChars="1197"/>
        <w:outlineLvl w:val="1"/>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10DD2FC0">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1. 适用范围</w:t>
      </w:r>
    </w:p>
    <w:p w14:paraId="741FE085">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4F8ABA0">
      <w:pPr>
        <w:adjustRightInd/>
        <w:spacing w:line="360" w:lineRule="auto"/>
        <w:rPr>
          <w:rFonts w:ascii="宋体" w:hAnsi="宋体" w:cs="宋体"/>
          <w:b/>
          <w:color w:val="auto"/>
          <w:sz w:val="24"/>
          <w:highlight w:val="none"/>
        </w:rPr>
      </w:pPr>
      <w:r>
        <w:rPr>
          <w:rFonts w:hint="eastAsia" w:ascii="宋体" w:hAnsi="宋体" w:cs="宋体"/>
          <w:b/>
          <w:color w:val="auto"/>
          <w:sz w:val="24"/>
          <w:highlight w:val="none"/>
        </w:rPr>
        <w:t>2.定义</w:t>
      </w:r>
    </w:p>
    <w:p w14:paraId="68BEBE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D78E7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F3CC0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F6FE4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“法定代表人（负责人）”系指法人企业的法定负责人，或其他组织为法律、行政法规规定代表单位行使职权的主要负责人，或自然人本人。</w:t>
      </w:r>
    </w:p>
    <w:p w14:paraId="774856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4180C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14:paraId="502EB0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2.6“电子交易平台”系指本项目政府采购活动所依托的广西政府采购云平台（https://www.gcy.zfcg.gxzf.gov.cn/）。</w:t>
      </w:r>
    </w:p>
    <w:p w14:paraId="511A52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sym w:font="Wingdings" w:char="F0FE"/>
      </w:r>
      <w:r>
        <w:rPr>
          <w:rFonts w:ascii="宋体" w:hAnsi="宋体" w:cs="宋体"/>
          <w:color w:val="auto"/>
          <w:kern w:val="0"/>
          <w:sz w:val="24"/>
          <w:highlight w:val="none"/>
        </w:rPr>
        <w:t>”</w:t>
      </w:r>
      <w:r>
        <w:rPr>
          <w:rFonts w:hint="eastAsia" w:ascii="宋体" w:hAnsi="宋体" w:cs="宋体"/>
          <w:color w:val="auto"/>
          <w:sz w:val="24"/>
          <w:highlight w:val="none"/>
        </w:rPr>
        <w:t>系指适用本项目的要求，“</w:t>
      </w:r>
      <w:r>
        <w:rPr>
          <w:rFonts w:hint="eastAsia" w:ascii="宋体" w:hAnsi="宋体" w:cs="宋体"/>
          <w:color w:val="auto"/>
          <w:kern w:val="0"/>
          <w:sz w:val="24"/>
          <w:highlight w:val="none"/>
        </w:rPr>
        <w:t>□</w:t>
      </w:r>
      <w:r>
        <w:rPr>
          <w:rFonts w:ascii="宋体" w:hAnsi="宋体" w:cs="宋体"/>
          <w:color w:val="auto"/>
          <w:kern w:val="0"/>
          <w:sz w:val="24"/>
          <w:highlight w:val="none"/>
        </w:rPr>
        <w:t>”</w:t>
      </w:r>
      <w:r>
        <w:rPr>
          <w:rFonts w:hint="eastAsia" w:ascii="宋体" w:hAnsi="宋体" w:cs="宋体"/>
          <w:color w:val="auto"/>
          <w:sz w:val="24"/>
          <w:highlight w:val="none"/>
        </w:rPr>
        <w:t>系指不适用本项目的要求。</w:t>
      </w:r>
    </w:p>
    <w:p w14:paraId="3E57009F">
      <w:pPr>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8143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4B68D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5A82CA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059DC7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79DFB3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9"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33576F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9"/>
    </w:p>
    <w:p w14:paraId="2FAA38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122DCF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96DD7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DA9C0C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E81883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78F99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3.3.3对于未预留份额专门面向中小企业采购的政府采购项目，以及预留份额政府采购项目中的非预留部分标项，对小型和微型企业的投标报价给予</w:t>
      </w:r>
      <w:r>
        <w:rPr>
          <w:rFonts w:ascii="宋体" w:hAnsi="宋体" w:cs="宋体"/>
          <w:b/>
          <w:bCs/>
          <w:color w:val="auto"/>
          <w:sz w:val="24"/>
          <w:highlight w:val="none"/>
        </w:rPr>
        <w:t>20</w:t>
      </w:r>
      <w:r>
        <w:rPr>
          <w:rFonts w:hint="eastAsia" w:ascii="宋体" w:hAnsi="宋体" w:cs="宋体"/>
          <w:b/>
          <w:bCs/>
          <w:color w:val="auto"/>
          <w:sz w:val="24"/>
          <w:highlight w:val="none"/>
        </w:rPr>
        <w:t>%</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的扣除，用扣除后的价格参与评审。接受大中型企业与小微企业组成联合体或者允许大中型企业向一家或者多家小微企业分包的政府采购项目，对于</w:t>
      </w:r>
      <w:bookmarkStart w:id="20" w:name="_Hlk101132181"/>
      <w:r>
        <w:rPr>
          <w:rFonts w:hint="eastAsia" w:ascii="宋体" w:hAnsi="宋体" w:cs="宋体"/>
          <w:color w:val="auto"/>
          <w:sz w:val="24"/>
          <w:highlight w:val="none"/>
        </w:rPr>
        <w:t>联合协议或者分包意向协议约定小微企业的合同份额占到合同总金额30%以上的</w:t>
      </w:r>
      <w:bookmarkEnd w:id="20"/>
      <w:r>
        <w:rPr>
          <w:rFonts w:hint="eastAsia" w:ascii="宋体" w:hAnsi="宋体" w:cs="宋体"/>
          <w:color w:val="auto"/>
          <w:sz w:val="24"/>
          <w:highlight w:val="none"/>
        </w:rPr>
        <w:t>，对联合体或者大中型企业的报价给予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0501AC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0078A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92AD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A1516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DE1C4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02DE5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716D3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449304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w:t>
      </w:r>
    </w:p>
    <w:p w14:paraId="52B523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1EABF826">
      <w:pPr>
        <w:pStyle w:val="84"/>
        <w:rPr>
          <w:bCs/>
          <w:color w:val="auto"/>
          <w:highlight w:val="none"/>
        </w:rPr>
      </w:pPr>
      <w:r>
        <w:rPr>
          <w:rFonts w:hint="eastAsia"/>
          <w:color w:val="auto"/>
          <w:highlight w:val="none"/>
        </w:rPr>
        <w:t>3.6平等对待符合条件的破产重整企业</w:t>
      </w:r>
    </w:p>
    <w:p w14:paraId="08EA69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平等对待符合条件的破产重整企业，切实保障企业公平竞争，平等维护企业的合法利益。</w:t>
      </w:r>
    </w:p>
    <w:p w14:paraId="7162B605">
      <w:pPr>
        <w:spacing w:line="360" w:lineRule="auto"/>
        <w:ind w:firstLine="482" w:firstLineChars="200"/>
        <w:rPr>
          <w:rFonts w:asciiTheme="minorEastAsia" w:hAnsiTheme="minorEastAsia" w:eastAsiaTheme="minorEastAsia"/>
          <w:b/>
          <w:color w:val="auto"/>
          <w:highlight w:val="none"/>
        </w:rPr>
      </w:pPr>
      <w:r>
        <w:rPr>
          <w:rFonts w:hint="eastAsia" w:ascii="宋体" w:hAnsi="宋体"/>
          <w:b/>
          <w:color w:val="auto"/>
          <w:sz w:val="24"/>
          <w:highlight w:val="none"/>
        </w:rPr>
        <w:t>4. 询问、质疑、投诉</w:t>
      </w:r>
    </w:p>
    <w:p w14:paraId="4788C845">
      <w:pPr>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4.1在线询问、质疑、投诉</w:t>
      </w:r>
    </w:p>
    <w:p w14:paraId="12F88416">
      <w:pPr>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1CCB2D00">
      <w:pPr>
        <w:pStyle w:val="84"/>
        <w:rPr>
          <w:rFonts w:hint="eastAsia"/>
          <w:color w:val="auto"/>
          <w:highlight w:val="none"/>
        </w:rPr>
      </w:pPr>
      <w:r>
        <w:rPr>
          <w:rFonts w:hint="eastAsia"/>
          <w:color w:val="auto"/>
          <w:highlight w:val="none"/>
        </w:rPr>
        <w:t>询问联系部门：</w:t>
      </w:r>
      <w:r>
        <w:rPr>
          <w:rFonts w:hint="eastAsia"/>
          <w:color w:val="auto"/>
          <w:highlight w:val="none"/>
          <w:lang w:val="en-US" w:eastAsia="zh-CN"/>
        </w:rPr>
        <w:t>中招国际招标有限公司</w:t>
      </w:r>
      <w:r>
        <w:rPr>
          <w:rFonts w:hint="eastAsia"/>
          <w:color w:val="auto"/>
          <w:highlight w:val="none"/>
        </w:rPr>
        <w:t xml:space="preserve">    联系电话：</w:t>
      </w:r>
      <w:r>
        <w:rPr>
          <w:rFonts w:hint="eastAsia"/>
          <w:color w:val="auto"/>
          <w:highlight w:val="none"/>
          <w:lang w:val="en-US" w:eastAsia="zh-CN"/>
        </w:rPr>
        <w:t>010-62108084</w:t>
      </w:r>
    </w:p>
    <w:p w14:paraId="2C415B9B">
      <w:pPr>
        <w:pStyle w:val="84"/>
        <w:rPr>
          <w:rFonts w:hint="default" w:eastAsia="宋体"/>
          <w:color w:val="auto"/>
          <w:highlight w:val="none"/>
          <w:lang w:val="en-US" w:eastAsia="zh-CN"/>
        </w:rPr>
      </w:pPr>
      <w:r>
        <w:rPr>
          <w:rFonts w:hint="eastAsia"/>
          <w:color w:val="auto"/>
          <w:highlight w:val="none"/>
        </w:rPr>
        <w:t>联系人：</w:t>
      </w:r>
      <w:r>
        <w:rPr>
          <w:rFonts w:hint="eastAsia"/>
          <w:color w:val="auto"/>
          <w:highlight w:val="none"/>
          <w:lang w:val="en-US" w:eastAsia="zh-CN"/>
        </w:rPr>
        <w:t>张百娇</w:t>
      </w:r>
      <w:r>
        <w:rPr>
          <w:rFonts w:hint="eastAsia"/>
          <w:color w:val="auto"/>
          <w:highlight w:val="none"/>
        </w:rPr>
        <w:t xml:space="preserve">     地址：</w:t>
      </w:r>
      <w:r>
        <w:rPr>
          <w:rFonts w:hint="eastAsia"/>
          <w:color w:val="auto"/>
          <w:highlight w:val="none"/>
          <w:lang w:val="en-US" w:eastAsia="zh-CN"/>
        </w:rPr>
        <w:t>北京市海淀区学院南路62号院</w:t>
      </w:r>
    </w:p>
    <w:p w14:paraId="44E2A272">
      <w:pPr>
        <w:pStyle w:val="84"/>
        <w:rPr>
          <w:rFonts w:hint="eastAsia"/>
          <w:color w:val="auto"/>
          <w:highlight w:val="none"/>
        </w:rPr>
      </w:pPr>
      <w:r>
        <w:rPr>
          <w:rFonts w:hint="eastAsia"/>
          <w:color w:val="auto"/>
          <w:highlight w:val="none"/>
        </w:rPr>
        <w:t>质疑联系部门：</w:t>
      </w:r>
      <w:r>
        <w:rPr>
          <w:rFonts w:hint="eastAsia"/>
          <w:color w:val="auto"/>
          <w:highlight w:val="none"/>
          <w:lang w:val="en-US" w:eastAsia="zh-CN"/>
        </w:rPr>
        <w:t>中招国际招标有限公司</w:t>
      </w:r>
      <w:r>
        <w:rPr>
          <w:rFonts w:hint="eastAsia"/>
          <w:color w:val="auto"/>
          <w:highlight w:val="none"/>
        </w:rPr>
        <w:t xml:space="preserve">    联系电话：</w:t>
      </w:r>
      <w:r>
        <w:rPr>
          <w:rFonts w:hint="eastAsia"/>
          <w:color w:val="auto"/>
          <w:highlight w:val="none"/>
          <w:lang w:val="en-US" w:eastAsia="zh-CN"/>
        </w:rPr>
        <w:t>010-61954124</w:t>
      </w:r>
    </w:p>
    <w:p w14:paraId="72567ED7">
      <w:pPr>
        <w:pStyle w:val="84"/>
        <w:rPr>
          <w:color w:val="auto"/>
          <w:highlight w:val="none"/>
        </w:rPr>
      </w:pPr>
      <w:r>
        <w:rPr>
          <w:rFonts w:hint="eastAsia"/>
          <w:color w:val="auto"/>
          <w:highlight w:val="none"/>
        </w:rPr>
        <w:t>联系人：</w:t>
      </w:r>
      <w:r>
        <w:rPr>
          <w:rFonts w:hint="eastAsia"/>
          <w:color w:val="auto"/>
          <w:highlight w:val="none"/>
          <w:lang w:val="en-US" w:eastAsia="zh-CN"/>
        </w:rPr>
        <w:t>张杰</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地址：</w:t>
      </w:r>
      <w:r>
        <w:rPr>
          <w:rFonts w:hint="eastAsia"/>
          <w:color w:val="auto"/>
          <w:highlight w:val="none"/>
          <w:lang w:val="en-US" w:eastAsia="zh-CN"/>
        </w:rPr>
        <w:t>北京市海淀区学院南路62号院</w:t>
      </w:r>
    </w:p>
    <w:p w14:paraId="250DD984">
      <w:pPr>
        <w:pStyle w:val="84"/>
        <w:rPr>
          <w:rFonts w:hint="eastAsia"/>
          <w:color w:val="auto"/>
          <w:highlight w:val="none"/>
        </w:rPr>
      </w:pPr>
      <w:r>
        <w:rPr>
          <w:rFonts w:hint="eastAsia"/>
          <w:color w:val="auto"/>
          <w:highlight w:val="none"/>
        </w:rPr>
        <w:t>投诉联系部门：</w:t>
      </w:r>
      <w:r>
        <w:rPr>
          <w:rFonts w:hint="eastAsia"/>
          <w:color w:val="auto"/>
          <w:highlight w:val="none"/>
          <w:lang w:val="en-US" w:eastAsia="zh-CN"/>
        </w:rPr>
        <w:t xml:space="preserve">合浦县财政局           </w:t>
      </w:r>
      <w:r>
        <w:rPr>
          <w:rFonts w:hint="eastAsia"/>
          <w:color w:val="auto"/>
          <w:highlight w:val="none"/>
        </w:rPr>
        <w:t xml:space="preserve">  联系电话：0779-7213187</w:t>
      </w:r>
    </w:p>
    <w:p w14:paraId="3A8F6D22">
      <w:pPr>
        <w:pStyle w:val="84"/>
        <w:rPr>
          <w:rFonts w:hint="eastAsia"/>
          <w:color w:val="auto"/>
          <w:highlight w:val="none"/>
        </w:rPr>
      </w:pPr>
      <w:r>
        <w:rPr>
          <w:rFonts w:hint="eastAsia"/>
          <w:color w:val="auto"/>
          <w:highlight w:val="none"/>
          <w:lang w:val="en-US" w:eastAsia="zh-CN"/>
        </w:rPr>
        <w:t xml:space="preserve">联系人：采购办     </w:t>
      </w:r>
      <w:r>
        <w:rPr>
          <w:rFonts w:hint="eastAsia"/>
          <w:color w:val="auto"/>
          <w:highlight w:val="none"/>
        </w:rPr>
        <w:t>地址：合浦县廉州镇明园南路50号</w:t>
      </w:r>
    </w:p>
    <w:p w14:paraId="5C82BB52">
      <w:pPr>
        <w:pStyle w:val="886"/>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4.2供应商询问</w:t>
      </w:r>
    </w:p>
    <w:p w14:paraId="2DA90403">
      <w:pPr>
        <w:pStyle w:val="886"/>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F92983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51A93FF">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544323D">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C83E5EE">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331DAE90">
      <w:pPr>
        <w:pStyle w:val="32"/>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0EAB047A">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2817A38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4F4DB2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6691A3A1">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3A373597">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24DF272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42FACD8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6ACAEC3B">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1146CD0">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0801090">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1103F3F6">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05C72D17">
      <w:pPr>
        <w:pStyle w:val="886"/>
        <w:shd w:val="clear" w:color="auto" w:fill="FFFFFF"/>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6F77F679">
      <w:pPr>
        <w:pStyle w:val="32"/>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4.3.6根据采购人与采购代理机构签订的采购委托协议，质疑答复责任主体如下：</w:t>
      </w:r>
      <w:r>
        <w:rPr>
          <w:rFonts w:asciiTheme="minorEastAsia" w:hAnsiTheme="minorEastAsia" w:eastAsiaTheme="minorEastAsia"/>
          <w:color w:val="auto"/>
          <w:sz w:val="24"/>
          <w:highlight w:val="none"/>
        </w:rPr>
        <w:t xml:space="preserve"> </w:t>
      </w:r>
    </w:p>
    <w:p w14:paraId="528044CA">
      <w:pPr>
        <w:widowControl/>
        <w:adjustRightInd/>
        <w:spacing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295D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gridSpan w:val="2"/>
            <w:tcBorders>
              <w:top w:val="single" w:color="auto" w:sz="4" w:space="0"/>
              <w:left w:val="single" w:color="auto" w:sz="4" w:space="0"/>
              <w:bottom w:val="single" w:color="auto" w:sz="4" w:space="0"/>
              <w:right w:val="single" w:color="auto" w:sz="4" w:space="0"/>
            </w:tcBorders>
            <w:vAlign w:val="center"/>
          </w:tcPr>
          <w:p w14:paraId="6AA65C72">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tcBorders>
              <w:top w:val="single" w:color="auto" w:sz="4" w:space="0"/>
              <w:left w:val="single" w:color="auto" w:sz="4" w:space="0"/>
              <w:bottom w:val="single" w:color="auto" w:sz="4" w:space="0"/>
              <w:right w:val="single" w:color="auto" w:sz="4" w:space="0"/>
            </w:tcBorders>
            <w:vAlign w:val="center"/>
          </w:tcPr>
          <w:p w14:paraId="607F960B">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71A9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56A5F6B2">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418F4742">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16A17C14">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53B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E2E78C5">
            <w:pPr>
              <w:widowControl/>
              <w:adjustRightInd/>
              <w:spacing w:line="360" w:lineRule="auto"/>
              <w:jc w:val="left"/>
              <w:rPr>
                <w:rFonts w:asciiTheme="minorEastAsia" w:hAnsiTheme="minorEastAsia" w:eastAsiaTheme="minorEastAsia"/>
                <w:color w:val="auto"/>
                <w:sz w:val="24"/>
                <w:szCs w:val="20"/>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14:paraId="0EE80FD1">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3DE3CF94">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419F4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35F321DC">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08CE979C">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4A334180">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60BBE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BEE8851">
            <w:pPr>
              <w:widowControl/>
              <w:adjustRightInd/>
              <w:spacing w:line="360" w:lineRule="auto"/>
              <w:jc w:val="left"/>
              <w:rPr>
                <w:rFonts w:asciiTheme="minorEastAsia" w:hAnsiTheme="minorEastAsia" w:eastAsiaTheme="minorEastAsia"/>
                <w:color w:val="auto"/>
                <w:sz w:val="24"/>
                <w:szCs w:val="20"/>
                <w:highlight w:val="none"/>
              </w:rPr>
            </w:pPr>
          </w:p>
        </w:tc>
        <w:tc>
          <w:tcPr>
            <w:tcW w:w="4536" w:type="dxa"/>
            <w:tcBorders>
              <w:top w:val="single" w:color="auto" w:sz="4" w:space="0"/>
              <w:left w:val="single" w:color="auto" w:sz="4" w:space="0"/>
              <w:bottom w:val="single" w:color="auto" w:sz="4" w:space="0"/>
              <w:right w:val="single" w:color="auto" w:sz="4" w:space="0"/>
            </w:tcBorders>
            <w:vAlign w:val="center"/>
          </w:tcPr>
          <w:p w14:paraId="7542F28D">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5E9656D9">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2386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Borders>
              <w:top w:val="single" w:color="auto" w:sz="4" w:space="0"/>
              <w:left w:val="single" w:color="auto" w:sz="4" w:space="0"/>
              <w:bottom w:val="single" w:color="auto" w:sz="4" w:space="0"/>
              <w:right w:val="single" w:color="auto" w:sz="4" w:space="0"/>
            </w:tcBorders>
            <w:vAlign w:val="center"/>
          </w:tcPr>
          <w:p w14:paraId="30C8582F">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2DE60829">
            <w:pPr>
              <w:pStyle w:val="32"/>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3E6621D9">
            <w:pPr>
              <w:pStyle w:val="32"/>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21C07B86">
      <w:pPr>
        <w:pStyle w:val="886"/>
        <w:shd w:val="clear" w:color="auto" w:fill="FFFFFF"/>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注：</w:t>
      </w:r>
      <w:r>
        <w:rPr>
          <w:rFonts w:hint="eastAsia" w:asciiTheme="minorEastAsia" w:hAnsiTheme="minorEastAsia" w:eastAsiaTheme="minorEastAsia"/>
          <w:color w:val="auto"/>
          <w:highlight w:val="none"/>
        </w:rPr>
        <w:t>采购人或代理机构应当协助质疑答复责任主体及时答复</w:t>
      </w:r>
      <w:r>
        <w:rPr>
          <w:rFonts w:hint="eastAsia"/>
          <w:color w:val="auto"/>
          <w:highlight w:val="none"/>
        </w:rPr>
        <w:t>供应商的书面质疑。</w:t>
      </w:r>
    </w:p>
    <w:p w14:paraId="2511A767">
      <w:pPr>
        <w:pStyle w:val="886"/>
        <w:shd w:val="clear" w:color="auto" w:fill="FFFFFF"/>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.7询问或者质疑事项可能影响采购结果的，采购人应当暂停签订合同，已经签订合同的，应当中止履行合同。</w:t>
      </w:r>
    </w:p>
    <w:p w14:paraId="4A890484">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2311E8C7">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4AC0C5B0">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D1F4ED2">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7D108D6E">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4.4.4 以联合体形式参加政府采购活动的，其投诉应当由组成联合体的所有供应商共同提出。</w:t>
      </w:r>
    </w:p>
    <w:p w14:paraId="7882FB1E">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17BF77E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B28D34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C019E2D">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5.1.1招标公告；</w:t>
      </w:r>
    </w:p>
    <w:p w14:paraId="350C90AC">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5.1.2投标人须知；</w:t>
      </w:r>
    </w:p>
    <w:p w14:paraId="5808B995">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5.1.3采购需求；</w:t>
      </w:r>
    </w:p>
    <w:p w14:paraId="7340C100">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5.1.4评标办法；</w:t>
      </w:r>
    </w:p>
    <w:p w14:paraId="3693D4B4">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5.1.5拟签订的合同文本；</w:t>
      </w:r>
    </w:p>
    <w:p w14:paraId="0BFA9A7C">
      <w:pPr>
        <w:pStyle w:val="32"/>
        <w:tabs>
          <w:tab w:val="left" w:pos="840"/>
        </w:tabs>
        <w:spacing w:line="360" w:lineRule="auto"/>
        <w:ind w:firstLine="480" w:firstLineChars="2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C644F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C9F8E2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1C04FBD3">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540008EA">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72318B9">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AEB2CDD">
      <w:pPr>
        <w:adjustRightInd/>
        <w:spacing w:line="360" w:lineRule="auto"/>
        <w:jc w:val="center"/>
        <w:outlineLvl w:val="1"/>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7931746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B9B1D1A">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9E4B09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3E239412">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B209BD0">
      <w:pPr>
        <w:pStyle w:val="32"/>
        <w:spacing w:line="360" w:lineRule="auto"/>
        <w:rPr>
          <w:rFonts w:hint="eastAsia" w:hAnsi="宋体" w:eastAsia="宋体" w:cs="宋体"/>
          <w:b/>
          <w:color w:val="auto"/>
          <w:szCs w:val="24"/>
          <w:highlight w:val="none"/>
          <w:lang w:eastAsia="zh-CN"/>
        </w:rPr>
      </w:pPr>
      <w:r>
        <w:rPr>
          <w:rFonts w:hint="eastAsia" w:hAnsi="宋体" w:cs="宋体"/>
          <w:b/>
          <w:color w:val="auto"/>
          <w:kern w:val="28"/>
          <w:sz w:val="24"/>
          <w:szCs w:val="24"/>
          <w:highlight w:val="none"/>
        </w:rPr>
        <w:t>9.投标保证金</w:t>
      </w:r>
      <w:r>
        <w:rPr>
          <w:rFonts w:hint="eastAsia" w:hAnsi="宋体" w:cs="宋体"/>
          <w:b/>
          <w:color w:val="auto"/>
          <w:kern w:val="28"/>
          <w:sz w:val="24"/>
          <w:szCs w:val="24"/>
          <w:highlight w:val="none"/>
          <w:lang w:eastAsia="zh-CN"/>
        </w:rPr>
        <w:t>（</w:t>
      </w:r>
      <w:r>
        <w:rPr>
          <w:rFonts w:hint="eastAsia" w:hAnsi="宋体" w:cs="宋体"/>
          <w:b/>
          <w:color w:val="auto"/>
          <w:kern w:val="28"/>
          <w:sz w:val="24"/>
          <w:szCs w:val="24"/>
          <w:highlight w:val="none"/>
          <w:lang w:val="en-US" w:eastAsia="zh-CN"/>
        </w:rPr>
        <w:t>本项目不收取保证金</w:t>
      </w:r>
      <w:r>
        <w:rPr>
          <w:rFonts w:hint="eastAsia" w:hAnsi="宋体" w:cs="宋体"/>
          <w:b/>
          <w:color w:val="auto"/>
          <w:kern w:val="28"/>
          <w:sz w:val="24"/>
          <w:szCs w:val="24"/>
          <w:highlight w:val="none"/>
          <w:lang w:eastAsia="zh-CN"/>
        </w:rPr>
        <w:t>）</w:t>
      </w:r>
    </w:p>
    <w:p w14:paraId="667D5F25">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9.1采购人在采购文件中要求提交投标保证金的，投标保证金的数额不得超过采购项目预算金额的1%，鼓励对诚信记录良好的供应商免收或者减少收取投标保证金，对于需要收取保证金的政府采购项目，政府采购信用白名单供应商可以免于缴纳保证金，降低信用白名单供应商参与政府采购活动成本。投标保证金应当以支票、汇票、本票或者金融机构、担保机构出具的保函等非现金形式提交。</w:t>
      </w:r>
    </w:p>
    <w:p w14:paraId="2D757598">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9.2投标人在投标截止时间前撤回已提交的投标文件的，采购人或者采购代理机构应当自收到投标人书面撤回通知之日起５个工作日内，退还已收取的投标保证金，但因投标人自身原因导致无法及时退还的除外。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6F523FF2">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采购人或者采购代理机构应当自中标通知书发出之日起5个工作日内退还未中标人的投标保证金，自采购合同签订之日起5个工作日内退还中标人的投标保证金或者转为中标人的履约保证金。</w:t>
      </w:r>
    </w:p>
    <w:p w14:paraId="0DCD08CA">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采购人或者采购代理机构逾期退还投标保证金的，除应当退还投标保证金本金外，还应当按中国人民银行同期贷款基准利率上浮20％后的利率支付超期资金占用费，但因投标人自身原因导致无法及时退还的除外。</w:t>
      </w:r>
    </w:p>
    <w:p w14:paraId="0B30A2A0">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9.3保证金不予退还情形：（1）投标人在投标有效期内撤销投标文件的；（2）采购文件规定的其他情形。</w:t>
      </w:r>
    </w:p>
    <w:p w14:paraId="6C8EEC6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46FEA71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220D5C8E">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34CEAF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2AE9A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FB5CE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21" w:name="_Hlk101259339"/>
      <w:r>
        <w:rPr>
          <w:rFonts w:hint="eastAsia" w:ascii="宋体" w:hAnsi="宋体" w:cs="宋体"/>
          <w:snapToGrid w:val="0"/>
          <w:color w:val="auto"/>
          <w:kern w:val="28"/>
          <w:sz w:val="24"/>
          <w:szCs w:val="20"/>
          <w:highlight w:val="none"/>
        </w:rPr>
        <w:t>联合协议</w:t>
      </w:r>
      <w:bookmarkEnd w:id="21"/>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本项目不适用</w:t>
      </w:r>
      <w:r>
        <w:rPr>
          <w:rFonts w:hint="eastAsia" w:ascii="宋体" w:hAnsi="宋体" w:cs="宋体"/>
          <w:snapToGrid w:val="0"/>
          <w:color w:val="auto"/>
          <w:kern w:val="28"/>
          <w:sz w:val="24"/>
          <w:szCs w:val="20"/>
          <w:highlight w:val="none"/>
        </w:rPr>
        <w:t>)；</w:t>
      </w:r>
    </w:p>
    <w:p w14:paraId="16BE6E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5080B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751387A">
      <w:pPr>
        <w:snapToGrid w:val="0"/>
        <w:spacing w:line="360" w:lineRule="auto"/>
        <w:ind w:firstLine="482" w:firstLineChars="200"/>
        <w:rPr>
          <w:rFonts w:ascii="宋体" w:hAnsi="宋体" w:cs="宋体"/>
          <w:b/>
          <w:color w:val="auto"/>
          <w:sz w:val="24"/>
          <w:highlight w:val="none"/>
          <w:lang w:val="zh-CN"/>
        </w:rPr>
      </w:pPr>
      <w:r>
        <w:rPr>
          <w:rFonts w:hint="eastAsia" w:ascii="宋体" w:hAnsi="宋体" w:cs="宋体"/>
          <w:b/>
          <w:color w:val="auto"/>
          <w:sz w:val="24"/>
          <w:highlight w:val="none"/>
          <w:lang w:val="zh-CN"/>
        </w:rPr>
        <w:t>11.</w:t>
      </w:r>
      <w:r>
        <w:rPr>
          <w:rFonts w:hint="eastAsia" w:ascii="宋体" w:hAnsi="宋体" w:cs="宋体"/>
          <w:b/>
          <w:color w:val="auto"/>
          <w:sz w:val="24"/>
          <w:highlight w:val="none"/>
        </w:rPr>
        <w:t>2</w:t>
      </w:r>
      <w:r>
        <w:rPr>
          <w:rFonts w:hint="eastAsia" w:ascii="宋体" w:hAnsi="宋体" w:cs="宋体"/>
          <w:b/>
          <w:color w:val="auto"/>
          <w:sz w:val="24"/>
          <w:highlight w:val="none"/>
          <w:lang w:val="zh-CN"/>
        </w:rPr>
        <w:t xml:space="preserve">  </w:t>
      </w:r>
      <w:r>
        <w:rPr>
          <w:rFonts w:hint="eastAsia" w:ascii="宋体" w:hAnsi="宋体" w:cs="宋体"/>
          <w:b/>
          <w:color w:val="auto"/>
          <w:sz w:val="24"/>
          <w:highlight w:val="none"/>
        </w:rPr>
        <w:t>商务技术</w:t>
      </w:r>
      <w:r>
        <w:rPr>
          <w:rFonts w:hint="eastAsia" w:ascii="宋体" w:hAnsi="宋体" w:cs="宋体"/>
          <w:b/>
          <w:color w:val="auto"/>
          <w:sz w:val="24"/>
          <w:highlight w:val="none"/>
          <w:lang w:val="zh-CN"/>
        </w:rPr>
        <w:t>文件：</w:t>
      </w:r>
    </w:p>
    <w:p w14:paraId="094183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11.2.1投标函；</w:t>
      </w:r>
    </w:p>
    <w:p w14:paraId="10ED2E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10AF1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本项目不适用</w:t>
      </w:r>
      <w:r>
        <w:rPr>
          <w:rFonts w:hint="eastAsia" w:ascii="宋体" w:hAnsi="宋体" w:cs="宋体"/>
          <w:snapToGrid w:val="0"/>
          <w:color w:val="auto"/>
          <w:kern w:val="28"/>
          <w:sz w:val="24"/>
          <w:szCs w:val="20"/>
          <w:highlight w:val="none"/>
        </w:rPr>
        <w:t>)</w:t>
      </w:r>
      <w:r>
        <w:rPr>
          <w:rFonts w:hint="eastAsia" w:ascii="宋体" w:hAnsi="宋体" w:cs="宋体"/>
          <w:color w:val="auto"/>
          <w:sz w:val="24"/>
          <w:highlight w:val="none"/>
        </w:rPr>
        <w:t>；</w:t>
      </w:r>
    </w:p>
    <w:p w14:paraId="063F2C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9A6E4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E183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C0EB77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DAF816B">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6A8C1C2">
      <w:pPr>
        <w:pStyle w:val="84"/>
        <w:rPr>
          <w:color w:val="auto"/>
          <w:highlight w:val="none"/>
        </w:rPr>
      </w:pPr>
      <w:r>
        <w:rPr>
          <w:rFonts w:hint="eastAsia"/>
          <w:color w:val="auto"/>
          <w:highlight w:val="none"/>
        </w:rPr>
        <w:t>11.2.9承诺函。</w:t>
      </w:r>
    </w:p>
    <w:p w14:paraId="52A1FDFB">
      <w:pPr>
        <w:snapToGrid w:val="0"/>
        <w:spacing w:line="360" w:lineRule="auto"/>
        <w:ind w:firstLine="482" w:firstLineChars="200"/>
        <w:rPr>
          <w:rFonts w:ascii="宋体" w:hAnsi="宋体" w:cs="宋体"/>
          <w:color w:val="auto"/>
          <w:sz w:val="24"/>
          <w:highlight w:val="none"/>
          <w:u w:val="single"/>
          <w:lang w:val="zh-CN"/>
        </w:rPr>
      </w:pPr>
      <w:r>
        <w:rPr>
          <w:rFonts w:hint="eastAsia" w:ascii="宋体" w:hAnsi="宋体" w:cs="宋体"/>
          <w:b/>
          <w:color w:val="auto"/>
          <w:kern w:val="0"/>
          <w:sz w:val="24"/>
          <w:highlight w:val="none"/>
          <w:lang w:val="zh-CN"/>
        </w:rPr>
        <w:t>11.</w:t>
      </w:r>
      <w:r>
        <w:rPr>
          <w:rFonts w:hint="eastAsia" w:ascii="宋体" w:hAnsi="宋体" w:cs="宋体"/>
          <w:b/>
          <w:color w:val="auto"/>
          <w:kern w:val="0"/>
          <w:sz w:val="24"/>
          <w:highlight w:val="none"/>
        </w:rPr>
        <w:t>3</w:t>
      </w:r>
      <w:r>
        <w:rPr>
          <w:rFonts w:hint="eastAsia" w:ascii="宋体" w:hAnsi="宋体" w:cs="宋体"/>
          <w:b/>
          <w:color w:val="auto"/>
          <w:sz w:val="24"/>
          <w:highlight w:val="none"/>
        </w:rPr>
        <w:t>报价文件：</w:t>
      </w:r>
    </w:p>
    <w:p w14:paraId="5037FD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11.3.1开标一览表（报价表）；</w:t>
      </w:r>
    </w:p>
    <w:p w14:paraId="1257DB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11.3.2中小企业声明函。</w:t>
      </w:r>
    </w:p>
    <w:p w14:paraId="28A843B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A5CD3D0">
      <w:pPr>
        <w:spacing w:line="360" w:lineRule="auto"/>
        <w:ind w:firstLine="482" w:firstLineChars="2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6C9540C1">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3435559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4D5EF6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14:paraId="6CE8DC4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12.3使用“广西政府采购云平台电子交易客户端”需要提前申领CA数字证书，申领流程请自行前往“</w:t>
      </w:r>
      <w:r>
        <w:rPr>
          <w:rFonts w:hint="eastAsia" w:ascii="宋体" w:hAnsi="宋体" w:cs="宋体"/>
          <w:color w:val="auto"/>
          <w:sz w:val="24"/>
          <w:highlight w:val="none"/>
        </w:rPr>
        <w:t>广西政府采购网（http://zfcg.gxzf.gov.cn/）—办事服务—下载专区</w:t>
      </w:r>
      <w:r>
        <w:rPr>
          <w:rFonts w:hint="eastAsia" w:ascii="宋体" w:hAnsi="宋体" w:cs="宋体"/>
          <w:color w:val="auto"/>
          <w:kern w:val="0"/>
          <w:sz w:val="24"/>
          <w:highlight w:val="none"/>
          <w:lang w:val="zh-CN"/>
        </w:rPr>
        <w:t>”进行查阅。</w:t>
      </w:r>
    </w:p>
    <w:p w14:paraId="2280125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8242B9A">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2EB00AF">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13.2为确保网上操作合法、有效和安全，投标人应当在投标截止时间前完成在“广西政府采购云平台”的身份认证，确保在电子投标过程中能够对相关数据电文进行加密和使用电子签名。</w:t>
      </w:r>
    </w:p>
    <w:p w14:paraId="3B510D95">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13.3招标文件对投标文件签署、盖章的要求适用于电子签名、CA签章以及招标文件明确允许的其他方式。</w:t>
      </w:r>
    </w:p>
    <w:p w14:paraId="20B228DF">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778B7A98">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9DB9C85">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7604F28">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E109086">
      <w:pPr>
        <w:pStyle w:val="32"/>
        <w:spacing w:line="360" w:lineRule="auto"/>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15.备份投标文件</w:t>
      </w:r>
      <w:r>
        <w:rPr>
          <w:rFonts w:hint="eastAsia" w:hAnsi="宋体" w:cs="宋体"/>
          <w:b/>
          <w:color w:val="auto"/>
          <w:sz w:val="24"/>
          <w:szCs w:val="24"/>
          <w:highlight w:val="none"/>
          <w:lang w:eastAsia="zh-CN"/>
        </w:rPr>
        <w:t>（</w:t>
      </w:r>
      <w:r>
        <w:rPr>
          <w:rFonts w:hint="eastAsia" w:hAnsi="宋体" w:cs="宋体"/>
          <w:b/>
          <w:color w:val="auto"/>
          <w:sz w:val="24"/>
          <w:szCs w:val="24"/>
          <w:highlight w:val="none"/>
          <w:lang w:val="en-US" w:eastAsia="zh-CN"/>
        </w:rPr>
        <w:t>本项目不接受备份文件</w:t>
      </w:r>
      <w:r>
        <w:rPr>
          <w:rFonts w:hint="eastAsia" w:hAnsi="宋体" w:cs="宋体"/>
          <w:b/>
          <w:color w:val="auto"/>
          <w:sz w:val="24"/>
          <w:szCs w:val="24"/>
          <w:highlight w:val="none"/>
          <w:lang w:eastAsia="zh-CN"/>
        </w:rPr>
        <w:t>）</w:t>
      </w:r>
    </w:p>
    <w:p w14:paraId="7C36A1D5">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7A147DDB">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15.2备份投标文件须在“广西政府采购云平台投标客户端”制作生成，并储存在</w:t>
      </w:r>
      <w:r>
        <w:rPr>
          <w:rFonts w:hint="eastAsia" w:hAnsi="宋体" w:cs="宋体"/>
          <w:color w:val="auto"/>
          <w:sz w:val="24"/>
          <w:highlight w:val="none"/>
        </w:rPr>
        <w:t>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44A71B2">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089F136">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6EC6EED4">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1B14B03A">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1E8E150">
      <w:pPr>
        <w:pStyle w:val="24"/>
        <w:spacing w:line="360" w:lineRule="auto"/>
        <w:rPr>
          <w:rFonts w:hint="eastAsia" w:eastAsia="宋体" w:cs="宋体"/>
          <w:color w:val="auto"/>
          <w:szCs w:val="21"/>
          <w:highlight w:val="none"/>
          <w:lang w:eastAsia="zh-CN"/>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r>
        <w:rPr>
          <w:rFonts w:hint="eastAsia" w:cs="宋体"/>
          <w:color w:val="auto"/>
          <w:szCs w:val="21"/>
          <w:highlight w:val="none"/>
          <w:lang w:eastAsia="zh-CN"/>
        </w:rPr>
        <w:t>。</w:t>
      </w:r>
    </w:p>
    <w:p w14:paraId="67FE5878">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1B778F1">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17.1投标有效期为从提交投标文件的截止之日起60天。▲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6EB3A91B">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41E9663">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0978ADB">
      <w:pPr>
        <w:pStyle w:val="129"/>
        <w:spacing w:before="0"/>
        <w:ind w:firstLine="643"/>
        <w:rPr>
          <w:rFonts w:ascii="宋体" w:hAnsi="宋体" w:cs="宋体"/>
          <w:b/>
          <w:color w:val="auto"/>
          <w:sz w:val="32"/>
          <w:highlight w:val="none"/>
        </w:rPr>
      </w:pPr>
    </w:p>
    <w:p w14:paraId="1ED535DD">
      <w:pPr>
        <w:pStyle w:val="129"/>
        <w:spacing w:before="0"/>
        <w:ind w:firstLine="1928" w:firstLineChars="600"/>
        <w:outlineLvl w:val="1"/>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5F17A35">
      <w:pPr>
        <w:pStyle w:val="554"/>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2B184EF">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78147A27">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46238D91">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05CF625">
      <w:pPr>
        <w:widowControl/>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34CD97A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4D771DBB">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B7E97BF">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5F882C85">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4422EF8C">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781C236B">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highlight w:val="none"/>
        </w:rPr>
        <w:t>采购人或采购代理机构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5259608D">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52E62CF">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B636354">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B248CF4">
      <w:pPr>
        <w:pStyle w:val="129"/>
        <w:spacing w:before="0"/>
        <w:ind w:firstLine="0" w:firstLineChars="0"/>
        <w:rPr>
          <w:rFonts w:ascii="宋体" w:hAnsi="宋体" w:cs="宋体"/>
          <w:color w:val="auto"/>
          <w:kern w:val="0"/>
          <w:szCs w:val="24"/>
          <w:highlight w:val="none"/>
        </w:rPr>
      </w:pPr>
    </w:p>
    <w:p w14:paraId="68CD89E1">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FD49663">
      <w:pPr>
        <w:spacing w:line="360" w:lineRule="auto"/>
        <w:rPr>
          <w:rFonts w:ascii="宋体" w:hAnsi="宋体" w:cs="宋体"/>
          <w:b/>
          <w:color w:val="auto"/>
          <w:sz w:val="24"/>
          <w:highlight w:val="none"/>
        </w:rPr>
      </w:pPr>
      <w:bookmarkStart w:id="22" w:name="_Toc91899903"/>
      <w:r>
        <w:rPr>
          <w:rFonts w:hint="eastAsia" w:ascii="宋体" w:hAnsi="宋体" w:cs="宋体"/>
          <w:b/>
          <w:color w:val="auto"/>
          <w:sz w:val="24"/>
          <w:highlight w:val="none"/>
        </w:rPr>
        <w:t>21.评标</w:t>
      </w:r>
    </w:p>
    <w:p w14:paraId="7169D6A9">
      <w:pPr>
        <w:pStyle w:val="84"/>
        <w:rPr>
          <w:color w:val="auto"/>
          <w:highlight w:val="none"/>
        </w:rPr>
      </w:pPr>
      <w:r>
        <w:rPr>
          <w:rFonts w:hint="eastAsia"/>
          <w:color w:val="auto"/>
          <w:highlight w:val="none"/>
        </w:rPr>
        <w:t>21.1本招标采购项目的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14:paraId="43F8C20F">
      <w:pPr>
        <w:pStyle w:val="84"/>
        <w:rPr>
          <w:rFonts w:cs="宋体"/>
          <w:b/>
          <w:color w:val="auto"/>
          <w:highlight w:val="none"/>
        </w:rPr>
      </w:pPr>
      <w:r>
        <w:rPr>
          <w:rFonts w:hint="eastAsia" w:cs="宋体"/>
          <w:b/>
          <w:color w:val="auto"/>
          <w:highlight w:val="none"/>
        </w:rPr>
        <w:t>21.2</w:t>
      </w:r>
      <w:r>
        <w:rPr>
          <w:rFonts w:hint="eastAsia" w:cs="宋体"/>
          <w:color w:val="auto"/>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b/>
          <w:color w:val="auto"/>
          <w:highlight w:val="none"/>
        </w:rPr>
        <w:t>详见招标文件第四部分评标办法。</w:t>
      </w:r>
    </w:p>
    <w:p w14:paraId="77F1F447">
      <w:pPr>
        <w:pStyle w:val="84"/>
        <w:rPr>
          <w:color w:val="auto"/>
          <w:highlight w:val="none"/>
        </w:rPr>
      </w:pPr>
    </w:p>
    <w:p w14:paraId="0049CE5D">
      <w:pPr>
        <w:spacing w:line="360" w:lineRule="auto"/>
        <w:rPr>
          <w:rFonts w:ascii="宋体" w:hAnsi="宋体" w:cs="宋体"/>
          <w:b/>
          <w:color w:val="auto"/>
          <w:sz w:val="24"/>
          <w:highlight w:val="none"/>
        </w:rPr>
      </w:pPr>
    </w:p>
    <w:p w14:paraId="0A3C92A6">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368A8A19">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0D187F8F">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中标通知书和中标结果公告应当在规定时间内同时发出。</w:t>
      </w:r>
    </w:p>
    <w:p w14:paraId="0DEFBB42">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19EA11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43E6F9B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14:paraId="59D825F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0A2A9DA4">
      <w:pPr>
        <w:snapToGrid w:val="0"/>
        <w:spacing w:line="360" w:lineRule="auto"/>
        <w:ind w:left="120" w:leftChars="57" w:firstLine="482" w:firstLineChars="150"/>
        <w:jc w:val="center"/>
        <w:rPr>
          <w:rFonts w:ascii="宋体" w:hAnsi="宋体" w:cs="宋体"/>
          <w:b/>
          <w:color w:val="auto"/>
          <w:sz w:val="32"/>
          <w:highlight w:val="none"/>
        </w:rPr>
      </w:pPr>
    </w:p>
    <w:p w14:paraId="1F15E1F6">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七、合同授予</w:t>
      </w:r>
    </w:p>
    <w:p w14:paraId="647B52C9">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AC407DF">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5F4C64E3">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06398FFE">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00D760C">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CAAA5BA">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25.4中标供应商拒绝与采购人签订合同的，采购人可以按照评审报告推荐的中标候选人名单排序，确定下一候选人为中标供应商，也可以重新开展政府采购活动。</w:t>
      </w:r>
    </w:p>
    <w:p w14:paraId="0CE67A85">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2B93307F">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25.6政采贷</w:t>
      </w:r>
    </w:p>
    <w:p w14:paraId="37E4A5B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5545121F">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一）融资申请。有融资需求的供应商取得《中标通知书》后，在签订采购合同前，向贷款金融机构递交融资申请表。中标供应商可以根据贷款需求等实际情况选择是否需要北海市小微企业融资担保有限公司提供担保增信，如需要提供担保增信则同时向北海市小微企业融资担保有限公司递交融资申请表。</w:t>
      </w:r>
    </w:p>
    <w:p w14:paraId="58B49B7F">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6CB93CF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64EA592C">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（四）贷款发放。贷款金融机构根据贷款协议向供应商发放贷款。</w:t>
      </w:r>
    </w:p>
    <w:p w14:paraId="5B78FF6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（五）按期还款。供应商获得贷款后应自觉履行政府采购合同，合同履行完毕后，采购单位根据合同约定时间和账户信息，严格按照财政资金管理的相关规定，及时将资金支付到采购合同收款账户。</w:t>
      </w:r>
    </w:p>
    <w:p w14:paraId="4A72AEF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（六）业务终止。贷款偿清后，贷款金融机构或北海市小微企业融资担保有限公司及时办理应收账款质押注销登记，业务终止。</w:t>
      </w:r>
    </w:p>
    <w:p w14:paraId="5E95EFC4">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注：相关合作银行的具体操作流程详见北海市政府采购中心首页“政采贷”板块。</w:t>
      </w:r>
    </w:p>
    <w:p w14:paraId="05240CF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对于列入《政府采购信用白名单》的供应商，在获取“政采贷”流水贷产品时给予更高的授信额度，在申请“政采贷”合同贷产品时，可享受较低的贷款利率，同时信用白名单供应商获得信贷时长进一步缩短。</w:t>
      </w:r>
    </w:p>
    <w:p w14:paraId="03BB9A12">
      <w:pPr>
        <w:autoSpaceDE w:val="0"/>
        <w:autoSpaceDN w:val="0"/>
        <w:adjustRightInd/>
        <w:snapToGrid w:val="0"/>
        <w:spacing w:line="360" w:lineRule="auto"/>
        <w:ind w:firstLine="480" w:firstLineChars="200"/>
        <w:textAlignment w:val="bottom"/>
        <w:rPr>
          <w:rFonts w:ascii="宋体" w:hAnsi="宋体" w:cs="宋体"/>
          <w:color w:val="auto"/>
          <w:sz w:val="24"/>
          <w:szCs w:val="20"/>
          <w:highlight w:val="none"/>
        </w:rPr>
      </w:pPr>
      <w:r>
        <w:rPr>
          <w:rFonts w:hint="eastAsia" w:ascii="宋体" w:hAnsi="宋体" w:cs="宋体"/>
          <w:color w:val="auto"/>
          <w:sz w:val="24"/>
          <w:szCs w:val="20"/>
          <w:highlight w:val="none"/>
        </w:rPr>
        <w:t>供应商中标后可在“广西政府采购云”平台申请政采贷：操作路径：登录广西政府采购云平台-金融服务中心-【融资服务】，可在热门申请中选择产品直接申请。详见如下：</w:t>
      </w:r>
    </w:p>
    <w:p w14:paraId="59A96369">
      <w:pPr>
        <w:pStyle w:val="84"/>
        <w:rPr>
          <w:color w:val="auto"/>
          <w:highlight w:val="none"/>
        </w:rPr>
      </w:pPr>
      <w:r>
        <w:rPr>
          <w:rFonts w:hint="eastAsia"/>
          <w:color w:val="auto"/>
          <w:highlight w:val="none"/>
        </w:rPr>
        <w:t>1.有贷款需求的供应商可以访问“广西政府采购云平台-金融服务-融资服务”栏目办理有关业务（链接：</w:t>
      </w:r>
      <w:r>
        <w:rPr>
          <w:color w:val="auto"/>
          <w:highlight w:val="none"/>
        </w:rPr>
        <w:fldChar w:fldCharType="begin"/>
      </w:r>
      <w:r>
        <w:rPr>
          <w:color w:val="auto"/>
          <w:highlight w:val="none"/>
        </w:rPr>
        <w:instrText xml:space="preserve"> HYPERLINK "https://jinrong.gcy.zfcg.gxzf.gov.cn/finance/loan/gx" </w:instrText>
      </w:r>
      <w:r>
        <w:rPr>
          <w:color w:val="auto"/>
          <w:highlight w:val="none"/>
        </w:rPr>
        <w:fldChar w:fldCharType="separate"/>
      </w:r>
      <w:r>
        <w:rPr>
          <w:rStyle w:val="76"/>
          <w:rFonts w:ascii="宋体" w:hAnsi="宋体" w:eastAsia="宋体" w:cs="Times New Roman"/>
          <w:snapToGrid/>
          <w:color w:val="auto"/>
          <w:sz w:val="24"/>
          <w:szCs w:val="20"/>
          <w:highlight w:val="none"/>
        </w:rPr>
        <w:t>https://jinrong.gcy.zfcg.gxzf.gov.cn/finance/loan/gx</w:t>
      </w:r>
      <w:r>
        <w:rPr>
          <w:rStyle w:val="76"/>
          <w:rFonts w:ascii="宋体" w:hAnsi="宋体" w:eastAsia="宋体" w:cs="Times New Roman"/>
          <w:snapToGrid/>
          <w:color w:val="auto"/>
          <w:sz w:val="24"/>
          <w:szCs w:val="20"/>
          <w:highlight w:val="none"/>
        </w:rPr>
        <w:fldChar w:fldCharType="end"/>
      </w:r>
      <w:r>
        <w:rPr>
          <w:rFonts w:hint="eastAsia"/>
          <w:color w:val="auto"/>
          <w:highlight w:val="none"/>
        </w:rPr>
        <w:t>）</w:t>
      </w:r>
    </w:p>
    <w:p w14:paraId="7DA23562">
      <w:pPr>
        <w:pStyle w:val="84"/>
        <w:rPr>
          <w:color w:val="auto"/>
          <w:highlight w:val="none"/>
        </w:rPr>
      </w:pPr>
      <w:r>
        <w:rPr>
          <w:rFonts w:hint="eastAsia"/>
          <w:color w:val="auto"/>
          <w:highlight w:val="none"/>
        </w:rPr>
        <w:t>2.合作银行咨询办理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78CB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BBDCCA0">
            <w:pPr>
              <w:pStyle w:val="84"/>
              <w:ind w:firstLine="0"/>
              <w:jc w:val="center"/>
              <w:rPr>
                <w:color w:val="auto"/>
                <w:highlight w:val="none"/>
              </w:rPr>
            </w:pPr>
            <w:r>
              <w:rPr>
                <w:rFonts w:hint="eastAsia"/>
                <w:color w:val="auto"/>
                <w:highlight w:val="none"/>
              </w:rPr>
              <w:t>银行名称</w:t>
            </w:r>
          </w:p>
        </w:tc>
        <w:tc>
          <w:tcPr>
            <w:tcW w:w="1134" w:type="dxa"/>
            <w:vAlign w:val="center"/>
          </w:tcPr>
          <w:p w14:paraId="2F393317">
            <w:pPr>
              <w:pStyle w:val="84"/>
              <w:ind w:firstLine="0"/>
              <w:jc w:val="center"/>
              <w:rPr>
                <w:color w:val="auto"/>
                <w:highlight w:val="none"/>
              </w:rPr>
            </w:pPr>
            <w:r>
              <w:rPr>
                <w:rFonts w:hint="eastAsia"/>
                <w:color w:val="auto"/>
                <w:highlight w:val="none"/>
              </w:rPr>
              <w:t>联系电话</w:t>
            </w:r>
          </w:p>
        </w:tc>
        <w:tc>
          <w:tcPr>
            <w:tcW w:w="1701" w:type="dxa"/>
            <w:vAlign w:val="center"/>
          </w:tcPr>
          <w:p w14:paraId="770476B9">
            <w:pPr>
              <w:pStyle w:val="84"/>
              <w:ind w:firstLine="0"/>
              <w:jc w:val="center"/>
              <w:rPr>
                <w:color w:val="auto"/>
                <w:highlight w:val="none"/>
              </w:rPr>
            </w:pPr>
            <w:r>
              <w:rPr>
                <w:rFonts w:hint="eastAsia"/>
                <w:color w:val="auto"/>
                <w:highlight w:val="none"/>
              </w:rPr>
              <w:t>最高授信金额</w:t>
            </w:r>
          </w:p>
        </w:tc>
        <w:tc>
          <w:tcPr>
            <w:tcW w:w="993" w:type="dxa"/>
            <w:vAlign w:val="center"/>
          </w:tcPr>
          <w:p w14:paraId="70EC5F37">
            <w:pPr>
              <w:pStyle w:val="84"/>
              <w:ind w:firstLine="0"/>
              <w:jc w:val="center"/>
              <w:rPr>
                <w:color w:val="auto"/>
                <w:highlight w:val="none"/>
              </w:rPr>
            </w:pPr>
            <w:r>
              <w:rPr>
                <w:rFonts w:hint="eastAsia"/>
                <w:color w:val="auto"/>
                <w:highlight w:val="none"/>
              </w:rPr>
              <w:t>最长授信期限</w:t>
            </w:r>
          </w:p>
        </w:tc>
        <w:tc>
          <w:tcPr>
            <w:tcW w:w="850" w:type="dxa"/>
            <w:vAlign w:val="center"/>
          </w:tcPr>
          <w:p w14:paraId="4239C9F5">
            <w:pPr>
              <w:pStyle w:val="84"/>
              <w:ind w:firstLine="0"/>
              <w:jc w:val="center"/>
              <w:rPr>
                <w:color w:val="auto"/>
                <w:highlight w:val="none"/>
              </w:rPr>
            </w:pPr>
            <w:r>
              <w:rPr>
                <w:rFonts w:hint="eastAsia"/>
                <w:color w:val="auto"/>
                <w:highlight w:val="none"/>
              </w:rPr>
              <w:t>最低利率</w:t>
            </w:r>
          </w:p>
        </w:tc>
        <w:tc>
          <w:tcPr>
            <w:tcW w:w="3366" w:type="dxa"/>
            <w:vAlign w:val="center"/>
          </w:tcPr>
          <w:p w14:paraId="01EDDD34">
            <w:pPr>
              <w:pStyle w:val="84"/>
              <w:ind w:firstLine="0"/>
              <w:jc w:val="center"/>
              <w:rPr>
                <w:color w:val="auto"/>
                <w:highlight w:val="none"/>
              </w:rPr>
            </w:pPr>
            <w:r>
              <w:rPr>
                <w:rFonts w:hint="eastAsia"/>
                <w:color w:val="auto"/>
                <w:highlight w:val="none"/>
              </w:rPr>
              <w:t>流程简介</w:t>
            </w:r>
          </w:p>
        </w:tc>
      </w:tr>
      <w:tr w14:paraId="093D4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F804BC4">
            <w:pPr>
              <w:pStyle w:val="84"/>
              <w:ind w:firstLine="0"/>
              <w:jc w:val="center"/>
              <w:rPr>
                <w:color w:val="auto"/>
                <w:highlight w:val="none"/>
              </w:rPr>
            </w:pPr>
            <w:r>
              <w:rPr>
                <w:rFonts w:hint="eastAsia"/>
                <w:color w:val="auto"/>
                <w:highlight w:val="none"/>
              </w:rPr>
              <w:t>建设银行</w:t>
            </w:r>
          </w:p>
        </w:tc>
        <w:tc>
          <w:tcPr>
            <w:tcW w:w="1134" w:type="dxa"/>
            <w:vAlign w:val="center"/>
          </w:tcPr>
          <w:p w14:paraId="4BC00DB4">
            <w:pPr>
              <w:pStyle w:val="84"/>
              <w:ind w:firstLine="0"/>
              <w:jc w:val="center"/>
              <w:rPr>
                <w:color w:val="auto"/>
                <w:highlight w:val="none"/>
              </w:rPr>
            </w:pPr>
            <w:r>
              <w:rPr>
                <w:rFonts w:hint="eastAsia"/>
                <w:color w:val="auto"/>
                <w:highlight w:val="none"/>
              </w:rPr>
              <w:t>13077729988</w:t>
            </w:r>
          </w:p>
        </w:tc>
        <w:tc>
          <w:tcPr>
            <w:tcW w:w="1701" w:type="dxa"/>
            <w:vAlign w:val="center"/>
          </w:tcPr>
          <w:p w14:paraId="35BEBE98">
            <w:pPr>
              <w:pStyle w:val="84"/>
              <w:ind w:firstLine="0"/>
              <w:rPr>
                <w:color w:val="auto"/>
                <w:highlight w:val="none"/>
              </w:rPr>
            </w:pPr>
            <w:r>
              <w:rPr>
                <w:rFonts w:hint="eastAsia"/>
                <w:color w:val="auto"/>
                <w:highlight w:val="none"/>
              </w:rPr>
              <w:t>最高3千万</w:t>
            </w:r>
          </w:p>
        </w:tc>
        <w:tc>
          <w:tcPr>
            <w:tcW w:w="993" w:type="dxa"/>
            <w:vAlign w:val="center"/>
          </w:tcPr>
          <w:p w14:paraId="347ADB59">
            <w:pPr>
              <w:pStyle w:val="84"/>
              <w:ind w:firstLine="0"/>
              <w:jc w:val="center"/>
              <w:rPr>
                <w:color w:val="auto"/>
                <w:highlight w:val="none"/>
              </w:rPr>
            </w:pPr>
            <w:r>
              <w:rPr>
                <w:rFonts w:hint="eastAsia"/>
                <w:color w:val="auto"/>
                <w:highlight w:val="none"/>
              </w:rPr>
              <w:t>1年</w:t>
            </w:r>
          </w:p>
        </w:tc>
        <w:tc>
          <w:tcPr>
            <w:tcW w:w="850" w:type="dxa"/>
            <w:vAlign w:val="center"/>
          </w:tcPr>
          <w:p w14:paraId="7B4EEEF1">
            <w:pPr>
              <w:pStyle w:val="84"/>
              <w:ind w:firstLine="0"/>
              <w:jc w:val="center"/>
              <w:rPr>
                <w:color w:val="auto"/>
                <w:highlight w:val="none"/>
              </w:rPr>
            </w:pPr>
            <w:r>
              <w:rPr>
                <w:rFonts w:hint="eastAsia"/>
                <w:color w:val="auto"/>
                <w:highlight w:val="none"/>
              </w:rPr>
              <w:t>4%</w:t>
            </w:r>
          </w:p>
        </w:tc>
        <w:tc>
          <w:tcPr>
            <w:tcW w:w="3366" w:type="dxa"/>
            <w:vAlign w:val="center"/>
          </w:tcPr>
          <w:p w14:paraId="12DFD81B">
            <w:pPr>
              <w:pStyle w:val="84"/>
              <w:ind w:firstLine="0"/>
              <w:rPr>
                <w:color w:val="auto"/>
                <w:highlight w:val="none"/>
              </w:rPr>
            </w:pPr>
            <w:r>
              <w:rPr>
                <w:rFonts w:hint="eastAsia"/>
                <w:color w:val="auto"/>
                <w:highlight w:val="none"/>
              </w:rPr>
              <w:t>开设账号，线下提供申请材料，进入贷款审批流程，贷款审批通过后可自主用款，银行官方网银可自主还款。</w:t>
            </w:r>
          </w:p>
        </w:tc>
      </w:tr>
      <w:tr w14:paraId="22E5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F506E4C">
            <w:pPr>
              <w:pStyle w:val="84"/>
              <w:ind w:firstLine="0"/>
              <w:jc w:val="center"/>
              <w:rPr>
                <w:color w:val="auto"/>
                <w:highlight w:val="none"/>
              </w:rPr>
            </w:pPr>
            <w:r>
              <w:rPr>
                <w:rFonts w:hint="eastAsia"/>
                <w:color w:val="auto"/>
                <w:highlight w:val="none"/>
              </w:rPr>
              <w:t>中国银行</w:t>
            </w:r>
          </w:p>
        </w:tc>
        <w:tc>
          <w:tcPr>
            <w:tcW w:w="1134" w:type="dxa"/>
            <w:vAlign w:val="center"/>
          </w:tcPr>
          <w:p w14:paraId="12604338">
            <w:pPr>
              <w:pStyle w:val="84"/>
              <w:ind w:firstLine="0"/>
              <w:jc w:val="center"/>
              <w:rPr>
                <w:color w:val="auto"/>
                <w:highlight w:val="none"/>
              </w:rPr>
            </w:pPr>
            <w:r>
              <w:rPr>
                <w:rFonts w:hint="eastAsia"/>
                <w:color w:val="auto"/>
                <w:highlight w:val="none"/>
              </w:rPr>
              <w:t>0779-3997084</w:t>
            </w:r>
          </w:p>
        </w:tc>
        <w:tc>
          <w:tcPr>
            <w:tcW w:w="1701" w:type="dxa"/>
            <w:vAlign w:val="center"/>
          </w:tcPr>
          <w:p w14:paraId="7A7CCBCD">
            <w:pPr>
              <w:pStyle w:val="84"/>
              <w:ind w:firstLine="0"/>
              <w:rPr>
                <w:color w:val="auto"/>
                <w:highlight w:val="none"/>
              </w:rPr>
            </w:pPr>
            <w:r>
              <w:rPr>
                <w:rFonts w:hint="eastAsia"/>
                <w:color w:val="auto"/>
                <w:highlight w:val="none"/>
              </w:rPr>
              <w:t>最高1千万</w:t>
            </w:r>
          </w:p>
        </w:tc>
        <w:tc>
          <w:tcPr>
            <w:tcW w:w="993" w:type="dxa"/>
            <w:vAlign w:val="center"/>
          </w:tcPr>
          <w:p w14:paraId="67688D22">
            <w:pPr>
              <w:pStyle w:val="84"/>
              <w:ind w:firstLine="0"/>
              <w:jc w:val="center"/>
              <w:rPr>
                <w:color w:val="auto"/>
                <w:highlight w:val="none"/>
              </w:rPr>
            </w:pPr>
            <w:r>
              <w:rPr>
                <w:rFonts w:hint="eastAsia"/>
                <w:color w:val="auto"/>
                <w:highlight w:val="none"/>
              </w:rPr>
              <w:t>3年</w:t>
            </w:r>
          </w:p>
        </w:tc>
        <w:tc>
          <w:tcPr>
            <w:tcW w:w="850" w:type="dxa"/>
            <w:vAlign w:val="center"/>
          </w:tcPr>
          <w:p w14:paraId="25FEB7EC">
            <w:pPr>
              <w:pStyle w:val="84"/>
              <w:ind w:firstLine="0"/>
              <w:jc w:val="center"/>
              <w:rPr>
                <w:color w:val="auto"/>
                <w:highlight w:val="none"/>
              </w:rPr>
            </w:pPr>
            <w:r>
              <w:rPr>
                <w:rFonts w:hint="eastAsia"/>
                <w:color w:val="auto"/>
                <w:highlight w:val="none"/>
              </w:rPr>
              <w:t>1.93%</w:t>
            </w:r>
          </w:p>
        </w:tc>
        <w:tc>
          <w:tcPr>
            <w:tcW w:w="3366" w:type="dxa"/>
            <w:vAlign w:val="center"/>
          </w:tcPr>
          <w:p w14:paraId="40B92F9E">
            <w:pPr>
              <w:pStyle w:val="84"/>
              <w:ind w:firstLine="0"/>
              <w:rPr>
                <w:color w:val="auto"/>
                <w:highlight w:val="none"/>
              </w:rPr>
            </w:pPr>
            <w:r>
              <w:rPr>
                <w:rFonts w:hint="eastAsia"/>
                <w:color w:val="auto"/>
                <w:highlight w:val="none"/>
              </w:rPr>
              <w:t>在银行开户，线上申请，上传所需材料，等待审批，审批通过后可直接在手机银行提款。</w:t>
            </w:r>
          </w:p>
        </w:tc>
      </w:tr>
      <w:tr w14:paraId="2377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DCD893F">
            <w:pPr>
              <w:pStyle w:val="84"/>
              <w:ind w:firstLine="0"/>
              <w:jc w:val="center"/>
              <w:rPr>
                <w:color w:val="auto"/>
                <w:highlight w:val="none"/>
              </w:rPr>
            </w:pPr>
            <w:r>
              <w:rPr>
                <w:rFonts w:hint="eastAsia"/>
                <w:color w:val="auto"/>
                <w:highlight w:val="none"/>
              </w:rPr>
              <w:t>兴业银行</w:t>
            </w:r>
          </w:p>
        </w:tc>
        <w:tc>
          <w:tcPr>
            <w:tcW w:w="1134" w:type="dxa"/>
            <w:vAlign w:val="center"/>
          </w:tcPr>
          <w:p w14:paraId="31A9A382">
            <w:pPr>
              <w:pStyle w:val="84"/>
              <w:ind w:firstLine="0"/>
              <w:jc w:val="center"/>
              <w:rPr>
                <w:color w:val="auto"/>
                <w:highlight w:val="none"/>
              </w:rPr>
            </w:pPr>
            <w:r>
              <w:rPr>
                <w:rFonts w:hint="eastAsia"/>
                <w:color w:val="auto"/>
                <w:highlight w:val="none"/>
              </w:rPr>
              <w:t>0779-3158330</w:t>
            </w:r>
          </w:p>
        </w:tc>
        <w:tc>
          <w:tcPr>
            <w:tcW w:w="1701" w:type="dxa"/>
            <w:vAlign w:val="center"/>
          </w:tcPr>
          <w:p w14:paraId="3D47A201">
            <w:pPr>
              <w:pStyle w:val="84"/>
              <w:ind w:firstLine="0"/>
              <w:rPr>
                <w:color w:val="auto"/>
                <w:highlight w:val="none"/>
              </w:rPr>
            </w:pPr>
            <w:r>
              <w:rPr>
                <w:rFonts w:hint="eastAsia"/>
                <w:color w:val="auto"/>
                <w:highlight w:val="none"/>
              </w:rPr>
              <w:t>最高1千万（单笔提款金额达合同金额70%）</w:t>
            </w:r>
          </w:p>
        </w:tc>
        <w:tc>
          <w:tcPr>
            <w:tcW w:w="993" w:type="dxa"/>
            <w:vAlign w:val="center"/>
          </w:tcPr>
          <w:p w14:paraId="62ED026B">
            <w:pPr>
              <w:pStyle w:val="84"/>
              <w:ind w:firstLine="0"/>
              <w:jc w:val="center"/>
              <w:rPr>
                <w:color w:val="auto"/>
                <w:highlight w:val="none"/>
              </w:rPr>
            </w:pPr>
            <w:r>
              <w:rPr>
                <w:rFonts w:hint="eastAsia"/>
                <w:color w:val="auto"/>
                <w:highlight w:val="none"/>
              </w:rPr>
              <w:t>1年</w:t>
            </w:r>
          </w:p>
        </w:tc>
        <w:tc>
          <w:tcPr>
            <w:tcW w:w="850" w:type="dxa"/>
            <w:vAlign w:val="center"/>
          </w:tcPr>
          <w:p w14:paraId="2FFC6F02">
            <w:pPr>
              <w:pStyle w:val="84"/>
              <w:ind w:firstLine="0"/>
              <w:jc w:val="center"/>
              <w:rPr>
                <w:color w:val="auto"/>
                <w:highlight w:val="none"/>
              </w:rPr>
            </w:pPr>
            <w:r>
              <w:rPr>
                <w:rFonts w:hint="eastAsia"/>
                <w:color w:val="auto"/>
                <w:highlight w:val="none"/>
              </w:rPr>
              <w:t>3.70%</w:t>
            </w:r>
          </w:p>
        </w:tc>
        <w:tc>
          <w:tcPr>
            <w:tcW w:w="3366" w:type="dxa"/>
            <w:vAlign w:val="center"/>
          </w:tcPr>
          <w:p w14:paraId="6D85418F">
            <w:pPr>
              <w:pStyle w:val="84"/>
              <w:ind w:firstLine="0"/>
              <w:rPr>
                <w:color w:val="auto"/>
                <w:highlight w:val="none"/>
              </w:rPr>
            </w:pPr>
            <w:r>
              <w:rPr>
                <w:rFonts w:hint="eastAsia"/>
                <w:color w:val="auto"/>
                <w:highlight w:val="none"/>
              </w:rPr>
              <w:t>全流程线上，初次申请开立账户，提供营业执照、采购合同、信用材料等，申请复审，签订合同，提交单笔贷款使用需求，贷款到账后受托使用。</w:t>
            </w:r>
          </w:p>
        </w:tc>
      </w:tr>
      <w:tr w14:paraId="1623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vAlign w:val="center"/>
          </w:tcPr>
          <w:p w14:paraId="71584CF4">
            <w:pPr>
              <w:pStyle w:val="84"/>
              <w:ind w:firstLine="0"/>
              <w:jc w:val="center"/>
              <w:rPr>
                <w:color w:val="auto"/>
                <w:highlight w:val="none"/>
              </w:rPr>
            </w:pPr>
            <w:r>
              <w:rPr>
                <w:rFonts w:hint="eastAsia"/>
                <w:color w:val="auto"/>
                <w:highlight w:val="none"/>
              </w:rPr>
              <w:t>工商银行</w:t>
            </w:r>
          </w:p>
        </w:tc>
        <w:tc>
          <w:tcPr>
            <w:tcW w:w="1134" w:type="dxa"/>
            <w:vAlign w:val="center"/>
          </w:tcPr>
          <w:p w14:paraId="3E61CCD8">
            <w:pPr>
              <w:pStyle w:val="84"/>
              <w:ind w:firstLine="0"/>
              <w:jc w:val="center"/>
              <w:rPr>
                <w:color w:val="auto"/>
                <w:highlight w:val="none"/>
              </w:rPr>
            </w:pPr>
            <w:r>
              <w:rPr>
                <w:rFonts w:hint="eastAsia"/>
                <w:color w:val="auto"/>
                <w:highlight w:val="none"/>
              </w:rPr>
              <w:t>0779-3050645</w:t>
            </w:r>
          </w:p>
        </w:tc>
        <w:tc>
          <w:tcPr>
            <w:tcW w:w="1701" w:type="dxa"/>
            <w:vAlign w:val="center"/>
          </w:tcPr>
          <w:p w14:paraId="0156CFF7">
            <w:pPr>
              <w:pStyle w:val="84"/>
              <w:ind w:firstLine="0"/>
              <w:rPr>
                <w:color w:val="auto"/>
                <w:highlight w:val="none"/>
              </w:rPr>
            </w:pPr>
            <w:r>
              <w:rPr>
                <w:rFonts w:hint="eastAsia"/>
                <w:color w:val="auto"/>
                <w:highlight w:val="none"/>
              </w:rPr>
              <w:t>最高1千万且不超过合同金额70%</w:t>
            </w:r>
          </w:p>
        </w:tc>
        <w:tc>
          <w:tcPr>
            <w:tcW w:w="993" w:type="dxa"/>
            <w:vAlign w:val="center"/>
          </w:tcPr>
          <w:p w14:paraId="1689EA58">
            <w:pPr>
              <w:pStyle w:val="84"/>
              <w:ind w:firstLine="0"/>
              <w:jc w:val="center"/>
              <w:rPr>
                <w:color w:val="auto"/>
                <w:highlight w:val="none"/>
              </w:rPr>
            </w:pPr>
            <w:r>
              <w:rPr>
                <w:rFonts w:hint="eastAsia"/>
                <w:color w:val="auto"/>
                <w:highlight w:val="none"/>
              </w:rPr>
              <w:t>货物类1年</w:t>
            </w:r>
          </w:p>
          <w:p w14:paraId="2C07B977">
            <w:pPr>
              <w:pStyle w:val="84"/>
              <w:ind w:firstLine="0"/>
              <w:jc w:val="center"/>
              <w:rPr>
                <w:color w:val="auto"/>
                <w:highlight w:val="none"/>
              </w:rPr>
            </w:pPr>
            <w:r>
              <w:rPr>
                <w:rFonts w:hint="eastAsia"/>
                <w:color w:val="auto"/>
                <w:highlight w:val="none"/>
              </w:rPr>
              <w:t>服务类3年</w:t>
            </w:r>
          </w:p>
          <w:p w14:paraId="5C2E886B">
            <w:pPr>
              <w:pStyle w:val="84"/>
              <w:ind w:firstLine="0"/>
              <w:jc w:val="center"/>
              <w:rPr>
                <w:color w:val="auto"/>
                <w:highlight w:val="none"/>
              </w:rPr>
            </w:pPr>
            <w:r>
              <w:rPr>
                <w:rFonts w:hint="eastAsia"/>
                <w:color w:val="auto"/>
                <w:highlight w:val="none"/>
              </w:rPr>
              <w:t>工程类5年</w:t>
            </w:r>
          </w:p>
        </w:tc>
        <w:tc>
          <w:tcPr>
            <w:tcW w:w="850" w:type="dxa"/>
            <w:vAlign w:val="center"/>
          </w:tcPr>
          <w:p w14:paraId="17123EAC">
            <w:pPr>
              <w:pStyle w:val="84"/>
              <w:ind w:firstLine="0"/>
              <w:jc w:val="center"/>
              <w:rPr>
                <w:color w:val="auto"/>
                <w:highlight w:val="none"/>
              </w:rPr>
            </w:pPr>
            <w:r>
              <w:rPr>
                <w:rFonts w:hint="eastAsia"/>
                <w:color w:val="auto"/>
                <w:highlight w:val="none"/>
              </w:rPr>
              <w:t>3.45%</w:t>
            </w:r>
          </w:p>
        </w:tc>
        <w:tc>
          <w:tcPr>
            <w:tcW w:w="3366" w:type="dxa"/>
            <w:vAlign w:val="center"/>
          </w:tcPr>
          <w:p w14:paraId="4E41D59A">
            <w:pPr>
              <w:pStyle w:val="84"/>
              <w:ind w:firstLine="0"/>
              <w:rPr>
                <w:color w:val="auto"/>
                <w:highlight w:val="none"/>
              </w:rPr>
            </w:pPr>
            <w:r>
              <w:rPr>
                <w:rFonts w:hint="eastAsia"/>
                <w:color w:val="auto"/>
                <w:highlight w:val="none"/>
              </w:rPr>
              <w:t>为中征系统白名单企业，提供相关要求材料，内部审批后放款自主借还。</w:t>
            </w:r>
          </w:p>
        </w:tc>
      </w:tr>
      <w:tr w14:paraId="2D7A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98E152F">
            <w:pPr>
              <w:pStyle w:val="84"/>
              <w:ind w:firstLine="0"/>
              <w:jc w:val="center"/>
              <w:rPr>
                <w:color w:val="auto"/>
                <w:highlight w:val="none"/>
              </w:rPr>
            </w:pPr>
            <w:r>
              <w:rPr>
                <w:rFonts w:hint="eastAsia"/>
                <w:color w:val="auto"/>
                <w:highlight w:val="none"/>
              </w:rPr>
              <w:t>国民村镇银行</w:t>
            </w:r>
          </w:p>
        </w:tc>
        <w:tc>
          <w:tcPr>
            <w:tcW w:w="1134" w:type="dxa"/>
            <w:vAlign w:val="center"/>
          </w:tcPr>
          <w:p w14:paraId="40CA7A8B">
            <w:pPr>
              <w:pStyle w:val="84"/>
              <w:ind w:firstLine="0"/>
              <w:jc w:val="center"/>
              <w:rPr>
                <w:color w:val="auto"/>
                <w:highlight w:val="none"/>
              </w:rPr>
            </w:pPr>
            <w:r>
              <w:rPr>
                <w:rFonts w:hint="eastAsia"/>
                <w:color w:val="auto"/>
                <w:highlight w:val="none"/>
              </w:rPr>
              <w:t>0779-2668801</w:t>
            </w:r>
          </w:p>
        </w:tc>
        <w:tc>
          <w:tcPr>
            <w:tcW w:w="1701" w:type="dxa"/>
            <w:vAlign w:val="center"/>
          </w:tcPr>
          <w:p w14:paraId="6BB85923">
            <w:pPr>
              <w:pStyle w:val="84"/>
              <w:ind w:firstLine="0"/>
              <w:rPr>
                <w:color w:val="auto"/>
                <w:highlight w:val="none"/>
              </w:rPr>
            </w:pPr>
            <w:r>
              <w:rPr>
                <w:rFonts w:hint="eastAsia"/>
                <w:color w:val="auto"/>
                <w:highlight w:val="none"/>
              </w:rPr>
              <w:t>最高500万</w:t>
            </w:r>
          </w:p>
        </w:tc>
        <w:tc>
          <w:tcPr>
            <w:tcW w:w="993" w:type="dxa"/>
            <w:vAlign w:val="center"/>
          </w:tcPr>
          <w:p w14:paraId="17BD3E76">
            <w:pPr>
              <w:pStyle w:val="84"/>
              <w:ind w:firstLine="0"/>
              <w:jc w:val="center"/>
              <w:rPr>
                <w:color w:val="auto"/>
                <w:highlight w:val="none"/>
              </w:rPr>
            </w:pPr>
            <w:r>
              <w:rPr>
                <w:rFonts w:hint="eastAsia"/>
                <w:color w:val="auto"/>
                <w:highlight w:val="none"/>
              </w:rPr>
              <w:t>5年</w:t>
            </w:r>
          </w:p>
        </w:tc>
        <w:tc>
          <w:tcPr>
            <w:tcW w:w="850" w:type="dxa"/>
            <w:vAlign w:val="center"/>
          </w:tcPr>
          <w:p w14:paraId="1D0BEFB9">
            <w:pPr>
              <w:pStyle w:val="84"/>
              <w:ind w:firstLine="0"/>
              <w:jc w:val="center"/>
              <w:rPr>
                <w:color w:val="auto"/>
                <w:highlight w:val="none"/>
              </w:rPr>
            </w:pPr>
            <w:r>
              <w:rPr>
                <w:rFonts w:hint="eastAsia"/>
                <w:color w:val="auto"/>
                <w:highlight w:val="none"/>
              </w:rPr>
              <w:t>2.80%</w:t>
            </w:r>
          </w:p>
        </w:tc>
        <w:tc>
          <w:tcPr>
            <w:tcW w:w="3366" w:type="dxa"/>
            <w:vAlign w:val="center"/>
          </w:tcPr>
          <w:p w14:paraId="249C57FA">
            <w:pPr>
              <w:pStyle w:val="84"/>
              <w:ind w:firstLine="0"/>
              <w:rPr>
                <w:color w:val="auto"/>
                <w:highlight w:val="none"/>
              </w:rPr>
            </w:pPr>
            <w:r>
              <w:rPr>
                <w:rFonts w:hint="eastAsia"/>
                <w:color w:val="auto"/>
                <w:highlight w:val="none"/>
              </w:rPr>
              <w:t>银行开户，线下申请并提供材料，信用良好企业最快1天获批即可提款</w:t>
            </w:r>
          </w:p>
        </w:tc>
      </w:tr>
      <w:tr w14:paraId="5FD0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883CC83">
            <w:pPr>
              <w:pStyle w:val="84"/>
              <w:ind w:firstLine="0"/>
              <w:jc w:val="center"/>
              <w:rPr>
                <w:color w:val="auto"/>
                <w:highlight w:val="none"/>
              </w:rPr>
            </w:pPr>
            <w:r>
              <w:rPr>
                <w:rFonts w:hint="eastAsia"/>
                <w:color w:val="auto"/>
                <w:highlight w:val="none"/>
              </w:rPr>
              <w:t>桂林银行</w:t>
            </w:r>
          </w:p>
        </w:tc>
        <w:tc>
          <w:tcPr>
            <w:tcW w:w="1134" w:type="dxa"/>
            <w:vAlign w:val="center"/>
          </w:tcPr>
          <w:p w14:paraId="1A526BED">
            <w:pPr>
              <w:pStyle w:val="84"/>
              <w:ind w:firstLine="0"/>
              <w:jc w:val="center"/>
              <w:rPr>
                <w:color w:val="auto"/>
                <w:highlight w:val="none"/>
              </w:rPr>
            </w:pPr>
            <w:r>
              <w:rPr>
                <w:rFonts w:hint="eastAsia"/>
                <w:color w:val="auto"/>
                <w:highlight w:val="none"/>
              </w:rPr>
              <w:t>18577993959</w:t>
            </w:r>
          </w:p>
        </w:tc>
        <w:tc>
          <w:tcPr>
            <w:tcW w:w="1701" w:type="dxa"/>
            <w:vAlign w:val="center"/>
          </w:tcPr>
          <w:p w14:paraId="277AB7D1">
            <w:pPr>
              <w:pStyle w:val="84"/>
              <w:ind w:firstLine="0"/>
              <w:rPr>
                <w:color w:val="auto"/>
                <w:highlight w:val="none"/>
              </w:rPr>
            </w:pPr>
            <w:r>
              <w:rPr>
                <w:rFonts w:hint="eastAsia"/>
                <w:color w:val="auto"/>
                <w:highlight w:val="none"/>
              </w:rPr>
              <w:t>最高1千万</w:t>
            </w:r>
          </w:p>
        </w:tc>
        <w:tc>
          <w:tcPr>
            <w:tcW w:w="993" w:type="dxa"/>
            <w:vAlign w:val="center"/>
          </w:tcPr>
          <w:p w14:paraId="0083764E">
            <w:pPr>
              <w:pStyle w:val="84"/>
              <w:ind w:firstLine="0"/>
              <w:jc w:val="center"/>
              <w:rPr>
                <w:color w:val="auto"/>
                <w:highlight w:val="none"/>
              </w:rPr>
            </w:pPr>
            <w:r>
              <w:rPr>
                <w:rFonts w:hint="eastAsia"/>
                <w:color w:val="auto"/>
                <w:highlight w:val="none"/>
              </w:rPr>
              <w:t>1年</w:t>
            </w:r>
          </w:p>
        </w:tc>
        <w:tc>
          <w:tcPr>
            <w:tcW w:w="850" w:type="dxa"/>
            <w:vAlign w:val="center"/>
          </w:tcPr>
          <w:p w14:paraId="2A697494">
            <w:pPr>
              <w:pStyle w:val="84"/>
              <w:ind w:firstLine="0"/>
              <w:jc w:val="center"/>
              <w:rPr>
                <w:color w:val="auto"/>
                <w:highlight w:val="none"/>
              </w:rPr>
            </w:pPr>
            <w:r>
              <w:rPr>
                <w:rFonts w:hint="eastAsia"/>
                <w:color w:val="auto"/>
                <w:highlight w:val="none"/>
              </w:rPr>
              <w:t>3.45%</w:t>
            </w:r>
          </w:p>
        </w:tc>
        <w:tc>
          <w:tcPr>
            <w:tcW w:w="3366" w:type="dxa"/>
            <w:vAlign w:val="center"/>
          </w:tcPr>
          <w:p w14:paraId="2137B2D6">
            <w:pPr>
              <w:pStyle w:val="84"/>
              <w:ind w:firstLine="0"/>
              <w:rPr>
                <w:color w:val="auto"/>
                <w:highlight w:val="none"/>
              </w:rPr>
            </w:pPr>
            <w:r>
              <w:rPr>
                <w:rFonts w:hint="eastAsia"/>
                <w:color w:val="auto"/>
                <w:highlight w:val="none"/>
              </w:rPr>
              <w:t>线下申请，材料齐全最快1周内即可放款。</w:t>
            </w:r>
          </w:p>
        </w:tc>
      </w:tr>
      <w:tr w14:paraId="6525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182246F">
            <w:pPr>
              <w:pStyle w:val="84"/>
              <w:ind w:firstLine="0"/>
              <w:jc w:val="center"/>
              <w:rPr>
                <w:color w:val="auto"/>
                <w:highlight w:val="none"/>
              </w:rPr>
            </w:pPr>
            <w:r>
              <w:rPr>
                <w:rFonts w:hint="eastAsia"/>
                <w:color w:val="auto"/>
                <w:highlight w:val="none"/>
              </w:rPr>
              <w:t>中小微商务服务公司</w:t>
            </w:r>
          </w:p>
        </w:tc>
        <w:tc>
          <w:tcPr>
            <w:tcW w:w="1134" w:type="dxa"/>
            <w:vAlign w:val="center"/>
          </w:tcPr>
          <w:p w14:paraId="365DB650">
            <w:pPr>
              <w:pStyle w:val="84"/>
              <w:ind w:firstLine="0"/>
              <w:jc w:val="center"/>
              <w:rPr>
                <w:color w:val="auto"/>
                <w:highlight w:val="none"/>
              </w:rPr>
            </w:pPr>
            <w:r>
              <w:rPr>
                <w:rFonts w:hint="eastAsia"/>
                <w:color w:val="auto"/>
                <w:highlight w:val="none"/>
              </w:rPr>
              <w:t>19907799988</w:t>
            </w:r>
          </w:p>
        </w:tc>
        <w:tc>
          <w:tcPr>
            <w:tcW w:w="1701" w:type="dxa"/>
            <w:vAlign w:val="center"/>
          </w:tcPr>
          <w:p w14:paraId="5872BF8E">
            <w:pPr>
              <w:pStyle w:val="84"/>
              <w:ind w:firstLine="0"/>
              <w:rPr>
                <w:color w:val="auto"/>
                <w:highlight w:val="none"/>
              </w:rPr>
            </w:pPr>
          </w:p>
        </w:tc>
        <w:tc>
          <w:tcPr>
            <w:tcW w:w="993" w:type="dxa"/>
            <w:vAlign w:val="center"/>
          </w:tcPr>
          <w:p w14:paraId="2DE2C126">
            <w:pPr>
              <w:pStyle w:val="84"/>
              <w:ind w:firstLine="0"/>
              <w:jc w:val="center"/>
              <w:rPr>
                <w:color w:val="auto"/>
                <w:highlight w:val="none"/>
              </w:rPr>
            </w:pPr>
          </w:p>
        </w:tc>
        <w:tc>
          <w:tcPr>
            <w:tcW w:w="850" w:type="dxa"/>
            <w:vAlign w:val="center"/>
          </w:tcPr>
          <w:p w14:paraId="4F720470">
            <w:pPr>
              <w:pStyle w:val="84"/>
              <w:ind w:firstLine="0"/>
              <w:jc w:val="center"/>
              <w:rPr>
                <w:color w:val="auto"/>
                <w:highlight w:val="none"/>
              </w:rPr>
            </w:pPr>
          </w:p>
        </w:tc>
        <w:tc>
          <w:tcPr>
            <w:tcW w:w="3366" w:type="dxa"/>
            <w:vAlign w:val="center"/>
          </w:tcPr>
          <w:p w14:paraId="637055FF">
            <w:pPr>
              <w:pStyle w:val="84"/>
              <w:ind w:firstLine="0"/>
              <w:rPr>
                <w:color w:val="auto"/>
                <w:highlight w:val="none"/>
              </w:rPr>
            </w:pPr>
            <w:r>
              <w:rPr>
                <w:rFonts w:hint="eastAsia"/>
                <w:color w:val="auto"/>
                <w:highlight w:val="none"/>
              </w:rPr>
              <w:t>具体业务可电话咨询。</w:t>
            </w:r>
          </w:p>
        </w:tc>
      </w:tr>
    </w:tbl>
    <w:p w14:paraId="53C99B93">
      <w:pPr>
        <w:pStyle w:val="84"/>
        <w:rPr>
          <w:color w:val="auto"/>
          <w:highlight w:val="none"/>
        </w:rPr>
      </w:pPr>
      <w:r>
        <w:rPr>
          <w:rFonts w:hint="eastAsia"/>
          <w:color w:val="auto"/>
          <w:highlight w:val="none"/>
        </w:rPr>
        <w:t>注：表中联系电话、授信金额、授信期限、最低利率等信息可能动态更新，仅供参考，具体以办理时相关银行公布的为准。</w:t>
      </w:r>
    </w:p>
    <w:p w14:paraId="56340DA0">
      <w:pPr>
        <w:pStyle w:val="24"/>
        <w:spacing w:line="360" w:lineRule="auto"/>
        <w:ind w:left="479" w:hanging="479" w:hangingChars="199"/>
        <w:rPr>
          <w:rFonts w:hint="eastAsia" w:eastAsia="宋体" w:cs="宋体"/>
          <w:b/>
          <w:color w:val="auto"/>
          <w:highlight w:val="none"/>
          <w:lang w:eastAsia="zh-CN"/>
        </w:rPr>
      </w:pPr>
      <w:r>
        <w:rPr>
          <w:rFonts w:hint="eastAsia" w:cs="宋体"/>
          <w:b/>
          <w:color w:val="auto"/>
          <w:highlight w:val="none"/>
        </w:rPr>
        <w:t>26. 履约保证金</w:t>
      </w:r>
      <w:r>
        <w:rPr>
          <w:rFonts w:hint="eastAsia" w:cs="宋体"/>
          <w:b/>
          <w:color w:val="auto"/>
          <w:highlight w:val="none"/>
          <w:lang w:eastAsia="zh-CN"/>
        </w:rPr>
        <w:t>（</w:t>
      </w:r>
      <w:r>
        <w:rPr>
          <w:rFonts w:hint="eastAsia" w:cs="宋体"/>
          <w:b/>
          <w:color w:val="auto"/>
          <w:highlight w:val="none"/>
          <w:lang w:val="en-US" w:eastAsia="zh-CN"/>
        </w:rPr>
        <w:t>本项目不收取履约保证金</w:t>
      </w:r>
      <w:r>
        <w:rPr>
          <w:rFonts w:hint="eastAsia" w:cs="宋体"/>
          <w:b/>
          <w:color w:val="auto"/>
          <w:highlight w:val="none"/>
          <w:lang w:eastAsia="zh-CN"/>
        </w:rPr>
        <w:t>）</w:t>
      </w:r>
    </w:p>
    <w:p w14:paraId="73303634">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26.1拟签订的合同文本要求中标供应商提交履约保证金的，供应商应当以支票、汇票、本票或者金融机构、担保机构出具的保函等非现金形式提交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数额不得超过政府采购合同金额的5%；加大对中小企业发展的扶持力度，对中小企业收取的履约保证金数额不得超过政府采购合同金额的2%。中标供应商的投标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8FC2651">
      <w:pPr>
        <w:pStyle w:val="84"/>
        <w:ind w:firstLine="480" w:firstLineChars="200"/>
        <w:rPr>
          <w:rFonts w:cs="宋体"/>
          <w:color w:val="auto"/>
          <w:kern w:val="2"/>
          <w:szCs w:val="24"/>
          <w:highlight w:val="none"/>
        </w:rPr>
      </w:pPr>
      <w:r>
        <w:rPr>
          <w:rFonts w:hint="eastAsia" w:cs="宋体"/>
          <w:color w:val="auto"/>
          <w:highlight w:val="none"/>
        </w:rPr>
        <w:t>履约保证金</w:t>
      </w:r>
      <w:r>
        <w:rPr>
          <w:rFonts w:hint="eastAsia" w:cs="宋体"/>
          <w:color w:val="auto"/>
          <w:kern w:val="2"/>
          <w:szCs w:val="24"/>
          <w:highlight w:val="none"/>
        </w:rPr>
        <w:t>收取银行账户</w:t>
      </w:r>
    </w:p>
    <w:p w14:paraId="5D40DBF2">
      <w:pPr>
        <w:pStyle w:val="84"/>
        <w:ind w:firstLine="480" w:firstLineChars="200"/>
        <w:rPr>
          <w:rFonts w:hint="eastAsia" w:eastAsia="宋体" w:cs="宋体"/>
          <w:color w:val="auto"/>
          <w:kern w:val="2"/>
          <w:szCs w:val="24"/>
          <w:highlight w:val="none"/>
          <w:lang w:val="en-US" w:eastAsia="zh-CN"/>
        </w:rPr>
      </w:pPr>
      <w:r>
        <w:rPr>
          <w:rFonts w:hint="eastAsia" w:cs="宋体"/>
          <w:color w:val="auto"/>
          <w:kern w:val="2"/>
          <w:szCs w:val="24"/>
          <w:highlight w:val="none"/>
        </w:rPr>
        <w:t>开户名称：</w:t>
      </w:r>
      <w:r>
        <w:rPr>
          <w:rFonts w:hint="eastAsia" w:cs="宋体"/>
          <w:color w:val="auto"/>
          <w:kern w:val="2"/>
          <w:szCs w:val="24"/>
          <w:highlight w:val="none"/>
          <w:lang w:val="en-US" w:eastAsia="zh-CN"/>
        </w:rPr>
        <w:t>/</w:t>
      </w:r>
    </w:p>
    <w:p w14:paraId="6BAD4618">
      <w:pPr>
        <w:pStyle w:val="84"/>
        <w:ind w:firstLine="480" w:firstLineChars="200"/>
        <w:rPr>
          <w:rFonts w:hint="eastAsia" w:eastAsia="宋体" w:cs="宋体"/>
          <w:color w:val="auto"/>
          <w:kern w:val="2"/>
          <w:szCs w:val="24"/>
          <w:highlight w:val="none"/>
          <w:lang w:eastAsia="zh-CN"/>
        </w:rPr>
      </w:pPr>
      <w:r>
        <w:rPr>
          <w:rFonts w:hint="eastAsia" w:cs="宋体"/>
          <w:color w:val="auto"/>
          <w:kern w:val="2"/>
          <w:szCs w:val="24"/>
          <w:highlight w:val="none"/>
        </w:rPr>
        <w:t>开户银行：</w:t>
      </w:r>
      <w:r>
        <w:rPr>
          <w:rFonts w:hint="eastAsia" w:cs="宋体"/>
          <w:color w:val="auto"/>
          <w:kern w:val="2"/>
          <w:szCs w:val="24"/>
          <w:highlight w:val="none"/>
          <w:lang w:val="en-US" w:eastAsia="zh-CN"/>
        </w:rPr>
        <w:t>/</w:t>
      </w:r>
    </w:p>
    <w:p w14:paraId="0B248B6A">
      <w:pPr>
        <w:pStyle w:val="84"/>
        <w:ind w:firstLine="480" w:firstLineChars="200"/>
        <w:rPr>
          <w:rFonts w:hint="eastAsia" w:eastAsia="宋体" w:cs="宋体"/>
          <w:color w:val="auto"/>
          <w:kern w:val="2"/>
          <w:szCs w:val="24"/>
          <w:highlight w:val="none"/>
          <w:lang w:val="en-US" w:eastAsia="zh-CN"/>
        </w:rPr>
      </w:pPr>
      <w:r>
        <w:rPr>
          <w:rFonts w:hint="eastAsia" w:cs="宋体"/>
          <w:color w:val="auto"/>
          <w:kern w:val="2"/>
          <w:szCs w:val="24"/>
          <w:highlight w:val="none"/>
        </w:rPr>
        <w:t>银行账号：</w:t>
      </w:r>
      <w:r>
        <w:rPr>
          <w:rFonts w:hint="eastAsia" w:cs="宋体"/>
          <w:color w:val="auto"/>
          <w:kern w:val="2"/>
          <w:szCs w:val="24"/>
          <w:highlight w:val="none"/>
          <w:lang w:val="en-US" w:eastAsia="zh-CN"/>
        </w:rPr>
        <w:t>/</w:t>
      </w:r>
    </w:p>
    <w:p w14:paraId="17555194">
      <w:pPr>
        <w:pStyle w:val="84"/>
        <w:ind w:firstLine="480" w:firstLineChars="200"/>
        <w:rPr>
          <w:snapToGrid w:val="0"/>
          <w:color w:val="auto"/>
          <w:highlight w:val="none"/>
        </w:rPr>
      </w:pPr>
      <w:r>
        <w:rPr>
          <w:rFonts w:hint="eastAsia"/>
          <w:snapToGrid w:val="0"/>
          <w:color w:val="auto"/>
          <w:highlight w:val="none"/>
        </w:rPr>
        <w:t>26.2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07A3CF11">
      <w:pPr>
        <w:pStyle w:val="84"/>
        <w:rPr>
          <w:color w:val="auto"/>
          <w:highlight w:val="none"/>
        </w:rPr>
      </w:pPr>
      <w:r>
        <w:rPr>
          <w:rFonts w:hint="eastAsia"/>
          <w:color w:val="auto"/>
          <w:highlight w:val="none"/>
        </w:rPr>
        <w:t>26.3履约保证金的退还。验收合格的政府采购项目，采购人应当按照合同约定的退还方式，在5个工作日内办理履约保证金退还手续。</w:t>
      </w:r>
    </w:p>
    <w:p w14:paraId="1BCF6AE8">
      <w:pPr>
        <w:pStyle w:val="84"/>
        <w:rPr>
          <w:color w:val="auto"/>
          <w:highlight w:val="none"/>
        </w:rPr>
      </w:pPr>
      <w:r>
        <w:rPr>
          <w:rFonts w:hint="eastAsia"/>
          <w:color w:val="auto"/>
          <w:highlight w:val="none"/>
        </w:rPr>
        <w:t>26.4履约保证金不予退还情形：（1）中标供应商未能全部履行政府采购合同的；（2）采购文件规定的其他情形。</w:t>
      </w:r>
    </w:p>
    <w:p w14:paraId="1754D31C">
      <w:pPr>
        <w:pStyle w:val="24"/>
        <w:spacing w:line="360" w:lineRule="auto"/>
        <w:ind w:left="479" w:hanging="479" w:hangingChars="199"/>
        <w:rPr>
          <w:rFonts w:cs="宋体"/>
          <w:b/>
          <w:color w:val="auto"/>
          <w:highlight w:val="none"/>
        </w:rPr>
      </w:pPr>
      <w:r>
        <w:rPr>
          <w:rFonts w:cs="宋体"/>
          <w:b/>
          <w:color w:val="auto"/>
          <w:highlight w:val="none"/>
        </w:rPr>
        <w:t>27.预付款</w:t>
      </w:r>
    </w:p>
    <w:p w14:paraId="3CAA3387">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采购单位应当在政府采购合同中约定预付款，对中小企业合同预付款比例原则上不低于合同金额的3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w:t>
      </w:r>
      <w:r>
        <w:rPr>
          <w:rFonts w:hint="eastAsia" w:ascii="宋体" w:hAnsi="宋体"/>
          <w:color w:val="auto"/>
          <w:sz w:val="24"/>
          <w:highlight w:val="none"/>
        </w:rPr>
        <w:t>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0%；采购项目实施以人工投入为主的，</w:t>
      </w:r>
      <w:r>
        <w:rPr>
          <w:rFonts w:hint="eastAsia" w:ascii="宋体" w:hAnsi="宋体"/>
          <w:color w:val="auto"/>
          <w:sz w:val="24"/>
          <w:highlight w:val="none"/>
        </w:rPr>
        <w:t>可适当降低预付款比例，但不得低于1</w:t>
      </w:r>
      <w:r>
        <w:rPr>
          <w:rFonts w:ascii="宋体" w:hAnsi="宋体"/>
          <w:color w:val="auto"/>
          <w:sz w:val="24"/>
          <w:highlight w:val="none"/>
        </w:rPr>
        <w:t>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rPr>
        <w:t>5</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w:t>
      </w:r>
    </w:p>
    <w:p w14:paraId="2DA0D618">
      <w:pPr>
        <w:adjustRightInd/>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供应商可登录广西政府采购云平台前台大厅选择金融服务</w:t>
      </w:r>
      <w:r>
        <w:rPr>
          <w:rFonts w:ascii="宋体" w:hAnsi="宋体"/>
          <w:color w:val="auto"/>
          <w:sz w:val="24"/>
          <w:highlight w:val="none"/>
        </w:rPr>
        <w:t>-</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/保函受理—确认保单—支付保费—成功出单。广西政府采购云平台</w:t>
      </w:r>
      <w:r>
        <w:rPr>
          <w:rFonts w:hint="eastAsia" w:ascii="宋体" w:hAnsi="宋体"/>
          <w:color w:val="auto"/>
          <w:sz w:val="24"/>
          <w:highlight w:val="none"/>
        </w:rPr>
        <w:t>金融专线</w:t>
      </w:r>
      <w:r>
        <w:rPr>
          <w:rFonts w:ascii="宋体" w:hAnsi="宋体"/>
          <w:color w:val="auto"/>
          <w:sz w:val="24"/>
          <w:highlight w:val="none"/>
        </w:rPr>
        <w:t>400-903-9583。</w:t>
      </w:r>
    </w:p>
    <w:p w14:paraId="36156F60">
      <w:pPr>
        <w:snapToGrid w:val="0"/>
        <w:spacing w:line="360" w:lineRule="auto"/>
        <w:ind w:firstLine="3357" w:firstLineChars="1045"/>
        <w:rPr>
          <w:rFonts w:ascii="宋体" w:hAnsi="宋体" w:cs="宋体"/>
          <w:b/>
          <w:color w:val="auto"/>
          <w:sz w:val="32"/>
          <w:highlight w:val="none"/>
        </w:rPr>
      </w:pPr>
    </w:p>
    <w:p w14:paraId="14C451CC">
      <w:pPr>
        <w:snapToGrid w:val="0"/>
        <w:spacing w:line="360" w:lineRule="auto"/>
        <w:ind w:firstLine="3357" w:firstLineChars="1045"/>
        <w:outlineLvl w:val="1"/>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4ECB25E4">
      <w:pPr>
        <w:pStyle w:val="129"/>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7A994CBF">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096E72B3">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45776AD">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15D30E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4A57A67">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4E315A6">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4121410">
      <w:pPr>
        <w:tabs>
          <w:tab w:val="left" w:pos="0"/>
        </w:tabs>
        <w:spacing w:line="360" w:lineRule="auto"/>
        <w:ind w:firstLine="480"/>
        <w:rPr>
          <w:rFonts w:ascii="宋体" w:hAnsi="宋体" w:cs="宋体"/>
          <w:color w:val="auto"/>
          <w:sz w:val="24"/>
          <w:highlight w:val="none"/>
        </w:rPr>
      </w:pPr>
    </w:p>
    <w:p w14:paraId="6B573B32">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九、验收</w:t>
      </w:r>
    </w:p>
    <w:p w14:paraId="5CA8AF75">
      <w:pPr>
        <w:pStyle w:val="24"/>
        <w:spacing w:line="360" w:lineRule="auto"/>
        <w:ind w:firstLine="0" w:firstLineChars="0"/>
        <w:rPr>
          <w:rFonts w:cs="宋体"/>
          <w:b/>
          <w:color w:val="auto"/>
          <w:highlight w:val="none"/>
        </w:rPr>
      </w:pPr>
      <w:r>
        <w:rPr>
          <w:rFonts w:hint="eastAsia" w:cs="宋体"/>
          <w:b/>
          <w:color w:val="auto"/>
          <w:highlight w:val="none"/>
        </w:rPr>
        <w:t>30.验收</w:t>
      </w:r>
    </w:p>
    <w:p w14:paraId="6B2D1B4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94B67C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4D1245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3B6FFCF">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2"/>
    <w:p w14:paraId="375DC2EE">
      <w:pPr>
        <w:tabs>
          <w:tab w:val="left" w:pos="0"/>
        </w:tabs>
        <w:spacing w:line="360" w:lineRule="auto"/>
        <w:ind w:firstLine="480"/>
        <w:rPr>
          <w:rFonts w:ascii="宋体" w:hAnsi="宋体" w:cs="宋体"/>
          <w:color w:val="auto"/>
          <w:kern w:val="0"/>
          <w:sz w:val="24"/>
          <w:highlight w:val="none"/>
        </w:rPr>
      </w:pPr>
      <w:bookmarkStart w:id="23" w:name="_Hlt75236290"/>
      <w:bookmarkEnd w:id="23"/>
      <w:bookmarkStart w:id="24" w:name="_Hlt74729768"/>
      <w:bookmarkEnd w:id="24"/>
      <w:bookmarkStart w:id="25" w:name="_Hlt68072998"/>
      <w:bookmarkEnd w:id="25"/>
      <w:bookmarkStart w:id="26" w:name="_Hlt74730295"/>
      <w:bookmarkEnd w:id="26"/>
      <w:bookmarkStart w:id="27" w:name="_Hlt68072990"/>
      <w:bookmarkEnd w:id="27"/>
      <w:bookmarkStart w:id="28" w:name="_Hlt74714665"/>
      <w:bookmarkEnd w:id="28"/>
      <w:bookmarkStart w:id="29" w:name="_Hlt75236011"/>
      <w:bookmarkEnd w:id="29"/>
      <w:bookmarkStart w:id="30" w:name="_Hlt68057669"/>
      <w:bookmarkEnd w:id="30"/>
      <w:bookmarkStart w:id="31" w:name="_Hlt75236101"/>
      <w:bookmarkEnd w:id="31"/>
      <w:bookmarkStart w:id="32" w:name="_Hlt74707468"/>
      <w:bookmarkEnd w:id="32"/>
      <w:bookmarkStart w:id="33" w:name="_Hlt68073093"/>
      <w:bookmarkEnd w:id="33"/>
      <w:bookmarkStart w:id="34" w:name="_Hlt68403820"/>
      <w:bookmarkEnd w:id="34"/>
    </w:p>
    <w:p w14:paraId="3A6F2B63">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十、代理费用的收取标准和方式</w:t>
      </w:r>
    </w:p>
    <w:p w14:paraId="14E7B744">
      <w:pPr>
        <w:pStyle w:val="24"/>
        <w:spacing w:line="360" w:lineRule="auto"/>
        <w:ind w:firstLine="0" w:firstLineChars="0"/>
        <w:rPr>
          <w:rFonts w:cs="宋体"/>
          <w:b/>
          <w:color w:val="auto"/>
          <w:highlight w:val="none"/>
        </w:rPr>
      </w:pPr>
      <w:r>
        <w:rPr>
          <w:rFonts w:hint="eastAsia" w:cs="宋体"/>
          <w:b/>
          <w:color w:val="auto"/>
          <w:highlight w:val="none"/>
        </w:rPr>
        <w:t>31.代理费用的收取标准和方式（适用于有权收取代理费用的采购代理机构）</w:t>
      </w:r>
    </w:p>
    <w:p w14:paraId="5E2FE016">
      <w:pPr>
        <w:pStyle w:val="84"/>
        <w:ind w:firstLine="480" w:firstLineChars="200"/>
        <w:rPr>
          <w:rFonts w:cs="宋体"/>
          <w:color w:val="auto"/>
          <w:kern w:val="2"/>
          <w:szCs w:val="24"/>
          <w:highlight w:val="none"/>
        </w:rPr>
      </w:pPr>
      <w:r>
        <w:rPr>
          <w:rFonts w:hint="eastAsia" w:cs="宋体"/>
          <w:color w:val="auto"/>
          <w:kern w:val="2"/>
          <w:szCs w:val="24"/>
          <w:highlight w:val="none"/>
        </w:rPr>
        <w:t>31.1采购代理费支付方式：</w:t>
      </w:r>
    </w:p>
    <w:p w14:paraId="2D734A02">
      <w:pPr>
        <w:pStyle w:val="84"/>
        <w:ind w:firstLine="480" w:firstLineChars="200"/>
        <w:rPr>
          <w:rFonts w:cs="宋体"/>
          <w:color w:val="auto"/>
          <w:kern w:val="2"/>
          <w:szCs w:val="24"/>
          <w:highlight w:val="none"/>
        </w:rPr>
      </w:pPr>
      <w:r>
        <w:rPr>
          <w:rFonts w:hint="eastAsia" w:ascii="MS Mincho" w:hAnsi="MS Mincho" w:cs="宋体"/>
          <w:color w:val="auto"/>
          <w:kern w:val="2"/>
          <w:szCs w:val="24"/>
          <w:highlight w:val="none"/>
          <w:lang w:eastAsia="zh-CN"/>
        </w:rPr>
        <w:t>□</w:t>
      </w:r>
      <w:r>
        <w:rPr>
          <w:rFonts w:hint="eastAsia" w:cs="宋体"/>
          <w:color w:val="auto"/>
          <w:kern w:val="2"/>
          <w:szCs w:val="24"/>
          <w:highlight w:val="none"/>
        </w:rPr>
        <w:t>本项目代理服务费由中标供应商一次性向采购代理机构支付。</w:t>
      </w:r>
    </w:p>
    <w:p w14:paraId="629108D2">
      <w:pPr>
        <w:pStyle w:val="84"/>
        <w:ind w:firstLine="480" w:firstLineChars="200"/>
        <w:rPr>
          <w:rFonts w:cs="宋体"/>
          <w:color w:val="auto"/>
          <w:kern w:val="2"/>
          <w:szCs w:val="24"/>
          <w:highlight w:val="none"/>
        </w:rPr>
      </w:pPr>
      <w:r>
        <w:rPr>
          <w:rFonts w:hint="eastAsia" w:cs="宋体"/>
          <w:color w:val="auto"/>
          <w:kern w:val="2"/>
          <w:szCs w:val="24"/>
          <w:highlight w:val="none"/>
          <w:lang w:eastAsia="zh-CN"/>
        </w:rPr>
        <w:t>☑</w:t>
      </w:r>
      <w:r>
        <w:rPr>
          <w:rFonts w:hint="eastAsia" w:cs="宋体"/>
          <w:color w:val="auto"/>
          <w:kern w:val="2"/>
          <w:szCs w:val="24"/>
          <w:highlight w:val="none"/>
        </w:rPr>
        <w:t>采购人支付。</w:t>
      </w:r>
    </w:p>
    <w:p w14:paraId="0222AE10">
      <w:pPr>
        <w:pStyle w:val="84"/>
        <w:ind w:firstLine="480" w:firstLineChars="200"/>
        <w:rPr>
          <w:rFonts w:cs="宋体"/>
          <w:color w:val="auto"/>
          <w:kern w:val="2"/>
          <w:szCs w:val="24"/>
          <w:highlight w:val="none"/>
        </w:rPr>
      </w:pPr>
      <w:r>
        <w:rPr>
          <w:rFonts w:hint="eastAsia" w:cs="宋体"/>
          <w:color w:val="auto"/>
          <w:kern w:val="2"/>
          <w:szCs w:val="24"/>
          <w:highlight w:val="none"/>
        </w:rPr>
        <w:t>31.2采购代理费收取标准：</w:t>
      </w:r>
    </w:p>
    <w:p w14:paraId="4B2A39F7">
      <w:pPr>
        <w:pStyle w:val="84"/>
        <w:ind w:firstLine="480" w:firstLineChars="200"/>
        <w:rPr>
          <w:rFonts w:cs="宋体"/>
          <w:color w:val="auto"/>
          <w:kern w:val="2"/>
          <w:szCs w:val="24"/>
          <w:highlight w:val="none"/>
        </w:rPr>
      </w:pPr>
      <w:r>
        <w:rPr>
          <w:rFonts w:hint="eastAsia" w:ascii="MS Mincho" w:hAnsi="MS Mincho" w:eastAsia="MS Mincho" w:cs="宋体"/>
          <w:color w:val="auto"/>
          <w:kern w:val="2"/>
          <w:szCs w:val="24"/>
          <w:highlight w:val="none"/>
        </w:rPr>
        <w:t>☑</w:t>
      </w:r>
      <w:r>
        <w:rPr>
          <w:rFonts w:hint="eastAsia" w:cs="宋体"/>
          <w:color w:val="auto"/>
          <w:kern w:val="2"/>
          <w:szCs w:val="24"/>
          <w:highlight w:val="none"/>
        </w:rPr>
        <w:t>以分标（</w:t>
      </w:r>
      <w:r>
        <w:rPr>
          <w:rFonts w:hint="eastAsia" w:ascii="MS Mincho" w:hAnsi="MS Mincho" w:eastAsia="MS Mincho" w:cs="宋体"/>
          <w:color w:val="auto"/>
          <w:kern w:val="2"/>
          <w:szCs w:val="24"/>
          <w:highlight w:val="none"/>
        </w:rPr>
        <w:t>☑</w:t>
      </w:r>
      <w:r>
        <w:rPr>
          <w:rFonts w:hint="eastAsia" w:cs="宋体"/>
          <w:color w:val="auto"/>
          <w:kern w:val="2"/>
          <w:szCs w:val="24"/>
          <w:highlight w:val="none"/>
        </w:rPr>
        <w:t>中标金额</w:t>
      </w:r>
      <w:r>
        <w:rPr>
          <w:rFonts w:cs="宋体"/>
          <w:color w:val="auto"/>
          <w:kern w:val="2"/>
          <w:szCs w:val="24"/>
          <w:highlight w:val="none"/>
        </w:rPr>
        <w:t>/</w:t>
      </w:r>
      <w:r>
        <w:rPr>
          <w:rFonts w:hint="eastAsia" w:cs="宋体"/>
          <w:color w:val="auto"/>
          <w:kern w:val="2"/>
          <w:szCs w:val="24"/>
          <w:highlight w:val="none"/>
        </w:rPr>
        <w:t>□采购预算</w:t>
      </w:r>
      <w:r>
        <w:rPr>
          <w:rFonts w:cs="宋体"/>
          <w:color w:val="auto"/>
          <w:kern w:val="2"/>
          <w:szCs w:val="24"/>
          <w:highlight w:val="none"/>
        </w:rPr>
        <w:t>/</w:t>
      </w:r>
      <w:r>
        <w:rPr>
          <w:rFonts w:hint="eastAsia" w:cs="宋体"/>
          <w:color w:val="auto"/>
          <w:kern w:val="2"/>
          <w:szCs w:val="24"/>
          <w:highlight w:val="none"/>
        </w:rPr>
        <w:t>□暂定成交金额</w:t>
      </w:r>
      <w:r>
        <w:rPr>
          <w:rFonts w:cs="宋体"/>
          <w:color w:val="auto"/>
          <w:kern w:val="2"/>
          <w:szCs w:val="24"/>
          <w:highlight w:val="none"/>
        </w:rPr>
        <w:t>/</w:t>
      </w:r>
      <w:r>
        <w:rPr>
          <w:rFonts w:hint="eastAsia" w:cs="宋体"/>
          <w:color w:val="auto"/>
          <w:kern w:val="2"/>
          <w:szCs w:val="24"/>
          <w:highlight w:val="none"/>
        </w:rPr>
        <w:t>□其他</w:t>
      </w:r>
      <w:r>
        <w:rPr>
          <w:rFonts w:cs="宋体"/>
          <w:color w:val="auto"/>
          <w:kern w:val="2"/>
          <w:szCs w:val="24"/>
          <w:highlight w:val="none"/>
        </w:rPr>
        <w:t xml:space="preserve"> / </w:t>
      </w:r>
      <w:r>
        <w:rPr>
          <w:rFonts w:hint="eastAsia" w:cs="宋体"/>
          <w:color w:val="auto"/>
          <w:kern w:val="2"/>
          <w:szCs w:val="24"/>
          <w:highlight w:val="none"/>
        </w:rPr>
        <w:t>）为计费额，按代理服务收费标准（</w:t>
      </w:r>
      <w:r>
        <w:rPr>
          <w:rFonts w:hint="eastAsia" w:ascii="MS Mincho" w:hAnsi="MS Mincho" w:eastAsia="MS Mincho" w:cs="宋体"/>
          <w:color w:val="auto"/>
          <w:kern w:val="2"/>
          <w:szCs w:val="24"/>
          <w:highlight w:val="none"/>
        </w:rPr>
        <w:t>☑</w:t>
      </w:r>
      <w:r>
        <w:rPr>
          <w:rFonts w:hint="eastAsia" w:cs="宋体"/>
          <w:color w:val="auto"/>
          <w:kern w:val="2"/>
          <w:szCs w:val="24"/>
          <w:highlight w:val="none"/>
        </w:rPr>
        <w:t>货物类</w:t>
      </w:r>
      <w:r>
        <w:rPr>
          <w:rFonts w:cs="宋体"/>
          <w:color w:val="auto"/>
          <w:kern w:val="2"/>
          <w:szCs w:val="24"/>
          <w:highlight w:val="none"/>
        </w:rPr>
        <w:t>/</w:t>
      </w:r>
      <w:r>
        <w:rPr>
          <w:rFonts w:hint="eastAsia" w:cs="宋体"/>
          <w:color w:val="auto"/>
          <w:kern w:val="2"/>
          <w:szCs w:val="24"/>
          <w:highlight w:val="none"/>
        </w:rPr>
        <w:t>□服务类</w:t>
      </w:r>
      <w:r>
        <w:rPr>
          <w:rFonts w:cs="宋体"/>
          <w:color w:val="auto"/>
          <w:kern w:val="2"/>
          <w:szCs w:val="24"/>
          <w:highlight w:val="none"/>
        </w:rPr>
        <w:t>/</w:t>
      </w:r>
      <w:r>
        <w:rPr>
          <w:rFonts w:hint="eastAsia" w:cs="宋体"/>
          <w:color w:val="auto"/>
          <w:kern w:val="2"/>
          <w:szCs w:val="24"/>
          <w:highlight w:val="none"/>
        </w:rPr>
        <w:t>□工程类）采用差额定率累进法计算出收费基准价格，采购代理收费以（</w:t>
      </w:r>
      <w:r>
        <w:rPr>
          <w:rFonts w:hint="eastAsia" w:cs="宋体"/>
          <w:color w:val="auto"/>
          <w:kern w:val="2"/>
          <w:szCs w:val="24"/>
          <w:highlight w:val="none"/>
          <w:lang w:eastAsia="zh-CN"/>
        </w:rPr>
        <w:t>□</w:t>
      </w:r>
      <w:r>
        <w:rPr>
          <w:rFonts w:hint="eastAsia" w:cs="宋体"/>
          <w:color w:val="auto"/>
          <w:kern w:val="2"/>
          <w:szCs w:val="24"/>
          <w:highlight w:val="none"/>
        </w:rPr>
        <w:t>收费基准价格</w:t>
      </w:r>
      <w:r>
        <w:rPr>
          <w:rFonts w:cs="宋体"/>
          <w:color w:val="auto"/>
          <w:kern w:val="2"/>
          <w:szCs w:val="24"/>
          <w:highlight w:val="none"/>
        </w:rPr>
        <w:t>/</w:t>
      </w:r>
      <w:r>
        <w:rPr>
          <w:rFonts w:hint="eastAsia" w:ascii="MS Mincho" w:hAnsi="MS Mincho" w:cs="宋体"/>
          <w:color w:val="auto"/>
          <w:kern w:val="2"/>
          <w:szCs w:val="24"/>
          <w:highlight w:val="none"/>
          <w:lang w:eastAsia="zh-CN"/>
        </w:rPr>
        <w:t>☑</w:t>
      </w:r>
      <w:r>
        <w:rPr>
          <w:rFonts w:hint="eastAsia" w:cs="宋体"/>
          <w:color w:val="auto"/>
          <w:kern w:val="2"/>
          <w:szCs w:val="24"/>
          <w:highlight w:val="none"/>
        </w:rPr>
        <w:t>收费基准价格下浮</w:t>
      </w:r>
      <w:r>
        <w:rPr>
          <w:rFonts w:cs="宋体"/>
          <w:color w:val="auto"/>
          <w:kern w:val="2"/>
          <w:szCs w:val="24"/>
          <w:highlight w:val="none"/>
        </w:rPr>
        <w:t xml:space="preserve"> 20 %/</w:t>
      </w:r>
      <w:r>
        <w:rPr>
          <w:rFonts w:hint="eastAsia" w:cs="宋体"/>
          <w:color w:val="auto"/>
          <w:kern w:val="2"/>
          <w:szCs w:val="24"/>
          <w:highlight w:val="none"/>
        </w:rPr>
        <w:t>□收费基准价格上浮</w:t>
      </w:r>
      <w:r>
        <w:rPr>
          <w:rFonts w:cs="宋体"/>
          <w:color w:val="auto"/>
          <w:kern w:val="2"/>
          <w:szCs w:val="24"/>
          <w:highlight w:val="none"/>
        </w:rPr>
        <w:t xml:space="preserve"> / %</w:t>
      </w:r>
      <w:r>
        <w:rPr>
          <w:rFonts w:hint="eastAsia" w:cs="宋体"/>
          <w:color w:val="auto"/>
          <w:kern w:val="2"/>
          <w:szCs w:val="24"/>
          <w:highlight w:val="none"/>
        </w:rPr>
        <w:t>）收取。</w:t>
      </w:r>
    </w:p>
    <w:p w14:paraId="00C3838C">
      <w:pPr>
        <w:pStyle w:val="84"/>
        <w:ind w:firstLine="480" w:firstLineChars="200"/>
        <w:rPr>
          <w:rFonts w:cs="宋体"/>
          <w:color w:val="auto"/>
          <w:kern w:val="2"/>
          <w:szCs w:val="24"/>
          <w:highlight w:val="yellow"/>
        </w:rPr>
      </w:pPr>
      <w:r>
        <w:rPr>
          <w:rFonts w:hint="eastAsia" w:cs="宋体"/>
          <w:color w:val="auto"/>
          <w:kern w:val="2"/>
          <w:szCs w:val="24"/>
          <w:highlight w:val="none"/>
          <w:lang w:eastAsia="zh-CN"/>
        </w:rPr>
        <w:t>□</w:t>
      </w:r>
      <w:r>
        <w:rPr>
          <w:rFonts w:hint="eastAsia" w:cs="宋体"/>
          <w:color w:val="auto"/>
          <w:kern w:val="2"/>
          <w:szCs w:val="24"/>
          <w:highlight w:val="none"/>
        </w:rPr>
        <w:t>固定采购代理收费</w:t>
      </w:r>
      <w:r>
        <w:rPr>
          <w:rFonts w:hint="eastAsia" w:cs="宋体"/>
          <w:color w:val="auto"/>
          <w:kern w:val="2"/>
          <w:szCs w:val="24"/>
          <w:highlight w:val="none"/>
          <w:lang w:eastAsia="zh-CN"/>
        </w:rPr>
        <w:t>：</w:t>
      </w:r>
      <w:r>
        <w:rPr>
          <w:rFonts w:hint="eastAsia" w:cs="宋体"/>
          <w:color w:val="auto"/>
          <w:kern w:val="2"/>
          <w:szCs w:val="24"/>
          <w:highlight w:val="none"/>
          <w:lang w:val="en-US" w:eastAsia="zh-CN"/>
        </w:rPr>
        <w:t>/</w:t>
      </w:r>
      <w:r>
        <w:rPr>
          <w:rFonts w:hint="eastAsia" w:cs="宋体"/>
          <w:color w:val="auto"/>
          <w:kern w:val="2"/>
          <w:szCs w:val="24"/>
          <w:highlight w:val="none"/>
        </w:rPr>
        <w:t>。</w:t>
      </w:r>
    </w:p>
    <w:p w14:paraId="54248864">
      <w:pPr>
        <w:pStyle w:val="84"/>
        <w:ind w:firstLine="480" w:firstLineChars="200"/>
        <w:rPr>
          <w:rFonts w:cs="宋体"/>
          <w:color w:val="auto"/>
          <w:kern w:val="2"/>
          <w:szCs w:val="24"/>
          <w:highlight w:val="none"/>
        </w:rPr>
      </w:pPr>
      <w:r>
        <w:rPr>
          <w:rFonts w:hint="eastAsia" w:cs="宋体"/>
          <w:color w:val="auto"/>
          <w:kern w:val="2"/>
          <w:szCs w:val="24"/>
          <w:highlight w:val="none"/>
        </w:rPr>
        <w:t>31.3采购代理费收取银行账户</w:t>
      </w:r>
    </w:p>
    <w:p w14:paraId="7EA86967">
      <w:pPr>
        <w:pStyle w:val="84"/>
        <w:ind w:firstLine="480" w:firstLineChars="200"/>
        <w:rPr>
          <w:rFonts w:cs="宋体"/>
          <w:color w:val="auto"/>
          <w:kern w:val="2"/>
          <w:szCs w:val="24"/>
          <w:highlight w:val="none"/>
        </w:rPr>
      </w:pPr>
      <w:r>
        <w:rPr>
          <w:rFonts w:hint="eastAsia" w:cs="宋体"/>
          <w:color w:val="auto"/>
          <w:kern w:val="2"/>
          <w:szCs w:val="24"/>
          <w:highlight w:val="none"/>
        </w:rPr>
        <w:t>开户名称：</w:t>
      </w:r>
      <w:r>
        <w:rPr>
          <w:sz w:val="24"/>
          <w:szCs w:val="24"/>
          <w:lang w:eastAsia="zh-CN"/>
        </w:rPr>
        <w:t>中招国际招标有限公司</w:t>
      </w:r>
    </w:p>
    <w:p w14:paraId="25706A69">
      <w:pPr>
        <w:pStyle w:val="84"/>
        <w:ind w:firstLine="480" w:firstLineChars="200"/>
        <w:rPr>
          <w:rFonts w:cs="宋体"/>
          <w:color w:val="auto"/>
          <w:kern w:val="2"/>
          <w:szCs w:val="24"/>
          <w:highlight w:val="none"/>
        </w:rPr>
      </w:pPr>
      <w:r>
        <w:rPr>
          <w:rFonts w:hint="eastAsia" w:cs="宋体"/>
          <w:color w:val="auto"/>
          <w:kern w:val="2"/>
          <w:szCs w:val="24"/>
          <w:highlight w:val="none"/>
        </w:rPr>
        <w:t>开户银行：</w:t>
      </w:r>
      <w:r>
        <w:rPr>
          <w:sz w:val="24"/>
          <w:szCs w:val="24"/>
          <w:lang w:eastAsia="zh-CN"/>
        </w:rPr>
        <w:t>中国工商银行北京海淀支行营业部</w:t>
      </w:r>
    </w:p>
    <w:p w14:paraId="64C10289">
      <w:pPr>
        <w:pStyle w:val="84"/>
        <w:ind w:firstLine="480" w:firstLineChars="200"/>
        <w:rPr>
          <w:rFonts w:hint="eastAsia" w:cs="宋体"/>
          <w:color w:val="auto"/>
          <w:kern w:val="2"/>
          <w:szCs w:val="24"/>
          <w:highlight w:val="none"/>
        </w:rPr>
      </w:pPr>
      <w:r>
        <w:rPr>
          <w:rFonts w:hint="eastAsia" w:cs="宋体"/>
          <w:color w:val="auto"/>
          <w:kern w:val="2"/>
          <w:szCs w:val="24"/>
          <w:highlight w:val="none"/>
        </w:rPr>
        <w:t>银行账号：</w:t>
      </w:r>
      <w:r>
        <w:rPr>
          <w:sz w:val="24"/>
          <w:szCs w:val="24"/>
          <w:lang w:eastAsia="zh-CN"/>
        </w:rPr>
        <w:t>0200049619200362296</w:t>
      </w:r>
    </w:p>
    <w:p w14:paraId="311A7E1F">
      <w:pPr>
        <w:snapToGrid w:val="0"/>
        <w:spacing w:line="360" w:lineRule="auto"/>
        <w:ind w:firstLine="480" w:firstLineChars="200"/>
        <w:rPr>
          <w:rFonts w:hint="eastAsia" w:ascii="宋体" w:hAnsi="宋体" w:cs="宋体"/>
          <w:bCs/>
          <w:color w:val="auto"/>
          <w:sz w:val="24"/>
          <w:highlight w:val="none"/>
          <w:lang w:eastAsia="zh-CN"/>
        </w:rPr>
      </w:pPr>
      <w:r>
        <w:rPr>
          <w:rFonts w:hint="eastAsia" w:ascii="宋体" w:hAnsi="宋体" w:cs="宋体"/>
          <w:bCs/>
          <w:color w:val="auto"/>
          <w:sz w:val="24"/>
          <w:highlight w:val="none"/>
        </w:rPr>
        <w:t>31.4代理服务收费标准：招标代理服务费参照《关于印发招标代理服务收费管理暂行办法的通知》（计价格[2002]1980号）规定标准</w:t>
      </w:r>
      <w:r>
        <w:rPr>
          <w:rFonts w:hint="eastAsia" w:ascii="宋体" w:hAnsi="宋体" w:cs="宋体"/>
          <w:bCs/>
          <w:color w:val="auto"/>
          <w:sz w:val="24"/>
          <w:highlight w:val="none"/>
          <w:lang w:val="en-US" w:eastAsia="zh-CN"/>
        </w:rPr>
        <w:t>下浮20%收取</w:t>
      </w:r>
      <w:r>
        <w:rPr>
          <w:rFonts w:hint="eastAsia" w:ascii="宋体" w:hAnsi="宋体" w:cs="宋体"/>
          <w:bCs/>
          <w:color w:val="auto"/>
          <w:sz w:val="24"/>
          <w:highlight w:val="none"/>
        </w:rPr>
        <w:t>，以差额定率累进法计算。由</w:t>
      </w:r>
      <w:r>
        <w:rPr>
          <w:rFonts w:hint="eastAsia" w:ascii="宋体" w:hAnsi="宋体" w:cs="宋体"/>
          <w:bCs/>
          <w:color w:val="auto"/>
          <w:sz w:val="24"/>
          <w:highlight w:val="none"/>
          <w:lang w:val="en-US" w:eastAsia="zh-CN"/>
        </w:rPr>
        <w:t>采购人在发布中标结果公告10个工作日内</w:t>
      </w:r>
      <w:r>
        <w:rPr>
          <w:rFonts w:hint="eastAsia" w:ascii="宋体" w:hAnsi="宋体" w:cs="宋体"/>
          <w:bCs/>
          <w:color w:val="auto"/>
          <w:sz w:val="24"/>
          <w:highlight w:val="none"/>
        </w:rPr>
        <w:t>，一次性向采购代理机构支付</w:t>
      </w:r>
      <w:r>
        <w:rPr>
          <w:rFonts w:hint="eastAsia" w:ascii="宋体" w:hAnsi="宋体" w:cs="宋体"/>
          <w:bCs/>
          <w:color w:val="auto"/>
          <w:sz w:val="24"/>
          <w:highlight w:val="none"/>
          <w:lang w:eastAsia="zh-CN"/>
        </w:rPr>
        <w:t>。</w:t>
      </w:r>
    </w:p>
    <w:p w14:paraId="52A30171">
      <w:pPr>
        <w:snapToGrid w:val="0"/>
        <w:spacing w:line="360" w:lineRule="auto"/>
        <w:ind w:firstLine="480" w:firstLineChars="200"/>
        <w:rPr>
          <w:rFonts w:hint="eastAsia" w:ascii="宋体" w:hAnsi="宋体" w:cs="宋体"/>
          <w:b/>
          <w:color w:val="auto"/>
          <w:sz w:val="36"/>
          <w:szCs w:val="36"/>
          <w:highlight w:val="none"/>
        </w:rPr>
        <w:sectPr>
          <w:headerReference r:id="rId4" w:type="first"/>
          <w:footerReference r:id="rId6" w:type="first"/>
          <w:headerReference r:id="rId3" w:type="default"/>
          <w:footerReference r:id="rId5" w:type="default"/>
          <w:pgSz w:w="11906" w:h="16838"/>
          <w:pgMar w:top="1247" w:right="849" w:bottom="1247" w:left="1418"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cs="宋体"/>
          <w:bCs/>
          <w:color w:val="auto"/>
          <w:sz w:val="24"/>
          <w:highlight w:val="none"/>
          <w:lang w:eastAsia="zh-CN"/>
        </w:rPr>
        <w:t>注：如因采购人原因造成本次招标失败，招标公司服务费将由采购人承担</w:t>
      </w:r>
      <w:bookmarkEnd w:id="17"/>
      <w:bookmarkEnd w:id="18"/>
      <w:bookmarkStart w:id="35" w:name="_Toc176185121"/>
      <w:bookmarkStart w:id="36" w:name="_Toc176343850"/>
      <w:bookmarkStart w:id="37" w:name="第四部分"/>
      <w:r>
        <w:rPr>
          <w:rFonts w:hint="eastAsia" w:ascii="宋体" w:hAnsi="宋体" w:cs="宋体"/>
          <w:bCs/>
          <w:color w:val="auto"/>
          <w:sz w:val="24"/>
          <w:highlight w:val="none"/>
          <w:lang w:eastAsia="zh-CN"/>
        </w:rPr>
        <w:t>。</w:t>
      </w:r>
    </w:p>
    <w:p w14:paraId="5BACB9C8">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第三部分  采购需求</w:t>
      </w:r>
      <w:bookmarkEnd w:id="35"/>
      <w:bookmarkEnd w:id="36"/>
    </w:p>
    <w:tbl>
      <w:tblPr>
        <w:tblStyle w:val="62"/>
        <w:tblW w:w="155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28"/>
        <w:gridCol w:w="453"/>
        <w:gridCol w:w="762"/>
        <w:gridCol w:w="473"/>
        <w:gridCol w:w="455"/>
        <w:gridCol w:w="865"/>
        <w:gridCol w:w="895"/>
        <w:gridCol w:w="9132"/>
        <w:gridCol w:w="1045"/>
        <w:gridCol w:w="1018"/>
      </w:tblGrid>
      <w:tr w14:paraId="3EA12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15526" w:type="dxa"/>
            <w:gridSpan w:val="10"/>
            <w:tcBorders>
              <w:top w:val="single" w:color="auto" w:sz="4" w:space="0"/>
              <w:left w:val="single" w:color="auto" w:sz="4" w:space="0"/>
              <w:bottom w:val="nil"/>
              <w:right w:val="single" w:color="auto" w:sz="4" w:space="0"/>
            </w:tcBorders>
            <w:noWrap w:val="0"/>
            <w:vAlign w:val="center"/>
          </w:tcPr>
          <w:p w14:paraId="7F0F197C">
            <w:pPr>
              <w:spacing w:before="60" w:after="60" w:line="460" w:lineRule="exact"/>
              <w:jc w:val="center"/>
              <w:rPr>
                <w:rFonts w:hint="eastAsia" w:ascii="宋体" w:hAnsi="宋体" w:eastAsia="宋体" w:cs="宋体"/>
                <w:b/>
                <w:szCs w:val="21"/>
              </w:rPr>
            </w:pPr>
            <w:r>
              <w:rPr>
                <w:rFonts w:hint="eastAsia" w:ascii="宋体" w:hAnsi="宋体" w:eastAsia="宋体" w:cs="宋体"/>
                <w:b/>
                <w:sz w:val="44"/>
                <w:szCs w:val="44"/>
              </w:rPr>
              <w:t>货物需求一览表</w:t>
            </w:r>
          </w:p>
        </w:tc>
      </w:tr>
      <w:tr w14:paraId="31C50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 w:hRule="atLeast"/>
          <w:jc w:val="center"/>
        </w:trPr>
        <w:tc>
          <w:tcPr>
            <w:tcW w:w="428" w:type="dxa"/>
            <w:vMerge w:val="restart"/>
            <w:tcBorders>
              <w:top w:val="single" w:color="auto" w:sz="4" w:space="0"/>
              <w:left w:val="single" w:color="auto" w:sz="4" w:space="0"/>
              <w:right w:val="single" w:color="auto" w:sz="4" w:space="0"/>
            </w:tcBorders>
            <w:noWrap w:val="0"/>
            <w:vAlign w:val="center"/>
          </w:tcPr>
          <w:p w14:paraId="552A89C0">
            <w:pPr>
              <w:spacing w:before="60" w:after="60" w:line="460" w:lineRule="exact"/>
              <w:rPr>
                <w:rFonts w:hint="eastAsia" w:ascii="宋体" w:hAnsi="宋体" w:eastAsia="宋体" w:cs="宋体"/>
                <w:szCs w:val="21"/>
              </w:rPr>
            </w:pPr>
            <w:r>
              <w:rPr>
                <w:rFonts w:hint="eastAsia" w:ascii="宋体" w:hAnsi="宋体" w:eastAsia="宋体" w:cs="宋体"/>
                <w:szCs w:val="21"/>
              </w:rPr>
              <w:t>采购清单及技术参数</w:t>
            </w:r>
          </w:p>
        </w:tc>
        <w:tc>
          <w:tcPr>
            <w:tcW w:w="453" w:type="dxa"/>
            <w:tcBorders>
              <w:top w:val="single" w:color="auto" w:sz="4" w:space="0"/>
              <w:left w:val="single" w:color="auto" w:sz="4" w:space="0"/>
              <w:bottom w:val="single" w:color="auto" w:sz="4" w:space="0"/>
              <w:right w:val="single" w:color="auto" w:sz="4" w:space="0"/>
            </w:tcBorders>
            <w:noWrap w:val="0"/>
            <w:vAlign w:val="center"/>
          </w:tcPr>
          <w:p w14:paraId="2EEE6C9D">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序号</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17EF4ECD">
            <w:pPr>
              <w:widowControl/>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设备</w:t>
            </w:r>
          </w:p>
          <w:p w14:paraId="60BF8459">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名称</w:t>
            </w:r>
          </w:p>
        </w:tc>
        <w:tc>
          <w:tcPr>
            <w:tcW w:w="473" w:type="dxa"/>
            <w:tcBorders>
              <w:top w:val="single" w:color="auto" w:sz="4" w:space="0"/>
              <w:left w:val="single" w:color="auto" w:sz="4" w:space="0"/>
              <w:bottom w:val="single" w:color="auto" w:sz="4" w:space="0"/>
              <w:right w:val="single" w:color="auto" w:sz="4" w:space="0"/>
            </w:tcBorders>
            <w:noWrap w:val="0"/>
            <w:vAlign w:val="center"/>
          </w:tcPr>
          <w:p w14:paraId="06F0577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计量单位</w:t>
            </w:r>
          </w:p>
        </w:tc>
        <w:tc>
          <w:tcPr>
            <w:tcW w:w="455" w:type="dxa"/>
            <w:tcBorders>
              <w:top w:val="single" w:color="auto" w:sz="4" w:space="0"/>
              <w:left w:val="single" w:color="auto" w:sz="4" w:space="0"/>
              <w:bottom w:val="single" w:color="auto" w:sz="4" w:space="0"/>
              <w:right w:val="single" w:color="auto" w:sz="4" w:space="0"/>
            </w:tcBorders>
            <w:noWrap w:val="0"/>
            <w:vAlign w:val="center"/>
          </w:tcPr>
          <w:p w14:paraId="2BA3D188">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采购数量</w:t>
            </w:r>
          </w:p>
        </w:tc>
        <w:tc>
          <w:tcPr>
            <w:tcW w:w="865" w:type="dxa"/>
            <w:tcBorders>
              <w:top w:val="single" w:color="auto" w:sz="4" w:space="0"/>
              <w:left w:val="single" w:color="auto" w:sz="4" w:space="0"/>
              <w:bottom w:val="single" w:color="auto" w:sz="4" w:space="0"/>
              <w:right w:val="single" w:color="auto" w:sz="4" w:space="0"/>
            </w:tcBorders>
            <w:noWrap w:val="0"/>
            <w:vAlign w:val="center"/>
          </w:tcPr>
          <w:p w14:paraId="4C3242C3">
            <w:pPr>
              <w:widowControl/>
              <w:jc w:val="center"/>
              <w:textAlignment w:val="center"/>
              <w:rPr>
                <w:rFonts w:hint="eastAsia" w:ascii="宋体" w:hAnsi="宋体" w:eastAsia="宋体" w:cs="宋体"/>
                <w:szCs w:val="21"/>
              </w:rPr>
            </w:pPr>
            <w:r>
              <w:rPr>
                <w:rFonts w:hint="eastAsia" w:ascii="宋体" w:hAnsi="宋体" w:eastAsia="宋体" w:cs="宋体"/>
                <w:kern w:val="0"/>
                <w:szCs w:val="21"/>
                <w:lang w:val="en-US" w:eastAsia="zh-CN" w:bidi="ar"/>
              </w:rPr>
              <w:t>预算</w:t>
            </w:r>
            <w:r>
              <w:rPr>
                <w:rFonts w:hint="eastAsia" w:ascii="宋体" w:hAnsi="宋体" w:eastAsia="宋体" w:cs="宋体"/>
                <w:kern w:val="0"/>
                <w:szCs w:val="21"/>
                <w:lang w:bidi="ar"/>
              </w:rPr>
              <w:t>单价(万元)</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6E03F6EC">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合计(万元)</w:t>
            </w:r>
          </w:p>
        </w:tc>
        <w:tc>
          <w:tcPr>
            <w:tcW w:w="9132" w:type="dxa"/>
            <w:tcBorders>
              <w:top w:val="single" w:color="auto" w:sz="4" w:space="0"/>
              <w:left w:val="single" w:color="auto" w:sz="4" w:space="0"/>
              <w:bottom w:val="single" w:color="auto" w:sz="4" w:space="0"/>
              <w:right w:val="single" w:color="auto" w:sz="4" w:space="0"/>
            </w:tcBorders>
            <w:noWrap w:val="0"/>
            <w:vAlign w:val="center"/>
          </w:tcPr>
          <w:p w14:paraId="5EB09717">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参数</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18BAF100">
            <w:pPr>
              <w:widowControl/>
              <w:jc w:val="center"/>
              <w:textAlignment w:val="center"/>
              <w:rPr>
                <w:rFonts w:hint="eastAsia" w:ascii="宋体" w:hAnsi="宋体" w:eastAsia="宋体" w:cs="宋体"/>
                <w:szCs w:val="21"/>
              </w:rPr>
            </w:pPr>
            <w:r>
              <w:rPr>
                <w:rFonts w:hint="eastAsia" w:ascii="宋体" w:hAnsi="宋体" w:eastAsia="宋体" w:cs="宋体"/>
                <w:kern w:val="0"/>
                <w:szCs w:val="21"/>
                <w:lang w:bidi="ar"/>
              </w:rPr>
              <w:t>最高限价合计（万元）</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6CF0DD32">
            <w:pPr>
              <w:widowControl/>
              <w:jc w:val="center"/>
              <w:textAlignment w:val="center"/>
              <w:rPr>
                <w:rFonts w:hint="eastAsia" w:ascii="宋体" w:hAnsi="宋体" w:eastAsia="宋体" w:cs="宋体"/>
                <w:szCs w:val="21"/>
              </w:rPr>
            </w:pPr>
            <w:r>
              <w:rPr>
                <w:rFonts w:hint="eastAsia" w:ascii="宋体" w:hAnsi="宋体" w:eastAsia="宋体" w:cs="宋体"/>
                <w:szCs w:val="21"/>
              </w:rPr>
              <w:t>中小企业划分标准所属行业名称（行业名称及划分见本章附件2）</w:t>
            </w:r>
          </w:p>
        </w:tc>
      </w:tr>
      <w:tr w14:paraId="18213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 w:hRule="atLeast"/>
          <w:jc w:val="center"/>
        </w:trPr>
        <w:tc>
          <w:tcPr>
            <w:tcW w:w="428" w:type="dxa"/>
            <w:vMerge w:val="continue"/>
            <w:tcBorders>
              <w:left w:val="single" w:color="auto" w:sz="4" w:space="0"/>
              <w:right w:val="single" w:color="auto" w:sz="4" w:space="0"/>
            </w:tcBorders>
            <w:noWrap w:val="0"/>
            <w:vAlign w:val="center"/>
          </w:tcPr>
          <w:p w14:paraId="5104121A">
            <w:pPr>
              <w:widowControl/>
              <w:shd w:val="clear" w:color="auto" w:fill="FFFFFF"/>
              <w:spacing w:line="360" w:lineRule="auto"/>
              <w:ind w:firstLine="420" w:firstLineChars="200"/>
              <w:rPr>
                <w:rFonts w:hint="eastAsia" w:ascii="宋体" w:hAnsi="宋体" w:eastAsia="宋体" w:cs="宋体"/>
                <w:szCs w:val="21"/>
              </w:rPr>
            </w:pPr>
          </w:p>
        </w:tc>
        <w:tc>
          <w:tcPr>
            <w:tcW w:w="453" w:type="dxa"/>
            <w:tcBorders>
              <w:top w:val="single" w:color="auto" w:sz="4" w:space="0"/>
              <w:left w:val="single" w:color="auto" w:sz="4" w:space="0"/>
              <w:right w:val="single" w:color="auto" w:sz="4" w:space="0"/>
            </w:tcBorders>
            <w:noWrap w:val="0"/>
            <w:vAlign w:val="center"/>
          </w:tcPr>
          <w:p w14:paraId="2DB07B60">
            <w:pPr>
              <w:widowControl/>
              <w:shd w:val="clear" w:color="auto" w:fill="FFFFFF"/>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29800DE5">
            <w:pPr>
              <w:widowControl/>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血流动力学分析仪</w:t>
            </w:r>
          </w:p>
        </w:tc>
        <w:tc>
          <w:tcPr>
            <w:tcW w:w="473" w:type="dxa"/>
            <w:tcBorders>
              <w:top w:val="single" w:color="auto" w:sz="4" w:space="0"/>
              <w:left w:val="single" w:color="auto" w:sz="4" w:space="0"/>
              <w:bottom w:val="single" w:color="auto" w:sz="4" w:space="0"/>
              <w:right w:val="single" w:color="auto" w:sz="4" w:space="0"/>
            </w:tcBorders>
            <w:noWrap w:val="0"/>
            <w:vAlign w:val="center"/>
          </w:tcPr>
          <w:p w14:paraId="66B30AB8">
            <w:pPr>
              <w:widowControl/>
              <w:jc w:val="center"/>
              <w:textAlignment w:val="center"/>
              <w:rPr>
                <w:rFonts w:hint="eastAsia" w:ascii="宋体" w:hAnsi="宋体" w:eastAsia="宋体" w:cs="宋体"/>
                <w:szCs w:val="21"/>
              </w:rPr>
            </w:pPr>
            <w:r>
              <w:rPr>
                <w:rFonts w:hint="eastAsia" w:ascii="宋体" w:hAnsi="宋体" w:eastAsia="宋体" w:cs="宋体"/>
                <w:szCs w:val="21"/>
              </w:rPr>
              <w:t>套</w:t>
            </w:r>
          </w:p>
        </w:tc>
        <w:tc>
          <w:tcPr>
            <w:tcW w:w="455" w:type="dxa"/>
            <w:tcBorders>
              <w:top w:val="single" w:color="auto" w:sz="4" w:space="0"/>
              <w:left w:val="single" w:color="auto" w:sz="4" w:space="0"/>
              <w:bottom w:val="single" w:color="auto" w:sz="4" w:space="0"/>
              <w:right w:val="single" w:color="auto" w:sz="4" w:space="0"/>
            </w:tcBorders>
            <w:noWrap w:val="0"/>
            <w:vAlign w:val="center"/>
          </w:tcPr>
          <w:p w14:paraId="45EE72DF">
            <w:pPr>
              <w:widowControl/>
              <w:jc w:val="center"/>
              <w:textAlignment w:val="center"/>
              <w:rPr>
                <w:rFonts w:hint="eastAsia" w:ascii="宋体" w:hAnsi="宋体" w:eastAsia="宋体" w:cs="宋体"/>
                <w:szCs w:val="21"/>
              </w:rPr>
            </w:pPr>
            <w:r>
              <w:rPr>
                <w:rFonts w:hint="eastAsia" w:ascii="宋体" w:hAnsi="宋体" w:eastAsia="宋体" w:cs="宋体"/>
                <w:szCs w:val="21"/>
              </w:rPr>
              <w:t>1</w:t>
            </w:r>
          </w:p>
        </w:tc>
        <w:tc>
          <w:tcPr>
            <w:tcW w:w="865" w:type="dxa"/>
            <w:tcBorders>
              <w:top w:val="single" w:color="auto" w:sz="4" w:space="0"/>
              <w:left w:val="single" w:color="auto" w:sz="4" w:space="0"/>
              <w:bottom w:val="single" w:color="auto" w:sz="4" w:space="0"/>
              <w:right w:val="single" w:color="auto" w:sz="4" w:space="0"/>
            </w:tcBorders>
            <w:noWrap w:val="0"/>
            <w:vAlign w:val="center"/>
          </w:tcPr>
          <w:p w14:paraId="5078C0C2">
            <w:pPr>
              <w:widowControl/>
              <w:jc w:val="center"/>
              <w:textAlignment w:val="center"/>
              <w:rPr>
                <w:rFonts w:ascii="宋体" w:hAnsi="宋体" w:eastAsia="宋体" w:cs="宋体"/>
                <w:szCs w:val="21"/>
              </w:rPr>
            </w:pPr>
            <w:r>
              <w:rPr>
                <w:rFonts w:hint="eastAsia" w:ascii="宋体" w:hAnsi="宋体" w:eastAsia="宋体" w:cs="宋体"/>
                <w:szCs w:val="21"/>
              </w:rPr>
              <w:t>55.00</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3761BF13">
            <w:pPr>
              <w:widowControl/>
              <w:jc w:val="center"/>
              <w:textAlignment w:val="center"/>
              <w:rPr>
                <w:rFonts w:hint="eastAsia" w:ascii="宋体" w:hAnsi="宋体" w:eastAsia="宋体" w:cs="宋体"/>
                <w:szCs w:val="21"/>
              </w:rPr>
            </w:pPr>
            <w:r>
              <w:rPr>
                <w:rFonts w:hint="eastAsia" w:ascii="宋体" w:hAnsi="宋体" w:eastAsia="宋体" w:cs="宋体"/>
                <w:szCs w:val="21"/>
              </w:rPr>
              <w:t>55.00</w:t>
            </w:r>
          </w:p>
        </w:tc>
        <w:tc>
          <w:tcPr>
            <w:tcW w:w="9132" w:type="dxa"/>
            <w:tcBorders>
              <w:top w:val="single" w:color="auto" w:sz="4" w:space="0"/>
              <w:left w:val="single" w:color="auto" w:sz="4" w:space="0"/>
              <w:bottom w:val="single" w:color="auto" w:sz="4" w:space="0"/>
              <w:right w:val="single" w:color="auto" w:sz="4" w:space="0"/>
            </w:tcBorders>
            <w:noWrap w:val="0"/>
            <w:vAlign w:val="center"/>
          </w:tcPr>
          <w:p w14:paraId="01F05927">
            <w:pPr>
              <w:rPr>
                <w:rFonts w:hint="eastAsia" w:ascii="宋体" w:hAnsi="宋体" w:eastAsia="宋体" w:cs="宋体"/>
                <w:szCs w:val="21"/>
              </w:rPr>
            </w:pPr>
            <w:r>
              <w:rPr>
                <w:rFonts w:hint="eastAsia" w:ascii="宋体" w:hAnsi="宋体" w:eastAsia="宋体" w:cs="宋体"/>
                <w:szCs w:val="21"/>
                <w:lang w:bidi="ar"/>
              </w:rPr>
              <w:t xml:space="preserve">1.适用范围：采用胸电生物阻抗法原理，床旁高血压无创血液动力学实时监测系统。 </w:t>
            </w:r>
          </w:p>
          <w:p w14:paraId="110B1A46">
            <w:pPr>
              <w:rPr>
                <w:rFonts w:hint="eastAsia" w:ascii="宋体" w:hAnsi="宋体" w:eastAsia="宋体" w:cs="宋体"/>
                <w:szCs w:val="21"/>
              </w:rPr>
            </w:pPr>
            <w:r>
              <w:rPr>
                <w:rFonts w:hint="eastAsia" w:ascii="宋体" w:hAnsi="宋体" w:eastAsia="宋体" w:cs="宋体"/>
                <w:szCs w:val="21"/>
                <w:lang w:bidi="ar"/>
              </w:rPr>
              <w:t>2.硬件要求：</w:t>
            </w:r>
          </w:p>
          <w:p w14:paraId="1F23897D">
            <w:pPr>
              <w:rPr>
                <w:rFonts w:hint="eastAsia" w:ascii="宋体" w:hAnsi="宋体" w:eastAsia="宋体" w:cs="宋体"/>
                <w:szCs w:val="21"/>
              </w:rPr>
            </w:pPr>
            <w:r>
              <w:rPr>
                <w:rFonts w:hint="eastAsia" w:ascii="宋体" w:hAnsi="宋体" w:eastAsia="宋体" w:cs="宋体"/>
                <w:szCs w:val="21"/>
                <w:lang w:bidi="ar"/>
              </w:rPr>
              <w:t>2.1</w:t>
            </w:r>
            <w:r>
              <w:rPr>
                <w:rFonts w:hint="eastAsia" w:ascii="宋体" w:hAnsi="宋体" w:eastAsia="宋体" w:cs="宋体"/>
                <w:szCs w:val="21"/>
                <w:lang w:bidi="ar"/>
              </w:rPr>
              <w:tab/>
            </w:r>
            <w:r>
              <w:rPr>
                <w:rFonts w:hint="eastAsia" w:ascii="宋体" w:hAnsi="宋体" w:eastAsia="宋体" w:cs="宋体"/>
                <w:szCs w:val="21"/>
                <w:lang w:bidi="ar"/>
              </w:rPr>
              <w:t>系统设计：无创血液动力学监护系统专用一体机（非PC机、插件式、模块式）。</w:t>
            </w:r>
          </w:p>
          <w:p w14:paraId="5CFF8BA8">
            <w:pPr>
              <w:rPr>
                <w:rFonts w:hint="eastAsia" w:ascii="宋体" w:hAnsi="宋体" w:eastAsia="宋体" w:cs="宋体"/>
                <w:szCs w:val="21"/>
              </w:rPr>
            </w:pPr>
            <w:r>
              <w:rPr>
                <w:rFonts w:hint="eastAsia" w:ascii="宋体" w:hAnsi="宋体" w:eastAsia="宋体" w:cs="宋体"/>
                <w:szCs w:val="21"/>
                <w:lang w:bidi="ar"/>
              </w:rPr>
              <w:t>★2.2 屏幕设计：采用不小于12寸的医用彩色显示器，可触控。</w:t>
            </w:r>
          </w:p>
          <w:p w14:paraId="47DB7EEE">
            <w:pPr>
              <w:rPr>
                <w:rFonts w:hint="eastAsia" w:ascii="宋体" w:hAnsi="宋体" w:eastAsia="宋体" w:cs="宋体"/>
                <w:szCs w:val="21"/>
              </w:rPr>
            </w:pPr>
            <w:r>
              <w:rPr>
                <w:rFonts w:hint="eastAsia" w:ascii="宋体" w:hAnsi="宋体" w:eastAsia="宋体" w:cs="宋体"/>
                <w:szCs w:val="21"/>
                <w:lang w:bidi="ar"/>
              </w:rPr>
              <w:t>★2.3 键盘设计：一体化面板触摸式设计。</w:t>
            </w:r>
          </w:p>
          <w:p w14:paraId="6C593A26">
            <w:pPr>
              <w:rPr>
                <w:rFonts w:hint="eastAsia" w:ascii="宋体" w:hAnsi="宋体" w:eastAsia="宋体" w:cs="宋体"/>
                <w:szCs w:val="21"/>
              </w:rPr>
            </w:pPr>
            <w:r>
              <w:rPr>
                <w:rFonts w:hint="eastAsia" w:ascii="宋体" w:hAnsi="宋体" w:eastAsia="宋体" w:cs="宋体"/>
                <w:szCs w:val="21"/>
                <w:lang w:bidi="ar"/>
              </w:rPr>
              <w:t>2.4</w:t>
            </w:r>
            <w:r>
              <w:rPr>
                <w:rFonts w:hint="eastAsia" w:ascii="宋体" w:hAnsi="宋体" w:eastAsia="宋体" w:cs="宋体"/>
                <w:szCs w:val="21"/>
                <w:lang w:bidi="ar"/>
              </w:rPr>
              <w:tab/>
            </w:r>
            <w:r>
              <w:rPr>
                <w:rFonts w:hint="eastAsia" w:ascii="宋体" w:hAnsi="宋体" w:eastAsia="宋体" w:cs="宋体"/>
                <w:szCs w:val="21"/>
                <w:lang w:bidi="ar"/>
              </w:rPr>
              <w:t xml:space="preserve"> 便携式设计，有内置电池，待机时间不小于2小时。</w:t>
            </w:r>
          </w:p>
          <w:p w14:paraId="294FA789">
            <w:pPr>
              <w:rPr>
                <w:rFonts w:hint="eastAsia" w:ascii="宋体" w:hAnsi="宋体" w:eastAsia="宋体" w:cs="宋体"/>
                <w:szCs w:val="21"/>
              </w:rPr>
            </w:pPr>
            <w:r>
              <w:rPr>
                <w:rFonts w:hint="eastAsia" w:ascii="宋体" w:hAnsi="宋体" w:eastAsia="宋体" w:cs="宋体"/>
                <w:szCs w:val="21"/>
                <w:lang w:bidi="ar"/>
              </w:rPr>
              <w:t>2.5</w:t>
            </w:r>
            <w:r>
              <w:rPr>
                <w:rFonts w:hint="eastAsia" w:ascii="宋体" w:hAnsi="宋体" w:eastAsia="宋体" w:cs="宋体"/>
                <w:szCs w:val="21"/>
                <w:lang w:bidi="ar"/>
              </w:rPr>
              <w:tab/>
            </w:r>
            <w:r>
              <w:rPr>
                <w:rFonts w:hint="eastAsia" w:ascii="宋体" w:hAnsi="宋体" w:eastAsia="宋体" w:cs="宋体"/>
                <w:szCs w:val="21"/>
                <w:lang w:bidi="ar"/>
              </w:rPr>
              <w:t xml:space="preserve"> 设备存储：不小于256G。</w:t>
            </w:r>
          </w:p>
          <w:p w14:paraId="142BE19E">
            <w:pPr>
              <w:rPr>
                <w:rFonts w:hint="eastAsia" w:ascii="宋体" w:hAnsi="宋体" w:eastAsia="宋体" w:cs="宋体"/>
                <w:szCs w:val="21"/>
              </w:rPr>
            </w:pPr>
            <w:r>
              <w:rPr>
                <w:rFonts w:hint="eastAsia" w:ascii="宋体" w:hAnsi="宋体" w:eastAsia="宋体" w:cs="宋体"/>
                <w:szCs w:val="21"/>
                <w:lang w:bidi="ar"/>
              </w:rPr>
              <w:t>2.6</w:t>
            </w:r>
            <w:r>
              <w:rPr>
                <w:rFonts w:hint="eastAsia" w:ascii="宋体" w:hAnsi="宋体" w:eastAsia="宋体" w:cs="宋体"/>
                <w:szCs w:val="21"/>
                <w:lang w:bidi="ar"/>
              </w:rPr>
              <w:tab/>
            </w:r>
            <w:r>
              <w:rPr>
                <w:rFonts w:hint="eastAsia" w:ascii="宋体" w:hAnsi="宋体" w:eastAsia="宋体" w:cs="宋体"/>
                <w:szCs w:val="21"/>
                <w:lang w:bidi="ar"/>
              </w:rPr>
              <w:t xml:space="preserve"> 处理器：四核、1.7G及以上。</w:t>
            </w:r>
          </w:p>
          <w:p w14:paraId="669E7525">
            <w:pPr>
              <w:rPr>
                <w:rFonts w:hint="eastAsia" w:ascii="宋体" w:hAnsi="宋体" w:eastAsia="宋体" w:cs="宋体"/>
                <w:szCs w:val="21"/>
              </w:rPr>
            </w:pPr>
            <w:r>
              <w:rPr>
                <w:rFonts w:hint="eastAsia" w:ascii="宋体" w:hAnsi="宋体" w:eastAsia="宋体" w:cs="宋体"/>
                <w:szCs w:val="21"/>
                <w:lang w:bidi="ar"/>
              </w:rPr>
              <w:t xml:space="preserve">★2.7 </w:t>
            </w:r>
            <w:r>
              <w:rPr>
                <w:rFonts w:hint="eastAsia" w:ascii="宋体" w:hAnsi="宋体" w:eastAsia="宋体" w:cs="宋体"/>
                <w:color w:val="000000"/>
                <w:szCs w:val="21"/>
                <w:lang w:bidi="ar"/>
              </w:rPr>
              <w:t>配有原厂提供的专用的台车和</w:t>
            </w:r>
            <w:r>
              <w:rPr>
                <w:rFonts w:hint="eastAsia" w:ascii="Times New Roman" w:hAnsi="Times New Roman" w:eastAsia="宋体" w:cs="Times New Roman"/>
                <w:szCs w:val="22"/>
              </w:rPr>
              <w:t>结果输出设备</w:t>
            </w:r>
            <w:r>
              <w:rPr>
                <w:rFonts w:hint="eastAsia" w:ascii="宋体" w:hAnsi="宋体" w:eastAsia="宋体" w:cs="宋体"/>
                <w:color w:val="000000"/>
                <w:szCs w:val="21"/>
                <w:lang w:bidi="ar"/>
              </w:rPr>
              <w:t>。</w:t>
            </w:r>
          </w:p>
          <w:p w14:paraId="4C1D4E7D">
            <w:pPr>
              <w:rPr>
                <w:rFonts w:hint="eastAsia" w:ascii="宋体" w:hAnsi="宋体" w:eastAsia="宋体" w:cs="宋体"/>
                <w:color w:val="000000"/>
                <w:szCs w:val="21"/>
              </w:rPr>
            </w:pPr>
            <w:r>
              <w:rPr>
                <w:rFonts w:hint="eastAsia" w:ascii="宋体" w:hAnsi="宋体" w:eastAsia="宋体" w:cs="宋体"/>
                <w:szCs w:val="21"/>
                <w:lang w:bidi="ar"/>
              </w:rPr>
              <w:t xml:space="preserve">2.8  </w:t>
            </w:r>
            <w:r>
              <w:rPr>
                <w:rFonts w:hint="eastAsia" w:ascii="宋体" w:hAnsi="宋体" w:eastAsia="宋体" w:cs="宋体"/>
                <w:color w:val="000000"/>
                <w:szCs w:val="21"/>
                <w:lang w:bidi="ar"/>
              </w:rPr>
              <w:t>内置有允许远程通讯的4G模块，可对设备进行远程维护与升级。</w:t>
            </w:r>
          </w:p>
          <w:p w14:paraId="6D0A82BA">
            <w:pPr>
              <w:rPr>
                <w:rFonts w:hint="eastAsia" w:ascii="宋体" w:hAnsi="宋体" w:eastAsia="宋体" w:cs="宋体"/>
                <w:color w:val="000000"/>
                <w:szCs w:val="21"/>
              </w:rPr>
            </w:pPr>
            <w:r>
              <w:rPr>
                <w:rFonts w:hint="eastAsia" w:ascii="宋体" w:hAnsi="宋体" w:eastAsia="宋体" w:cs="宋体"/>
                <w:szCs w:val="21"/>
                <w:lang w:bidi="ar"/>
              </w:rPr>
              <w:t xml:space="preserve">2.9  </w:t>
            </w:r>
            <w:r>
              <w:rPr>
                <w:rFonts w:hint="eastAsia" w:ascii="宋体" w:hAnsi="宋体" w:eastAsia="宋体" w:cs="宋体"/>
                <w:szCs w:val="21"/>
                <w:lang w:val="en-US" w:eastAsia="zh-CN" w:bidi="ar"/>
              </w:rPr>
              <w:t>具</w:t>
            </w:r>
            <w:r>
              <w:rPr>
                <w:rFonts w:hint="eastAsia" w:ascii="宋体" w:hAnsi="宋体" w:eastAsia="宋体" w:cs="宋体"/>
                <w:color w:val="000000"/>
                <w:szCs w:val="21"/>
                <w:lang w:bidi="ar"/>
              </w:rPr>
              <w:t>有氧合参数监测缆线接口。</w:t>
            </w:r>
          </w:p>
          <w:p w14:paraId="4A100C5D">
            <w:pPr>
              <w:rPr>
                <w:rFonts w:hint="eastAsia" w:ascii="宋体" w:hAnsi="宋体" w:eastAsia="宋体" w:cs="宋体"/>
                <w:szCs w:val="21"/>
              </w:rPr>
            </w:pPr>
            <w:r>
              <w:rPr>
                <w:rFonts w:hint="eastAsia" w:ascii="宋体" w:hAnsi="宋体" w:eastAsia="宋体" w:cs="宋体"/>
                <w:szCs w:val="21"/>
                <w:lang w:bidi="ar"/>
              </w:rPr>
              <w:t>3.软件要求：</w:t>
            </w:r>
          </w:p>
          <w:p w14:paraId="05555B60">
            <w:pPr>
              <w:rPr>
                <w:rFonts w:hint="eastAsia" w:ascii="宋体" w:hAnsi="宋体" w:eastAsia="宋体" w:cs="宋体"/>
                <w:szCs w:val="21"/>
              </w:rPr>
            </w:pPr>
            <w:r>
              <w:rPr>
                <w:rFonts w:hint="eastAsia" w:ascii="宋体" w:hAnsi="宋体" w:eastAsia="宋体" w:cs="宋体"/>
                <w:szCs w:val="21"/>
                <w:lang w:bidi="ar"/>
              </w:rPr>
              <w:t>3.1 操作系统：</w:t>
            </w:r>
            <w:r>
              <w:rPr>
                <w:rFonts w:hint="eastAsia" w:ascii="Times New Roman" w:hAnsi="Times New Roman" w:eastAsia="宋体" w:cs="Times New Roman"/>
                <w:szCs w:val="22"/>
              </w:rPr>
              <w:t>原厂自带操作系统</w:t>
            </w:r>
            <w:r>
              <w:rPr>
                <w:rFonts w:hint="eastAsia" w:ascii="宋体" w:hAnsi="宋体" w:eastAsia="宋体" w:cs="宋体"/>
                <w:szCs w:val="21"/>
                <w:lang w:bidi="ar"/>
              </w:rPr>
              <w:t>。</w:t>
            </w:r>
          </w:p>
          <w:p w14:paraId="1B19D30E">
            <w:pPr>
              <w:rPr>
                <w:rFonts w:hint="eastAsia" w:ascii="宋体" w:hAnsi="宋体" w:eastAsia="宋体" w:cs="宋体"/>
                <w:color w:val="000000"/>
                <w:szCs w:val="21"/>
              </w:rPr>
            </w:pPr>
            <w:r>
              <w:rPr>
                <w:rFonts w:hint="eastAsia" w:ascii="宋体" w:hAnsi="宋体" w:eastAsia="宋体" w:cs="宋体"/>
                <w:szCs w:val="21"/>
                <w:lang w:bidi="ar"/>
              </w:rPr>
              <w:t>3.2</w:t>
            </w:r>
            <w:r>
              <w:rPr>
                <w:rFonts w:hint="eastAsia" w:ascii="宋体" w:hAnsi="宋体" w:eastAsia="宋体" w:cs="宋体"/>
                <w:szCs w:val="21"/>
                <w:lang w:bidi="ar"/>
              </w:rPr>
              <w:tab/>
            </w:r>
            <w:r>
              <w:rPr>
                <w:rFonts w:hint="eastAsia" w:ascii="宋体" w:hAnsi="宋体" w:eastAsia="宋体" w:cs="宋体"/>
                <w:szCs w:val="21"/>
                <w:lang w:bidi="ar"/>
              </w:rPr>
              <w:t>信号测定：采用数字化阻抗信号处理技术</w:t>
            </w:r>
            <w:r>
              <w:rPr>
                <w:rFonts w:hint="eastAsia" w:ascii="宋体" w:hAnsi="宋体" w:eastAsia="宋体" w:cs="宋体"/>
                <w:spacing w:val="10"/>
                <w:szCs w:val="21"/>
                <w:lang w:bidi="ar"/>
              </w:rPr>
              <w:t>。</w:t>
            </w:r>
          </w:p>
          <w:p w14:paraId="5D4D5385">
            <w:pPr>
              <w:rPr>
                <w:rFonts w:hint="eastAsia" w:ascii="宋体" w:hAnsi="宋体" w:eastAsia="宋体" w:cs="宋体"/>
                <w:spacing w:val="10"/>
                <w:szCs w:val="21"/>
              </w:rPr>
            </w:pPr>
            <w:r>
              <w:rPr>
                <w:rFonts w:hint="eastAsia" w:ascii="宋体" w:hAnsi="宋体" w:eastAsia="宋体" w:cs="宋体"/>
                <w:szCs w:val="21"/>
                <w:lang w:bidi="ar"/>
              </w:rPr>
              <w:t>3.3</w:t>
            </w:r>
            <w:r>
              <w:rPr>
                <w:rFonts w:hint="eastAsia" w:ascii="宋体" w:hAnsi="宋体" w:eastAsia="宋体" w:cs="宋体"/>
                <w:szCs w:val="21"/>
                <w:lang w:bidi="ar"/>
              </w:rPr>
              <w:tab/>
            </w:r>
            <w:r>
              <w:rPr>
                <w:rFonts w:hint="eastAsia" w:ascii="宋体" w:hAnsi="宋体" w:eastAsia="宋体" w:cs="宋体"/>
                <w:szCs w:val="21"/>
                <w:lang w:bidi="ar"/>
              </w:rPr>
              <w:t>每搏输出量计算：采用自动调整主动脉顺应性计算方法</w:t>
            </w:r>
            <w:r>
              <w:rPr>
                <w:rFonts w:hint="eastAsia" w:ascii="宋体" w:hAnsi="宋体" w:eastAsia="宋体" w:cs="宋体"/>
                <w:spacing w:val="10"/>
                <w:szCs w:val="21"/>
                <w:lang w:bidi="ar"/>
              </w:rPr>
              <w:t>。</w:t>
            </w:r>
          </w:p>
          <w:p w14:paraId="7C2472D9">
            <w:pPr>
              <w:rPr>
                <w:rFonts w:hint="eastAsia" w:ascii="宋体" w:hAnsi="宋体" w:eastAsia="宋体" w:cs="宋体"/>
                <w:color w:val="000000"/>
                <w:szCs w:val="21"/>
              </w:rPr>
            </w:pPr>
            <w:r>
              <w:rPr>
                <w:rFonts w:hint="eastAsia" w:ascii="宋体" w:hAnsi="宋体" w:eastAsia="宋体" w:cs="宋体"/>
                <w:szCs w:val="21"/>
                <w:lang w:bidi="ar"/>
              </w:rPr>
              <w:t>3.4</w:t>
            </w:r>
            <w:r>
              <w:rPr>
                <w:rFonts w:hint="eastAsia" w:ascii="宋体" w:hAnsi="宋体" w:eastAsia="宋体" w:cs="宋体"/>
                <w:szCs w:val="21"/>
                <w:lang w:bidi="ar"/>
              </w:rPr>
              <w:tab/>
            </w:r>
            <w:r>
              <w:rPr>
                <w:rFonts w:hint="eastAsia" w:ascii="宋体" w:hAnsi="宋体" w:eastAsia="宋体" w:cs="宋体"/>
                <w:color w:val="000000"/>
                <w:szCs w:val="21"/>
                <w:lang w:bidi="ar"/>
              </w:rPr>
              <w:t>有专门的血压血动分析软件。</w:t>
            </w:r>
          </w:p>
          <w:p w14:paraId="354CCD29">
            <w:pPr>
              <w:rPr>
                <w:rFonts w:hint="eastAsia" w:ascii="宋体" w:hAnsi="宋体" w:eastAsia="宋体" w:cs="宋体"/>
                <w:szCs w:val="21"/>
              </w:rPr>
            </w:pPr>
            <w:r>
              <w:rPr>
                <w:rFonts w:hint="eastAsia" w:ascii="宋体" w:hAnsi="宋体" w:eastAsia="宋体" w:cs="宋体"/>
                <w:szCs w:val="21"/>
                <w:lang w:bidi="ar"/>
              </w:rPr>
              <w:t>4.功能要求：</w:t>
            </w:r>
          </w:p>
          <w:p w14:paraId="33656B42">
            <w:pPr>
              <w:rPr>
                <w:rFonts w:hint="eastAsia" w:ascii="宋体" w:hAnsi="宋体" w:eastAsia="宋体" w:cs="宋体"/>
                <w:szCs w:val="21"/>
              </w:rPr>
            </w:pPr>
            <w:r>
              <w:rPr>
                <w:rFonts w:hint="eastAsia" w:ascii="宋体" w:hAnsi="宋体" w:eastAsia="宋体" w:cs="宋体"/>
                <w:szCs w:val="21"/>
                <w:lang w:bidi="ar"/>
              </w:rPr>
              <w:t>4.1 可应用于ECMO病人，特别是AV-ECMO状态下可实时、准确监测患者血流动力学状况。</w:t>
            </w:r>
          </w:p>
          <w:p w14:paraId="77683D56">
            <w:pPr>
              <w:rPr>
                <w:rFonts w:hint="eastAsia" w:ascii="宋体" w:hAnsi="宋体" w:eastAsia="宋体" w:cs="宋体"/>
                <w:szCs w:val="21"/>
              </w:rPr>
            </w:pPr>
            <w:r>
              <w:rPr>
                <w:rFonts w:hint="eastAsia" w:ascii="宋体" w:hAnsi="宋体" w:eastAsia="宋体" w:cs="宋体"/>
                <w:szCs w:val="21"/>
                <w:lang w:bidi="ar"/>
              </w:rPr>
              <w:t>4.2 可用于低血压患者的血流动力学监测。</w:t>
            </w:r>
          </w:p>
          <w:p w14:paraId="4A1CC528">
            <w:pPr>
              <w:rPr>
                <w:rFonts w:hint="eastAsia" w:ascii="宋体" w:hAnsi="宋体" w:eastAsia="宋体" w:cs="宋体"/>
                <w:szCs w:val="21"/>
              </w:rPr>
            </w:pPr>
            <w:r>
              <w:rPr>
                <w:rFonts w:hint="eastAsia" w:ascii="宋体" w:hAnsi="宋体" w:eastAsia="宋体" w:cs="宋体"/>
                <w:szCs w:val="21"/>
                <w:lang w:bidi="ar"/>
              </w:rPr>
              <w:t>4.3 有心电波形显示功能；并可应用于房颤等患者进行实时准确监测。</w:t>
            </w:r>
          </w:p>
          <w:p w14:paraId="7C33DEC5">
            <w:pPr>
              <w:rPr>
                <w:rFonts w:hint="eastAsia" w:ascii="宋体" w:hAnsi="宋体" w:eastAsia="宋体" w:cs="宋体"/>
                <w:szCs w:val="21"/>
              </w:rPr>
            </w:pPr>
            <w:r>
              <w:rPr>
                <w:rFonts w:hint="eastAsia" w:ascii="宋体" w:hAnsi="宋体" w:eastAsia="宋体" w:cs="宋体"/>
                <w:szCs w:val="21"/>
                <w:lang w:bidi="ar"/>
              </w:rPr>
              <w:t>4.4 可通过心电波形测量心率，而非脉搏率。</w:t>
            </w:r>
          </w:p>
          <w:p w14:paraId="571D80E5">
            <w:pPr>
              <w:rPr>
                <w:rFonts w:hint="eastAsia" w:ascii="宋体" w:hAnsi="宋体" w:eastAsia="宋体" w:cs="宋体"/>
                <w:szCs w:val="21"/>
              </w:rPr>
            </w:pPr>
            <w:r>
              <w:rPr>
                <w:rFonts w:hint="eastAsia" w:ascii="宋体" w:hAnsi="宋体" w:eastAsia="宋体" w:cs="宋体"/>
                <w:szCs w:val="21"/>
                <w:lang w:bidi="ar"/>
              </w:rPr>
              <w:t>4.5 具有心电波形ECG（标I、标II、标III）可切换功能，保障监测的准确性。</w:t>
            </w:r>
          </w:p>
          <w:p w14:paraId="4AD30095">
            <w:pPr>
              <w:rPr>
                <w:rFonts w:hint="eastAsia" w:ascii="宋体" w:hAnsi="宋体" w:eastAsia="宋体" w:cs="宋体"/>
                <w:szCs w:val="21"/>
              </w:rPr>
            </w:pPr>
            <w:r>
              <w:rPr>
                <w:rFonts w:hint="eastAsia" w:ascii="宋体" w:hAnsi="宋体" w:eastAsia="宋体" w:cs="宋体"/>
                <w:szCs w:val="21"/>
                <w:lang w:bidi="ar"/>
              </w:rPr>
              <w:t>4.6 具有通过监测主动脉血流速度指标反映患者心肌收缩力的参数。</w:t>
            </w:r>
          </w:p>
          <w:p w14:paraId="7FF71960">
            <w:pPr>
              <w:rPr>
                <w:rFonts w:hint="eastAsia" w:ascii="宋体" w:hAnsi="宋体" w:eastAsia="宋体" w:cs="宋体"/>
                <w:szCs w:val="21"/>
              </w:rPr>
            </w:pPr>
            <w:r>
              <w:rPr>
                <w:rFonts w:hint="eastAsia" w:ascii="宋体" w:hAnsi="宋体" w:eastAsia="宋体" w:cs="宋体"/>
                <w:szCs w:val="21"/>
                <w:lang w:bidi="ar"/>
              </w:rPr>
              <w:t>4.7 能提供全面评估病人血容量（前负荷）参数，指导液体复苏：</w:t>
            </w:r>
          </w:p>
          <w:p w14:paraId="0FB6FCF9">
            <w:pPr>
              <w:rPr>
                <w:rFonts w:hint="eastAsia" w:ascii="宋体" w:hAnsi="宋体" w:eastAsia="宋体" w:cs="宋体"/>
                <w:szCs w:val="21"/>
              </w:rPr>
            </w:pPr>
            <w:r>
              <w:rPr>
                <w:rFonts w:hint="eastAsia" w:ascii="宋体" w:hAnsi="宋体" w:eastAsia="宋体" w:cs="宋体"/>
                <w:szCs w:val="21"/>
                <w:lang w:bidi="ar"/>
              </w:rPr>
              <w:t>4.7.1有用于评估容量状态的前负荷指标（静态前负荷）。</w:t>
            </w:r>
          </w:p>
          <w:p w14:paraId="0D487172">
            <w:pPr>
              <w:rPr>
                <w:rFonts w:hint="eastAsia" w:ascii="宋体" w:hAnsi="宋体" w:eastAsia="宋体" w:cs="宋体"/>
                <w:szCs w:val="21"/>
              </w:rPr>
            </w:pPr>
            <w:r>
              <w:rPr>
                <w:rFonts w:hint="eastAsia" w:ascii="宋体" w:hAnsi="宋体" w:eastAsia="宋体" w:cs="宋体"/>
                <w:szCs w:val="21"/>
                <w:lang w:bidi="ar"/>
              </w:rPr>
              <w:t>4.7.2有用于评估容量反应性的前负荷指标（动态前负荷）。</w:t>
            </w:r>
          </w:p>
          <w:p w14:paraId="1CC456A4">
            <w:pPr>
              <w:rPr>
                <w:rFonts w:hint="eastAsia" w:ascii="宋体" w:hAnsi="宋体" w:eastAsia="宋体" w:cs="宋体"/>
                <w:szCs w:val="21"/>
              </w:rPr>
            </w:pPr>
            <w:r>
              <w:rPr>
                <w:rFonts w:hint="eastAsia" w:ascii="宋体" w:hAnsi="宋体" w:eastAsia="宋体" w:cs="宋体"/>
                <w:szCs w:val="21"/>
                <w:lang w:bidi="ar"/>
              </w:rPr>
              <w:t>4.8 有专门反映外周阻力（后负荷）的参数指标。</w:t>
            </w:r>
          </w:p>
          <w:p w14:paraId="7150CADC">
            <w:pPr>
              <w:rPr>
                <w:rFonts w:hint="eastAsia" w:ascii="宋体" w:hAnsi="宋体" w:eastAsia="宋体" w:cs="宋体"/>
                <w:szCs w:val="21"/>
              </w:rPr>
            </w:pPr>
            <w:r>
              <w:rPr>
                <w:rFonts w:hint="eastAsia" w:ascii="宋体" w:hAnsi="宋体" w:eastAsia="宋体" w:cs="宋体"/>
                <w:szCs w:val="21"/>
                <w:lang w:bidi="ar"/>
              </w:rPr>
              <w:t>4.9 有反映氧合功能的参数指标。</w:t>
            </w:r>
          </w:p>
          <w:p w14:paraId="50365D8E">
            <w:pPr>
              <w:rPr>
                <w:rFonts w:hint="eastAsia" w:ascii="宋体" w:hAnsi="宋体" w:eastAsia="宋体" w:cs="宋体"/>
                <w:szCs w:val="21"/>
              </w:rPr>
            </w:pPr>
            <w:r>
              <w:rPr>
                <w:rFonts w:hint="eastAsia" w:ascii="宋体" w:hAnsi="宋体" w:eastAsia="宋体" w:cs="宋体"/>
                <w:szCs w:val="21"/>
                <w:lang w:bidi="ar"/>
              </w:rPr>
              <w:t>4.10监护功能：具有心脏功能监测软件、血液动力学诊断分析软件、血压血液动力学分型软件、精准治疗指导软件、趋势分析软件等不少于5种独立监护模式；且可分屏显示。</w:t>
            </w:r>
          </w:p>
          <w:p w14:paraId="5A891B46">
            <w:pPr>
              <w:rPr>
                <w:rFonts w:hint="eastAsia" w:ascii="宋体" w:hAnsi="宋体" w:eastAsia="宋体" w:cs="宋体"/>
                <w:szCs w:val="21"/>
              </w:rPr>
            </w:pPr>
            <w:r>
              <w:rPr>
                <w:rFonts w:hint="eastAsia" w:ascii="宋体" w:hAnsi="宋体" w:eastAsia="宋体" w:cs="宋体"/>
                <w:szCs w:val="21"/>
                <w:lang w:bidi="ar"/>
              </w:rPr>
              <w:t>4.10.1心脏功能监测软件：一个屏幕由6种数据显示单元和2种波形显示单位组成，实现连续实时监护。其中BP/HR数据单元固定显示，其他数据单元可切换参数。</w:t>
            </w:r>
          </w:p>
          <w:p w14:paraId="02EE0BF5">
            <w:pPr>
              <w:rPr>
                <w:rFonts w:hint="eastAsia" w:ascii="宋体" w:hAnsi="宋体" w:eastAsia="宋体" w:cs="宋体"/>
                <w:szCs w:val="21"/>
              </w:rPr>
            </w:pPr>
            <w:r>
              <w:rPr>
                <w:rFonts w:hint="eastAsia" w:ascii="宋体" w:hAnsi="宋体" w:eastAsia="宋体" w:cs="宋体"/>
                <w:szCs w:val="21"/>
                <w:lang w:bidi="ar"/>
              </w:rPr>
              <w:t>4.10.2血液动力学诊断分析功能软件：至少由6条条形图（含正常范围数值标识及红黄绿颜色标识、报警功能）及对应参数（含中文参数名称、英文缩写，实测值四类指标）组成，显示正常与否，快速评估患者状态是否在设定范围之内。</w:t>
            </w:r>
          </w:p>
          <w:p w14:paraId="59D56E33">
            <w:pPr>
              <w:rPr>
                <w:rFonts w:hint="eastAsia" w:ascii="宋体" w:hAnsi="宋体" w:eastAsia="宋体" w:cs="宋体"/>
                <w:szCs w:val="21"/>
              </w:rPr>
            </w:pPr>
            <w:r>
              <w:rPr>
                <w:rFonts w:hint="eastAsia" w:ascii="宋体" w:hAnsi="宋体" w:eastAsia="宋体" w:cs="宋体"/>
                <w:szCs w:val="21"/>
                <w:lang w:bidi="ar"/>
              </w:rPr>
              <w:t>4.10.3血液动力学分型功能软件：</w:t>
            </w:r>
          </w:p>
          <w:p w14:paraId="3799F38F">
            <w:pPr>
              <w:rPr>
                <w:rFonts w:hint="eastAsia" w:ascii="宋体" w:hAnsi="宋体" w:eastAsia="宋体" w:cs="宋体"/>
                <w:szCs w:val="21"/>
              </w:rPr>
            </w:pPr>
            <w:r>
              <w:rPr>
                <w:rFonts w:hint="eastAsia" w:ascii="宋体" w:hAnsi="宋体" w:eastAsia="宋体" w:cs="宋体"/>
                <w:szCs w:val="21"/>
                <w:lang w:bidi="ar"/>
              </w:rPr>
              <w:t>1）CI-SVRI关系象限图；2）CI-TFC关系象限图；3）CI-ACI关系象限图；4）CI-HR关系象限图。通过四种象限图，可将高血压按照血液动力学机制分为：高阻力型；液体潴留型；高动力型；混合型等。</w:t>
            </w:r>
          </w:p>
          <w:p w14:paraId="29E02482">
            <w:pPr>
              <w:rPr>
                <w:rFonts w:hint="eastAsia" w:ascii="宋体" w:hAnsi="宋体" w:eastAsia="宋体" w:cs="宋体"/>
                <w:szCs w:val="21"/>
              </w:rPr>
            </w:pPr>
            <w:r>
              <w:rPr>
                <w:rFonts w:hint="eastAsia" w:ascii="宋体" w:hAnsi="宋体" w:eastAsia="宋体" w:cs="宋体"/>
                <w:szCs w:val="21"/>
                <w:lang w:bidi="ar"/>
              </w:rPr>
              <w:t>4.10.4精准治疗指导功能软件：</w:t>
            </w:r>
          </w:p>
          <w:p w14:paraId="00200346">
            <w:pPr>
              <w:rPr>
                <w:rFonts w:hint="eastAsia" w:ascii="宋体" w:hAnsi="宋体" w:eastAsia="宋体" w:cs="宋体"/>
                <w:szCs w:val="21"/>
              </w:rPr>
            </w:pPr>
            <w:r>
              <w:rPr>
                <w:rFonts w:hint="eastAsia" w:ascii="宋体" w:hAnsi="宋体" w:eastAsia="宋体" w:cs="宋体"/>
                <w:szCs w:val="21"/>
                <w:lang w:bidi="ar"/>
              </w:rPr>
              <w:t>通过SI\SVRI\MAP\LCWI四个参数共同设置一个正常区，不同区域反映不同的血液动力学状态，显示患者指标是否处于正常范围，方便快捷地指导治疗。</w:t>
            </w:r>
          </w:p>
          <w:p w14:paraId="3525E89D">
            <w:pPr>
              <w:rPr>
                <w:rFonts w:hint="eastAsia" w:ascii="宋体" w:hAnsi="宋体" w:eastAsia="宋体" w:cs="宋体"/>
                <w:szCs w:val="21"/>
              </w:rPr>
            </w:pPr>
            <w:r>
              <w:rPr>
                <w:rFonts w:hint="eastAsia" w:ascii="宋体" w:hAnsi="宋体" w:eastAsia="宋体" w:cs="宋体"/>
                <w:szCs w:val="21"/>
                <w:lang w:bidi="ar"/>
              </w:rPr>
              <w:t>4.10.5 趋势分析功能软件：持续显示二参数的变化趋势，反映患者病情进展及治疗效果。</w:t>
            </w:r>
          </w:p>
          <w:p w14:paraId="1E2D114D">
            <w:pPr>
              <w:rPr>
                <w:rFonts w:hint="eastAsia" w:ascii="宋体" w:hAnsi="宋体" w:eastAsia="宋体" w:cs="宋体"/>
                <w:szCs w:val="21"/>
              </w:rPr>
            </w:pPr>
            <w:r>
              <w:rPr>
                <w:rFonts w:hint="eastAsia" w:ascii="宋体" w:hAnsi="宋体" w:eastAsia="宋体" w:cs="宋体"/>
                <w:szCs w:val="21"/>
                <w:lang w:bidi="ar"/>
              </w:rPr>
              <w:t xml:space="preserve">4.11报告功能：允许用户自选A4或B5（自选）等打印纸的血液动力学报告。                     </w:t>
            </w:r>
          </w:p>
          <w:p w14:paraId="6448C84D">
            <w:pPr>
              <w:rPr>
                <w:rFonts w:hint="eastAsia" w:ascii="宋体" w:hAnsi="宋体" w:eastAsia="宋体" w:cs="宋体"/>
                <w:szCs w:val="21"/>
              </w:rPr>
            </w:pPr>
            <w:r>
              <w:rPr>
                <w:rFonts w:hint="eastAsia" w:ascii="宋体" w:hAnsi="宋体" w:eastAsia="宋体" w:cs="宋体"/>
                <w:szCs w:val="21"/>
                <w:lang w:bidi="ar"/>
              </w:rPr>
              <w:t>4.11.1报告种类：提供不少于三种独立的报告格式，包括：1）心脏功能血液动力学状态报告；2）血压血液动力学分型分析报告；3）高血压精准治疗分析报告等。</w:t>
            </w:r>
          </w:p>
          <w:p w14:paraId="32E4264A">
            <w:pPr>
              <w:rPr>
                <w:rFonts w:hint="eastAsia" w:ascii="宋体" w:hAnsi="宋体" w:eastAsia="宋体" w:cs="宋体"/>
                <w:szCs w:val="21"/>
              </w:rPr>
            </w:pPr>
            <w:r>
              <w:rPr>
                <w:rFonts w:hint="eastAsia" w:ascii="宋体" w:hAnsi="宋体" w:eastAsia="宋体" w:cs="宋体"/>
                <w:szCs w:val="21"/>
                <w:lang w:bidi="ar"/>
              </w:rPr>
              <w:t xml:space="preserve">4.11.2心脏功能血液动力学状态报告含不少于15条血液动力学参数条形图，反映正常值范围及测量数据是否正常。                    </w:t>
            </w:r>
          </w:p>
          <w:p w14:paraId="63CFD4BF">
            <w:pPr>
              <w:rPr>
                <w:rFonts w:hint="eastAsia" w:ascii="宋体" w:hAnsi="宋体" w:eastAsia="宋体" w:cs="宋体"/>
                <w:szCs w:val="21"/>
              </w:rPr>
            </w:pPr>
            <w:r>
              <w:rPr>
                <w:rFonts w:hint="eastAsia" w:ascii="宋体" w:hAnsi="宋体" w:eastAsia="宋体" w:cs="宋体"/>
                <w:szCs w:val="21"/>
                <w:lang w:bidi="ar"/>
              </w:rPr>
              <w:t>4.11.3可提供不少于四种体位的血液动力学状态报告，分别为：1）端坐位；2）平卧位；3）半卧位；4）被动抬腿位。</w:t>
            </w:r>
          </w:p>
          <w:p w14:paraId="04997480">
            <w:pPr>
              <w:rPr>
                <w:rFonts w:hint="eastAsia" w:ascii="宋体" w:hAnsi="宋体" w:eastAsia="宋体" w:cs="宋体"/>
                <w:szCs w:val="21"/>
              </w:rPr>
            </w:pPr>
            <w:r>
              <w:rPr>
                <w:rFonts w:hint="eastAsia" w:ascii="宋体" w:hAnsi="宋体" w:eastAsia="宋体" w:cs="宋体"/>
                <w:szCs w:val="21"/>
                <w:lang w:bidi="ar"/>
              </w:rPr>
              <w:t>4.11.4具有高血压心脏功能血液动力学状态报告分析功能。</w:t>
            </w:r>
          </w:p>
          <w:p w14:paraId="70A67E93">
            <w:pPr>
              <w:rPr>
                <w:rFonts w:hint="eastAsia" w:ascii="宋体" w:hAnsi="宋体" w:eastAsia="宋体" w:cs="宋体"/>
                <w:szCs w:val="21"/>
              </w:rPr>
            </w:pPr>
            <w:r>
              <w:rPr>
                <w:rFonts w:hint="eastAsia" w:ascii="宋体" w:hAnsi="宋体" w:eastAsia="宋体" w:cs="宋体"/>
                <w:szCs w:val="21"/>
                <w:lang w:bidi="ar"/>
              </w:rPr>
              <w:t>★4.11.5具有专门的血压血液动力学分型分析报告。</w:t>
            </w:r>
          </w:p>
          <w:p w14:paraId="7F59DF08">
            <w:pPr>
              <w:rPr>
                <w:rFonts w:hint="eastAsia" w:ascii="宋体" w:hAnsi="宋体" w:eastAsia="宋体" w:cs="宋体"/>
                <w:szCs w:val="21"/>
              </w:rPr>
            </w:pPr>
            <w:r>
              <w:rPr>
                <w:rFonts w:hint="eastAsia" w:ascii="宋体" w:hAnsi="宋体" w:eastAsia="宋体" w:cs="宋体"/>
                <w:szCs w:val="21"/>
                <w:lang w:bidi="ar"/>
              </w:rPr>
              <w:t>4.12 回顾功能：允许用户可以通过病人姓名和序列号及监测时间等多种方式回顾病人记录。</w:t>
            </w:r>
          </w:p>
          <w:p w14:paraId="3422F2B9">
            <w:pPr>
              <w:rPr>
                <w:rFonts w:hint="eastAsia" w:ascii="宋体" w:hAnsi="宋体" w:eastAsia="宋体" w:cs="宋体"/>
                <w:szCs w:val="21"/>
              </w:rPr>
            </w:pPr>
            <w:r>
              <w:rPr>
                <w:rFonts w:hint="eastAsia" w:ascii="宋体" w:hAnsi="宋体" w:eastAsia="宋体" w:cs="宋体"/>
                <w:szCs w:val="21"/>
                <w:lang w:bidi="ar"/>
              </w:rPr>
              <w:t>★4.13具有监测过程中实时回顾功能。</w:t>
            </w:r>
          </w:p>
          <w:p w14:paraId="0B9AA0DD">
            <w:pPr>
              <w:rPr>
                <w:rFonts w:hint="eastAsia" w:ascii="宋体" w:hAnsi="宋体" w:eastAsia="宋体" w:cs="宋体"/>
                <w:szCs w:val="21"/>
              </w:rPr>
            </w:pPr>
            <w:r>
              <w:rPr>
                <w:rFonts w:hint="eastAsia" w:ascii="宋体" w:hAnsi="宋体" w:eastAsia="宋体" w:cs="宋体"/>
                <w:szCs w:val="21"/>
                <w:lang w:bidi="ar"/>
              </w:rPr>
              <w:t>4.14 可接入血液动力学数据分析处理工作站。</w:t>
            </w:r>
          </w:p>
          <w:p w14:paraId="71C94530">
            <w:pPr>
              <w:rPr>
                <w:rFonts w:hint="eastAsia" w:ascii="宋体" w:hAnsi="宋体" w:eastAsia="宋体" w:cs="宋体"/>
                <w:szCs w:val="21"/>
              </w:rPr>
            </w:pPr>
            <w:r>
              <w:rPr>
                <w:rFonts w:hint="eastAsia" w:ascii="宋体" w:hAnsi="宋体" w:eastAsia="宋体" w:cs="宋体"/>
                <w:szCs w:val="21"/>
                <w:lang w:bidi="ar"/>
              </w:rPr>
              <w:t>4.15 允许客户与医院HIS系统对接。</w:t>
            </w:r>
          </w:p>
          <w:p w14:paraId="6D278A2A">
            <w:pPr>
              <w:rPr>
                <w:rFonts w:hint="eastAsia" w:ascii="宋体" w:hAnsi="宋体" w:eastAsia="宋体" w:cs="宋体"/>
                <w:szCs w:val="21"/>
              </w:rPr>
            </w:pPr>
            <w:r>
              <w:rPr>
                <w:rFonts w:hint="eastAsia" w:ascii="宋体" w:hAnsi="宋体" w:eastAsia="宋体" w:cs="宋体"/>
                <w:szCs w:val="21"/>
                <w:lang w:bidi="ar"/>
              </w:rPr>
              <w:t>4.16 允许对软件进行云端升级。</w:t>
            </w:r>
          </w:p>
          <w:p w14:paraId="06E75A24">
            <w:pPr>
              <w:rPr>
                <w:rFonts w:hint="eastAsia" w:ascii="宋体" w:hAnsi="宋体" w:eastAsia="宋体" w:cs="宋体"/>
                <w:szCs w:val="21"/>
              </w:rPr>
            </w:pPr>
            <w:r>
              <w:rPr>
                <w:rFonts w:hint="eastAsia" w:ascii="宋体" w:hAnsi="宋体" w:eastAsia="宋体" w:cs="宋体"/>
                <w:szCs w:val="21"/>
                <w:lang w:bidi="ar"/>
              </w:rPr>
              <w:t>5</w:t>
            </w:r>
            <w:r>
              <w:rPr>
                <w:rFonts w:hint="eastAsia" w:ascii="宋体" w:hAnsi="宋体" w:eastAsia="宋体" w:cs="宋体"/>
                <w:szCs w:val="21"/>
                <w:lang w:bidi="ar"/>
              </w:rPr>
              <w:tab/>
            </w:r>
            <w:r>
              <w:rPr>
                <w:rFonts w:hint="eastAsia" w:ascii="宋体" w:hAnsi="宋体" w:eastAsia="宋体" w:cs="宋体"/>
                <w:szCs w:val="21"/>
                <w:lang w:bidi="ar"/>
              </w:rPr>
              <w:t>监测参数：</w:t>
            </w:r>
          </w:p>
          <w:p w14:paraId="31938248">
            <w:pPr>
              <w:rPr>
                <w:rFonts w:hint="eastAsia" w:ascii="宋体" w:hAnsi="宋体" w:eastAsia="宋体" w:cs="宋体"/>
                <w:szCs w:val="21"/>
              </w:rPr>
            </w:pPr>
            <w:r>
              <w:rPr>
                <w:rFonts w:hint="eastAsia" w:ascii="宋体" w:hAnsi="宋体" w:eastAsia="宋体" w:cs="宋体"/>
                <w:szCs w:val="21"/>
                <w:lang w:bidi="ar"/>
              </w:rPr>
              <w:t>5.1</w:t>
            </w:r>
            <w:r>
              <w:rPr>
                <w:rFonts w:hint="eastAsia" w:ascii="宋体" w:hAnsi="宋体" w:eastAsia="宋体" w:cs="宋体"/>
                <w:szCs w:val="21"/>
                <w:lang w:bidi="ar"/>
              </w:rPr>
              <w:tab/>
            </w:r>
            <w:r>
              <w:rPr>
                <w:rFonts w:hint="eastAsia" w:ascii="宋体" w:hAnsi="宋体" w:eastAsia="宋体" w:cs="宋体"/>
                <w:szCs w:val="21"/>
                <w:lang w:bidi="ar"/>
              </w:rPr>
              <w:t xml:space="preserve">心输出量（CO）； </w:t>
            </w:r>
          </w:p>
          <w:p w14:paraId="19BA16FE">
            <w:pPr>
              <w:rPr>
                <w:rFonts w:hint="eastAsia" w:ascii="宋体" w:hAnsi="宋体" w:eastAsia="宋体" w:cs="宋体"/>
                <w:szCs w:val="21"/>
              </w:rPr>
            </w:pPr>
            <w:r>
              <w:rPr>
                <w:rFonts w:hint="eastAsia" w:ascii="宋体" w:hAnsi="宋体" w:eastAsia="宋体" w:cs="宋体"/>
                <w:szCs w:val="21"/>
                <w:lang w:bidi="ar"/>
              </w:rPr>
              <w:t>5.2</w:t>
            </w:r>
            <w:r>
              <w:rPr>
                <w:rFonts w:hint="eastAsia" w:ascii="宋体" w:hAnsi="宋体" w:eastAsia="宋体" w:cs="宋体"/>
                <w:szCs w:val="21"/>
                <w:lang w:bidi="ar"/>
              </w:rPr>
              <w:tab/>
            </w:r>
            <w:r>
              <w:rPr>
                <w:rFonts w:hint="eastAsia" w:ascii="宋体" w:hAnsi="宋体" w:eastAsia="宋体" w:cs="宋体"/>
                <w:szCs w:val="21"/>
                <w:lang w:bidi="ar"/>
              </w:rPr>
              <w:t xml:space="preserve">心脏指数（CI）； </w:t>
            </w:r>
          </w:p>
          <w:p w14:paraId="51B381E9">
            <w:pPr>
              <w:rPr>
                <w:rFonts w:hint="eastAsia" w:ascii="宋体" w:hAnsi="宋体" w:eastAsia="宋体" w:cs="宋体"/>
                <w:szCs w:val="21"/>
              </w:rPr>
            </w:pPr>
            <w:r>
              <w:rPr>
                <w:rFonts w:hint="eastAsia" w:ascii="宋体" w:hAnsi="宋体" w:eastAsia="宋体" w:cs="宋体"/>
                <w:szCs w:val="21"/>
                <w:lang w:bidi="ar"/>
              </w:rPr>
              <w:t>5.3</w:t>
            </w:r>
            <w:r>
              <w:rPr>
                <w:rFonts w:hint="eastAsia" w:ascii="宋体" w:hAnsi="宋体" w:eastAsia="宋体" w:cs="宋体"/>
                <w:szCs w:val="21"/>
                <w:lang w:bidi="ar"/>
              </w:rPr>
              <w:tab/>
            </w:r>
            <w:r>
              <w:rPr>
                <w:rFonts w:hint="eastAsia" w:ascii="宋体" w:hAnsi="宋体" w:eastAsia="宋体" w:cs="宋体"/>
                <w:szCs w:val="21"/>
                <w:lang w:bidi="ar"/>
              </w:rPr>
              <w:t>每搏输出量（SV）；</w:t>
            </w:r>
          </w:p>
          <w:p w14:paraId="55376AC2">
            <w:pPr>
              <w:rPr>
                <w:rFonts w:hint="eastAsia" w:ascii="宋体" w:hAnsi="宋体" w:eastAsia="宋体" w:cs="宋体"/>
                <w:szCs w:val="21"/>
              </w:rPr>
            </w:pPr>
            <w:r>
              <w:rPr>
                <w:rFonts w:hint="eastAsia" w:ascii="宋体" w:hAnsi="宋体" w:eastAsia="宋体" w:cs="宋体"/>
                <w:szCs w:val="21"/>
                <w:lang w:bidi="ar"/>
              </w:rPr>
              <w:t>5.4</w:t>
            </w:r>
            <w:r>
              <w:rPr>
                <w:rFonts w:hint="eastAsia" w:ascii="宋体" w:hAnsi="宋体" w:eastAsia="宋体" w:cs="宋体"/>
                <w:szCs w:val="21"/>
                <w:lang w:bidi="ar"/>
              </w:rPr>
              <w:tab/>
            </w:r>
            <w:r>
              <w:rPr>
                <w:rFonts w:hint="eastAsia" w:ascii="宋体" w:hAnsi="宋体" w:eastAsia="宋体" w:cs="宋体"/>
                <w:szCs w:val="21"/>
                <w:lang w:bidi="ar"/>
              </w:rPr>
              <w:t>每搏指数（SVI）</w:t>
            </w:r>
          </w:p>
          <w:p w14:paraId="1F025193">
            <w:pPr>
              <w:rPr>
                <w:rFonts w:hint="eastAsia" w:ascii="宋体" w:hAnsi="宋体" w:eastAsia="宋体" w:cs="宋体"/>
                <w:szCs w:val="21"/>
              </w:rPr>
            </w:pPr>
            <w:r>
              <w:rPr>
                <w:rFonts w:hint="eastAsia" w:ascii="宋体" w:hAnsi="宋体" w:eastAsia="宋体" w:cs="宋体"/>
                <w:szCs w:val="21"/>
                <w:lang w:bidi="ar"/>
              </w:rPr>
              <w:t>5.5</w:t>
            </w:r>
            <w:r>
              <w:rPr>
                <w:rFonts w:hint="eastAsia" w:ascii="宋体" w:hAnsi="宋体" w:eastAsia="宋体" w:cs="宋体"/>
                <w:szCs w:val="21"/>
                <w:lang w:bidi="ar"/>
              </w:rPr>
              <w:tab/>
            </w:r>
            <w:r>
              <w:rPr>
                <w:rFonts w:hint="eastAsia" w:ascii="宋体" w:hAnsi="宋体" w:eastAsia="宋体" w:cs="宋体"/>
                <w:szCs w:val="21"/>
                <w:lang w:bidi="ar"/>
              </w:rPr>
              <w:t>胸液水平（TFC）</w:t>
            </w:r>
          </w:p>
          <w:p w14:paraId="6BD22B49">
            <w:pPr>
              <w:rPr>
                <w:rFonts w:hint="eastAsia" w:ascii="宋体" w:hAnsi="宋体" w:eastAsia="宋体" w:cs="宋体"/>
                <w:szCs w:val="21"/>
              </w:rPr>
            </w:pPr>
            <w:r>
              <w:rPr>
                <w:rFonts w:hint="eastAsia" w:ascii="宋体" w:hAnsi="宋体" w:eastAsia="宋体" w:cs="宋体"/>
                <w:szCs w:val="21"/>
                <w:lang w:bidi="ar"/>
              </w:rPr>
              <w:t>5.6</w:t>
            </w:r>
            <w:r>
              <w:rPr>
                <w:rFonts w:hint="eastAsia" w:ascii="宋体" w:hAnsi="宋体" w:eastAsia="宋体" w:cs="宋体"/>
                <w:szCs w:val="21"/>
                <w:lang w:bidi="ar"/>
              </w:rPr>
              <w:tab/>
            </w:r>
            <w:r>
              <w:rPr>
                <w:rFonts w:hint="eastAsia" w:ascii="宋体" w:hAnsi="宋体" w:eastAsia="宋体" w:cs="宋体"/>
                <w:szCs w:val="21"/>
                <w:lang w:bidi="ar"/>
              </w:rPr>
              <w:t>加速度指数（ACI）</w:t>
            </w:r>
          </w:p>
          <w:p w14:paraId="16982836">
            <w:pPr>
              <w:rPr>
                <w:rFonts w:hint="eastAsia" w:ascii="宋体" w:hAnsi="宋体" w:eastAsia="宋体" w:cs="宋体"/>
                <w:szCs w:val="21"/>
              </w:rPr>
            </w:pPr>
            <w:r>
              <w:rPr>
                <w:rFonts w:hint="eastAsia" w:ascii="宋体" w:hAnsi="宋体" w:eastAsia="宋体" w:cs="宋体"/>
                <w:szCs w:val="21"/>
                <w:lang w:bidi="ar"/>
              </w:rPr>
              <w:t>5.7</w:t>
            </w:r>
            <w:r>
              <w:rPr>
                <w:rFonts w:hint="eastAsia" w:ascii="宋体" w:hAnsi="宋体" w:eastAsia="宋体" w:cs="宋体"/>
                <w:szCs w:val="21"/>
                <w:lang w:bidi="ar"/>
              </w:rPr>
              <w:tab/>
            </w:r>
            <w:r>
              <w:rPr>
                <w:rFonts w:hint="eastAsia" w:ascii="宋体" w:hAnsi="宋体" w:eastAsia="宋体" w:cs="宋体"/>
                <w:szCs w:val="21"/>
                <w:lang w:bidi="ar"/>
              </w:rPr>
              <w:t>速度指数（VI）</w:t>
            </w:r>
          </w:p>
          <w:p w14:paraId="47A55927">
            <w:pPr>
              <w:rPr>
                <w:rFonts w:hint="eastAsia" w:ascii="宋体" w:hAnsi="宋体" w:eastAsia="宋体" w:cs="宋体"/>
                <w:szCs w:val="21"/>
              </w:rPr>
            </w:pPr>
            <w:r>
              <w:rPr>
                <w:rFonts w:hint="eastAsia" w:ascii="宋体" w:hAnsi="宋体" w:eastAsia="宋体" w:cs="宋体"/>
                <w:szCs w:val="21"/>
                <w:lang w:bidi="ar"/>
              </w:rPr>
              <w:t>5.8</w:t>
            </w:r>
            <w:r>
              <w:rPr>
                <w:rFonts w:hint="eastAsia" w:ascii="宋体" w:hAnsi="宋体" w:eastAsia="宋体" w:cs="宋体"/>
                <w:szCs w:val="21"/>
                <w:lang w:bidi="ar"/>
              </w:rPr>
              <w:tab/>
            </w:r>
            <w:r>
              <w:rPr>
                <w:rFonts w:hint="eastAsia" w:ascii="宋体" w:hAnsi="宋体" w:eastAsia="宋体" w:cs="宋体"/>
                <w:szCs w:val="21"/>
                <w:lang w:bidi="ar"/>
              </w:rPr>
              <w:t xml:space="preserve">外周血管阻力（SVR）    </w:t>
            </w:r>
          </w:p>
          <w:p w14:paraId="5715E14D">
            <w:pPr>
              <w:rPr>
                <w:rFonts w:hint="eastAsia" w:ascii="宋体" w:hAnsi="宋体" w:eastAsia="宋体" w:cs="宋体"/>
                <w:szCs w:val="21"/>
              </w:rPr>
            </w:pPr>
            <w:r>
              <w:rPr>
                <w:rFonts w:hint="eastAsia" w:ascii="宋体" w:hAnsi="宋体" w:eastAsia="宋体" w:cs="宋体"/>
                <w:szCs w:val="21"/>
                <w:lang w:bidi="ar"/>
              </w:rPr>
              <w:t>5.9</w:t>
            </w:r>
            <w:r>
              <w:rPr>
                <w:rFonts w:hint="eastAsia" w:ascii="宋体" w:hAnsi="宋体" w:eastAsia="宋体" w:cs="宋体"/>
                <w:szCs w:val="21"/>
                <w:lang w:bidi="ar"/>
              </w:rPr>
              <w:tab/>
            </w:r>
            <w:r>
              <w:rPr>
                <w:rFonts w:hint="eastAsia" w:ascii="宋体" w:hAnsi="宋体" w:eastAsia="宋体" w:cs="宋体"/>
                <w:szCs w:val="21"/>
                <w:lang w:bidi="ar"/>
              </w:rPr>
              <w:t>外周血管阻力指数（SVRI）</w:t>
            </w:r>
          </w:p>
          <w:p w14:paraId="4D153209">
            <w:pPr>
              <w:rPr>
                <w:rFonts w:hint="eastAsia" w:ascii="宋体" w:hAnsi="宋体" w:eastAsia="宋体" w:cs="宋体"/>
                <w:szCs w:val="21"/>
              </w:rPr>
            </w:pPr>
            <w:r>
              <w:rPr>
                <w:rFonts w:hint="eastAsia" w:ascii="宋体" w:hAnsi="宋体" w:eastAsia="宋体" w:cs="宋体"/>
                <w:szCs w:val="21"/>
                <w:lang w:bidi="ar"/>
              </w:rPr>
              <w:t>5.10 左心做功（LCW）</w:t>
            </w:r>
          </w:p>
          <w:p w14:paraId="691CE246">
            <w:pPr>
              <w:rPr>
                <w:rFonts w:hint="eastAsia" w:ascii="宋体" w:hAnsi="宋体" w:eastAsia="宋体" w:cs="宋体"/>
                <w:szCs w:val="21"/>
              </w:rPr>
            </w:pPr>
            <w:r>
              <w:rPr>
                <w:rFonts w:hint="eastAsia" w:ascii="宋体" w:hAnsi="宋体" w:eastAsia="宋体" w:cs="宋体"/>
                <w:szCs w:val="21"/>
                <w:lang w:bidi="ar"/>
              </w:rPr>
              <w:t>5.11 左心做功指数（LCWI）</w:t>
            </w:r>
          </w:p>
          <w:p w14:paraId="669BF11D">
            <w:pPr>
              <w:rPr>
                <w:rFonts w:hint="eastAsia" w:ascii="宋体" w:hAnsi="宋体" w:eastAsia="宋体" w:cs="宋体"/>
                <w:szCs w:val="21"/>
              </w:rPr>
            </w:pPr>
            <w:r>
              <w:rPr>
                <w:rFonts w:hint="eastAsia" w:ascii="宋体" w:hAnsi="宋体" w:eastAsia="宋体" w:cs="宋体"/>
                <w:szCs w:val="21"/>
                <w:lang w:bidi="ar"/>
              </w:rPr>
              <w:t>5.12 射血前期（PEP）</w:t>
            </w:r>
          </w:p>
          <w:p w14:paraId="2DB24C13">
            <w:pPr>
              <w:rPr>
                <w:rFonts w:hint="eastAsia" w:ascii="宋体" w:hAnsi="宋体" w:eastAsia="宋体" w:cs="宋体"/>
                <w:szCs w:val="21"/>
              </w:rPr>
            </w:pPr>
            <w:r>
              <w:rPr>
                <w:rFonts w:hint="eastAsia" w:ascii="宋体" w:hAnsi="宋体" w:eastAsia="宋体" w:cs="宋体"/>
                <w:szCs w:val="21"/>
                <w:lang w:bidi="ar"/>
              </w:rPr>
              <w:t>5.13 左室射血时间（LVET）</w:t>
            </w:r>
          </w:p>
          <w:p w14:paraId="16AF6943">
            <w:pPr>
              <w:rPr>
                <w:rFonts w:hint="eastAsia" w:ascii="宋体" w:hAnsi="宋体" w:eastAsia="宋体" w:cs="宋体"/>
                <w:szCs w:val="21"/>
              </w:rPr>
            </w:pPr>
            <w:r>
              <w:rPr>
                <w:rFonts w:hint="eastAsia" w:ascii="宋体" w:hAnsi="宋体" w:eastAsia="宋体" w:cs="宋体"/>
                <w:szCs w:val="21"/>
                <w:lang w:bidi="ar"/>
              </w:rPr>
              <w:t>5.14 收缩时间比率（STR）</w:t>
            </w:r>
          </w:p>
          <w:p w14:paraId="4CC4CE46">
            <w:pPr>
              <w:rPr>
                <w:rFonts w:hint="eastAsia" w:ascii="宋体" w:hAnsi="宋体" w:eastAsia="宋体" w:cs="宋体"/>
                <w:szCs w:val="21"/>
              </w:rPr>
            </w:pPr>
            <w:r>
              <w:rPr>
                <w:rFonts w:hint="eastAsia" w:ascii="宋体" w:hAnsi="宋体" w:eastAsia="宋体" w:cs="宋体"/>
                <w:szCs w:val="21"/>
                <w:lang w:bidi="ar"/>
              </w:rPr>
              <w:t>5.15 每搏变异率（SVV）</w:t>
            </w:r>
          </w:p>
          <w:p w14:paraId="75CF20A5">
            <w:pPr>
              <w:rPr>
                <w:rFonts w:hint="eastAsia" w:ascii="宋体" w:hAnsi="宋体" w:eastAsia="宋体" w:cs="宋体"/>
                <w:szCs w:val="21"/>
              </w:rPr>
            </w:pPr>
            <w:r>
              <w:rPr>
                <w:rFonts w:hint="eastAsia" w:ascii="宋体" w:hAnsi="宋体" w:eastAsia="宋体" w:cs="宋体"/>
                <w:szCs w:val="21"/>
                <w:lang w:bidi="ar"/>
              </w:rPr>
              <w:t>5.16 血氧饱和度（SPO2）</w:t>
            </w:r>
          </w:p>
          <w:p w14:paraId="426650FA">
            <w:pPr>
              <w:rPr>
                <w:rFonts w:hint="eastAsia" w:ascii="宋体" w:hAnsi="宋体" w:eastAsia="宋体" w:cs="宋体"/>
                <w:szCs w:val="21"/>
              </w:rPr>
            </w:pPr>
            <w:r>
              <w:rPr>
                <w:rFonts w:hint="eastAsia" w:ascii="宋体" w:hAnsi="宋体" w:eastAsia="宋体" w:cs="宋体"/>
                <w:szCs w:val="21"/>
                <w:lang w:bidi="ar"/>
              </w:rPr>
              <w:t>5.17  血压（NIBP）（SBP/DBP/MAP）</w:t>
            </w:r>
          </w:p>
          <w:p w14:paraId="5ED91758">
            <w:pPr>
              <w:rPr>
                <w:rFonts w:hint="eastAsia" w:ascii="宋体" w:hAnsi="宋体" w:eastAsia="宋体" w:cs="宋体"/>
                <w:szCs w:val="21"/>
              </w:rPr>
            </w:pPr>
            <w:r>
              <w:rPr>
                <w:rFonts w:hint="eastAsia" w:ascii="宋体" w:hAnsi="宋体" w:eastAsia="宋体" w:cs="宋体"/>
                <w:szCs w:val="21"/>
                <w:lang w:bidi="ar"/>
              </w:rPr>
              <w:t>5.18  脉压差（PP）</w:t>
            </w:r>
          </w:p>
          <w:p w14:paraId="209042A9">
            <w:pPr>
              <w:rPr>
                <w:rFonts w:hint="eastAsia" w:ascii="宋体" w:hAnsi="宋体" w:eastAsia="宋体" w:cs="宋体"/>
                <w:szCs w:val="21"/>
              </w:rPr>
            </w:pPr>
            <w:r>
              <w:rPr>
                <w:rFonts w:hint="eastAsia" w:ascii="宋体" w:hAnsi="宋体" w:eastAsia="宋体" w:cs="宋体"/>
                <w:szCs w:val="21"/>
                <w:lang w:bidi="ar"/>
              </w:rPr>
              <w:t>5.19  体脂指数（BMI）</w:t>
            </w:r>
          </w:p>
          <w:p w14:paraId="1106D3C3">
            <w:pPr>
              <w:rPr>
                <w:rFonts w:hint="eastAsia" w:ascii="宋体" w:hAnsi="宋体" w:eastAsia="宋体" w:cs="宋体"/>
                <w:szCs w:val="21"/>
              </w:rPr>
            </w:pPr>
            <w:r>
              <w:rPr>
                <w:rFonts w:hint="eastAsia" w:ascii="宋体" w:hAnsi="宋体" w:eastAsia="宋体" w:cs="宋体"/>
                <w:szCs w:val="21"/>
                <w:lang w:bidi="ar"/>
              </w:rPr>
              <w:t>5.20  脉率（PR）</w:t>
            </w:r>
          </w:p>
          <w:p w14:paraId="564E57FD">
            <w:pPr>
              <w:rPr>
                <w:rFonts w:hint="eastAsia" w:ascii="宋体" w:hAnsi="宋体" w:eastAsia="宋体" w:cs="宋体"/>
                <w:szCs w:val="21"/>
              </w:rPr>
            </w:pPr>
            <w:r>
              <w:rPr>
                <w:rFonts w:hint="eastAsia" w:ascii="宋体" w:hAnsi="宋体" w:eastAsia="宋体" w:cs="宋体"/>
                <w:szCs w:val="21"/>
                <w:lang w:bidi="ar"/>
              </w:rPr>
              <w:t>5.21  心率（HR）</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7C611EB2">
            <w:pPr>
              <w:jc w:val="center"/>
              <w:rPr>
                <w:rFonts w:hint="eastAsia" w:ascii="宋体" w:hAnsi="宋体" w:eastAsia="宋体" w:cs="宋体"/>
                <w:szCs w:val="21"/>
              </w:rPr>
            </w:pPr>
            <w:r>
              <w:rPr>
                <w:rFonts w:hint="eastAsia" w:ascii="宋体" w:hAnsi="宋体" w:eastAsia="宋体" w:cs="宋体"/>
                <w:szCs w:val="21"/>
              </w:rPr>
              <w:t>55.00</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5FF5B1EE">
            <w:pPr>
              <w:widowControl/>
              <w:shd w:val="clear" w:color="auto" w:fill="FFFFFF"/>
              <w:spacing w:line="360" w:lineRule="auto"/>
              <w:jc w:val="center"/>
              <w:rPr>
                <w:rFonts w:hint="eastAsia" w:ascii="宋体" w:hAnsi="宋体" w:eastAsia="宋体" w:cs="宋体"/>
                <w:szCs w:val="21"/>
              </w:rPr>
            </w:pPr>
            <w:r>
              <w:rPr>
                <w:rFonts w:hint="eastAsia" w:ascii="宋体" w:hAnsi="宋体" w:eastAsia="宋体" w:cs="宋体"/>
                <w:szCs w:val="21"/>
              </w:rPr>
              <w:t>工业</w:t>
            </w:r>
          </w:p>
        </w:tc>
      </w:tr>
      <w:tr w14:paraId="2A774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 w:hRule="atLeast"/>
          <w:jc w:val="center"/>
        </w:trPr>
        <w:tc>
          <w:tcPr>
            <w:tcW w:w="428" w:type="dxa"/>
            <w:vMerge w:val="continue"/>
            <w:tcBorders>
              <w:left w:val="single" w:color="auto" w:sz="4" w:space="0"/>
              <w:right w:val="single" w:color="auto" w:sz="4" w:space="0"/>
            </w:tcBorders>
            <w:noWrap w:val="0"/>
            <w:vAlign w:val="center"/>
          </w:tcPr>
          <w:p w14:paraId="628E2509">
            <w:pPr>
              <w:widowControl/>
              <w:shd w:val="clear" w:color="auto" w:fill="FFFFFF"/>
              <w:spacing w:line="360" w:lineRule="auto"/>
              <w:ind w:firstLine="420" w:firstLineChars="200"/>
              <w:rPr>
                <w:rFonts w:hint="eastAsia" w:ascii="宋体" w:hAnsi="宋体" w:eastAsia="宋体" w:cs="宋体"/>
                <w:szCs w:val="21"/>
              </w:rPr>
            </w:pPr>
          </w:p>
        </w:tc>
        <w:tc>
          <w:tcPr>
            <w:tcW w:w="453" w:type="dxa"/>
            <w:tcBorders>
              <w:top w:val="single" w:color="auto" w:sz="4" w:space="0"/>
              <w:left w:val="single" w:color="auto" w:sz="4" w:space="0"/>
              <w:bottom w:val="single" w:color="auto" w:sz="4" w:space="0"/>
              <w:right w:val="single" w:color="auto" w:sz="4" w:space="0"/>
            </w:tcBorders>
            <w:noWrap w:val="0"/>
            <w:vAlign w:val="center"/>
          </w:tcPr>
          <w:p w14:paraId="290E5174">
            <w:pPr>
              <w:widowControl/>
              <w:shd w:val="clear" w:color="auto" w:fill="FFFFFF"/>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18E24333">
            <w:pPr>
              <w:widowControl/>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三维电生理标测系统</w:t>
            </w:r>
          </w:p>
        </w:tc>
        <w:tc>
          <w:tcPr>
            <w:tcW w:w="473" w:type="dxa"/>
            <w:tcBorders>
              <w:top w:val="single" w:color="auto" w:sz="4" w:space="0"/>
              <w:left w:val="single" w:color="auto" w:sz="4" w:space="0"/>
              <w:bottom w:val="single" w:color="auto" w:sz="4" w:space="0"/>
              <w:right w:val="single" w:color="auto" w:sz="4" w:space="0"/>
            </w:tcBorders>
            <w:noWrap w:val="0"/>
            <w:vAlign w:val="center"/>
          </w:tcPr>
          <w:p w14:paraId="566BAB32">
            <w:pPr>
              <w:widowControl/>
              <w:jc w:val="center"/>
              <w:textAlignment w:val="center"/>
              <w:rPr>
                <w:rFonts w:ascii="宋体" w:hAnsi="宋体" w:eastAsia="宋体" w:cs="宋体"/>
                <w:szCs w:val="21"/>
              </w:rPr>
            </w:pPr>
            <w:r>
              <w:rPr>
                <w:rFonts w:hint="eastAsia" w:ascii="宋体" w:hAnsi="宋体" w:eastAsia="宋体" w:cs="宋体"/>
                <w:szCs w:val="21"/>
              </w:rPr>
              <w:t>套</w:t>
            </w:r>
          </w:p>
        </w:tc>
        <w:tc>
          <w:tcPr>
            <w:tcW w:w="455" w:type="dxa"/>
            <w:tcBorders>
              <w:top w:val="single" w:color="auto" w:sz="4" w:space="0"/>
              <w:left w:val="single" w:color="auto" w:sz="4" w:space="0"/>
              <w:bottom w:val="single" w:color="auto" w:sz="4" w:space="0"/>
              <w:right w:val="single" w:color="auto" w:sz="4" w:space="0"/>
            </w:tcBorders>
            <w:noWrap w:val="0"/>
            <w:vAlign w:val="center"/>
          </w:tcPr>
          <w:p w14:paraId="6237A7F5">
            <w:pPr>
              <w:widowControl/>
              <w:jc w:val="center"/>
              <w:textAlignment w:val="center"/>
              <w:rPr>
                <w:rFonts w:ascii="宋体" w:hAnsi="宋体" w:eastAsia="宋体" w:cs="宋体"/>
                <w:szCs w:val="21"/>
              </w:rPr>
            </w:pPr>
            <w:r>
              <w:rPr>
                <w:rFonts w:hint="eastAsia" w:ascii="宋体" w:hAnsi="宋体" w:eastAsia="宋体" w:cs="宋体"/>
                <w:szCs w:val="21"/>
              </w:rPr>
              <w:t>1</w:t>
            </w:r>
          </w:p>
        </w:tc>
        <w:tc>
          <w:tcPr>
            <w:tcW w:w="865" w:type="dxa"/>
            <w:tcBorders>
              <w:top w:val="single" w:color="auto" w:sz="4" w:space="0"/>
              <w:left w:val="single" w:color="auto" w:sz="4" w:space="0"/>
              <w:bottom w:val="single" w:color="auto" w:sz="4" w:space="0"/>
              <w:right w:val="single" w:color="auto" w:sz="4" w:space="0"/>
            </w:tcBorders>
            <w:noWrap w:val="0"/>
            <w:vAlign w:val="center"/>
          </w:tcPr>
          <w:p w14:paraId="7944617E">
            <w:pPr>
              <w:widowControl/>
              <w:jc w:val="right"/>
              <w:textAlignment w:val="center"/>
              <w:rPr>
                <w:rFonts w:ascii="宋体" w:hAnsi="宋体" w:eastAsia="宋体" w:cs="宋体"/>
                <w:szCs w:val="21"/>
              </w:rPr>
            </w:pPr>
            <w:r>
              <w:rPr>
                <w:rFonts w:hint="eastAsia" w:ascii="宋体" w:hAnsi="宋体" w:eastAsia="宋体" w:cs="宋体"/>
                <w:szCs w:val="21"/>
              </w:rPr>
              <w:t>250.00</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462222BF">
            <w:pPr>
              <w:widowControl/>
              <w:jc w:val="right"/>
              <w:textAlignment w:val="center"/>
              <w:rPr>
                <w:rFonts w:hint="eastAsia" w:ascii="宋体" w:hAnsi="宋体" w:eastAsia="宋体" w:cs="宋体"/>
                <w:szCs w:val="21"/>
              </w:rPr>
            </w:pPr>
            <w:r>
              <w:rPr>
                <w:rFonts w:hint="eastAsia" w:ascii="宋体" w:hAnsi="宋体" w:eastAsia="宋体" w:cs="宋体"/>
                <w:szCs w:val="21"/>
              </w:rPr>
              <w:t>250.00</w:t>
            </w:r>
          </w:p>
        </w:tc>
        <w:tc>
          <w:tcPr>
            <w:tcW w:w="9132" w:type="dxa"/>
            <w:tcBorders>
              <w:top w:val="single" w:color="auto" w:sz="4" w:space="0"/>
              <w:left w:val="single" w:color="auto" w:sz="4" w:space="0"/>
              <w:bottom w:val="single" w:color="auto" w:sz="4" w:space="0"/>
              <w:right w:val="single" w:color="auto" w:sz="4" w:space="0"/>
            </w:tcBorders>
            <w:noWrap w:val="0"/>
            <w:vAlign w:val="center"/>
          </w:tcPr>
          <w:p w14:paraId="46B7D4AF">
            <w:pPr>
              <w:rPr>
                <w:rFonts w:hint="eastAsia" w:ascii="宋体" w:hAnsi="宋体" w:eastAsia="宋体" w:cs="宋体"/>
                <w:color w:val="000000"/>
                <w:szCs w:val="21"/>
                <w:lang w:bidi="ar"/>
              </w:rPr>
            </w:pPr>
            <w:r>
              <w:rPr>
                <w:rFonts w:hint="eastAsia" w:ascii="宋体" w:hAnsi="宋体" w:eastAsia="宋体" w:cs="宋体"/>
                <w:color w:val="000000"/>
                <w:szCs w:val="21"/>
                <w:lang w:bidi="ar"/>
              </w:rPr>
              <w:t>一、设备组成</w:t>
            </w:r>
          </w:p>
          <w:p w14:paraId="78E86B95">
            <w:pPr>
              <w:ind w:firstLineChars="0"/>
              <w:rPr>
                <w:rFonts w:hint="eastAsia" w:ascii="宋体" w:hAnsi="宋体" w:cs="宋体"/>
                <w:color w:val="000000"/>
                <w:szCs w:val="21"/>
                <w:lang w:bidi="ar"/>
              </w:rPr>
            </w:pPr>
            <w:r>
              <w:rPr>
                <w:rFonts w:hint="eastAsia" w:ascii="宋体" w:hAnsi="宋体" w:cs="宋体"/>
                <w:color w:val="000000"/>
                <w:szCs w:val="21"/>
                <w:lang w:bidi="ar"/>
              </w:rPr>
              <w:t>1.功能要求：适用于典型房扑、先心术后切口性房速/房扑、局灶性房速/室速、各类旁道、房室结折返性心动过速、阵发性/持续性房颤、心梗后和手术后非典型性室性心动过速等各种复杂心律失常的手术诊断和治疗。</w:t>
            </w:r>
          </w:p>
          <w:p w14:paraId="25947149">
            <w:pPr>
              <w:ind w:firstLineChars="0"/>
              <w:rPr>
                <w:rFonts w:hint="eastAsia" w:ascii="宋体" w:hAnsi="宋体" w:cs="宋体"/>
                <w:color w:val="000000"/>
                <w:szCs w:val="21"/>
                <w:lang w:bidi="ar"/>
              </w:rPr>
            </w:pPr>
            <w:r>
              <w:rPr>
                <w:rFonts w:hint="eastAsia" w:ascii="宋体" w:hAnsi="宋体" w:cs="宋体"/>
                <w:color w:val="000000"/>
                <w:szCs w:val="21"/>
                <w:lang w:bidi="ar"/>
              </w:rPr>
              <w:t>★2.该系统至少包括以下设备配置：三维心脏电生理标测仪1台、心脏射频消融仪1台、灌注泵1台。</w:t>
            </w:r>
          </w:p>
          <w:p w14:paraId="3C2A873F">
            <w:pPr>
              <w:rPr>
                <w:rFonts w:hint="eastAsia" w:ascii="宋体" w:hAnsi="宋体" w:cs="宋体"/>
                <w:color w:val="000000"/>
                <w:szCs w:val="21"/>
                <w:lang w:bidi="ar"/>
              </w:rPr>
            </w:pPr>
            <w:r>
              <w:rPr>
                <w:rFonts w:hint="eastAsia" w:ascii="宋体" w:hAnsi="宋体" w:cs="宋体"/>
                <w:color w:val="000000"/>
                <w:szCs w:val="21"/>
                <w:lang w:bidi="ar"/>
              </w:rPr>
              <w:t>▲3.三维心脏电生理标测仪、心脏射频消融仪、灌注泵为同一品牌生产</w:t>
            </w:r>
            <w:r>
              <w:rPr>
                <w:rFonts w:hint="eastAsia" w:ascii="宋体" w:hAnsi="宋体" w:cs="宋体"/>
                <w:color w:val="000000"/>
                <w:szCs w:val="21"/>
                <w:lang w:eastAsia="zh-CN" w:bidi="ar"/>
              </w:rPr>
              <w:t>，</w:t>
            </w:r>
            <w:r>
              <w:rPr>
                <w:rFonts w:hint="eastAsia" w:ascii="宋体" w:hAnsi="宋体" w:cs="宋体"/>
                <w:color w:val="000000"/>
                <w:szCs w:val="21"/>
                <w:lang w:val="en-US" w:eastAsia="zh-CN" w:bidi="ar"/>
              </w:rPr>
              <w:t>或承诺产品之间可以相互兼容</w:t>
            </w:r>
            <w:r>
              <w:rPr>
                <w:rFonts w:hint="eastAsia" w:ascii="宋体" w:hAnsi="宋体" w:cs="宋体"/>
                <w:color w:val="000000"/>
                <w:szCs w:val="21"/>
                <w:lang w:bidi="ar"/>
              </w:rPr>
              <w:t>。</w:t>
            </w:r>
          </w:p>
          <w:p w14:paraId="1EFA9FA8">
            <w:pPr>
              <w:rPr>
                <w:rFonts w:hint="eastAsia" w:ascii="宋体" w:hAnsi="宋体" w:eastAsia="宋体" w:cs="宋体"/>
                <w:color w:val="000000"/>
                <w:szCs w:val="21"/>
                <w:lang w:bidi="ar"/>
              </w:rPr>
            </w:pPr>
            <w:r>
              <w:rPr>
                <w:rFonts w:hint="eastAsia" w:ascii="宋体" w:hAnsi="宋体" w:eastAsia="宋体" w:cs="宋体"/>
                <w:color w:val="000000"/>
                <w:szCs w:val="21"/>
                <w:lang w:bidi="ar"/>
              </w:rPr>
              <w:t>二、三维心脏电生理标测系统技术参数：</w:t>
            </w:r>
          </w:p>
          <w:p w14:paraId="3C19D7AA">
            <w:pPr>
              <w:rPr>
                <w:rFonts w:hint="eastAsia" w:ascii="宋体" w:hAnsi="宋体" w:eastAsia="宋体" w:cs="宋体"/>
                <w:color w:val="000000"/>
                <w:szCs w:val="21"/>
                <w:lang w:bidi="ar"/>
              </w:rPr>
            </w:pPr>
            <w:r>
              <w:rPr>
                <w:rFonts w:hint="eastAsia" w:ascii="宋体" w:hAnsi="宋体" w:eastAsia="宋体" w:cs="宋体"/>
                <w:color w:val="000000"/>
                <w:szCs w:val="21"/>
                <w:lang w:bidi="ar"/>
              </w:rPr>
              <w:t>1.系统软件功能组成：中文操作系统。软件组成：包括激动图、解剖图、电压图、网图、等时图、阻抗图、快速建模功能、消融点数据实时标记模块、距离/面积测量工具、切平面、CT/MRI图像融合模块、多道电生理记录模块、导管全弯段显示模块等。</w:t>
            </w:r>
          </w:p>
          <w:p w14:paraId="405BF216">
            <w:pPr>
              <w:rPr>
                <w:rFonts w:hint="eastAsia" w:ascii="宋体" w:hAnsi="宋体" w:eastAsia="宋体" w:cs="宋体"/>
                <w:color w:val="000000"/>
                <w:szCs w:val="21"/>
                <w:lang w:bidi="ar"/>
              </w:rPr>
            </w:pPr>
            <w:r>
              <w:rPr>
                <w:rFonts w:hint="eastAsia" w:ascii="宋体" w:hAnsi="宋体" w:eastAsia="宋体" w:cs="宋体"/>
                <w:color w:val="000000"/>
                <w:szCs w:val="21"/>
                <w:lang w:bidi="ar"/>
              </w:rPr>
              <w:t>2.主要功能及参数</w:t>
            </w:r>
          </w:p>
          <w:p w14:paraId="491B368A">
            <w:pPr>
              <w:rPr>
                <w:rFonts w:hint="eastAsia" w:ascii="宋体" w:hAnsi="宋体" w:eastAsia="宋体" w:cs="宋体"/>
                <w:color w:val="000000"/>
                <w:szCs w:val="21"/>
              </w:rPr>
            </w:pPr>
            <w:r>
              <w:rPr>
                <w:rFonts w:hint="eastAsia" w:ascii="宋体" w:hAnsi="宋体" w:eastAsia="宋体" w:cs="宋体"/>
                <w:color w:val="000000"/>
                <w:szCs w:val="21"/>
                <w:lang w:bidi="ar"/>
              </w:rPr>
              <w:t>2.1 采用磁场/电场混合定位原理，定位精度高，抗干扰能力强，多导管可视化，无扭曲变形。</w:t>
            </w:r>
          </w:p>
          <w:p w14:paraId="7C8EF2CA">
            <w:pPr>
              <w:rPr>
                <w:rFonts w:hint="eastAsia" w:ascii="宋体" w:hAnsi="宋体" w:eastAsia="宋体" w:cs="宋体"/>
                <w:color w:val="000000"/>
                <w:szCs w:val="21"/>
              </w:rPr>
            </w:pPr>
            <w:r>
              <w:rPr>
                <w:rFonts w:hint="eastAsia" w:ascii="宋体" w:hAnsi="宋体" w:eastAsia="宋体" w:cs="宋体"/>
                <w:color w:val="000000"/>
                <w:szCs w:val="21"/>
                <w:lang w:bidi="ar"/>
              </w:rPr>
              <w:t>2.2 磁场定位系统：磁场强度为0.0075mT；磁场频率为1.6kHz；平均磁场定位误差不超过1mm；对于手术室内环境具备良好的抗干扰能力，导管可沿心脏边缘快速创建心脏解剖图，不需要逐个取点，实现快速建壳。</w:t>
            </w:r>
          </w:p>
          <w:p w14:paraId="6666B8D1">
            <w:pPr>
              <w:rPr>
                <w:rFonts w:hint="eastAsia" w:ascii="宋体" w:hAnsi="宋体" w:eastAsia="宋体" w:cs="宋体"/>
                <w:color w:val="000000"/>
                <w:szCs w:val="21"/>
              </w:rPr>
            </w:pPr>
            <w:r>
              <w:rPr>
                <w:rFonts w:hint="eastAsia" w:ascii="宋体" w:hAnsi="宋体" w:eastAsia="宋体" w:cs="宋体"/>
                <w:color w:val="000000"/>
                <w:szCs w:val="21"/>
                <w:lang w:bidi="ar"/>
              </w:rPr>
              <w:t>2.3 在磁传感器技术的校准下，实现导管可视化，可在显示屏上看到导管；实现多个导管可视化的同时还可以实现头端和弯形的可视化。</w:t>
            </w:r>
          </w:p>
          <w:p w14:paraId="50F92FDE">
            <w:pPr>
              <w:rPr>
                <w:rFonts w:hint="eastAsia" w:ascii="宋体" w:hAnsi="宋体" w:eastAsia="宋体" w:cs="宋体"/>
                <w:color w:val="000000"/>
                <w:szCs w:val="21"/>
              </w:rPr>
            </w:pPr>
            <w:r>
              <w:rPr>
                <w:rFonts w:hint="eastAsia" w:ascii="宋体" w:hAnsi="宋体" w:eastAsia="宋体" w:cs="宋体"/>
                <w:color w:val="000000"/>
                <w:szCs w:val="21"/>
                <w:lang w:bidi="ar"/>
              </w:rPr>
              <w:t>2.4 系统平台采用通用的平台，软件系统具备拓展和兼容性。</w:t>
            </w:r>
          </w:p>
          <w:p w14:paraId="12595E7E">
            <w:pPr>
              <w:rPr>
                <w:rFonts w:hint="eastAsia" w:ascii="宋体" w:hAnsi="宋体" w:eastAsia="宋体" w:cs="宋体"/>
                <w:color w:val="000000"/>
                <w:szCs w:val="21"/>
              </w:rPr>
            </w:pPr>
            <w:r>
              <w:rPr>
                <w:rFonts w:hint="eastAsia" w:ascii="宋体" w:hAnsi="宋体" w:eastAsia="宋体" w:cs="宋体"/>
                <w:color w:val="000000"/>
                <w:szCs w:val="21"/>
                <w:lang w:bidi="ar"/>
              </w:rPr>
              <w:t>2.5 采用参考电极标示病人位置并进行补偿，避免了病人移位需要重新建模的问题。</w:t>
            </w:r>
          </w:p>
          <w:p w14:paraId="403C219C">
            <w:pPr>
              <w:rPr>
                <w:rFonts w:hint="eastAsia" w:ascii="宋体" w:hAnsi="宋体" w:eastAsia="宋体" w:cs="宋体"/>
                <w:color w:val="000000"/>
                <w:szCs w:val="21"/>
              </w:rPr>
            </w:pPr>
            <w:r>
              <w:rPr>
                <w:rFonts w:hint="eastAsia" w:ascii="宋体" w:hAnsi="宋体" w:eastAsia="宋体" w:cs="宋体"/>
                <w:color w:val="000000"/>
                <w:szCs w:val="21"/>
                <w:lang w:bidi="ar"/>
              </w:rPr>
              <w:t>2.6 ≥24英寸以上(16:9)显示器4台（2台实时屏，2台回顾屏），分辨率≥1920*1200。</w:t>
            </w:r>
          </w:p>
          <w:p w14:paraId="2DF48F3C">
            <w:pPr>
              <w:rPr>
                <w:rFonts w:hint="eastAsia" w:ascii="宋体" w:hAnsi="宋体" w:eastAsia="宋体" w:cs="宋体"/>
                <w:color w:val="000000"/>
                <w:szCs w:val="21"/>
              </w:rPr>
            </w:pPr>
            <w:r>
              <w:rPr>
                <w:rFonts w:hint="eastAsia" w:ascii="宋体" w:hAnsi="宋体" w:eastAsia="宋体" w:cs="宋体"/>
                <w:color w:val="000000"/>
                <w:szCs w:val="21"/>
                <w:lang w:bidi="ar"/>
              </w:rPr>
              <w:t>2.7 支持鞘管可视化显示，头端有裸漏电极，可以显影。</w:t>
            </w:r>
          </w:p>
          <w:p w14:paraId="2F228036">
            <w:pPr>
              <w:rPr>
                <w:rFonts w:hint="eastAsia" w:ascii="宋体" w:hAnsi="宋体" w:eastAsia="宋体" w:cs="宋体"/>
                <w:color w:val="000000"/>
                <w:szCs w:val="21"/>
              </w:rPr>
            </w:pPr>
            <w:r>
              <w:rPr>
                <w:rFonts w:hint="eastAsia" w:ascii="宋体" w:hAnsi="宋体" w:eastAsia="宋体" w:cs="宋体"/>
                <w:color w:val="000000"/>
                <w:szCs w:val="21"/>
                <w:lang w:bidi="ar"/>
              </w:rPr>
              <w:t>2.8 导管在三维系统中头端具有颜色指示，能够明确指示导管的控弯及转动方向；</w:t>
            </w:r>
          </w:p>
          <w:p w14:paraId="5B9CD970">
            <w:pPr>
              <w:rPr>
                <w:rFonts w:hint="eastAsia" w:ascii="宋体" w:hAnsi="宋体" w:eastAsia="宋体" w:cs="宋体"/>
                <w:color w:val="000000"/>
                <w:szCs w:val="21"/>
              </w:rPr>
            </w:pPr>
            <w:r>
              <w:rPr>
                <w:rFonts w:hint="eastAsia" w:ascii="宋体" w:hAnsi="宋体" w:eastAsia="宋体" w:cs="宋体"/>
                <w:color w:val="000000"/>
                <w:szCs w:val="21"/>
                <w:lang w:bidi="ar"/>
              </w:rPr>
              <w:t>2.9 具有影像化快速建模功能，能快速建立心脏三维模型。</w:t>
            </w:r>
          </w:p>
          <w:p w14:paraId="4FDC1DB2">
            <w:pPr>
              <w:rPr>
                <w:rFonts w:hint="eastAsia" w:ascii="宋体" w:hAnsi="宋体" w:eastAsia="宋体" w:cs="宋体"/>
                <w:color w:val="000000"/>
                <w:szCs w:val="21"/>
              </w:rPr>
            </w:pPr>
            <w:r>
              <w:rPr>
                <w:rFonts w:hint="eastAsia" w:ascii="宋体" w:hAnsi="宋体" w:eastAsia="宋体" w:cs="宋体"/>
                <w:color w:val="000000"/>
                <w:szCs w:val="21"/>
                <w:lang w:bidi="ar"/>
              </w:rPr>
              <w:t xml:space="preserve">2.10 开机即可工作，无需购买额外的密码钥匙开启相关导管的定位功能，且相关导管的定位功能时效性为24小时，不受断电、系统重启等外界因素的影响而失效。 </w:t>
            </w:r>
          </w:p>
          <w:p w14:paraId="7A03C3FD">
            <w:pPr>
              <w:rPr>
                <w:rFonts w:hint="eastAsia" w:ascii="宋体" w:hAnsi="宋体" w:eastAsia="宋体" w:cs="宋体"/>
                <w:color w:val="000000"/>
                <w:szCs w:val="21"/>
              </w:rPr>
            </w:pPr>
            <w:r>
              <w:rPr>
                <w:rFonts w:hint="eastAsia" w:ascii="宋体" w:hAnsi="宋体" w:eastAsia="宋体" w:cs="宋体"/>
                <w:color w:val="000000"/>
                <w:szCs w:val="21"/>
                <w:lang w:bidi="ar"/>
              </w:rPr>
              <w:t xml:space="preserve">2.11 自动实时保存手术过程中采集的信息，消除手术突然中断而导致的数据丢失的风险，无需重新构图。 </w:t>
            </w:r>
          </w:p>
          <w:p w14:paraId="7FD088BB">
            <w:pPr>
              <w:rPr>
                <w:rFonts w:hint="eastAsia" w:ascii="宋体" w:hAnsi="宋体" w:eastAsia="宋体" w:cs="宋体"/>
                <w:color w:val="000000"/>
                <w:szCs w:val="21"/>
              </w:rPr>
            </w:pPr>
            <w:r>
              <w:rPr>
                <w:rFonts w:hint="eastAsia" w:ascii="宋体" w:hAnsi="宋体" w:eastAsia="宋体" w:cs="宋体"/>
                <w:color w:val="000000"/>
                <w:szCs w:val="21"/>
                <w:lang w:bidi="ar"/>
              </w:rPr>
              <w:t xml:space="preserve">2.12 具备回收站功能，可恢复所有误操作丢失的信息。 </w:t>
            </w:r>
          </w:p>
          <w:p w14:paraId="49335266">
            <w:pPr>
              <w:rPr>
                <w:rFonts w:hint="eastAsia" w:ascii="宋体" w:hAnsi="宋体" w:eastAsia="宋体" w:cs="宋体"/>
                <w:color w:val="000000"/>
                <w:szCs w:val="21"/>
              </w:rPr>
            </w:pPr>
            <w:r>
              <w:rPr>
                <w:rFonts w:hint="eastAsia" w:ascii="宋体" w:hAnsi="宋体" w:eastAsia="宋体" w:cs="宋体"/>
                <w:color w:val="000000"/>
                <w:szCs w:val="21"/>
                <w:lang w:bidi="ar"/>
              </w:rPr>
              <w:t xml:space="preserve">2.13 具有心跳缓存功能，能够记录一个心动周期之前不少于十个心跳的心电活动信息，便于治疗复杂、偶发的心律失常病症。 </w:t>
            </w:r>
          </w:p>
          <w:p w14:paraId="488D52A7">
            <w:pPr>
              <w:rPr>
                <w:rFonts w:hint="eastAsia" w:ascii="宋体" w:hAnsi="宋体" w:eastAsia="宋体" w:cs="宋体"/>
                <w:color w:val="000000"/>
                <w:szCs w:val="21"/>
              </w:rPr>
            </w:pPr>
            <w:r>
              <w:rPr>
                <w:rFonts w:hint="eastAsia" w:ascii="宋体" w:hAnsi="宋体" w:eastAsia="宋体" w:cs="宋体"/>
                <w:color w:val="000000"/>
                <w:szCs w:val="21"/>
                <w:lang w:bidi="ar"/>
              </w:rPr>
              <w:t xml:space="preserve">2.14 一次采集多种心电信息：可同时获得空间解剖、激动顺序、传导电压等各种信息。可以显示解剖图、激动图、单极电压图，等时图，双极电压图，阻抗图，网格图、电传导图等；加快建模的过程，缩短手术时间。 </w:t>
            </w:r>
          </w:p>
          <w:p w14:paraId="69C6C21B">
            <w:pPr>
              <w:rPr>
                <w:rFonts w:hint="eastAsia" w:ascii="宋体" w:hAnsi="宋体" w:eastAsia="宋体" w:cs="宋体"/>
                <w:color w:val="000000"/>
                <w:szCs w:val="21"/>
              </w:rPr>
            </w:pPr>
            <w:r>
              <w:rPr>
                <w:rFonts w:hint="eastAsia" w:ascii="宋体" w:hAnsi="宋体" w:eastAsia="宋体" w:cs="宋体"/>
                <w:color w:val="000000"/>
                <w:szCs w:val="21"/>
                <w:lang w:bidi="ar"/>
              </w:rPr>
              <w:t xml:space="preserve">2.15 能提供三维电解剖图，立体显示心脏的解剖结构，并可以做瓣环标记。 </w:t>
            </w:r>
          </w:p>
          <w:p w14:paraId="25185B79">
            <w:pPr>
              <w:rPr>
                <w:rFonts w:hint="eastAsia" w:ascii="宋体" w:hAnsi="宋体" w:eastAsia="宋体" w:cs="宋体"/>
                <w:color w:val="000000"/>
                <w:szCs w:val="21"/>
              </w:rPr>
            </w:pPr>
            <w:r>
              <w:rPr>
                <w:rFonts w:hint="eastAsia" w:ascii="宋体" w:hAnsi="宋体" w:eastAsia="宋体" w:cs="宋体"/>
                <w:color w:val="000000"/>
                <w:szCs w:val="21"/>
                <w:lang w:bidi="ar"/>
              </w:rPr>
              <w:t xml:space="preserve">2.16 能提供三维电激动图，不同颜色实时显示心脏的激动传导顺序。可根据需要选择单个或多个心腔进行标测，提供整体的激动信息。 </w:t>
            </w:r>
          </w:p>
          <w:p w14:paraId="55F485F1">
            <w:pPr>
              <w:rPr>
                <w:rFonts w:hint="eastAsia" w:ascii="宋体" w:hAnsi="宋体" w:eastAsia="宋体" w:cs="宋体"/>
                <w:color w:val="000000"/>
                <w:szCs w:val="21"/>
              </w:rPr>
            </w:pPr>
            <w:r>
              <w:rPr>
                <w:rFonts w:hint="eastAsia" w:ascii="宋体" w:hAnsi="宋体" w:eastAsia="宋体" w:cs="宋体"/>
                <w:color w:val="000000"/>
                <w:szCs w:val="21"/>
                <w:lang w:bidi="ar"/>
              </w:rPr>
              <w:t xml:space="preserve">2.17 能提供三维电传导图，立体动态显示心脏电激动传导速度和路径。 </w:t>
            </w:r>
          </w:p>
          <w:p w14:paraId="1B6A28D3">
            <w:pPr>
              <w:rPr>
                <w:rFonts w:hint="eastAsia" w:ascii="宋体" w:hAnsi="宋体" w:eastAsia="宋体" w:cs="宋体"/>
                <w:color w:val="000000"/>
                <w:szCs w:val="21"/>
                <w:lang w:bidi="ar"/>
              </w:rPr>
            </w:pPr>
            <w:r>
              <w:rPr>
                <w:rFonts w:hint="eastAsia" w:ascii="宋体" w:hAnsi="宋体" w:eastAsia="宋体" w:cs="宋体"/>
                <w:color w:val="000000"/>
                <w:szCs w:val="21"/>
                <w:lang w:bidi="ar"/>
              </w:rPr>
              <w:t xml:space="preserve">2.18 能提供三维电压图，能直观显示心肌疤痕区域和正常心肌组织，相关疤痕的电压 参数范围，手工可调，便利术者灵活开展疤痕相关心律失常手术的治疗。 </w:t>
            </w:r>
          </w:p>
          <w:p w14:paraId="7DBA4AA9">
            <w:pPr>
              <w:rPr>
                <w:rFonts w:hint="eastAsia" w:ascii="宋体" w:hAnsi="宋体" w:eastAsia="宋体" w:cs="宋体"/>
                <w:color w:val="000000"/>
                <w:szCs w:val="21"/>
              </w:rPr>
            </w:pPr>
            <w:r>
              <w:rPr>
                <w:rFonts w:hint="eastAsia" w:ascii="宋体" w:hAnsi="宋体" w:eastAsia="宋体" w:cs="宋体"/>
                <w:color w:val="000000"/>
                <w:szCs w:val="21"/>
                <w:lang w:bidi="ar"/>
              </w:rPr>
              <w:t xml:space="preserve">2.19 能提供三维阻抗图。 </w:t>
            </w:r>
          </w:p>
          <w:p w14:paraId="68A46E75">
            <w:pPr>
              <w:rPr>
                <w:rFonts w:hint="eastAsia" w:ascii="宋体" w:hAnsi="宋体" w:eastAsia="宋体" w:cs="宋体"/>
                <w:color w:val="000000"/>
                <w:szCs w:val="21"/>
              </w:rPr>
            </w:pPr>
            <w:r>
              <w:rPr>
                <w:rFonts w:hint="eastAsia" w:ascii="宋体" w:hAnsi="宋体" w:eastAsia="宋体" w:cs="宋体"/>
                <w:color w:val="000000"/>
                <w:szCs w:val="21"/>
                <w:lang w:bidi="ar"/>
              </w:rPr>
              <w:t xml:space="preserve">2.20 能提供三维网格图，并能回放手术取点的整个过程和采点的实际分布，以供术后分析和教学目的。 </w:t>
            </w:r>
          </w:p>
          <w:p w14:paraId="257C4190">
            <w:pPr>
              <w:rPr>
                <w:rFonts w:hint="eastAsia" w:ascii="宋体" w:hAnsi="宋体" w:eastAsia="宋体" w:cs="宋体"/>
                <w:color w:val="000000"/>
                <w:szCs w:val="21"/>
              </w:rPr>
            </w:pPr>
            <w:r>
              <w:rPr>
                <w:rFonts w:hint="eastAsia" w:ascii="宋体" w:hAnsi="宋体" w:eastAsia="宋体" w:cs="宋体"/>
                <w:color w:val="000000"/>
                <w:szCs w:val="21"/>
                <w:lang w:bidi="ar"/>
              </w:rPr>
              <w:t xml:space="preserve">2.21 左右两侧心腔的手术均能实施。 </w:t>
            </w:r>
          </w:p>
          <w:p w14:paraId="0376D677">
            <w:pPr>
              <w:rPr>
                <w:rFonts w:hint="eastAsia" w:ascii="宋体" w:hAnsi="宋体" w:eastAsia="宋体" w:cs="宋体"/>
                <w:color w:val="000000"/>
                <w:szCs w:val="21"/>
              </w:rPr>
            </w:pPr>
            <w:r>
              <w:rPr>
                <w:rFonts w:hint="eastAsia" w:ascii="宋体" w:hAnsi="宋体" w:eastAsia="宋体" w:cs="宋体"/>
                <w:color w:val="000000"/>
                <w:szCs w:val="21"/>
                <w:lang w:bidi="ar"/>
              </w:rPr>
              <w:t>2.22 心房、心室均能够进行电生理标测和消融。</w:t>
            </w:r>
          </w:p>
          <w:p w14:paraId="71FB04DB">
            <w:pPr>
              <w:rPr>
                <w:rFonts w:hint="eastAsia" w:ascii="宋体" w:hAnsi="宋体" w:eastAsia="宋体" w:cs="宋体"/>
                <w:color w:val="000000"/>
                <w:szCs w:val="21"/>
              </w:rPr>
            </w:pPr>
            <w:r>
              <w:rPr>
                <w:rFonts w:hint="eastAsia" w:ascii="宋体" w:hAnsi="宋体" w:eastAsia="宋体" w:cs="宋体"/>
                <w:color w:val="000000"/>
                <w:szCs w:val="21"/>
                <w:lang w:bidi="ar"/>
              </w:rPr>
              <w:t xml:space="preserve">2.23 具有面积/体积测量工具，显示三维心腔图形的表面积及体积。 </w:t>
            </w:r>
          </w:p>
          <w:p w14:paraId="14F40D17">
            <w:pPr>
              <w:rPr>
                <w:rFonts w:hint="eastAsia" w:ascii="宋体" w:hAnsi="宋体" w:eastAsia="宋体" w:cs="宋体"/>
                <w:color w:val="000000"/>
                <w:szCs w:val="21"/>
              </w:rPr>
            </w:pPr>
            <w:r>
              <w:rPr>
                <w:rFonts w:hint="eastAsia" w:ascii="宋体" w:hAnsi="宋体" w:eastAsia="宋体" w:cs="宋体"/>
                <w:color w:val="000000"/>
                <w:szCs w:val="21"/>
                <w:lang w:bidi="ar"/>
              </w:rPr>
              <w:t xml:space="preserve">2.24 具有距离测量工具，能够精确测量心腔图形任意位置的尺寸，显示消融点和消融点之间的距离。 </w:t>
            </w:r>
          </w:p>
          <w:p w14:paraId="09A07B44">
            <w:pPr>
              <w:rPr>
                <w:rFonts w:hint="eastAsia" w:ascii="宋体" w:hAnsi="宋体" w:eastAsia="宋体" w:cs="宋体"/>
                <w:color w:val="000000"/>
                <w:szCs w:val="21"/>
              </w:rPr>
            </w:pPr>
            <w:r>
              <w:rPr>
                <w:rFonts w:hint="eastAsia" w:ascii="宋体" w:hAnsi="宋体" w:eastAsia="宋体" w:cs="宋体"/>
                <w:color w:val="000000"/>
                <w:szCs w:val="21"/>
                <w:lang w:bidi="ar"/>
              </w:rPr>
              <w:t xml:space="preserve">★2.25 具备压力监测模块，可与磁电双定位系统同步使用。 </w:t>
            </w:r>
          </w:p>
          <w:p w14:paraId="5480BAB3">
            <w:pPr>
              <w:rPr>
                <w:rFonts w:hint="eastAsia" w:ascii="宋体" w:hAnsi="宋体" w:eastAsia="宋体" w:cs="宋体"/>
                <w:color w:val="000000"/>
                <w:szCs w:val="21"/>
              </w:rPr>
            </w:pPr>
            <w:r>
              <w:rPr>
                <w:rFonts w:hint="eastAsia" w:ascii="宋体" w:hAnsi="宋体" w:eastAsia="宋体" w:cs="宋体"/>
                <w:color w:val="000000"/>
                <w:szCs w:val="21"/>
                <w:lang w:bidi="ar"/>
              </w:rPr>
              <w:t xml:space="preserve">★2.26 能准确监测导管与组织接触的贴靠力值并记录。能准确测量并记录导管与组织接触的贴靠程度，并以克（g）为单位记录。 </w:t>
            </w:r>
          </w:p>
          <w:p w14:paraId="3BA31369">
            <w:pPr>
              <w:rPr>
                <w:rFonts w:hint="eastAsia" w:ascii="宋体" w:hAnsi="宋体" w:eastAsia="宋体" w:cs="宋体"/>
                <w:color w:val="000000"/>
                <w:szCs w:val="21"/>
              </w:rPr>
            </w:pPr>
            <w:r>
              <w:rPr>
                <w:rFonts w:hint="eastAsia" w:ascii="宋体" w:hAnsi="宋体" w:eastAsia="宋体" w:cs="宋体"/>
                <w:color w:val="000000"/>
                <w:szCs w:val="21"/>
                <w:lang w:bidi="ar"/>
              </w:rPr>
              <w:t>2.27 具有消融点数据实时标记功能，用户在消融过程中采集的标测点会被自动设置为消融点。并可以根据用户的设置，在消融时自动采集消融点。</w:t>
            </w:r>
          </w:p>
          <w:p w14:paraId="1E78E0B2">
            <w:pPr>
              <w:rPr>
                <w:rFonts w:hint="eastAsia" w:ascii="宋体" w:hAnsi="宋体" w:eastAsia="宋体" w:cs="宋体"/>
                <w:color w:val="000000"/>
                <w:szCs w:val="21"/>
              </w:rPr>
            </w:pPr>
            <w:r>
              <w:rPr>
                <w:rFonts w:hint="eastAsia" w:ascii="宋体" w:hAnsi="宋体" w:eastAsia="宋体" w:cs="宋体"/>
                <w:color w:val="000000"/>
                <w:szCs w:val="21"/>
                <w:lang w:bidi="ar"/>
              </w:rPr>
              <w:t xml:space="preserve">2.28 可进行高精密度标测。 </w:t>
            </w:r>
          </w:p>
          <w:p w14:paraId="0F6DDE1E">
            <w:pPr>
              <w:rPr>
                <w:rFonts w:hint="eastAsia" w:ascii="宋体" w:hAnsi="宋体" w:eastAsia="宋体" w:cs="宋体"/>
                <w:color w:val="000000"/>
                <w:szCs w:val="21"/>
              </w:rPr>
            </w:pPr>
            <w:r>
              <w:rPr>
                <w:rFonts w:hint="eastAsia" w:ascii="宋体" w:hAnsi="宋体" w:eastAsia="宋体" w:cs="宋体"/>
                <w:color w:val="000000"/>
                <w:szCs w:val="21"/>
                <w:lang w:bidi="ar"/>
              </w:rPr>
              <w:t>2.29 具有消融指数模块，能够用数据衡量手术过程中的损伤深度和消融进程，保证消融效果更加量化可控。</w:t>
            </w:r>
          </w:p>
          <w:p w14:paraId="237A7D4E">
            <w:pPr>
              <w:rPr>
                <w:rFonts w:hint="eastAsia" w:ascii="宋体" w:hAnsi="宋体" w:eastAsia="宋体" w:cs="宋体"/>
                <w:color w:val="000000"/>
                <w:szCs w:val="21"/>
              </w:rPr>
            </w:pPr>
            <w:r>
              <w:rPr>
                <w:rFonts w:hint="eastAsia" w:ascii="宋体" w:hAnsi="宋体" w:eastAsia="宋体" w:cs="宋体"/>
                <w:color w:val="000000"/>
                <w:szCs w:val="21"/>
                <w:lang w:bidi="ar"/>
              </w:rPr>
              <w:t xml:space="preserve">2.30 具有CT/MRI图像融合功能，能将CT/MRI图像与三维导航实时构建的心腔图融合， 精确显示心腔内膜复杂的三维立体结构，结合心内膜的电学特性，使医生能针对患者设计个体化的治疗方案，提高手术的成功率和减少并发症。 </w:t>
            </w:r>
          </w:p>
          <w:p w14:paraId="225D94E1">
            <w:pPr>
              <w:rPr>
                <w:rFonts w:hint="eastAsia" w:ascii="宋体" w:hAnsi="宋体" w:eastAsia="宋体" w:cs="宋体"/>
                <w:color w:val="000000"/>
                <w:szCs w:val="21"/>
              </w:rPr>
            </w:pPr>
            <w:r>
              <w:rPr>
                <w:rFonts w:hint="eastAsia" w:ascii="宋体" w:hAnsi="宋体" w:eastAsia="宋体" w:cs="宋体"/>
                <w:color w:val="000000"/>
                <w:szCs w:val="21"/>
                <w:lang w:bidi="ar"/>
              </w:rPr>
              <w:t xml:space="preserve">2.31 具有模板对比功能，对比用户预先选择的波形与实时波形，简化室性早搏与房性早搏的手术过程。 </w:t>
            </w:r>
          </w:p>
          <w:p w14:paraId="665CD58A">
            <w:pPr>
              <w:rPr>
                <w:rFonts w:hint="eastAsia" w:ascii="宋体" w:hAnsi="宋体" w:eastAsia="宋体" w:cs="宋体"/>
                <w:color w:val="000000"/>
                <w:szCs w:val="21"/>
              </w:rPr>
            </w:pPr>
            <w:r>
              <w:rPr>
                <w:rFonts w:hint="eastAsia" w:ascii="宋体" w:hAnsi="宋体" w:eastAsia="宋体" w:cs="宋体"/>
                <w:color w:val="000000"/>
                <w:szCs w:val="21"/>
                <w:lang w:bidi="ar"/>
              </w:rPr>
              <w:t xml:space="preserve">2.32 二维三维一体化。具有多道记录功能，可以显示标准12导联心电图及32路心内电图，每个通道可独立设置滤波、陷波参数、显示颜色，可以更改通道的增益、刷新速度等；并提供模板保存功能，保存以上设置。 </w:t>
            </w:r>
          </w:p>
          <w:p w14:paraId="22809856">
            <w:pPr>
              <w:rPr>
                <w:rFonts w:hint="eastAsia" w:ascii="宋体" w:hAnsi="宋体" w:eastAsia="宋体" w:cs="宋体"/>
                <w:color w:val="000000"/>
                <w:szCs w:val="21"/>
              </w:rPr>
            </w:pPr>
            <w:r>
              <w:rPr>
                <w:rFonts w:hint="eastAsia" w:ascii="宋体" w:hAnsi="宋体" w:eastAsia="宋体" w:cs="宋体"/>
                <w:color w:val="000000"/>
                <w:szCs w:val="21"/>
                <w:lang w:bidi="ar"/>
              </w:rPr>
              <w:t xml:space="preserve">2.33 具备心电信号主频分析功能。 </w:t>
            </w:r>
          </w:p>
          <w:p w14:paraId="78D81E4B">
            <w:pPr>
              <w:rPr>
                <w:rFonts w:hint="eastAsia" w:ascii="宋体" w:hAnsi="宋体" w:eastAsia="宋体" w:cs="宋体"/>
                <w:color w:val="000000"/>
                <w:szCs w:val="21"/>
              </w:rPr>
            </w:pPr>
            <w:r>
              <w:rPr>
                <w:rFonts w:hint="eastAsia" w:ascii="宋体" w:hAnsi="宋体" w:eastAsia="宋体" w:cs="宋体"/>
                <w:color w:val="000000"/>
                <w:szCs w:val="21"/>
                <w:lang w:bidi="ar"/>
              </w:rPr>
              <w:t>2.34 具有刺激检测功能，快速定位到刺激位置，及时准确地分析刺激结果。</w:t>
            </w:r>
          </w:p>
          <w:p w14:paraId="2DF81296">
            <w:pPr>
              <w:rPr>
                <w:rFonts w:hint="eastAsia" w:ascii="宋体" w:hAnsi="宋体" w:eastAsia="宋体" w:cs="宋体"/>
                <w:color w:val="000000"/>
                <w:szCs w:val="21"/>
              </w:rPr>
            </w:pPr>
            <w:r>
              <w:rPr>
                <w:rFonts w:hint="eastAsia" w:ascii="宋体" w:hAnsi="宋体" w:eastAsia="宋体" w:cs="宋体"/>
                <w:color w:val="000000"/>
                <w:szCs w:val="21"/>
                <w:lang w:bidi="ar"/>
              </w:rPr>
              <w:t xml:space="preserve">2.35 具有多道事件记录功能，可以记录刺激、消融、冻结、打印、心动过速、心动过缓等，还支持用户自定义事件标记，方便术后回顾手术过程。 </w:t>
            </w:r>
          </w:p>
          <w:p w14:paraId="773AF074">
            <w:pPr>
              <w:rPr>
                <w:rFonts w:hint="eastAsia" w:ascii="宋体" w:hAnsi="宋体" w:eastAsia="宋体" w:cs="宋体"/>
                <w:color w:val="000000"/>
                <w:szCs w:val="21"/>
              </w:rPr>
            </w:pPr>
            <w:r>
              <w:rPr>
                <w:rFonts w:hint="eastAsia" w:ascii="宋体" w:hAnsi="宋体" w:eastAsia="宋体" w:cs="宋体"/>
                <w:color w:val="000000"/>
                <w:szCs w:val="21"/>
                <w:lang w:bidi="ar"/>
              </w:rPr>
              <w:t xml:space="preserve">2.36 支持重新标测功能，提高容错性，方便医生快速纠错。 </w:t>
            </w:r>
          </w:p>
          <w:p w14:paraId="24C0A22F">
            <w:pPr>
              <w:rPr>
                <w:rFonts w:hint="eastAsia" w:ascii="宋体" w:hAnsi="宋体" w:eastAsia="宋体" w:cs="宋体"/>
                <w:color w:val="000000"/>
                <w:szCs w:val="21"/>
              </w:rPr>
            </w:pPr>
            <w:r>
              <w:rPr>
                <w:rFonts w:hint="eastAsia" w:ascii="宋体" w:hAnsi="宋体" w:eastAsia="宋体" w:cs="宋体"/>
                <w:color w:val="000000"/>
                <w:szCs w:val="21"/>
                <w:lang w:bidi="ar"/>
              </w:rPr>
              <w:t xml:space="preserve">2.37 在磁传感器技术的校准下可精确显示导管，可将电极导管头端和整个弯型全弯段可视化。 </w:t>
            </w:r>
          </w:p>
          <w:p w14:paraId="16F2390C">
            <w:pPr>
              <w:rPr>
                <w:rFonts w:hint="eastAsia" w:ascii="宋体" w:hAnsi="宋体" w:eastAsia="宋体" w:cs="宋体"/>
                <w:color w:val="000000"/>
                <w:szCs w:val="21"/>
              </w:rPr>
            </w:pPr>
            <w:r>
              <w:rPr>
                <w:rFonts w:hint="eastAsia" w:ascii="宋体" w:hAnsi="宋体" w:eastAsia="宋体" w:cs="宋体"/>
                <w:color w:val="000000"/>
                <w:szCs w:val="21"/>
                <w:lang w:bidi="ar"/>
              </w:rPr>
              <w:t xml:space="preserve">2.38 具备导管进鞘保护功能，可明确看到导管进出鞘时的位置信息。 </w:t>
            </w:r>
          </w:p>
          <w:p w14:paraId="76CE2052">
            <w:pPr>
              <w:rPr>
                <w:rFonts w:hint="eastAsia" w:ascii="宋体" w:hAnsi="宋体" w:eastAsia="宋体" w:cs="宋体"/>
                <w:color w:val="000000"/>
                <w:szCs w:val="21"/>
              </w:rPr>
            </w:pPr>
            <w:r>
              <w:rPr>
                <w:rFonts w:hint="eastAsia" w:ascii="宋体" w:hAnsi="宋体" w:eastAsia="宋体" w:cs="宋体"/>
                <w:color w:val="000000"/>
                <w:szCs w:val="21"/>
                <w:lang w:bidi="ar"/>
              </w:rPr>
              <w:t xml:space="preserve">3.具备同品牌磁定位微电极射频消融导管。 </w:t>
            </w:r>
          </w:p>
          <w:p w14:paraId="403AA103">
            <w:pPr>
              <w:rPr>
                <w:rFonts w:hint="eastAsia" w:ascii="宋体" w:hAnsi="宋体" w:eastAsia="宋体" w:cs="宋体"/>
                <w:color w:val="000000"/>
                <w:szCs w:val="21"/>
              </w:rPr>
            </w:pPr>
            <w:r>
              <w:rPr>
                <w:rFonts w:hint="eastAsia" w:ascii="宋体" w:hAnsi="宋体" w:eastAsia="宋体" w:cs="宋体"/>
                <w:color w:val="000000"/>
                <w:szCs w:val="21"/>
                <w:lang w:bidi="ar"/>
              </w:rPr>
              <w:t xml:space="preserve">三、心脏射频消融仪技术参数 </w:t>
            </w:r>
          </w:p>
          <w:p w14:paraId="2B476578">
            <w:pPr>
              <w:rPr>
                <w:rFonts w:hint="eastAsia" w:ascii="宋体" w:hAnsi="宋体" w:eastAsia="宋体" w:cs="宋体"/>
                <w:color w:val="000000"/>
                <w:szCs w:val="21"/>
              </w:rPr>
            </w:pPr>
            <w:r>
              <w:rPr>
                <w:rFonts w:hint="eastAsia" w:ascii="宋体" w:hAnsi="宋体" w:eastAsia="宋体" w:cs="宋体"/>
                <w:color w:val="000000"/>
                <w:szCs w:val="21"/>
                <w:lang w:bidi="ar"/>
              </w:rPr>
              <w:t xml:space="preserve">1.控制方式：温度控制，功率控制等。 </w:t>
            </w:r>
          </w:p>
          <w:p w14:paraId="0C6DB5E1">
            <w:pPr>
              <w:rPr>
                <w:rFonts w:hint="eastAsia" w:ascii="宋体" w:hAnsi="宋体" w:eastAsia="宋体" w:cs="宋体"/>
                <w:color w:val="000000"/>
                <w:szCs w:val="21"/>
              </w:rPr>
            </w:pPr>
            <w:r>
              <w:rPr>
                <w:rFonts w:hint="eastAsia" w:ascii="宋体" w:hAnsi="宋体" w:eastAsia="宋体" w:cs="宋体"/>
                <w:color w:val="000000"/>
                <w:szCs w:val="21"/>
                <w:lang w:bidi="ar"/>
              </w:rPr>
              <w:t xml:space="preserve">2.信号转接：提供转接线，可连接到任何多道电生理记录仪或同品牌三维心脏电生理标测系统，用于观察信号；自带射频滤波，放电无干扰，在射频消融时靶点信号仍可清晰检测。 </w:t>
            </w:r>
          </w:p>
          <w:p w14:paraId="697893D2">
            <w:pPr>
              <w:rPr>
                <w:rFonts w:hint="eastAsia" w:ascii="宋体" w:hAnsi="宋体" w:eastAsia="宋体" w:cs="宋体"/>
                <w:color w:val="000000"/>
                <w:szCs w:val="21"/>
              </w:rPr>
            </w:pPr>
            <w:r>
              <w:rPr>
                <w:rFonts w:hint="eastAsia" w:ascii="宋体" w:hAnsi="宋体" w:eastAsia="宋体" w:cs="宋体"/>
                <w:color w:val="000000"/>
                <w:szCs w:val="21"/>
                <w:lang w:bidi="ar"/>
              </w:rPr>
              <w:t xml:space="preserve">3.提供中文用户界面来操作：通过触摸屏进行多种设置，即便在佩戴手术手套的情况下也能正常使用。 </w:t>
            </w:r>
          </w:p>
          <w:p w14:paraId="22B4F91E">
            <w:pPr>
              <w:rPr>
                <w:rFonts w:hint="eastAsia" w:ascii="宋体" w:hAnsi="宋体" w:eastAsia="宋体" w:cs="宋体"/>
                <w:color w:val="000000"/>
                <w:szCs w:val="21"/>
              </w:rPr>
            </w:pPr>
            <w:r>
              <w:rPr>
                <w:rFonts w:hint="eastAsia" w:ascii="宋体" w:hAnsi="宋体" w:eastAsia="宋体" w:cs="宋体"/>
                <w:color w:val="000000"/>
                <w:szCs w:val="21"/>
                <w:lang w:bidi="ar"/>
              </w:rPr>
              <w:t xml:space="preserve">4.触摸屏≥9.5英寸，且触摸屏角度可调，以便以最佳角度查看射频仪屏幕参数。 </w:t>
            </w:r>
          </w:p>
          <w:p w14:paraId="698506A7">
            <w:pPr>
              <w:rPr>
                <w:rFonts w:hint="eastAsia" w:ascii="宋体" w:hAnsi="宋体" w:eastAsia="宋体" w:cs="宋体"/>
                <w:color w:val="000000"/>
                <w:szCs w:val="21"/>
              </w:rPr>
            </w:pPr>
            <w:r>
              <w:rPr>
                <w:rFonts w:hint="eastAsia" w:ascii="宋体" w:hAnsi="宋体" w:eastAsia="宋体" w:cs="宋体"/>
                <w:color w:val="000000"/>
                <w:szCs w:val="21"/>
                <w:lang w:bidi="ar"/>
              </w:rPr>
              <w:t xml:space="preserve">5.射频输出功率：0-100 W可调，最低调节幅度1W。 </w:t>
            </w:r>
          </w:p>
          <w:p w14:paraId="306F9CBE">
            <w:pPr>
              <w:rPr>
                <w:rFonts w:hint="eastAsia" w:ascii="宋体" w:hAnsi="宋体" w:eastAsia="宋体" w:cs="宋体"/>
                <w:color w:val="000000"/>
                <w:szCs w:val="21"/>
              </w:rPr>
            </w:pPr>
            <w:r>
              <w:rPr>
                <w:rFonts w:hint="eastAsia" w:ascii="宋体" w:hAnsi="宋体" w:eastAsia="宋体" w:cs="宋体"/>
                <w:color w:val="000000"/>
                <w:szCs w:val="21"/>
                <w:lang w:bidi="ar"/>
              </w:rPr>
              <w:t xml:space="preserve">6.温度感知范围：10-100℃，分辨率：1℃。 </w:t>
            </w:r>
          </w:p>
          <w:p w14:paraId="164FC05C">
            <w:pPr>
              <w:rPr>
                <w:rFonts w:hint="eastAsia" w:ascii="宋体" w:hAnsi="宋体" w:eastAsia="宋体" w:cs="宋体"/>
                <w:color w:val="000000"/>
                <w:szCs w:val="21"/>
              </w:rPr>
            </w:pPr>
            <w:r>
              <w:rPr>
                <w:rFonts w:hint="eastAsia" w:ascii="宋体" w:hAnsi="宋体" w:eastAsia="宋体" w:cs="宋体"/>
                <w:color w:val="000000"/>
                <w:szCs w:val="21"/>
                <w:lang w:bidi="ar"/>
              </w:rPr>
              <w:t xml:space="preserve">7.未接灌注泵：目标温度为43-90℃，设置步进1℃； </w:t>
            </w:r>
          </w:p>
          <w:p w14:paraId="7832B262">
            <w:pPr>
              <w:rPr>
                <w:rFonts w:hint="eastAsia" w:ascii="宋体" w:hAnsi="宋体" w:eastAsia="宋体" w:cs="宋体"/>
                <w:color w:val="000000"/>
                <w:szCs w:val="21"/>
              </w:rPr>
            </w:pPr>
            <w:r>
              <w:rPr>
                <w:rFonts w:hint="eastAsia" w:ascii="宋体" w:hAnsi="宋体" w:eastAsia="宋体" w:cs="宋体"/>
                <w:color w:val="000000"/>
                <w:szCs w:val="21"/>
                <w:lang w:bidi="ar"/>
              </w:rPr>
              <w:t xml:space="preserve">8.接灌注泵：目标温度为38-53℃，设置步进1℃。 </w:t>
            </w:r>
          </w:p>
          <w:p w14:paraId="5D8D732E">
            <w:pPr>
              <w:rPr>
                <w:rFonts w:hint="eastAsia" w:ascii="宋体" w:hAnsi="宋体" w:eastAsia="宋体" w:cs="宋体"/>
                <w:color w:val="000000"/>
                <w:szCs w:val="21"/>
              </w:rPr>
            </w:pPr>
            <w:r>
              <w:rPr>
                <w:rFonts w:hint="eastAsia" w:ascii="宋体" w:hAnsi="宋体" w:eastAsia="宋体" w:cs="宋体"/>
                <w:color w:val="000000"/>
                <w:szCs w:val="21"/>
                <w:lang w:bidi="ar"/>
              </w:rPr>
              <w:t xml:space="preserve">9.阻抗显示范围：0-600Ω 。 </w:t>
            </w:r>
          </w:p>
          <w:p w14:paraId="5C990A94">
            <w:pPr>
              <w:rPr>
                <w:rFonts w:hint="eastAsia" w:ascii="宋体" w:hAnsi="宋体" w:eastAsia="宋体" w:cs="宋体"/>
                <w:color w:val="000000"/>
                <w:szCs w:val="21"/>
              </w:rPr>
            </w:pPr>
            <w:r>
              <w:rPr>
                <w:rFonts w:hint="eastAsia" w:ascii="宋体" w:hAnsi="宋体" w:eastAsia="宋体" w:cs="宋体"/>
                <w:color w:val="000000"/>
                <w:szCs w:val="21"/>
                <w:lang w:bidi="ar"/>
              </w:rPr>
              <w:t xml:space="preserve">10.消融时间设置范围：0-900s。 </w:t>
            </w:r>
          </w:p>
          <w:p w14:paraId="4C1E099B">
            <w:pPr>
              <w:rPr>
                <w:rFonts w:hint="eastAsia" w:ascii="宋体" w:hAnsi="宋体" w:eastAsia="宋体" w:cs="宋体"/>
                <w:color w:val="000000"/>
                <w:szCs w:val="21"/>
              </w:rPr>
            </w:pPr>
            <w:r>
              <w:rPr>
                <w:rFonts w:hint="eastAsia" w:ascii="宋体" w:hAnsi="宋体" w:eastAsia="宋体" w:cs="宋体"/>
                <w:color w:val="000000"/>
                <w:szCs w:val="21"/>
                <w:lang w:bidi="ar"/>
              </w:rPr>
              <w:t xml:space="preserve">11.温度全程实时显示：导管连接之后即全程实时显示导管温度。 </w:t>
            </w:r>
          </w:p>
          <w:p w14:paraId="753049F3">
            <w:pPr>
              <w:rPr>
                <w:rFonts w:hint="eastAsia" w:ascii="宋体" w:hAnsi="宋体" w:eastAsia="宋体" w:cs="宋体"/>
                <w:color w:val="000000"/>
                <w:szCs w:val="21"/>
              </w:rPr>
            </w:pPr>
            <w:r>
              <w:rPr>
                <w:rFonts w:hint="eastAsia" w:ascii="宋体" w:hAnsi="宋体" w:eastAsia="宋体" w:cs="宋体"/>
                <w:color w:val="000000"/>
                <w:szCs w:val="21"/>
                <w:lang w:bidi="ar"/>
              </w:rPr>
              <w:t xml:space="preserve">12.阻抗全程实时显示：导管连接之后即全程实时显示导管阻抗。 </w:t>
            </w:r>
          </w:p>
          <w:p w14:paraId="7919FACF">
            <w:pPr>
              <w:rPr>
                <w:rFonts w:hint="eastAsia" w:ascii="宋体" w:hAnsi="宋体" w:eastAsia="宋体" w:cs="宋体"/>
                <w:color w:val="000000"/>
                <w:szCs w:val="21"/>
              </w:rPr>
            </w:pPr>
            <w:r>
              <w:rPr>
                <w:rFonts w:hint="eastAsia" w:ascii="宋体" w:hAnsi="宋体" w:eastAsia="宋体" w:cs="宋体"/>
                <w:color w:val="000000"/>
                <w:szCs w:val="21"/>
                <w:lang w:bidi="ar"/>
              </w:rPr>
              <w:t xml:space="preserve">13.具有参数模板保存功能：可根据不同导管类型设置参数并保存模板，便于根据情况快速设置参数。 </w:t>
            </w:r>
          </w:p>
          <w:p w14:paraId="57A92839">
            <w:pPr>
              <w:rPr>
                <w:rFonts w:hint="eastAsia" w:ascii="宋体" w:hAnsi="宋体" w:eastAsia="宋体" w:cs="宋体"/>
                <w:color w:val="000000"/>
                <w:szCs w:val="21"/>
              </w:rPr>
            </w:pPr>
            <w:r>
              <w:rPr>
                <w:rFonts w:hint="eastAsia" w:ascii="宋体" w:hAnsi="宋体" w:eastAsia="宋体" w:cs="宋体"/>
                <w:color w:val="000000"/>
                <w:szCs w:val="21"/>
                <w:lang w:bidi="ar"/>
              </w:rPr>
              <w:t xml:space="preserve">14.可对于各种参数进行修改：可以对阻抗上下限、阻抗尖峰、切断温度、温控模式下的目标温度及功率上限、消融时间、灌注流量等各种参数进行调节。 </w:t>
            </w:r>
          </w:p>
          <w:p w14:paraId="6F77B2BB">
            <w:pPr>
              <w:rPr>
                <w:rFonts w:hint="eastAsia" w:ascii="宋体" w:hAnsi="宋体" w:eastAsia="宋体" w:cs="宋体"/>
                <w:color w:val="000000"/>
                <w:szCs w:val="21"/>
              </w:rPr>
            </w:pPr>
            <w:r>
              <w:rPr>
                <w:rFonts w:hint="eastAsia" w:ascii="宋体" w:hAnsi="宋体" w:eastAsia="宋体" w:cs="宋体"/>
                <w:color w:val="000000"/>
                <w:szCs w:val="21"/>
                <w:lang w:bidi="ar"/>
              </w:rPr>
              <w:t>15.消融过程中实时数据以曲线形式直观显示，任何时候常用参数都可直接在消融界面上更改。</w:t>
            </w:r>
          </w:p>
          <w:p w14:paraId="6D308588">
            <w:pPr>
              <w:rPr>
                <w:rFonts w:hint="eastAsia" w:ascii="宋体" w:hAnsi="宋体" w:eastAsia="宋体" w:cs="宋体"/>
                <w:color w:val="000000"/>
                <w:szCs w:val="21"/>
              </w:rPr>
            </w:pPr>
            <w:r>
              <w:rPr>
                <w:rFonts w:hint="eastAsia" w:ascii="宋体" w:hAnsi="宋体" w:eastAsia="宋体" w:cs="宋体"/>
                <w:color w:val="000000"/>
                <w:szCs w:val="21"/>
                <w:lang w:bidi="ar"/>
              </w:rPr>
              <w:t xml:space="preserve">16.可输入病人及医生信息，并保存至手术数据中，方便使用U盘导出查看。 </w:t>
            </w:r>
          </w:p>
          <w:p w14:paraId="2311CBE5">
            <w:pPr>
              <w:rPr>
                <w:rFonts w:hint="eastAsia" w:ascii="宋体" w:hAnsi="宋体" w:eastAsia="宋体" w:cs="宋体"/>
                <w:color w:val="000000"/>
                <w:szCs w:val="21"/>
              </w:rPr>
            </w:pPr>
            <w:r>
              <w:rPr>
                <w:rFonts w:hint="eastAsia" w:ascii="宋体" w:hAnsi="宋体" w:eastAsia="宋体" w:cs="宋体"/>
                <w:color w:val="000000"/>
                <w:szCs w:val="21"/>
                <w:lang w:bidi="ar"/>
              </w:rPr>
              <w:t xml:space="preserve">17.与同品牌三维心脏电生理标测系统联动使用时，可在三维系统上显示消融参数。 </w:t>
            </w:r>
          </w:p>
          <w:p w14:paraId="5AE0CF9F">
            <w:pPr>
              <w:rPr>
                <w:rFonts w:hint="eastAsia" w:ascii="宋体" w:hAnsi="宋体" w:eastAsia="宋体" w:cs="宋体"/>
                <w:color w:val="000000"/>
                <w:szCs w:val="21"/>
              </w:rPr>
            </w:pPr>
            <w:r>
              <w:rPr>
                <w:rFonts w:hint="eastAsia" w:ascii="宋体" w:hAnsi="宋体" w:eastAsia="宋体" w:cs="宋体"/>
                <w:color w:val="000000"/>
                <w:szCs w:val="21"/>
                <w:lang w:bidi="ar"/>
              </w:rPr>
              <w:t xml:space="preserve">18.与电生理记录仪的兼容性：兼容各品牌电生理记录仪。 </w:t>
            </w:r>
          </w:p>
          <w:p w14:paraId="132DB8CA">
            <w:pPr>
              <w:rPr>
                <w:rFonts w:hint="eastAsia" w:ascii="宋体" w:hAnsi="宋体" w:eastAsia="宋体" w:cs="宋体"/>
                <w:color w:val="000000"/>
                <w:szCs w:val="21"/>
              </w:rPr>
            </w:pPr>
            <w:r>
              <w:rPr>
                <w:rFonts w:hint="eastAsia" w:ascii="宋体" w:hAnsi="宋体" w:eastAsia="宋体" w:cs="宋体"/>
                <w:color w:val="000000"/>
                <w:szCs w:val="21"/>
                <w:lang w:bidi="ar"/>
              </w:rPr>
              <w:t xml:space="preserve">19.每次消融结束时显示本次消融的汇总数据。 </w:t>
            </w:r>
          </w:p>
          <w:p w14:paraId="2137562D">
            <w:pPr>
              <w:rPr>
                <w:rFonts w:hint="eastAsia" w:ascii="宋体" w:hAnsi="宋体" w:eastAsia="宋体" w:cs="宋体"/>
                <w:color w:val="000000"/>
                <w:szCs w:val="21"/>
              </w:rPr>
            </w:pPr>
            <w:r>
              <w:rPr>
                <w:rFonts w:hint="eastAsia" w:ascii="宋体" w:hAnsi="宋体" w:eastAsia="宋体" w:cs="宋体"/>
                <w:color w:val="000000"/>
                <w:szCs w:val="21"/>
                <w:lang w:bidi="ar"/>
              </w:rPr>
              <w:t xml:space="preserve">20.提供脚踏开关控制消融的开始/停止。 </w:t>
            </w:r>
          </w:p>
          <w:p w14:paraId="75FB92C7">
            <w:pPr>
              <w:rPr>
                <w:rFonts w:hint="eastAsia" w:ascii="宋体" w:hAnsi="宋体" w:eastAsia="宋体" w:cs="宋体"/>
                <w:color w:val="000000"/>
                <w:szCs w:val="21"/>
              </w:rPr>
            </w:pPr>
            <w:r>
              <w:rPr>
                <w:rFonts w:hint="eastAsia" w:ascii="宋体" w:hAnsi="宋体" w:eastAsia="宋体" w:cs="宋体"/>
                <w:color w:val="000000"/>
                <w:szCs w:val="21"/>
                <w:lang w:bidi="ar"/>
              </w:rPr>
              <w:t xml:space="preserve">21.提供直观的连接状态显示，包括：导管、中性电极、脚踏开关等。 </w:t>
            </w:r>
          </w:p>
          <w:p w14:paraId="3BF8D297">
            <w:pPr>
              <w:rPr>
                <w:rFonts w:hint="eastAsia" w:ascii="宋体" w:hAnsi="宋体" w:eastAsia="宋体" w:cs="宋体"/>
                <w:color w:val="000000"/>
                <w:szCs w:val="21"/>
              </w:rPr>
            </w:pPr>
            <w:r>
              <w:rPr>
                <w:rFonts w:hint="eastAsia" w:ascii="宋体" w:hAnsi="宋体" w:eastAsia="宋体" w:cs="宋体"/>
                <w:color w:val="000000"/>
                <w:szCs w:val="21"/>
                <w:lang w:bidi="ar"/>
              </w:rPr>
              <w:t>22.提供额外的温度感知通道。</w:t>
            </w:r>
          </w:p>
          <w:p w14:paraId="6068B24C">
            <w:pPr>
              <w:rPr>
                <w:rFonts w:hint="eastAsia" w:ascii="宋体" w:hAnsi="宋体" w:eastAsia="宋体" w:cs="宋体"/>
                <w:color w:val="000000"/>
                <w:szCs w:val="21"/>
              </w:rPr>
            </w:pPr>
            <w:r>
              <w:rPr>
                <w:rFonts w:hint="eastAsia" w:ascii="宋体" w:hAnsi="宋体" w:eastAsia="宋体" w:cs="宋体"/>
                <w:color w:val="000000"/>
                <w:szCs w:val="21"/>
                <w:lang w:bidi="ar"/>
              </w:rPr>
              <w:t xml:space="preserve">四、灌注泵技术参数： </w:t>
            </w:r>
          </w:p>
          <w:p w14:paraId="50A44F38">
            <w:pPr>
              <w:rPr>
                <w:rFonts w:hint="eastAsia" w:ascii="宋体" w:hAnsi="宋体" w:eastAsia="宋体" w:cs="宋体"/>
                <w:color w:val="000000"/>
                <w:szCs w:val="21"/>
              </w:rPr>
            </w:pPr>
            <w:r>
              <w:rPr>
                <w:rFonts w:hint="eastAsia" w:ascii="宋体" w:hAnsi="宋体" w:eastAsia="宋体" w:cs="宋体"/>
                <w:color w:val="000000"/>
                <w:szCs w:val="21"/>
                <w:lang w:bidi="ar"/>
              </w:rPr>
              <w:t xml:space="preserve">1.运行模式：连续运行。 </w:t>
            </w:r>
          </w:p>
          <w:p w14:paraId="6CA09E2B">
            <w:pPr>
              <w:rPr>
                <w:rFonts w:hint="eastAsia" w:ascii="宋体" w:hAnsi="宋体" w:eastAsia="宋体" w:cs="宋体"/>
                <w:color w:val="000000"/>
                <w:szCs w:val="21"/>
              </w:rPr>
            </w:pPr>
            <w:r>
              <w:rPr>
                <w:rFonts w:hint="eastAsia" w:ascii="宋体" w:hAnsi="宋体" w:eastAsia="宋体" w:cs="宋体"/>
                <w:color w:val="000000"/>
                <w:szCs w:val="21"/>
                <w:lang w:bidi="ar"/>
              </w:rPr>
              <w:t xml:space="preserve">2.流速精度（最大压强 115 psi）：-5% - +15%。 </w:t>
            </w:r>
          </w:p>
          <w:p w14:paraId="6E599B70">
            <w:pPr>
              <w:rPr>
                <w:rFonts w:hint="eastAsia" w:ascii="宋体" w:hAnsi="宋体" w:eastAsia="宋体" w:cs="宋体"/>
                <w:color w:val="000000"/>
                <w:szCs w:val="21"/>
              </w:rPr>
            </w:pPr>
            <w:r>
              <w:rPr>
                <w:rFonts w:hint="eastAsia" w:ascii="宋体" w:hAnsi="宋体" w:eastAsia="宋体" w:cs="宋体"/>
                <w:color w:val="000000"/>
                <w:szCs w:val="21"/>
                <w:lang w:bidi="ar"/>
              </w:rPr>
              <w:t xml:space="preserve">3.气泡检测：设计为检测 ≥ 2 µL 的气泡。 </w:t>
            </w:r>
          </w:p>
          <w:p w14:paraId="32D0B60D">
            <w:pPr>
              <w:rPr>
                <w:rFonts w:hint="eastAsia" w:ascii="宋体" w:hAnsi="宋体" w:eastAsia="宋体" w:cs="宋体"/>
                <w:color w:val="000000"/>
                <w:szCs w:val="21"/>
              </w:rPr>
            </w:pPr>
            <w:r>
              <w:rPr>
                <w:rFonts w:hint="eastAsia" w:ascii="宋体" w:hAnsi="宋体" w:eastAsia="宋体" w:cs="宋体"/>
                <w:color w:val="000000"/>
                <w:szCs w:val="21"/>
                <w:lang w:bidi="ar"/>
              </w:rPr>
              <w:t xml:space="preserve">4.流速调节（单位调节量 1 mL/min）。 </w:t>
            </w:r>
          </w:p>
          <w:p w14:paraId="5271B804">
            <w:pPr>
              <w:rPr>
                <w:rFonts w:hint="eastAsia" w:ascii="宋体" w:hAnsi="宋体" w:eastAsia="宋体" w:cs="宋体"/>
                <w:color w:val="000000"/>
                <w:szCs w:val="21"/>
              </w:rPr>
            </w:pPr>
            <w:r>
              <w:rPr>
                <w:rFonts w:hint="eastAsia" w:ascii="宋体" w:hAnsi="宋体" w:eastAsia="宋体" w:cs="宋体"/>
                <w:color w:val="000000"/>
                <w:szCs w:val="21"/>
                <w:lang w:bidi="ar"/>
              </w:rPr>
              <w:t xml:space="preserve">5.低速灌注：1 mL/min - 5 mL/min。 </w:t>
            </w:r>
          </w:p>
          <w:p w14:paraId="6DE2D5F5">
            <w:pPr>
              <w:rPr>
                <w:rFonts w:hint="eastAsia" w:ascii="宋体" w:hAnsi="宋体" w:eastAsia="宋体" w:cs="宋体"/>
                <w:color w:val="000000"/>
                <w:szCs w:val="21"/>
              </w:rPr>
            </w:pPr>
            <w:r>
              <w:rPr>
                <w:rFonts w:hint="eastAsia" w:ascii="宋体" w:hAnsi="宋体" w:eastAsia="宋体" w:cs="宋体"/>
                <w:color w:val="000000"/>
                <w:szCs w:val="21"/>
                <w:lang w:bidi="ar"/>
              </w:rPr>
              <w:t xml:space="preserve">6.高速灌注：6 mL/min - 60 mL/min。 </w:t>
            </w:r>
          </w:p>
          <w:p w14:paraId="39642E50">
            <w:pPr>
              <w:rPr>
                <w:rFonts w:hint="eastAsia" w:ascii="宋体" w:hAnsi="宋体" w:eastAsia="宋体" w:cs="宋体"/>
                <w:color w:val="000000"/>
                <w:szCs w:val="21"/>
              </w:rPr>
            </w:pPr>
            <w:r>
              <w:rPr>
                <w:rFonts w:hint="eastAsia" w:ascii="宋体" w:hAnsi="宋体" w:eastAsia="宋体" w:cs="宋体"/>
                <w:color w:val="000000"/>
                <w:szCs w:val="21"/>
                <w:lang w:bidi="ar"/>
              </w:rPr>
              <w:t xml:space="preserve">7.能与同品牌射频消融仪联合使用时，在射频仪上操控灌注泵，并实现联动。在连接后自动启动低速灌注，并随着放电的启动/停止自动切换灌注流速。 </w:t>
            </w:r>
          </w:p>
          <w:p w14:paraId="6A67D8A7">
            <w:pPr>
              <w:rPr>
                <w:rFonts w:hint="eastAsia" w:ascii="宋体" w:hAnsi="宋体" w:eastAsia="宋体" w:cs="宋体"/>
                <w:color w:val="000000"/>
                <w:szCs w:val="21"/>
              </w:rPr>
            </w:pPr>
            <w:r>
              <w:rPr>
                <w:rFonts w:hint="eastAsia" w:ascii="宋体" w:hAnsi="宋体" w:eastAsia="宋体" w:cs="宋体"/>
                <w:color w:val="000000"/>
                <w:szCs w:val="21"/>
                <w:lang w:bidi="ar"/>
              </w:rPr>
              <w:t xml:space="preserve">8.能以颜色和图形直观显示气泡排出情况。以图形显示错误提示。 </w:t>
            </w:r>
          </w:p>
          <w:p w14:paraId="4A5CA97E">
            <w:pPr>
              <w:rPr>
                <w:rFonts w:hint="eastAsia" w:ascii="宋体" w:hAnsi="宋体" w:eastAsia="宋体" w:cs="宋体"/>
                <w:color w:val="000000"/>
                <w:szCs w:val="21"/>
              </w:rPr>
            </w:pPr>
            <w:r>
              <w:rPr>
                <w:rFonts w:hint="eastAsia" w:ascii="宋体" w:hAnsi="宋体" w:eastAsia="宋体" w:cs="宋体"/>
                <w:color w:val="000000"/>
                <w:szCs w:val="21"/>
                <w:lang w:bidi="ar"/>
              </w:rPr>
              <w:t>9.灌注管路：箭头指引，保证正确装载。</w:t>
            </w:r>
          </w:p>
          <w:p w14:paraId="021497E7">
            <w:pPr>
              <w:rPr>
                <w:rFonts w:hint="eastAsia" w:ascii="宋体" w:hAnsi="宋体" w:eastAsia="宋体" w:cs="宋体"/>
                <w:color w:val="000000"/>
                <w:szCs w:val="21"/>
              </w:rPr>
            </w:pPr>
            <w:r>
              <w:rPr>
                <w:rFonts w:hint="eastAsia" w:ascii="宋体" w:hAnsi="宋体" w:eastAsia="宋体" w:cs="宋体"/>
                <w:color w:val="000000"/>
                <w:szCs w:val="21"/>
                <w:lang w:bidi="ar"/>
              </w:rPr>
              <w:t xml:space="preserve">10.冲刷：快速冲刷管路，流量可达100 ml/min。 </w:t>
            </w:r>
          </w:p>
          <w:p w14:paraId="06AF129D">
            <w:pPr>
              <w:rPr>
                <w:rFonts w:hint="eastAsia" w:ascii="宋体" w:hAnsi="宋体" w:eastAsia="宋体" w:cs="宋体"/>
                <w:color w:val="000000"/>
                <w:szCs w:val="21"/>
              </w:rPr>
            </w:pPr>
            <w:r>
              <w:rPr>
                <w:rFonts w:hint="eastAsia" w:ascii="宋体" w:hAnsi="宋体" w:eastAsia="宋体" w:cs="宋体"/>
                <w:color w:val="000000"/>
                <w:szCs w:val="21"/>
                <w:lang w:bidi="ar"/>
              </w:rPr>
              <w:t>11.气泡探测：双气泡探测器，使空气栓塞危险性降至最低。</w:t>
            </w:r>
          </w:p>
          <w:p w14:paraId="42D2E1E6">
            <w:pPr>
              <w:rPr>
                <w:rFonts w:hint="eastAsia" w:ascii="宋体" w:hAnsi="宋体" w:eastAsia="宋体" w:cs="宋体"/>
                <w:szCs w:val="21"/>
              </w:rPr>
            </w:pPr>
            <w:r>
              <w:rPr>
                <w:rFonts w:hint="eastAsia" w:ascii="宋体" w:hAnsi="宋体" w:eastAsia="宋体" w:cs="宋体"/>
                <w:color w:val="000000"/>
                <w:szCs w:val="21"/>
                <w:lang w:bidi="ar"/>
              </w:rPr>
              <w:t>12.具备压力感知接口：当使用带压力传感器的管路时，可以显示管路内的压力值，当导管盐水孔堵塞时及时提示。</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008ADA1E">
            <w:pPr>
              <w:widowControl/>
              <w:shd w:val="clear" w:color="auto" w:fill="FFFFFF"/>
              <w:spacing w:line="360" w:lineRule="auto"/>
              <w:jc w:val="center"/>
              <w:rPr>
                <w:rFonts w:hint="eastAsia" w:ascii="宋体" w:hAnsi="宋体" w:eastAsia="宋体" w:cs="宋体"/>
                <w:szCs w:val="21"/>
              </w:rPr>
            </w:pPr>
            <w:r>
              <w:rPr>
                <w:rFonts w:hint="eastAsia" w:ascii="宋体" w:hAnsi="宋体" w:eastAsia="宋体" w:cs="宋体"/>
                <w:szCs w:val="21"/>
              </w:rPr>
              <w:t>250.00</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4C1C50E2">
            <w:pPr>
              <w:widowControl/>
              <w:shd w:val="clear" w:color="auto" w:fill="FFFFFF"/>
              <w:spacing w:line="360" w:lineRule="auto"/>
              <w:jc w:val="center"/>
              <w:rPr>
                <w:rFonts w:hint="eastAsia" w:ascii="宋体" w:hAnsi="宋体" w:eastAsia="宋体" w:cs="宋体"/>
                <w:szCs w:val="21"/>
              </w:rPr>
            </w:pPr>
            <w:r>
              <w:rPr>
                <w:rFonts w:hint="eastAsia" w:ascii="宋体" w:hAnsi="宋体" w:eastAsia="宋体" w:cs="宋体"/>
                <w:szCs w:val="21"/>
              </w:rPr>
              <w:t>工业</w:t>
            </w:r>
          </w:p>
        </w:tc>
      </w:tr>
      <w:tr w14:paraId="5F69E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 w:hRule="atLeast"/>
          <w:jc w:val="center"/>
        </w:trPr>
        <w:tc>
          <w:tcPr>
            <w:tcW w:w="428" w:type="dxa"/>
            <w:vMerge w:val="continue"/>
            <w:tcBorders>
              <w:left w:val="single" w:color="auto" w:sz="4" w:space="0"/>
              <w:right w:val="single" w:color="auto" w:sz="4" w:space="0"/>
            </w:tcBorders>
            <w:noWrap w:val="0"/>
            <w:vAlign w:val="center"/>
          </w:tcPr>
          <w:p w14:paraId="7880D3BD">
            <w:pPr>
              <w:widowControl/>
              <w:shd w:val="clear" w:color="auto" w:fill="FFFFFF"/>
              <w:spacing w:line="360" w:lineRule="auto"/>
              <w:ind w:firstLine="420" w:firstLineChars="200"/>
              <w:rPr>
                <w:rFonts w:hint="eastAsia" w:ascii="宋体" w:hAnsi="宋体" w:eastAsia="宋体" w:cs="宋体"/>
                <w:szCs w:val="21"/>
              </w:rPr>
            </w:pPr>
          </w:p>
        </w:tc>
        <w:tc>
          <w:tcPr>
            <w:tcW w:w="453" w:type="dxa"/>
            <w:tcBorders>
              <w:top w:val="single" w:color="auto" w:sz="4" w:space="0"/>
              <w:left w:val="single" w:color="auto" w:sz="4" w:space="0"/>
              <w:bottom w:val="single" w:color="auto" w:sz="4" w:space="0"/>
              <w:right w:val="single" w:color="auto" w:sz="4" w:space="0"/>
            </w:tcBorders>
            <w:noWrap w:val="0"/>
            <w:vAlign w:val="center"/>
          </w:tcPr>
          <w:p w14:paraId="4DC2FBB9">
            <w:pPr>
              <w:widowControl/>
              <w:shd w:val="clear" w:color="auto" w:fill="FFFFFF"/>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356A209A">
            <w:pPr>
              <w:widowControl/>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光学相干断层扫描系统</w:t>
            </w:r>
          </w:p>
        </w:tc>
        <w:tc>
          <w:tcPr>
            <w:tcW w:w="473" w:type="dxa"/>
            <w:tcBorders>
              <w:top w:val="single" w:color="auto" w:sz="4" w:space="0"/>
              <w:left w:val="single" w:color="auto" w:sz="4" w:space="0"/>
              <w:bottom w:val="single" w:color="auto" w:sz="4" w:space="0"/>
              <w:right w:val="single" w:color="auto" w:sz="4" w:space="0"/>
            </w:tcBorders>
            <w:noWrap w:val="0"/>
            <w:vAlign w:val="center"/>
          </w:tcPr>
          <w:p w14:paraId="048A0D0C">
            <w:pPr>
              <w:widowControl/>
              <w:jc w:val="center"/>
              <w:textAlignment w:val="center"/>
              <w:rPr>
                <w:rFonts w:hint="eastAsia" w:ascii="宋体" w:hAnsi="宋体" w:eastAsia="宋体" w:cs="宋体"/>
                <w:szCs w:val="21"/>
              </w:rPr>
            </w:pPr>
            <w:r>
              <w:rPr>
                <w:rFonts w:hint="eastAsia" w:ascii="宋体" w:hAnsi="宋体" w:eastAsia="宋体" w:cs="宋体"/>
                <w:szCs w:val="21"/>
              </w:rPr>
              <w:t>套</w:t>
            </w:r>
          </w:p>
        </w:tc>
        <w:tc>
          <w:tcPr>
            <w:tcW w:w="455" w:type="dxa"/>
            <w:tcBorders>
              <w:top w:val="single" w:color="auto" w:sz="4" w:space="0"/>
              <w:left w:val="single" w:color="auto" w:sz="4" w:space="0"/>
              <w:bottom w:val="single" w:color="auto" w:sz="4" w:space="0"/>
              <w:right w:val="single" w:color="auto" w:sz="4" w:space="0"/>
            </w:tcBorders>
            <w:noWrap w:val="0"/>
            <w:vAlign w:val="center"/>
          </w:tcPr>
          <w:p w14:paraId="13F452CC">
            <w:pPr>
              <w:widowControl/>
              <w:jc w:val="center"/>
              <w:textAlignment w:val="center"/>
              <w:rPr>
                <w:rFonts w:ascii="宋体" w:hAnsi="宋体" w:eastAsia="宋体" w:cs="宋体"/>
                <w:szCs w:val="21"/>
              </w:rPr>
            </w:pPr>
            <w:r>
              <w:rPr>
                <w:rFonts w:hint="eastAsia" w:ascii="宋体" w:hAnsi="宋体" w:eastAsia="宋体" w:cs="宋体"/>
                <w:szCs w:val="21"/>
              </w:rPr>
              <w:t>1</w:t>
            </w:r>
          </w:p>
        </w:tc>
        <w:tc>
          <w:tcPr>
            <w:tcW w:w="865" w:type="dxa"/>
            <w:tcBorders>
              <w:top w:val="single" w:color="auto" w:sz="4" w:space="0"/>
              <w:left w:val="single" w:color="auto" w:sz="4" w:space="0"/>
              <w:bottom w:val="single" w:color="auto" w:sz="4" w:space="0"/>
              <w:right w:val="single" w:color="auto" w:sz="4" w:space="0"/>
            </w:tcBorders>
            <w:noWrap w:val="0"/>
            <w:vAlign w:val="center"/>
          </w:tcPr>
          <w:p w14:paraId="174A59F9">
            <w:pPr>
              <w:widowControl/>
              <w:jc w:val="center"/>
              <w:textAlignment w:val="center"/>
              <w:rPr>
                <w:rFonts w:ascii="宋体" w:hAnsi="宋体" w:eastAsia="宋体" w:cs="宋体"/>
                <w:szCs w:val="21"/>
              </w:rPr>
            </w:pPr>
            <w:r>
              <w:rPr>
                <w:rFonts w:hint="eastAsia" w:ascii="宋体" w:hAnsi="宋体" w:eastAsia="宋体" w:cs="宋体"/>
                <w:szCs w:val="21"/>
              </w:rPr>
              <w:t>290.00</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0D79054D">
            <w:pPr>
              <w:widowControl/>
              <w:jc w:val="center"/>
              <w:textAlignment w:val="center"/>
              <w:rPr>
                <w:rFonts w:hint="eastAsia" w:ascii="宋体" w:hAnsi="宋体" w:eastAsia="宋体" w:cs="宋体"/>
                <w:szCs w:val="21"/>
              </w:rPr>
            </w:pPr>
            <w:r>
              <w:rPr>
                <w:rFonts w:hint="eastAsia" w:ascii="宋体" w:hAnsi="宋体" w:eastAsia="宋体" w:cs="宋体"/>
                <w:szCs w:val="21"/>
              </w:rPr>
              <w:t>290.00</w:t>
            </w:r>
          </w:p>
        </w:tc>
        <w:tc>
          <w:tcPr>
            <w:tcW w:w="9132" w:type="dxa"/>
            <w:tcBorders>
              <w:top w:val="single" w:color="auto" w:sz="4" w:space="0"/>
              <w:left w:val="single" w:color="auto" w:sz="4" w:space="0"/>
              <w:bottom w:val="single" w:color="auto" w:sz="4" w:space="0"/>
              <w:right w:val="single" w:color="auto" w:sz="4" w:space="0"/>
            </w:tcBorders>
            <w:noWrap w:val="0"/>
            <w:vAlign w:val="center"/>
          </w:tcPr>
          <w:p w14:paraId="6F2C43D7">
            <w:pPr>
              <w:rPr>
                <w:rFonts w:hint="eastAsia" w:ascii="宋体" w:hAnsi="宋体" w:eastAsia="宋体" w:cs="宋体"/>
                <w:color w:val="000000"/>
                <w:szCs w:val="21"/>
              </w:rPr>
            </w:pPr>
            <w:r>
              <w:rPr>
                <w:rFonts w:hint="eastAsia" w:ascii="宋体" w:hAnsi="宋体" w:eastAsia="宋体" w:cs="宋体"/>
                <w:color w:val="000000"/>
                <w:szCs w:val="21"/>
                <w:lang w:bidi="ar"/>
              </w:rPr>
              <w:t>一、产品用途：用于对接受冠状动脉介入手术的病人进行冠脉成像，能定性和定量评价冠状动脉的血管形态，提供血管的图像和管壁结构。</w:t>
            </w:r>
          </w:p>
          <w:p w14:paraId="2F863A0B">
            <w:pPr>
              <w:rPr>
                <w:rFonts w:hint="eastAsia" w:ascii="宋体" w:hAnsi="宋体" w:eastAsia="宋体" w:cs="宋体"/>
                <w:color w:val="000000"/>
                <w:szCs w:val="21"/>
              </w:rPr>
            </w:pPr>
            <w:r>
              <w:rPr>
                <w:rFonts w:hint="eastAsia" w:ascii="宋体" w:hAnsi="宋体" w:eastAsia="宋体" w:cs="宋体"/>
                <w:color w:val="000000"/>
                <w:szCs w:val="21"/>
                <w:lang w:bidi="ar"/>
              </w:rPr>
              <w:t>二、成像技术规格和精度要求：</w:t>
            </w:r>
          </w:p>
          <w:p w14:paraId="2C88B1C2">
            <w:pPr>
              <w:rPr>
                <w:rFonts w:hint="eastAsia" w:ascii="宋体" w:hAnsi="宋体" w:eastAsia="宋体" w:cs="宋体"/>
                <w:color w:val="000000"/>
                <w:szCs w:val="21"/>
              </w:rPr>
            </w:pPr>
            <w:r>
              <w:rPr>
                <w:rFonts w:hint="eastAsia" w:ascii="宋体" w:hAnsi="宋体" w:eastAsia="宋体" w:cs="宋体"/>
                <w:color w:val="000000"/>
                <w:szCs w:val="21"/>
                <w:lang w:bidi="ar"/>
              </w:rPr>
              <w:t>1.扫描激光源光源功率：≤15mW±5mV。</w:t>
            </w:r>
          </w:p>
          <w:p w14:paraId="7C954E87">
            <w:pPr>
              <w:rPr>
                <w:rFonts w:hint="eastAsia" w:ascii="宋体" w:hAnsi="宋体" w:eastAsia="宋体" w:cs="宋体"/>
                <w:color w:val="000000"/>
                <w:szCs w:val="21"/>
              </w:rPr>
            </w:pPr>
            <w:r>
              <w:rPr>
                <w:rFonts w:hint="eastAsia" w:ascii="宋体" w:hAnsi="宋体" w:eastAsia="宋体" w:cs="宋体"/>
                <w:color w:val="000000"/>
                <w:szCs w:val="21"/>
                <w:lang w:bidi="ar"/>
              </w:rPr>
              <w:t>2.扫描激光光源的中心波长：1300nm±30nm。</w:t>
            </w:r>
          </w:p>
          <w:p w14:paraId="51FA1F69">
            <w:pPr>
              <w:rPr>
                <w:rFonts w:hint="eastAsia" w:ascii="宋体" w:hAnsi="宋体" w:eastAsia="宋体" w:cs="宋体"/>
                <w:color w:val="000000"/>
                <w:szCs w:val="21"/>
              </w:rPr>
            </w:pPr>
            <w:r>
              <w:rPr>
                <w:rFonts w:hint="eastAsia" w:ascii="宋体" w:hAnsi="宋体" w:eastAsia="宋体" w:cs="宋体"/>
                <w:color w:val="000000"/>
                <w:szCs w:val="21"/>
                <w:lang w:bidi="ar"/>
              </w:rPr>
              <w:t>3.扫描激光光源带宽：130nm±50nm。</w:t>
            </w:r>
          </w:p>
          <w:p w14:paraId="58686E1D">
            <w:pPr>
              <w:rPr>
                <w:rFonts w:hint="eastAsia" w:ascii="宋体" w:hAnsi="宋体" w:eastAsia="宋体" w:cs="宋体"/>
                <w:color w:val="000000"/>
                <w:szCs w:val="21"/>
              </w:rPr>
            </w:pPr>
            <w:r>
              <w:rPr>
                <w:rFonts w:hint="eastAsia" w:ascii="宋体" w:hAnsi="宋体" w:eastAsia="宋体" w:cs="宋体"/>
                <w:color w:val="000000"/>
                <w:szCs w:val="21"/>
                <w:lang w:bidi="ar"/>
              </w:rPr>
              <w:t>4.A扫描速率（扫频激光光源扫描频率）100kHz， 扫描频率的允差±1%。</w:t>
            </w:r>
          </w:p>
          <w:p w14:paraId="367D0246">
            <w:pPr>
              <w:rPr>
                <w:rFonts w:hint="eastAsia" w:ascii="宋体" w:hAnsi="宋体" w:eastAsia="宋体" w:cs="宋体"/>
                <w:color w:val="000000"/>
                <w:szCs w:val="21"/>
              </w:rPr>
            </w:pPr>
            <w:r>
              <w:rPr>
                <w:rFonts w:hint="eastAsia" w:ascii="宋体" w:hAnsi="宋体" w:eastAsia="宋体" w:cs="宋体"/>
                <w:color w:val="000000"/>
                <w:szCs w:val="21"/>
                <w:lang w:bidi="ar"/>
              </w:rPr>
              <w:t>5.指示红光光源在 PIU 连接头结合处的光功率≤200μW。</w:t>
            </w:r>
          </w:p>
          <w:p w14:paraId="287A8B0B">
            <w:pPr>
              <w:rPr>
                <w:rFonts w:hint="eastAsia" w:ascii="宋体" w:hAnsi="宋体" w:eastAsia="宋体" w:cs="宋体"/>
                <w:color w:val="000000"/>
                <w:szCs w:val="21"/>
              </w:rPr>
            </w:pPr>
            <w:r>
              <w:rPr>
                <w:rFonts w:hint="eastAsia" w:ascii="宋体" w:hAnsi="宋体" w:eastAsia="宋体" w:cs="宋体"/>
                <w:color w:val="000000"/>
                <w:szCs w:val="21"/>
                <w:lang w:bidi="ar"/>
              </w:rPr>
              <w:t>6.指示红光光源输出波长 650nm±20nm。</w:t>
            </w:r>
          </w:p>
          <w:p w14:paraId="231508EF">
            <w:pPr>
              <w:rPr>
                <w:rFonts w:hint="eastAsia" w:ascii="宋体" w:hAnsi="宋体" w:eastAsia="宋体" w:cs="宋体"/>
                <w:color w:val="000000"/>
                <w:szCs w:val="21"/>
              </w:rPr>
            </w:pPr>
            <w:r>
              <w:rPr>
                <w:rFonts w:hint="eastAsia" w:ascii="宋体" w:hAnsi="宋体" w:eastAsia="宋体" w:cs="宋体"/>
                <w:color w:val="000000"/>
                <w:szCs w:val="21"/>
                <w:lang w:bidi="ar"/>
              </w:rPr>
              <w:t>7.扫描参数：</w:t>
            </w:r>
          </w:p>
          <w:p w14:paraId="4BC1C35C">
            <w:pPr>
              <w:rPr>
                <w:rFonts w:hint="eastAsia" w:ascii="宋体" w:hAnsi="宋体" w:eastAsia="宋体" w:cs="宋体"/>
                <w:color w:val="000000"/>
                <w:szCs w:val="21"/>
              </w:rPr>
            </w:pPr>
            <w:r>
              <w:rPr>
                <w:rFonts w:hint="eastAsia" w:ascii="宋体" w:hAnsi="宋体" w:eastAsia="宋体" w:cs="宋体"/>
                <w:color w:val="000000"/>
                <w:szCs w:val="21"/>
                <w:lang w:bidi="ar"/>
              </w:rPr>
              <w:t>7.1空气中的 A 扫描范围：≥10mm。</w:t>
            </w:r>
          </w:p>
          <w:p w14:paraId="1A62781C">
            <w:pPr>
              <w:rPr>
                <w:rFonts w:hint="eastAsia" w:ascii="宋体" w:hAnsi="宋体" w:eastAsia="宋体" w:cs="宋体"/>
                <w:color w:val="000000"/>
                <w:szCs w:val="21"/>
              </w:rPr>
            </w:pPr>
            <w:r>
              <w:rPr>
                <w:rFonts w:hint="eastAsia" w:ascii="宋体" w:hAnsi="宋体" w:eastAsia="宋体" w:cs="宋体"/>
                <w:color w:val="000000"/>
                <w:szCs w:val="21"/>
                <w:lang w:bidi="ar"/>
              </w:rPr>
              <w:t>7.2造影剂中 A 扫描范围：≥7mm。</w:t>
            </w:r>
          </w:p>
          <w:p w14:paraId="51B25798">
            <w:pPr>
              <w:rPr>
                <w:rFonts w:hint="eastAsia" w:ascii="宋体" w:hAnsi="宋体" w:eastAsia="宋体" w:cs="宋体"/>
                <w:color w:val="000000"/>
                <w:szCs w:val="21"/>
              </w:rPr>
            </w:pPr>
            <w:r>
              <w:rPr>
                <w:rFonts w:hint="eastAsia" w:ascii="宋体" w:hAnsi="宋体" w:eastAsia="宋体" w:cs="宋体"/>
                <w:color w:val="000000"/>
                <w:szCs w:val="21"/>
                <w:lang w:bidi="ar"/>
              </w:rPr>
              <w:t>7.3轴向（纵向）分辨率：≤15µm。</w:t>
            </w:r>
          </w:p>
          <w:p w14:paraId="139DC4FC">
            <w:pPr>
              <w:rPr>
                <w:rFonts w:hint="eastAsia" w:ascii="宋体" w:hAnsi="宋体" w:eastAsia="宋体" w:cs="宋体"/>
                <w:color w:val="000000"/>
                <w:szCs w:val="21"/>
              </w:rPr>
            </w:pPr>
            <w:r>
              <w:rPr>
                <w:rFonts w:hint="eastAsia" w:ascii="宋体" w:hAnsi="宋体" w:eastAsia="宋体" w:cs="宋体"/>
                <w:color w:val="000000"/>
                <w:szCs w:val="21"/>
                <w:lang w:bidi="ar"/>
              </w:rPr>
              <w:t>8.光灵敏度：≥100dB。</w:t>
            </w:r>
          </w:p>
          <w:p w14:paraId="77BED08A">
            <w:pPr>
              <w:rPr>
                <w:rFonts w:hint="eastAsia" w:ascii="宋体" w:hAnsi="宋体" w:eastAsia="宋体" w:cs="宋体"/>
                <w:color w:val="000000"/>
                <w:szCs w:val="21"/>
              </w:rPr>
            </w:pPr>
            <w:r>
              <w:rPr>
                <w:rFonts w:hint="eastAsia" w:ascii="宋体" w:hAnsi="宋体" w:eastAsia="宋体" w:cs="宋体"/>
                <w:color w:val="000000"/>
                <w:szCs w:val="21"/>
                <w:lang w:bidi="ar"/>
              </w:rPr>
              <w:t>9. 成像帧速率：≥200帧/秒。</w:t>
            </w:r>
          </w:p>
          <w:p w14:paraId="4AF3A328">
            <w:pPr>
              <w:rPr>
                <w:rFonts w:hint="eastAsia" w:ascii="宋体" w:hAnsi="宋体" w:eastAsia="宋体" w:cs="宋体"/>
                <w:color w:val="000000"/>
                <w:szCs w:val="21"/>
              </w:rPr>
            </w:pPr>
            <w:r>
              <w:rPr>
                <w:rFonts w:hint="eastAsia" w:ascii="宋体" w:hAnsi="宋体" w:eastAsia="宋体" w:cs="宋体"/>
                <w:color w:val="000000"/>
                <w:szCs w:val="21"/>
                <w:lang w:bidi="ar"/>
              </w:rPr>
              <w:t>10.回撤方式包括自动、手动。</w:t>
            </w:r>
          </w:p>
          <w:p w14:paraId="0EE72BAE">
            <w:pPr>
              <w:rPr>
                <w:rFonts w:hint="eastAsia" w:ascii="宋体" w:hAnsi="宋体" w:eastAsia="宋体" w:cs="宋体"/>
                <w:color w:val="000000"/>
                <w:szCs w:val="21"/>
              </w:rPr>
            </w:pPr>
            <w:r>
              <w:rPr>
                <w:rFonts w:hint="eastAsia" w:ascii="宋体" w:hAnsi="宋体" w:eastAsia="宋体" w:cs="宋体"/>
                <w:color w:val="000000"/>
                <w:szCs w:val="21"/>
                <w:lang w:bidi="ar"/>
              </w:rPr>
              <w:t>11.一次性OCT回拉成像最大距离≥80mm。</w:t>
            </w:r>
          </w:p>
          <w:p w14:paraId="2957188E">
            <w:pPr>
              <w:rPr>
                <w:rFonts w:hint="eastAsia" w:ascii="宋体" w:hAnsi="宋体" w:eastAsia="宋体" w:cs="宋体"/>
                <w:color w:val="000000"/>
                <w:szCs w:val="21"/>
              </w:rPr>
            </w:pPr>
            <w:r>
              <w:rPr>
                <w:rFonts w:hint="eastAsia" w:ascii="宋体" w:hAnsi="宋体" w:eastAsia="宋体" w:cs="宋体"/>
                <w:color w:val="000000"/>
                <w:szCs w:val="21"/>
                <w:lang w:bidi="ar"/>
              </w:rPr>
              <w:t>12.回撤速度：≥20mm/s；最大40mm/s。</w:t>
            </w:r>
          </w:p>
          <w:p w14:paraId="308AC0A0">
            <w:pPr>
              <w:rPr>
                <w:rFonts w:hint="eastAsia" w:ascii="宋体" w:hAnsi="宋体" w:eastAsia="宋体" w:cs="宋体"/>
                <w:color w:val="000000"/>
                <w:szCs w:val="21"/>
              </w:rPr>
            </w:pPr>
            <w:r>
              <w:rPr>
                <w:rFonts w:hint="eastAsia" w:ascii="宋体" w:hAnsi="宋体" w:eastAsia="宋体" w:cs="宋体"/>
                <w:color w:val="000000"/>
                <w:szCs w:val="21"/>
                <w:lang w:bidi="ar"/>
              </w:rPr>
              <w:t xml:space="preserve">13.测量精度： </w:t>
            </w:r>
          </w:p>
          <w:p w14:paraId="5B7E6F11">
            <w:pPr>
              <w:rPr>
                <w:rFonts w:hint="eastAsia" w:ascii="宋体" w:hAnsi="宋体" w:eastAsia="宋体" w:cs="宋体"/>
                <w:color w:val="000000"/>
                <w:szCs w:val="21"/>
              </w:rPr>
            </w:pPr>
            <w:r>
              <w:rPr>
                <w:rFonts w:hint="eastAsia" w:ascii="宋体" w:hAnsi="宋体" w:eastAsia="宋体" w:cs="宋体"/>
                <w:color w:val="000000"/>
                <w:szCs w:val="21"/>
                <w:lang w:bidi="ar"/>
              </w:rPr>
              <w:t>13.1二维横断面（A轴）长度测量精度：</w:t>
            </w:r>
            <w:r>
              <w:rPr>
                <w:rFonts w:hint="eastAsia" w:ascii="宋体" w:hAnsi="宋体" w:eastAsia="宋体" w:cs="宋体"/>
                <w:color w:val="000000"/>
                <w:szCs w:val="21"/>
                <w:lang w:val="en-US" w:eastAsia="zh-CN" w:bidi="ar"/>
              </w:rPr>
              <w:t>≤</w:t>
            </w:r>
            <w:r>
              <w:rPr>
                <w:rFonts w:hint="eastAsia" w:ascii="宋体" w:hAnsi="宋体" w:eastAsia="宋体" w:cs="宋体"/>
                <w:color w:val="000000"/>
                <w:szCs w:val="21"/>
                <w:lang w:bidi="ar"/>
              </w:rPr>
              <w:t xml:space="preserve">7%。 </w:t>
            </w:r>
          </w:p>
          <w:p w14:paraId="018AF276">
            <w:pPr>
              <w:rPr>
                <w:rFonts w:hint="eastAsia" w:ascii="宋体" w:hAnsi="宋体" w:eastAsia="宋体" w:cs="宋体"/>
                <w:color w:val="000000"/>
                <w:szCs w:val="21"/>
              </w:rPr>
            </w:pPr>
            <w:r>
              <w:rPr>
                <w:rFonts w:hint="eastAsia" w:ascii="宋体" w:hAnsi="宋体" w:eastAsia="宋体" w:cs="宋体"/>
                <w:color w:val="000000"/>
                <w:szCs w:val="21"/>
                <w:lang w:bidi="ar"/>
              </w:rPr>
              <w:t>13.2二维横断面（A轴）面积测量精度：</w:t>
            </w:r>
            <w:r>
              <w:rPr>
                <w:rFonts w:hint="eastAsia" w:ascii="宋体" w:hAnsi="宋体" w:eastAsia="宋体" w:cs="宋体"/>
                <w:color w:val="000000"/>
                <w:szCs w:val="21"/>
                <w:lang w:val="en-US" w:eastAsia="zh-CN" w:bidi="ar"/>
              </w:rPr>
              <w:t>≤</w:t>
            </w:r>
            <w:r>
              <w:rPr>
                <w:rFonts w:hint="eastAsia" w:ascii="宋体" w:hAnsi="宋体" w:eastAsia="宋体" w:cs="宋体"/>
                <w:color w:val="000000"/>
                <w:szCs w:val="21"/>
                <w:lang w:bidi="ar"/>
              </w:rPr>
              <w:t xml:space="preserve">7%。 </w:t>
            </w:r>
          </w:p>
          <w:p w14:paraId="2D8745DC">
            <w:pPr>
              <w:rPr>
                <w:rFonts w:hint="eastAsia" w:ascii="宋体" w:hAnsi="宋体" w:eastAsia="宋体" w:cs="宋体"/>
                <w:color w:val="000000"/>
                <w:szCs w:val="21"/>
              </w:rPr>
            </w:pPr>
            <w:r>
              <w:rPr>
                <w:rFonts w:hint="eastAsia" w:ascii="宋体" w:hAnsi="宋体" w:eastAsia="宋体" w:cs="宋体"/>
                <w:color w:val="000000"/>
                <w:szCs w:val="21"/>
                <w:lang w:bidi="ar"/>
              </w:rPr>
              <w:t xml:space="preserve">13.3二维横断面（A 轴）角度测量精度：±10º。 </w:t>
            </w:r>
          </w:p>
          <w:p w14:paraId="49872017">
            <w:pPr>
              <w:rPr>
                <w:rFonts w:hint="eastAsia" w:ascii="宋体" w:hAnsi="宋体" w:eastAsia="宋体" w:cs="宋体"/>
                <w:color w:val="000000"/>
                <w:szCs w:val="21"/>
              </w:rPr>
            </w:pPr>
            <w:r>
              <w:rPr>
                <w:rFonts w:hint="eastAsia" w:ascii="宋体" w:hAnsi="宋体" w:eastAsia="宋体" w:cs="宋体"/>
                <w:color w:val="000000"/>
                <w:szCs w:val="21"/>
                <w:lang w:bidi="ar"/>
              </w:rPr>
              <w:t xml:space="preserve">13.4管腔面积重复测量的一致性（变异指数）：≤5%。 </w:t>
            </w:r>
          </w:p>
          <w:p w14:paraId="3F60612A">
            <w:pPr>
              <w:rPr>
                <w:rFonts w:hint="eastAsia" w:ascii="宋体" w:hAnsi="宋体" w:eastAsia="宋体" w:cs="宋体"/>
                <w:color w:val="000000"/>
                <w:szCs w:val="21"/>
              </w:rPr>
            </w:pPr>
            <w:r>
              <w:rPr>
                <w:rFonts w:hint="eastAsia" w:ascii="宋体" w:hAnsi="宋体" w:eastAsia="宋体" w:cs="宋体"/>
                <w:color w:val="000000"/>
                <w:szCs w:val="21"/>
                <w:lang w:bidi="ar"/>
              </w:rPr>
              <w:t>三、功能要求：</w:t>
            </w:r>
          </w:p>
          <w:p w14:paraId="428F927D">
            <w:pPr>
              <w:rPr>
                <w:rFonts w:hint="eastAsia" w:ascii="宋体" w:hAnsi="宋体" w:eastAsia="宋体" w:cs="宋体"/>
                <w:color w:val="000000"/>
                <w:szCs w:val="21"/>
              </w:rPr>
            </w:pPr>
            <w:r>
              <w:rPr>
                <w:rFonts w:hint="eastAsia" w:ascii="宋体" w:hAnsi="宋体" w:eastAsia="宋体" w:cs="宋体"/>
                <w:color w:val="000000"/>
                <w:szCs w:val="21"/>
                <w:lang w:bidi="ar"/>
              </w:rPr>
              <w:t>1.具备中、英文操作界面及操作系统，使用过程中有全中或英文操作流程提示及报警提示，便于各类术者操作，缩短学习周期。</w:t>
            </w:r>
          </w:p>
          <w:p w14:paraId="6AD837D6">
            <w:pPr>
              <w:rPr>
                <w:rFonts w:hint="eastAsia" w:ascii="宋体" w:hAnsi="宋体" w:eastAsia="宋体" w:cs="宋体"/>
                <w:color w:val="000000"/>
                <w:szCs w:val="21"/>
              </w:rPr>
            </w:pPr>
            <w:r>
              <w:rPr>
                <w:rFonts w:hint="eastAsia" w:ascii="宋体" w:hAnsi="宋体" w:eastAsia="宋体" w:cs="宋体"/>
                <w:color w:val="000000"/>
                <w:szCs w:val="21"/>
                <w:lang w:bidi="ar"/>
              </w:rPr>
              <w:t>2.具备OCT图像采集功能，快速冲洗，旋转回撤OCT 导管，采集数据。</w:t>
            </w:r>
          </w:p>
          <w:p w14:paraId="1EC7D0FB">
            <w:pPr>
              <w:rPr>
                <w:rFonts w:hint="eastAsia" w:ascii="宋体" w:hAnsi="宋体" w:eastAsia="宋体" w:cs="宋体"/>
                <w:color w:val="000000"/>
                <w:szCs w:val="21"/>
              </w:rPr>
            </w:pPr>
            <w:r>
              <w:rPr>
                <w:rFonts w:hint="eastAsia" w:ascii="宋体" w:hAnsi="宋体" w:eastAsia="宋体" w:cs="宋体"/>
                <w:color w:val="000000"/>
                <w:szCs w:val="21"/>
                <w:lang w:bidi="ar"/>
              </w:rPr>
              <w:t>3.病例管理：管理病例数据，查询已有病例数据并预览。病例创建可以新建病例或者在原有基础上创建病例。</w:t>
            </w:r>
          </w:p>
          <w:p w14:paraId="054D3F72">
            <w:pPr>
              <w:rPr>
                <w:rFonts w:hint="eastAsia" w:ascii="宋体" w:hAnsi="宋体" w:eastAsia="宋体" w:cs="宋体"/>
                <w:color w:val="000000"/>
                <w:szCs w:val="21"/>
              </w:rPr>
            </w:pPr>
            <w:r>
              <w:rPr>
                <w:rFonts w:hint="eastAsia" w:ascii="宋体" w:hAnsi="宋体" w:eastAsia="宋体" w:cs="宋体"/>
                <w:color w:val="000000"/>
                <w:szCs w:val="21"/>
                <w:lang w:bidi="ar"/>
              </w:rPr>
              <w:t>★4.回拉成像：具有低造影剂模式，高清模式，预扫描模式等不少于3种回拉模式；不同回拉模式参数配置不同：回拉长度为40.0mm±1.0mm，对应回拉时间为1s±0.1s；回拉长度为55.0mm±1.0mm</w:t>
            </w:r>
            <w:r>
              <w:rPr>
                <w:rFonts w:hint="eastAsia" w:ascii="宋体" w:hAnsi="宋体" w:eastAsia="宋体" w:cs="宋体"/>
                <w:color w:val="000000"/>
                <w:szCs w:val="21"/>
                <w:lang w:eastAsia="zh-CN" w:bidi="ar"/>
              </w:rPr>
              <w:t>，</w:t>
            </w:r>
            <w:r>
              <w:rPr>
                <w:rFonts w:hint="eastAsia" w:ascii="宋体" w:hAnsi="宋体" w:eastAsia="宋体" w:cs="宋体"/>
                <w:color w:val="000000"/>
                <w:szCs w:val="21"/>
                <w:lang w:bidi="ar"/>
              </w:rPr>
              <w:t>对应回拉时间为2.75s±0.</w:t>
            </w:r>
            <w:r>
              <w:rPr>
                <w:rFonts w:hint="eastAsia" w:ascii="宋体" w:hAnsi="宋体" w:eastAsia="宋体" w:cs="宋体"/>
                <w:color w:val="000000"/>
                <w:szCs w:val="21"/>
                <w:lang w:val="en-US" w:eastAsia="zh-CN" w:bidi="ar"/>
              </w:rPr>
              <w:t>2</w:t>
            </w:r>
            <w:r>
              <w:rPr>
                <w:rFonts w:hint="eastAsia" w:ascii="宋体" w:hAnsi="宋体" w:eastAsia="宋体" w:cs="宋体"/>
                <w:color w:val="000000"/>
                <w:szCs w:val="21"/>
                <w:lang w:bidi="ar"/>
              </w:rPr>
              <w:t>s；回拉长度为80.0mm±1.0mm，对应回拉时间为2s±0.2s；具有回拉安全保护时间：20S</w:t>
            </w:r>
            <w:r>
              <w:rPr>
                <w:rFonts w:hint="eastAsia" w:ascii="Times New Roman" w:hAnsi="Times New Roman" w:eastAsia="宋体" w:cs="Times New Roman"/>
                <w:szCs w:val="22"/>
                <w:lang w:eastAsia="zh-CN"/>
              </w:rPr>
              <w:t>（</w:t>
            </w:r>
            <w:r>
              <w:rPr>
                <w:rFonts w:hint="eastAsia" w:ascii="宋体" w:hAnsi="宋体" w:eastAsia="宋体" w:cs="宋体"/>
                <w:color w:val="000000"/>
                <w:szCs w:val="21"/>
                <w:lang w:val="en-US" w:eastAsia="zh-CN" w:bidi="ar"/>
              </w:rPr>
              <w:t>±5S</w:t>
            </w:r>
            <w:r>
              <w:rPr>
                <w:rFonts w:hint="eastAsia" w:ascii="Times New Roman" w:hAnsi="Times New Roman" w:eastAsia="宋体" w:cs="Times New Roman"/>
                <w:szCs w:val="22"/>
                <w:lang w:eastAsia="zh-CN"/>
              </w:rPr>
              <w:t>）</w:t>
            </w:r>
            <w:r>
              <w:rPr>
                <w:rFonts w:hint="eastAsia" w:ascii="宋体" w:hAnsi="宋体" w:eastAsia="宋体" w:cs="宋体"/>
                <w:color w:val="000000"/>
                <w:szCs w:val="21"/>
                <w:lang w:bidi="ar"/>
              </w:rPr>
              <w:t>。</w:t>
            </w:r>
          </w:p>
          <w:p w14:paraId="10D23077">
            <w:pPr>
              <w:rPr>
                <w:rFonts w:hint="eastAsia" w:ascii="宋体" w:hAnsi="宋体" w:eastAsia="宋体" w:cs="宋体"/>
                <w:color w:val="000000"/>
                <w:szCs w:val="21"/>
              </w:rPr>
            </w:pPr>
            <w:r>
              <w:rPr>
                <w:rFonts w:hint="eastAsia" w:ascii="宋体" w:hAnsi="宋体" w:eastAsia="宋体" w:cs="宋体"/>
                <w:color w:val="000000"/>
                <w:szCs w:val="21"/>
                <w:lang w:bidi="ar"/>
              </w:rPr>
              <w:t>5.记录回看：回看可显示横断面、长轴图像和三维图像；可进行视图交互、书签标记、回放控制、校准调整、单帧截图、图像对比度设置、血管部位和手术阶段设置、导出记录等。</w:t>
            </w:r>
          </w:p>
          <w:p w14:paraId="16276101">
            <w:pPr>
              <w:rPr>
                <w:rFonts w:hint="eastAsia" w:ascii="宋体" w:hAnsi="宋体" w:eastAsia="宋体" w:cs="宋体"/>
                <w:color w:val="000000"/>
                <w:szCs w:val="21"/>
              </w:rPr>
            </w:pPr>
            <w:r>
              <w:rPr>
                <w:rFonts w:hint="eastAsia" w:ascii="宋体" w:hAnsi="宋体" w:eastAsia="宋体" w:cs="宋体"/>
                <w:color w:val="000000"/>
                <w:szCs w:val="21"/>
                <w:lang w:bidi="ar"/>
              </w:rPr>
              <w:t>6.具备对血管影像进行放大10倍以上的功能，可更清晰地观察细微结构。</w:t>
            </w:r>
          </w:p>
          <w:p w14:paraId="272BDCA7">
            <w:pPr>
              <w:rPr>
                <w:rFonts w:hint="eastAsia" w:ascii="宋体" w:hAnsi="宋体" w:eastAsia="宋体" w:cs="宋体"/>
                <w:color w:val="000000"/>
                <w:szCs w:val="21"/>
              </w:rPr>
            </w:pPr>
            <w:r>
              <w:rPr>
                <w:rFonts w:hint="eastAsia" w:ascii="宋体" w:hAnsi="宋体" w:eastAsia="宋体" w:cs="宋体"/>
                <w:color w:val="000000"/>
                <w:szCs w:val="21"/>
                <w:lang w:bidi="ar"/>
              </w:rPr>
              <w:t>7.具备不少于4档可调节的视野范围：7mm，8mm，9mm，10mm等。</w:t>
            </w:r>
          </w:p>
          <w:p w14:paraId="23EA7264">
            <w:pPr>
              <w:rPr>
                <w:rFonts w:hint="eastAsia" w:ascii="宋体" w:hAnsi="宋体" w:eastAsia="宋体" w:cs="宋体"/>
                <w:color w:val="000000"/>
                <w:szCs w:val="21"/>
              </w:rPr>
            </w:pPr>
            <w:r>
              <w:rPr>
                <w:rFonts w:hint="eastAsia" w:ascii="宋体" w:hAnsi="宋体" w:eastAsia="宋体" w:cs="宋体"/>
                <w:color w:val="000000"/>
                <w:szCs w:val="21"/>
                <w:lang w:bidi="ar"/>
              </w:rPr>
              <w:t>8.具备不少于2种三维图像模式：导航模式，分叉模式等；不少于4种三维视图：导航视图，飞行视图，边支开口视图，分叉嵴视图等；3D管腔模式下可实现组织+内壁和内壁之间的切换。</w:t>
            </w:r>
          </w:p>
          <w:p w14:paraId="318F5E38">
            <w:pPr>
              <w:rPr>
                <w:rFonts w:hint="eastAsia" w:ascii="宋体" w:hAnsi="宋体" w:eastAsia="宋体" w:cs="宋体"/>
                <w:color w:val="000000"/>
                <w:szCs w:val="21"/>
              </w:rPr>
            </w:pPr>
            <w:r>
              <w:rPr>
                <w:rFonts w:hint="eastAsia" w:ascii="宋体" w:hAnsi="宋体" w:eastAsia="宋体" w:cs="宋体"/>
                <w:color w:val="000000"/>
                <w:szCs w:val="21"/>
                <w:lang w:bidi="ar"/>
              </w:rPr>
              <w:t>9.图像测量：系统允许在横断面图像、长轴图像进行不同类型测量，实现二维图像的长度、角度和面积测量。</w:t>
            </w:r>
          </w:p>
          <w:p w14:paraId="5ED5D3FC">
            <w:pPr>
              <w:rPr>
                <w:rFonts w:hint="eastAsia" w:ascii="宋体" w:hAnsi="宋体" w:eastAsia="宋体" w:cs="宋体"/>
                <w:color w:val="000000"/>
                <w:szCs w:val="21"/>
              </w:rPr>
            </w:pPr>
            <w:r>
              <w:rPr>
                <w:rFonts w:hint="eastAsia" w:ascii="宋体" w:hAnsi="宋体" w:eastAsia="宋体" w:cs="宋体"/>
                <w:color w:val="000000"/>
                <w:szCs w:val="21"/>
                <w:lang w:bidi="ar"/>
              </w:rPr>
              <w:t>10.OCT报告无线传输及打印：OCT图像/报告通过手机无线传输及无线打印，便于术者制作OCT检查报告。</w:t>
            </w:r>
          </w:p>
          <w:p w14:paraId="4C1BAAD7">
            <w:pPr>
              <w:rPr>
                <w:rFonts w:hint="eastAsia" w:ascii="宋体" w:hAnsi="宋体" w:eastAsia="宋体" w:cs="宋体"/>
                <w:color w:val="000000"/>
                <w:szCs w:val="21"/>
              </w:rPr>
            </w:pPr>
            <w:r>
              <w:rPr>
                <w:rFonts w:hint="eastAsia" w:ascii="宋体" w:hAnsi="宋体" w:eastAsia="宋体" w:cs="宋体"/>
                <w:color w:val="000000"/>
                <w:szCs w:val="21"/>
                <w:lang w:bidi="ar"/>
              </w:rPr>
              <w:t>11.具有分叉病变量化自动分析功能，可测量边支开口面积、直径、分叉角度、分叉嵴角度。</w:t>
            </w:r>
          </w:p>
          <w:p w14:paraId="3AF6D4D9">
            <w:pPr>
              <w:rPr>
                <w:rFonts w:hint="eastAsia" w:ascii="宋体" w:hAnsi="宋体" w:eastAsia="宋体" w:cs="宋体"/>
                <w:color w:val="000000"/>
                <w:szCs w:val="21"/>
              </w:rPr>
            </w:pPr>
            <w:r>
              <w:rPr>
                <w:rFonts w:hint="eastAsia" w:ascii="宋体" w:hAnsi="宋体" w:eastAsia="宋体" w:cs="宋体"/>
                <w:color w:val="000000"/>
                <w:szCs w:val="21"/>
                <w:lang w:bidi="ar"/>
              </w:rPr>
              <w:t>12.具有BRS的支架3D重塑和3D导航飞视功能，帮助术者更好地掌握BRS植入的贴壁情况及指导后续措施。</w:t>
            </w:r>
          </w:p>
          <w:p w14:paraId="0E2A5DB2">
            <w:pPr>
              <w:rPr>
                <w:rFonts w:hint="eastAsia" w:ascii="宋体" w:hAnsi="宋体" w:eastAsia="宋体" w:cs="宋体"/>
                <w:color w:val="000000"/>
                <w:szCs w:val="21"/>
              </w:rPr>
            </w:pPr>
            <w:r>
              <w:rPr>
                <w:rFonts w:hint="eastAsia" w:ascii="宋体" w:hAnsi="宋体" w:eastAsia="宋体" w:cs="宋体"/>
                <w:color w:val="000000"/>
                <w:szCs w:val="21"/>
                <w:lang w:bidi="ar"/>
              </w:rPr>
              <w:t>13.系统具有造影剂、低分子右旋糖苷2种成像冲洗模式，可达到同等图像质量，方便不适用造影剂的病人可以进行同样的检查。</w:t>
            </w:r>
          </w:p>
          <w:p w14:paraId="0813045E">
            <w:pPr>
              <w:rPr>
                <w:rFonts w:hint="eastAsia" w:ascii="宋体" w:hAnsi="宋体" w:eastAsia="宋体" w:cs="宋体"/>
                <w:color w:val="000000"/>
                <w:szCs w:val="21"/>
              </w:rPr>
            </w:pPr>
            <w:r>
              <w:rPr>
                <w:rFonts w:hint="eastAsia" w:ascii="宋体" w:hAnsi="宋体" w:eastAsia="宋体" w:cs="宋体"/>
                <w:color w:val="000000"/>
                <w:szCs w:val="21"/>
                <w:lang w:bidi="ar"/>
              </w:rPr>
              <w:t>14.具有支架评估功能，可自动定量计算支架膨胀指数和支架贴壁指数，显示支架膨胀指数最小值、平均数、每帧数值以及支架贴壁指数每帧数值、平均数，兼顾管腔由近到远逐渐变细的过程，提供全支架膨胀真实情况，自动计算远/近端参考帧以及最小管腔面积帧的面积、平均直径、狭窄率。</w:t>
            </w:r>
          </w:p>
          <w:p w14:paraId="25DD867C">
            <w:pPr>
              <w:rPr>
                <w:rFonts w:hint="eastAsia" w:ascii="宋体" w:hAnsi="宋体" w:eastAsia="宋体" w:cs="宋体"/>
                <w:color w:val="000000"/>
                <w:szCs w:val="21"/>
              </w:rPr>
            </w:pPr>
            <w:r>
              <w:rPr>
                <w:rFonts w:hint="eastAsia" w:ascii="宋体" w:hAnsi="宋体" w:eastAsia="宋体" w:cs="宋体"/>
                <w:color w:val="000000"/>
                <w:szCs w:val="21"/>
                <w:lang w:bidi="ar"/>
              </w:rPr>
              <w:t>15.具有OCT-Angio融合功能，缩短手术时间、减少辐射量、缩短学习曲线、提高手术成功率。</w:t>
            </w:r>
          </w:p>
          <w:p w14:paraId="06F42B7C">
            <w:pPr>
              <w:rPr>
                <w:rFonts w:hint="eastAsia" w:ascii="宋体" w:hAnsi="宋体" w:eastAsia="宋体" w:cs="宋体"/>
                <w:color w:val="000000"/>
                <w:szCs w:val="21"/>
              </w:rPr>
            </w:pPr>
            <w:r>
              <w:rPr>
                <w:rFonts w:hint="eastAsia" w:ascii="宋体" w:hAnsi="宋体" w:eastAsia="宋体" w:cs="宋体"/>
                <w:color w:val="000000"/>
                <w:szCs w:val="21"/>
                <w:lang w:bidi="ar"/>
              </w:rPr>
              <w:t>16.具有PCI前后回拉图像融合对比功能，给予术者清晰的比较，完善手术方案和方便进行学术交流，与患者及患者家属讲解。</w:t>
            </w:r>
          </w:p>
          <w:p w14:paraId="38E01C09">
            <w:pPr>
              <w:rPr>
                <w:rFonts w:hint="eastAsia" w:ascii="宋体" w:hAnsi="宋体" w:eastAsia="宋体" w:cs="宋体"/>
                <w:color w:val="000000"/>
                <w:szCs w:val="21"/>
              </w:rPr>
            </w:pPr>
            <w:r>
              <w:rPr>
                <w:rFonts w:hint="eastAsia" w:ascii="宋体" w:hAnsi="宋体" w:eastAsia="宋体" w:cs="宋体"/>
                <w:color w:val="000000"/>
                <w:szCs w:val="21"/>
                <w:lang w:bidi="ar"/>
              </w:rPr>
              <w:t>17.自动完成每一帧图像校准，节省操作时间。</w:t>
            </w:r>
          </w:p>
          <w:p w14:paraId="4748D6F2">
            <w:pPr>
              <w:rPr>
                <w:rFonts w:hint="eastAsia" w:ascii="宋体" w:hAnsi="宋体" w:eastAsia="宋体" w:cs="宋体"/>
                <w:color w:val="000000"/>
                <w:szCs w:val="21"/>
              </w:rPr>
            </w:pPr>
            <w:r>
              <w:rPr>
                <w:rFonts w:hint="eastAsia" w:ascii="宋体" w:hAnsi="宋体" w:eastAsia="宋体" w:cs="宋体"/>
                <w:color w:val="000000"/>
                <w:szCs w:val="21"/>
                <w:lang w:bidi="ar"/>
              </w:rPr>
              <w:t>18.在支架植入后的随访中对内膜覆盖进行自动计算，可自动计算并显示支架段内每帧OCT图像的支架内膜覆盖数值和平均内膜覆盖数值，该功能为制定双联抗血小板治疗策略提供参考依据。</w:t>
            </w:r>
          </w:p>
          <w:p w14:paraId="3F9BE291">
            <w:pPr>
              <w:rPr>
                <w:rFonts w:hint="eastAsia" w:ascii="宋体" w:hAnsi="宋体" w:eastAsia="宋体" w:cs="宋体"/>
                <w:color w:val="000000"/>
                <w:szCs w:val="21"/>
              </w:rPr>
            </w:pPr>
            <w:r>
              <w:rPr>
                <w:rFonts w:hint="eastAsia" w:ascii="宋体" w:hAnsi="宋体" w:eastAsia="宋体" w:cs="宋体"/>
                <w:color w:val="000000"/>
                <w:szCs w:val="21"/>
                <w:lang w:bidi="ar"/>
              </w:rPr>
              <w:t>19.斑块光衰指数：系统可自动计算和显示每一帧图像的光衰指数数值，并依据计算的光衰指数可以显示光衰指示器和光衰毯展图；光衰指示器中会显示Max IPA4mm数值和位置，用于快速定位不稳定斑块所在的位置。</w:t>
            </w:r>
          </w:p>
          <w:p w14:paraId="1557CCF9">
            <w:pPr>
              <w:rPr>
                <w:rFonts w:hint="eastAsia" w:ascii="宋体" w:hAnsi="宋体" w:eastAsia="宋体" w:cs="宋体"/>
                <w:color w:val="000000"/>
                <w:szCs w:val="21"/>
              </w:rPr>
            </w:pPr>
            <w:r>
              <w:rPr>
                <w:rFonts w:hint="eastAsia" w:ascii="宋体" w:hAnsi="宋体" w:eastAsia="宋体" w:cs="宋体"/>
                <w:color w:val="000000"/>
                <w:szCs w:val="21"/>
                <w:lang w:bidi="ar"/>
              </w:rPr>
              <w:t>20.智能钙化评估：系统可自动识别钙化斑块，计算钙化体积和钙化评分，也提供人工模式手动标注钙化区域和计算钙化评分，钙化结节轮廓可在在横断面和长轴视图中同步显示。</w:t>
            </w:r>
          </w:p>
          <w:p w14:paraId="657DCF77">
            <w:pPr>
              <w:rPr>
                <w:rFonts w:hint="eastAsia" w:ascii="宋体" w:hAnsi="宋体" w:eastAsia="宋体" w:cs="宋体"/>
                <w:color w:val="000000"/>
                <w:szCs w:val="21"/>
              </w:rPr>
            </w:pPr>
            <w:r>
              <w:rPr>
                <w:rFonts w:hint="eastAsia" w:ascii="宋体" w:hAnsi="宋体" w:eastAsia="宋体" w:cs="宋体"/>
                <w:color w:val="000000"/>
                <w:szCs w:val="21"/>
                <w:lang w:bidi="ar"/>
              </w:rPr>
              <w:t>21.基于OCT图像的虚拟血流分数:系统可自动计算基于OCT图像的虚拟血流分数，实时同屏显示OCT图像和整段回拉成像的虚拟血流分数数值及当前横断面位置的虚拟血流分数数值，支持手动输入主动脉压提高准确度，无需使用压力导丝/导管及血管扩张药物完成冠脉功能学评估，不增加手术时间。</w:t>
            </w:r>
          </w:p>
          <w:p w14:paraId="1328D864">
            <w:pPr>
              <w:rPr>
                <w:rFonts w:hint="eastAsia" w:ascii="宋体" w:hAnsi="宋体" w:eastAsia="宋体" w:cs="宋体"/>
                <w:color w:val="000000"/>
                <w:szCs w:val="21"/>
              </w:rPr>
            </w:pPr>
            <w:r>
              <w:rPr>
                <w:rFonts w:hint="eastAsia" w:ascii="宋体" w:hAnsi="宋体" w:eastAsia="宋体" w:cs="宋体"/>
                <w:color w:val="000000"/>
                <w:szCs w:val="21"/>
                <w:lang w:bidi="ar"/>
              </w:rPr>
              <w:t>22.配备头端带快速交换口的OCT导管，保护导管不容易折断。</w:t>
            </w:r>
          </w:p>
          <w:p w14:paraId="78CF9EAD">
            <w:pPr>
              <w:rPr>
                <w:rFonts w:hint="eastAsia" w:ascii="宋体" w:hAnsi="宋体" w:eastAsia="宋体" w:cs="宋体"/>
                <w:szCs w:val="21"/>
              </w:rPr>
            </w:pPr>
            <w:r>
              <w:rPr>
                <w:rFonts w:hint="eastAsia" w:ascii="宋体" w:hAnsi="宋体" w:eastAsia="宋体" w:cs="宋体"/>
                <w:color w:val="000000"/>
                <w:szCs w:val="21"/>
                <w:lang w:bidi="ar"/>
              </w:rPr>
              <w:t>23.具备匿名功能，可保护患者隐私。</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4EBC2760">
            <w:pPr>
              <w:widowControl/>
              <w:shd w:val="clear" w:color="auto" w:fill="FFFFFF"/>
              <w:spacing w:line="360" w:lineRule="auto"/>
              <w:jc w:val="center"/>
              <w:rPr>
                <w:rFonts w:hint="eastAsia" w:ascii="宋体" w:hAnsi="宋体" w:eastAsia="宋体" w:cs="宋体"/>
                <w:szCs w:val="21"/>
              </w:rPr>
            </w:pPr>
            <w:r>
              <w:rPr>
                <w:rFonts w:hint="eastAsia" w:ascii="宋体" w:hAnsi="宋体" w:eastAsia="宋体" w:cs="宋体"/>
                <w:szCs w:val="21"/>
              </w:rPr>
              <w:t>290.00</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1D461323">
            <w:pPr>
              <w:widowControl/>
              <w:shd w:val="clear" w:color="auto" w:fill="FFFFFF"/>
              <w:spacing w:line="360" w:lineRule="auto"/>
              <w:jc w:val="center"/>
              <w:rPr>
                <w:rFonts w:hint="eastAsia" w:ascii="宋体" w:hAnsi="宋体" w:eastAsia="宋体" w:cs="宋体"/>
                <w:szCs w:val="21"/>
              </w:rPr>
            </w:pPr>
            <w:r>
              <w:rPr>
                <w:rFonts w:hint="eastAsia" w:ascii="宋体" w:hAnsi="宋体" w:eastAsia="宋体" w:cs="宋体"/>
                <w:szCs w:val="21"/>
              </w:rPr>
              <w:t>工业</w:t>
            </w:r>
          </w:p>
        </w:tc>
      </w:tr>
      <w:tr w14:paraId="019C8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 w:hRule="atLeast"/>
          <w:jc w:val="center"/>
        </w:trPr>
        <w:tc>
          <w:tcPr>
            <w:tcW w:w="428" w:type="dxa"/>
            <w:vMerge w:val="continue"/>
            <w:tcBorders>
              <w:left w:val="single" w:color="auto" w:sz="4" w:space="0"/>
              <w:bottom w:val="single" w:color="auto" w:sz="4" w:space="0"/>
              <w:right w:val="single" w:color="auto" w:sz="4" w:space="0"/>
            </w:tcBorders>
            <w:noWrap w:val="0"/>
            <w:vAlign w:val="center"/>
          </w:tcPr>
          <w:p w14:paraId="66E2899E">
            <w:pPr>
              <w:widowControl/>
              <w:shd w:val="clear" w:color="auto" w:fill="FFFFFF"/>
              <w:spacing w:line="360" w:lineRule="auto"/>
              <w:ind w:firstLine="420" w:firstLineChars="200"/>
              <w:jc w:val="center"/>
              <w:rPr>
                <w:rFonts w:hint="eastAsia" w:ascii="宋体" w:hAnsi="宋体" w:eastAsia="宋体" w:cs="宋体"/>
                <w:szCs w:val="21"/>
              </w:rPr>
            </w:pPr>
          </w:p>
        </w:tc>
        <w:tc>
          <w:tcPr>
            <w:tcW w:w="453" w:type="dxa"/>
            <w:tcBorders>
              <w:left w:val="single" w:color="auto" w:sz="4" w:space="0"/>
              <w:bottom w:val="single" w:color="auto" w:sz="4" w:space="0"/>
              <w:right w:val="single" w:color="auto" w:sz="4" w:space="0"/>
            </w:tcBorders>
            <w:noWrap w:val="0"/>
            <w:vAlign w:val="center"/>
          </w:tcPr>
          <w:p w14:paraId="4FF31F56">
            <w:pPr>
              <w:widowControl/>
              <w:shd w:val="clear" w:color="auto" w:fill="FFFFFF"/>
              <w:spacing w:line="360" w:lineRule="auto"/>
              <w:jc w:val="center"/>
              <w:rPr>
                <w:rFonts w:ascii="宋体" w:hAnsi="宋体" w:eastAsia="宋体" w:cs="宋体"/>
                <w:szCs w:val="21"/>
              </w:rPr>
            </w:pPr>
            <w:r>
              <w:rPr>
                <w:rFonts w:hint="eastAsia" w:ascii="宋体" w:hAnsi="宋体" w:eastAsia="宋体" w:cs="宋体"/>
                <w:szCs w:val="21"/>
              </w:rPr>
              <w:t>4</w:t>
            </w:r>
          </w:p>
        </w:tc>
        <w:tc>
          <w:tcPr>
            <w:tcW w:w="762" w:type="dxa"/>
            <w:tcBorders>
              <w:left w:val="single" w:color="auto" w:sz="4" w:space="0"/>
              <w:bottom w:val="single" w:color="auto" w:sz="4" w:space="0"/>
              <w:right w:val="single" w:color="auto" w:sz="4" w:space="0"/>
            </w:tcBorders>
            <w:noWrap w:val="0"/>
            <w:vAlign w:val="center"/>
          </w:tcPr>
          <w:p w14:paraId="6475E46C">
            <w:pPr>
              <w:widowControl/>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血管内超声系统</w:t>
            </w:r>
          </w:p>
        </w:tc>
        <w:tc>
          <w:tcPr>
            <w:tcW w:w="473" w:type="dxa"/>
            <w:tcBorders>
              <w:left w:val="single" w:color="auto" w:sz="4" w:space="0"/>
              <w:bottom w:val="single" w:color="auto" w:sz="4" w:space="0"/>
              <w:right w:val="single" w:color="auto" w:sz="4" w:space="0"/>
            </w:tcBorders>
            <w:noWrap w:val="0"/>
            <w:vAlign w:val="center"/>
          </w:tcPr>
          <w:p w14:paraId="0EC5E597">
            <w:pPr>
              <w:widowControl/>
              <w:jc w:val="center"/>
              <w:textAlignment w:val="center"/>
              <w:rPr>
                <w:rFonts w:hint="eastAsia" w:ascii="宋体" w:hAnsi="宋体" w:eastAsia="宋体" w:cs="宋体"/>
                <w:szCs w:val="21"/>
              </w:rPr>
            </w:pPr>
            <w:r>
              <w:rPr>
                <w:rFonts w:hint="eastAsia" w:ascii="宋体" w:hAnsi="宋体" w:eastAsia="宋体" w:cs="宋体"/>
                <w:szCs w:val="21"/>
              </w:rPr>
              <w:t>套</w:t>
            </w:r>
          </w:p>
        </w:tc>
        <w:tc>
          <w:tcPr>
            <w:tcW w:w="455" w:type="dxa"/>
            <w:tcBorders>
              <w:left w:val="single" w:color="auto" w:sz="4" w:space="0"/>
              <w:bottom w:val="single" w:color="auto" w:sz="4" w:space="0"/>
              <w:right w:val="single" w:color="auto" w:sz="4" w:space="0"/>
            </w:tcBorders>
            <w:noWrap w:val="0"/>
            <w:vAlign w:val="center"/>
          </w:tcPr>
          <w:p w14:paraId="4A6AE496">
            <w:pPr>
              <w:widowControl/>
              <w:shd w:val="clear" w:color="auto" w:fill="FFFFFF"/>
              <w:spacing w:line="360" w:lineRule="auto"/>
              <w:jc w:val="center"/>
              <w:rPr>
                <w:rFonts w:ascii="宋体" w:hAnsi="宋体" w:eastAsia="宋体" w:cs="宋体"/>
                <w:szCs w:val="21"/>
              </w:rPr>
            </w:pPr>
            <w:r>
              <w:rPr>
                <w:rFonts w:hint="eastAsia" w:ascii="宋体" w:hAnsi="宋体" w:eastAsia="宋体" w:cs="宋体"/>
                <w:szCs w:val="21"/>
              </w:rPr>
              <w:t>1</w:t>
            </w:r>
          </w:p>
        </w:tc>
        <w:tc>
          <w:tcPr>
            <w:tcW w:w="865" w:type="dxa"/>
            <w:tcBorders>
              <w:left w:val="single" w:color="auto" w:sz="4" w:space="0"/>
              <w:bottom w:val="single" w:color="auto" w:sz="4" w:space="0"/>
              <w:right w:val="single" w:color="auto" w:sz="4" w:space="0"/>
            </w:tcBorders>
            <w:noWrap w:val="0"/>
            <w:vAlign w:val="center"/>
          </w:tcPr>
          <w:p w14:paraId="2572F626">
            <w:pPr>
              <w:widowControl/>
              <w:shd w:val="clear" w:color="auto" w:fill="FFFFFF"/>
              <w:spacing w:line="360" w:lineRule="auto"/>
              <w:jc w:val="center"/>
              <w:rPr>
                <w:rFonts w:ascii="宋体" w:hAnsi="宋体" w:eastAsia="宋体" w:cs="宋体"/>
                <w:szCs w:val="21"/>
              </w:rPr>
            </w:pPr>
            <w:r>
              <w:rPr>
                <w:rFonts w:hint="eastAsia" w:ascii="宋体" w:hAnsi="宋体" w:eastAsia="宋体" w:cs="宋体"/>
                <w:szCs w:val="21"/>
              </w:rPr>
              <w:t>180.00</w:t>
            </w:r>
          </w:p>
        </w:tc>
        <w:tc>
          <w:tcPr>
            <w:tcW w:w="895" w:type="dxa"/>
            <w:tcBorders>
              <w:left w:val="single" w:color="auto" w:sz="4" w:space="0"/>
              <w:bottom w:val="single" w:color="auto" w:sz="4" w:space="0"/>
              <w:right w:val="single" w:color="auto" w:sz="4" w:space="0"/>
            </w:tcBorders>
            <w:noWrap w:val="0"/>
            <w:vAlign w:val="center"/>
          </w:tcPr>
          <w:p w14:paraId="4DA7187C">
            <w:pPr>
              <w:widowControl/>
              <w:shd w:val="clear" w:color="auto" w:fill="FFFFFF"/>
              <w:spacing w:line="360" w:lineRule="auto"/>
              <w:jc w:val="center"/>
              <w:rPr>
                <w:rFonts w:hint="eastAsia" w:ascii="宋体" w:hAnsi="宋体" w:eastAsia="宋体" w:cs="宋体"/>
                <w:szCs w:val="21"/>
              </w:rPr>
            </w:pPr>
            <w:r>
              <w:rPr>
                <w:rFonts w:hint="eastAsia" w:ascii="宋体" w:hAnsi="宋体" w:eastAsia="宋体" w:cs="宋体"/>
                <w:szCs w:val="21"/>
              </w:rPr>
              <w:t>180.00</w:t>
            </w:r>
          </w:p>
        </w:tc>
        <w:tc>
          <w:tcPr>
            <w:tcW w:w="9132" w:type="dxa"/>
            <w:tcBorders>
              <w:top w:val="single" w:color="auto" w:sz="4" w:space="0"/>
              <w:left w:val="single" w:color="auto" w:sz="4" w:space="0"/>
              <w:bottom w:val="single" w:color="auto" w:sz="4" w:space="0"/>
              <w:right w:val="single" w:color="auto" w:sz="4" w:space="0"/>
            </w:tcBorders>
            <w:noWrap w:val="0"/>
            <w:vAlign w:val="center"/>
          </w:tcPr>
          <w:p w14:paraId="3476E84C">
            <w:pPr>
              <w:rPr>
                <w:rFonts w:hint="eastAsia" w:ascii="宋体" w:hAnsi="宋体" w:eastAsia="宋体" w:cs="宋体"/>
                <w:szCs w:val="24"/>
              </w:rPr>
            </w:pPr>
            <w:r>
              <w:rPr>
                <w:rFonts w:hint="eastAsia" w:ascii="宋体" w:hAnsi="宋体" w:eastAsia="宋体" w:cs="宋体"/>
                <w:szCs w:val="24"/>
              </w:rPr>
              <w:t>一、设备参数（硬件）</w:t>
            </w:r>
          </w:p>
          <w:p w14:paraId="5BD8DC99">
            <w:pPr>
              <w:rPr>
                <w:rFonts w:hint="eastAsia" w:ascii="宋体" w:hAnsi="宋体" w:eastAsia="宋体" w:cs="宋体"/>
                <w:szCs w:val="24"/>
              </w:rPr>
            </w:pPr>
            <w:r>
              <w:rPr>
                <w:rFonts w:hint="eastAsia" w:ascii="宋体" w:hAnsi="宋体" w:eastAsia="宋体" w:cs="宋体"/>
                <w:szCs w:val="24"/>
              </w:rPr>
              <w:t>1.多功能介入超声诊断平台，支持机械旋转式超声导管技术。</w:t>
            </w:r>
          </w:p>
          <w:p w14:paraId="2628C526">
            <w:pPr>
              <w:rPr>
                <w:rFonts w:hint="eastAsia" w:ascii="宋体" w:hAnsi="宋体" w:eastAsia="宋体" w:cs="宋体"/>
                <w:szCs w:val="24"/>
              </w:rPr>
            </w:pPr>
            <w:r>
              <w:rPr>
                <w:rFonts w:hint="eastAsia" w:ascii="宋体" w:hAnsi="宋体" w:eastAsia="宋体" w:cs="宋体"/>
                <w:szCs w:val="24"/>
              </w:rPr>
              <w:t>2.支持心腔超声导管，可开展心腔内影像诊断。</w:t>
            </w:r>
          </w:p>
          <w:p w14:paraId="78FBA35B">
            <w:pPr>
              <w:rPr>
                <w:rFonts w:hint="eastAsia" w:ascii="宋体" w:hAnsi="宋体" w:eastAsia="宋体" w:cs="宋体"/>
                <w:szCs w:val="24"/>
              </w:rPr>
            </w:pPr>
            <w:r>
              <w:rPr>
                <w:rFonts w:hint="eastAsia" w:ascii="宋体" w:hAnsi="宋体" w:eastAsia="宋体" w:cs="宋体"/>
                <w:szCs w:val="24"/>
              </w:rPr>
              <w:t>3.触摸屏式控制面板，可以显示所有按钮，避免污物流入按键缝隙造成控制界面污染及电子故障。</w:t>
            </w:r>
          </w:p>
          <w:p w14:paraId="63EA5B66">
            <w:pPr>
              <w:rPr>
                <w:rFonts w:hint="eastAsia" w:ascii="宋体" w:hAnsi="宋体" w:eastAsia="宋体" w:cs="宋体"/>
                <w:szCs w:val="24"/>
              </w:rPr>
            </w:pPr>
            <w:r>
              <w:rPr>
                <w:rFonts w:hint="eastAsia" w:ascii="宋体" w:hAnsi="宋体" w:eastAsia="宋体" w:cs="宋体"/>
                <w:szCs w:val="24"/>
              </w:rPr>
              <w:t>4.配备光电鼠标，通过鼠标进行操作，描绘图像，符合用户习惯。可以通过鼠标滚轮在不同的Frame之间切换。</w:t>
            </w:r>
          </w:p>
          <w:p w14:paraId="3F2C95FB">
            <w:pPr>
              <w:rPr>
                <w:rFonts w:hint="eastAsia" w:ascii="宋体" w:hAnsi="宋体" w:eastAsia="宋体" w:cs="宋体"/>
                <w:szCs w:val="24"/>
              </w:rPr>
            </w:pPr>
            <w:r>
              <w:rPr>
                <w:rFonts w:hint="eastAsia" w:ascii="宋体" w:hAnsi="宋体" w:eastAsia="宋体" w:cs="宋体"/>
                <w:szCs w:val="24"/>
              </w:rPr>
              <w:t>★5.内置硬盘和专用可移动硬盘，可存储的病人数据≥200例。</w:t>
            </w:r>
          </w:p>
          <w:p w14:paraId="71ED4F80">
            <w:pPr>
              <w:rPr>
                <w:rFonts w:hint="eastAsia" w:ascii="宋体" w:hAnsi="宋体" w:eastAsia="宋体" w:cs="宋体"/>
                <w:szCs w:val="24"/>
              </w:rPr>
            </w:pPr>
            <w:r>
              <w:rPr>
                <w:rFonts w:hint="eastAsia" w:ascii="宋体" w:hAnsi="宋体" w:eastAsia="宋体" w:cs="宋体"/>
                <w:szCs w:val="24"/>
              </w:rPr>
              <w:t>6.存储方式多样，可以将图像以DICOM 3.0的格式存储于CD、DVD、移动硬盘，并可以上传至网络。</w:t>
            </w:r>
          </w:p>
          <w:p w14:paraId="31EFD78D">
            <w:pPr>
              <w:rPr>
                <w:rFonts w:hint="eastAsia" w:ascii="宋体" w:hAnsi="宋体" w:eastAsia="宋体" w:cs="宋体"/>
                <w:szCs w:val="24"/>
              </w:rPr>
            </w:pPr>
            <w:r>
              <w:rPr>
                <w:rFonts w:hint="eastAsia" w:ascii="宋体" w:hAnsi="宋体" w:eastAsia="宋体" w:cs="宋体"/>
                <w:szCs w:val="24"/>
              </w:rPr>
              <w:t>7.19英寸高分辨率彩色LCD显示器(含内置式麦克风、扬声器)。</w:t>
            </w:r>
          </w:p>
          <w:p w14:paraId="202BBC23">
            <w:pPr>
              <w:rPr>
                <w:rFonts w:hint="eastAsia" w:ascii="宋体" w:hAnsi="宋体" w:eastAsia="宋体" w:cs="宋体"/>
                <w:szCs w:val="24"/>
              </w:rPr>
            </w:pPr>
            <w:r>
              <w:rPr>
                <w:rFonts w:hint="eastAsia" w:ascii="宋体" w:hAnsi="宋体" w:eastAsia="宋体" w:cs="宋体"/>
                <w:szCs w:val="24"/>
              </w:rPr>
              <w:t>8.系统处理器：双CPU分布式系统，采集处理器 2GHz，显像处理器 3.0GHz。</w:t>
            </w:r>
          </w:p>
          <w:p w14:paraId="2F561C6A">
            <w:pPr>
              <w:rPr>
                <w:rFonts w:hint="eastAsia" w:ascii="宋体" w:hAnsi="宋体" w:eastAsia="宋体" w:cs="宋体"/>
                <w:szCs w:val="24"/>
              </w:rPr>
            </w:pPr>
            <w:r>
              <w:rPr>
                <w:rFonts w:hint="eastAsia" w:ascii="宋体" w:hAnsi="宋体" w:eastAsia="宋体" w:cs="宋体"/>
                <w:szCs w:val="24"/>
              </w:rPr>
              <w:t>9.专业热敏黑白打印机。</w:t>
            </w:r>
          </w:p>
          <w:p w14:paraId="03426C9F">
            <w:pPr>
              <w:rPr>
                <w:rFonts w:hint="eastAsia" w:ascii="宋体" w:hAnsi="宋体" w:eastAsia="宋体" w:cs="宋体"/>
                <w:szCs w:val="24"/>
              </w:rPr>
            </w:pPr>
            <w:r>
              <w:rPr>
                <w:rFonts w:hint="eastAsia" w:ascii="宋体" w:hAnsi="宋体" w:eastAsia="宋体" w:cs="宋体"/>
                <w:szCs w:val="24"/>
              </w:rPr>
              <w:t>10.驱动马达兼具自动回撤和手动回撤功能，可显示回撤距离。</w:t>
            </w:r>
          </w:p>
          <w:p w14:paraId="013F004B">
            <w:pPr>
              <w:rPr>
                <w:rFonts w:hint="eastAsia" w:ascii="宋体" w:hAnsi="宋体" w:eastAsia="宋体" w:cs="宋体"/>
                <w:szCs w:val="24"/>
              </w:rPr>
            </w:pPr>
            <w:r>
              <w:rPr>
                <w:rFonts w:hint="eastAsia" w:ascii="宋体" w:hAnsi="宋体" w:eastAsia="宋体" w:cs="宋体"/>
                <w:szCs w:val="24"/>
              </w:rPr>
              <w:t>自动回撤，回撤速度有0.5mm/s和1mm/s两种模式，自动回撤距离不低于10cm，最大采集数</w:t>
            </w:r>
            <w:r>
              <w:rPr>
                <w:rFonts w:hint="eastAsia" w:ascii="宋体" w:hAnsi="宋体" w:eastAsia="宋体" w:cs="宋体"/>
                <w:szCs w:val="24"/>
                <w:lang w:val="en-US" w:eastAsia="zh-CN"/>
              </w:rPr>
              <w:t>≥58</w:t>
            </w:r>
            <w:r>
              <w:rPr>
                <w:rFonts w:hint="eastAsia" w:ascii="宋体" w:hAnsi="宋体" w:eastAsia="宋体" w:cs="宋体"/>
                <w:szCs w:val="24"/>
              </w:rPr>
              <w:t>00帧图像。</w:t>
            </w:r>
          </w:p>
          <w:p w14:paraId="56E661A0">
            <w:pPr>
              <w:rPr>
                <w:rFonts w:hint="eastAsia" w:ascii="宋体" w:hAnsi="宋体" w:eastAsia="宋体" w:cs="宋体"/>
                <w:szCs w:val="24"/>
              </w:rPr>
            </w:pPr>
            <w:r>
              <w:rPr>
                <w:rFonts w:hint="eastAsia" w:ascii="宋体" w:hAnsi="宋体" w:eastAsia="宋体" w:cs="宋体"/>
                <w:szCs w:val="24"/>
              </w:rPr>
              <w:t>手动回撤，最大采集数</w:t>
            </w:r>
            <w:r>
              <w:rPr>
                <w:rFonts w:hint="eastAsia" w:ascii="宋体" w:hAnsi="宋体" w:eastAsia="宋体" w:cs="宋体"/>
                <w:szCs w:val="24"/>
                <w:lang w:val="en-US" w:eastAsia="zh-CN"/>
              </w:rPr>
              <w:t>≥</w:t>
            </w:r>
            <w:r>
              <w:rPr>
                <w:rFonts w:hint="eastAsia" w:ascii="宋体" w:hAnsi="宋体" w:eastAsia="宋体" w:cs="宋体"/>
                <w:szCs w:val="24"/>
              </w:rPr>
              <w:t>6800帧图像。</w:t>
            </w:r>
          </w:p>
          <w:p w14:paraId="49DE1FB4">
            <w:pPr>
              <w:rPr>
                <w:rFonts w:hint="eastAsia" w:ascii="宋体" w:hAnsi="宋体" w:eastAsia="宋体" w:cs="宋体"/>
                <w:szCs w:val="24"/>
                <w:highlight w:val="none"/>
              </w:rPr>
            </w:pPr>
            <w:r>
              <w:rPr>
                <w:rFonts w:hint="eastAsia" w:ascii="宋体" w:hAnsi="宋体" w:eastAsia="宋体" w:cs="宋体"/>
                <w:szCs w:val="24"/>
                <w:highlight w:val="none"/>
              </w:rPr>
              <w:t>11.移动式系统。</w:t>
            </w:r>
          </w:p>
          <w:p w14:paraId="25B90C29">
            <w:pPr>
              <w:rPr>
                <w:rFonts w:hint="eastAsia" w:ascii="宋体" w:hAnsi="宋体" w:eastAsia="宋体" w:cs="宋体"/>
                <w:szCs w:val="24"/>
              </w:rPr>
            </w:pPr>
            <w:r>
              <w:rPr>
                <w:rFonts w:hint="eastAsia" w:ascii="宋体" w:hAnsi="宋体" w:eastAsia="宋体" w:cs="宋体"/>
                <w:szCs w:val="24"/>
              </w:rPr>
              <w:t>二、设备参数（软件）</w:t>
            </w:r>
          </w:p>
          <w:p w14:paraId="02D36830">
            <w:pPr>
              <w:rPr>
                <w:rFonts w:hint="eastAsia" w:ascii="宋体" w:hAnsi="宋体" w:eastAsia="宋体" w:cs="宋体"/>
                <w:szCs w:val="24"/>
              </w:rPr>
            </w:pPr>
            <w:r>
              <w:rPr>
                <w:rFonts w:hint="eastAsia" w:ascii="宋体" w:hAnsi="宋体" w:eastAsia="宋体" w:cs="宋体"/>
                <w:szCs w:val="24"/>
              </w:rPr>
              <w:t>1.具有自动化血管壁和血管内腔测量功能的计算软件，该功能可通过计算机图像分析功能自动检测和识别截面管腔和血管边界。</w:t>
            </w:r>
          </w:p>
          <w:p w14:paraId="3FB9D614">
            <w:pPr>
              <w:rPr>
                <w:rFonts w:hint="eastAsia" w:ascii="宋体" w:hAnsi="宋体" w:eastAsia="宋体" w:cs="宋体"/>
                <w:szCs w:val="24"/>
              </w:rPr>
            </w:pPr>
            <w:r>
              <w:rPr>
                <w:rFonts w:hint="eastAsia" w:ascii="宋体" w:hAnsi="宋体" w:eastAsia="宋体" w:cs="宋体"/>
                <w:szCs w:val="24"/>
              </w:rPr>
              <w:t>2.具有图像动态回顾功能，反复播放当前位置前后一定帧数范围的图像，组成动态影像，以清晰确定血管腔及血流边界；帧数范围可在3-15范围内调节。</w:t>
            </w:r>
          </w:p>
          <w:p w14:paraId="378D47C8">
            <w:pPr>
              <w:rPr>
                <w:rFonts w:hint="eastAsia" w:ascii="宋体" w:hAnsi="宋体" w:eastAsia="宋体" w:cs="宋体"/>
                <w:szCs w:val="24"/>
              </w:rPr>
            </w:pPr>
            <w:r>
              <w:rPr>
                <w:rFonts w:hint="eastAsia" w:ascii="宋体" w:hAnsi="宋体" w:eastAsia="宋体" w:cs="宋体"/>
                <w:szCs w:val="24"/>
              </w:rPr>
              <w:t>3.具有双图功能：主显示屏上同时显示来自同一回撤不同帧的两幅截面图像。通过双图，可以查看血管的多个部分，并比较远端和近端图像及病变，它还可以自动显示图像之间的距离。</w:t>
            </w:r>
          </w:p>
          <w:p w14:paraId="3B46A3E0">
            <w:pPr>
              <w:rPr>
                <w:rFonts w:hint="eastAsia" w:ascii="宋体" w:hAnsi="宋体" w:eastAsia="宋体" w:cs="宋体"/>
                <w:szCs w:val="24"/>
              </w:rPr>
            </w:pPr>
            <w:r>
              <w:rPr>
                <w:rFonts w:hint="eastAsia" w:ascii="宋体" w:hAnsi="宋体" w:eastAsia="宋体" w:cs="宋体"/>
                <w:szCs w:val="24"/>
              </w:rPr>
              <w:t>4.根据数据处理控件,提供图像处理以帮助除去图像中因血细胞移动反射而形成的“血斑”，使图像更清晰。</w:t>
            </w:r>
          </w:p>
          <w:p w14:paraId="7FB6AAD8">
            <w:pPr>
              <w:rPr>
                <w:rFonts w:hint="eastAsia" w:ascii="宋体" w:hAnsi="宋体" w:eastAsia="宋体" w:cs="宋体"/>
                <w:szCs w:val="24"/>
              </w:rPr>
            </w:pPr>
            <w:r>
              <w:rPr>
                <w:rFonts w:hint="eastAsia" w:ascii="宋体" w:hAnsi="宋体" w:eastAsia="宋体" w:cs="宋体"/>
                <w:szCs w:val="24"/>
              </w:rPr>
              <w:t>5.书签：可在任意位置添加书签，数量不限，便于记录并快速查看书签图像。</w:t>
            </w:r>
          </w:p>
          <w:p w14:paraId="1AC42B07">
            <w:pPr>
              <w:rPr>
                <w:rFonts w:hint="eastAsia" w:ascii="宋体" w:hAnsi="宋体" w:eastAsia="宋体" w:cs="宋体"/>
                <w:szCs w:val="24"/>
              </w:rPr>
            </w:pPr>
            <w:r>
              <w:rPr>
                <w:rFonts w:hint="eastAsia" w:ascii="宋体" w:hAnsi="宋体" w:eastAsia="宋体" w:cs="宋体"/>
                <w:szCs w:val="24"/>
              </w:rPr>
              <w:t>6.书签缩略图：将书签的帧的缩略图显示在截面视图之下，允许快速地识别并导航到加书签的帧，同时显示相应的截面图像。</w:t>
            </w:r>
          </w:p>
          <w:p w14:paraId="10FF3116">
            <w:pPr>
              <w:rPr>
                <w:rFonts w:hint="eastAsia" w:ascii="宋体" w:hAnsi="宋体" w:eastAsia="宋体" w:cs="宋体"/>
                <w:szCs w:val="24"/>
              </w:rPr>
            </w:pPr>
            <w:r>
              <w:rPr>
                <w:rFonts w:hint="eastAsia" w:ascii="宋体" w:hAnsi="宋体" w:eastAsia="宋体" w:cs="宋体"/>
                <w:szCs w:val="24"/>
              </w:rPr>
              <w:t>7.自动书签距离测量：可自动测量书签间距离、当前位置到各书签的距离或者当前位置到参考位置的距离。</w:t>
            </w:r>
          </w:p>
          <w:p w14:paraId="2850F7BA">
            <w:pPr>
              <w:rPr>
                <w:rFonts w:hint="eastAsia" w:ascii="宋体" w:hAnsi="宋体" w:eastAsia="宋体" w:cs="宋体"/>
                <w:szCs w:val="24"/>
              </w:rPr>
            </w:pPr>
            <w:r>
              <w:rPr>
                <w:rFonts w:hint="eastAsia" w:ascii="宋体" w:hAnsi="宋体" w:eastAsia="宋体" w:cs="宋体"/>
                <w:szCs w:val="24"/>
              </w:rPr>
              <w:t>8.注释：可在图像中任意位置添加注释，注释可自定义，可保存或修改。</w:t>
            </w:r>
          </w:p>
          <w:p w14:paraId="5277D80A">
            <w:pPr>
              <w:rPr>
                <w:rFonts w:hint="eastAsia" w:ascii="宋体" w:hAnsi="宋体" w:eastAsia="宋体" w:cs="宋体"/>
                <w:szCs w:val="24"/>
              </w:rPr>
            </w:pPr>
            <w:r>
              <w:rPr>
                <w:rFonts w:hint="eastAsia" w:ascii="宋体" w:hAnsi="宋体" w:eastAsia="宋体" w:cs="宋体"/>
                <w:szCs w:val="24"/>
              </w:rPr>
              <w:t>9.长轴标尺：长轴图像下显示距离标尺，以便于进行测量。</w:t>
            </w:r>
          </w:p>
          <w:p w14:paraId="26412514">
            <w:pPr>
              <w:rPr>
                <w:rFonts w:hint="eastAsia" w:ascii="宋体" w:hAnsi="宋体" w:eastAsia="宋体" w:cs="宋体"/>
                <w:szCs w:val="24"/>
              </w:rPr>
            </w:pPr>
            <w:r>
              <w:rPr>
                <w:rFonts w:hint="eastAsia" w:ascii="宋体" w:hAnsi="宋体" w:eastAsia="宋体" w:cs="宋体"/>
                <w:szCs w:val="24"/>
              </w:rPr>
              <w:t>10.对于图像的任意帧在主机上可以进行≥3次面积测量。</w:t>
            </w:r>
          </w:p>
          <w:p w14:paraId="3E7664ED">
            <w:pPr>
              <w:rPr>
                <w:rFonts w:hint="eastAsia" w:ascii="宋体" w:hAnsi="宋体" w:eastAsia="宋体" w:cs="宋体"/>
                <w:szCs w:val="24"/>
              </w:rPr>
            </w:pPr>
            <w:r>
              <w:rPr>
                <w:rFonts w:hint="eastAsia" w:ascii="宋体" w:hAnsi="宋体" w:eastAsia="宋体" w:cs="宋体"/>
                <w:szCs w:val="24"/>
              </w:rPr>
              <w:t>11.对于图像的任意帧在主机上可以进行≥9次距离测量。</w:t>
            </w:r>
          </w:p>
          <w:p w14:paraId="1B717EB8">
            <w:pPr>
              <w:rPr>
                <w:rFonts w:hint="eastAsia" w:ascii="宋体" w:hAnsi="宋体" w:eastAsia="宋体" w:cs="宋体"/>
                <w:szCs w:val="24"/>
              </w:rPr>
            </w:pPr>
            <w:r>
              <w:rPr>
                <w:rFonts w:hint="eastAsia" w:ascii="宋体" w:hAnsi="宋体" w:eastAsia="宋体" w:cs="宋体"/>
                <w:szCs w:val="24"/>
              </w:rPr>
              <w:t>12.可提供图像直接以.wmv 视频输出格式及PNG或者JPG格式的静态图片。</w:t>
            </w:r>
          </w:p>
          <w:p w14:paraId="65C2E96A">
            <w:pPr>
              <w:rPr>
                <w:rFonts w:hint="eastAsia" w:ascii="宋体" w:hAnsi="宋体" w:eastAsia="宋体" w:cs="宋体"/>
                <w:szCs w:val="24"/>
              </w:rPr>
            </w:pPr>
            <w:r>
              <w:rPr>
                <w:rFonts w:hint="eastAsia" w:ascii="宋体" w:hAnsi="宋体" w:eastAsia="宋体" w:cs="宋体"/>
                <w:szCs w:val="24"/>
              </w:rPr>
              <w:t>13. DICOM 3.0格式病例存档，并提供≥五种压缩格式：无压缩格式、JEPG Lossless格式和JEPG HIGH QUALITY格式、JPEG MED QUALITY格式和JPEG LOW QUALITY格式等。</w:t>
            </w:r>
          </w:p>
          <w:p w14:paraId="6CD151EC">
            <w:pPr>
              <w:rPr>
                <w:rFonts w:hint="eastAsia" w:ascii="宋体" w:hAnsi="宋体" w:eastAsia="宋体" w:cs="宋体"/>
                <w:szCs w:val="24"/>
              </w:rPr>
            </w:pPr>
            <w:r>
              <w:rPr>
                <w:rFonts w:hint="eastAsia" w:ascii="宋体" w:hAnsi="宋体" w:eastAsia="宋体" w:cs="宋体"/>
                <w:szCs w:val="24"/>
              </w:rPr>
              <w:t>14.图像降噪模式：具备图像降噪选择模式，可以有效降低图像噪声信号，提高图像分辨率。</w:t>
            </w:r>
          </w:p>
          <w:p w14:paraId="380DBD38">
            <w:pPr>
              <w:rPr>
                <w:rFonts w:hint="eastAsia" w:ascii="宋体" w:hAnsi="宋体" w:eastAsia="宋体" w:cs="宋体"/>
                <w:szCs w:val="24"/>
              </w:rPr>
            </w:pPr>
            <w:r>
              <w:rPr>
                <w:rFonts w:hint="eastAsia" w:ascii="宋体" w:hAnsi="宋体" w:eastAsia="宋体" w:cs="宋体"/>
                <w:szCs w:val="24"/>
              </w:rPr>
              <w:t>15.管腔暗度调节模式：具备管腔暗度调节选择模式，通过管腔暗度调节，可以有效得分辨出血液与其他组织。</w:t>
            </w:r>
          </w:p>
          <w:p w14:paraId="1EFE8430">
            <w:pPr>
              <w:rPr>
                <w:rFonts w:hint="eastAsia" w:ascii="宋体" w:hAnsi="宋体" w:eastAsia="宋体" w:cs="宋体"/>
                <w:szCs w:val="24"/>
              </w:rPr>
            </w:pPr>
            <w:r>
              <w:rPr>
                <w:rFonts w:hint="eastAsia" w:ascii="宋体" w:hAnsi="宋体" w:eastAsia="宋体" w:cs="宋体"/>
                <w:szCs w:val="24"/>
              </w:rPr>
              <w:t>16.长轴标签功能：开启该功能后，长轴远端和近端自动标记，利于术中快速识别。</w:t>
            </w:r>
          </w:p>
          <w:p w14:paraId="2A9933D7">
            <w:pPr>
              <w:rPr>
                <w:rFonts w:hint="eastAsia" w:ascii="宋体" w:hAnsi="宋体" w:eastAsia="宋体" w:cs="宋体"/>
                <w:szCs w:val="24"/>
              </w:rPr>
            </w:pPr>
            <w:r>
              <w:rPr>
                <w:rFonts w:hint="eastAsia" w:ascii="宋体" w:hAnsi="宋体" w:eastAsia="宋体" w:cs="宋体"/>
                <w:szCs w:val="24"/>
              </w:rPr>
              <w:t>17.病例转换功能：主机上任意病例转换为Demo Case，并可对ID及名字等进行编辑。</w:t>
            </w:r>
          </w:p>
          <w:p w14:paraId="19460216">
            <w:pPr>
              <w:rPr>
                <w:rFonts w:hint="eastAsia" w:ascii="宋体" w:hAnsi="宋体" w:eastAsia="宋体" w:cs="宋体"/>
                <w:szCs w:val="24"/>
              </w:rPr>
            </w:pPr>
            <w:r>
              <w:rPr>
                <w:rFonts w:hint="eastAsia" w:ascii="宋体" w:hAnsi="宋体" w:eastAsia="宋体" w:cs="宋体"/>
                <w:szCs w:val="24"/>
              </w:rPr>
              <w:t>18.界面扁平化：功能键扁平化设置，快速直接访问/切换软件功能。</w:t>
            </w:r>
          </w:p>
          <w:p w14:paraId="2511F51E">
            <w:pPr>
              <w:rPr>
                <w:rFonts w:hint="eastAsia" w:ascii="宋体" w:hAnsi="宋体" w:eastAsia="宋体" w:cs="宋体"/>
                <w:szCs w:val="24"/>
              </w:rPr>
            </w:pPr>
            <w:r>
              <w:rPr>
                <w:rFonts w:hint="eastAsia" w:ascii="宋体" w:hAnsi="宋体" w:eastAsia="宋体" w:cs="宋体"/>
                <w:szCs w:val="24"/>
              </w:rPr>
              <w:t>三、超声导管参数</w:t>
            </w:r>
          </w:p>
          <w:p w14:paraId="3D00ECAE">
            <w:pPr>
              <w:rPr>
                <w:rFonts w:hint="eastAsia" w:ascii="宋体" w:hAnsi="宋体" w:eastAsia="宋体" w:cs="宋体"/>
                <w:szCs w:val="24"/>
              </w:rPr>
            </w:pPr>
            <w:r>
              <w:rPr>
                <w:rFonts w:hint="eastAsia" w:ascii="宋体" w:hAnsi="宋体" w:eastAsia="宋体" w:cs="宋体"/>
                <w:szCs w:val="24"/>
              </w:rPr>
              <w:t>1.用于冠脉血管的超声导管：具有宽带技术的机械旋转式超声导管，频率≥60MHz，轴向分辨率≤22微米。</w:t>
            </w:r>
          </w:p>
          <w:p w14:paraId="75FB27BF">
            <w:pPr>
              <w:rPr>
                <w:rFonts w:hint="eastAsia" w:ascii="宋体" w:hAnsi="宋体" w:eastAsia="宋体" w:cs="宋体"/>
                <w:szCs w:val="24"/>
              </w:rPr>
            </w:pPr>
            <w:r>
              <w:rPr>
                <w:rFonts w:hint="eastAsia" w:ascii="宋体" w:hAnsi="宋体" w:eastAsia="宋体" w:cs="宋体"/>
                <w:szCs w:val="24"/>
              </w:rPr>
              <w:t>★2.具有宽带技术的机械旋转式超声导管，频率≥60MHz，最大外廓≤3.1F，兼容≤5F指引导管。</w:t>
            </w:r>
          </w:p>
          <w:p w14:paraId="2B26CE61">
            <w:pPr>
              <w:rPr>
                <w:rFonts w:hint="eastAsia" w:ascii="宋体" w:hAnsi="宋体" w:eastAsia="宋体" w:cs="宋体"/>
                <w:szCs w:val="24"/>
                <w:highlight w:val="none"/>
              </w:rPr>
            </w:pPr>
            <w:r>
              <w:rPr>
                <w:rFonts w:hint="eastAsia" w:ascii="宋体" w:hAnsi="宋体" w:eastAsia="宋体" w:cs="宋体"/>
                <w:szCs w:val="24"/>
                <w:highlight w:val="none"/>
              </w:rPr>
              <w:t>3.用于心腔内的超声导管：工作频率≤9MHz，可以探测心脏腔内各组织成分的形态、比重和质地。</w:t>
            </w:r>
          </w:p>
          <w:p w14:paraId="5D1A1A0A">
            <w:pPr>
              <w:rPr>
                <w:rFonts w:hint="eastAsia" w:ascii="宋体" w:hAnsi="宋体" w:eastAsia="宋体" w:cs="宋体"/>
                <w:szCs w:val="24"/>
                <w:highlight w:val="none"/>
              </w:rPr>
            </w:pPr>
            <w:r>
              <w:rPr>
                <w:rFonts w:hint="eastAsia" w:ascii="宋体" w:hAnsi="宋体" w:eastAsia="宋体" w:cs="宋体"/>
                <w:szCs w:val="24"/>
                <w:highlight w:val="none"/>
              </w:rPr>
              <w:t>4.用于心腔内的超声导管需长度≥110cm。</w:t>
            </w:r>
          </w:p>
          <w:p w14:paraId="742ACE99">
            <w:pPr>
              <w:widowControl/>
              <w:shd w:val="clear" w:color="auto" w:fill="FFFFFF"/>
              <w:spacing w:line="360" w:lineRule="auto"/>
              <w:rPr>
                <w:rFonts w:hint="eastAsia" w:ascii="宋体" w:hAnsi="宋体" w:eastAsia="宋体" w:cs="宋体"/>
                <w:szCs w:val="21"/>
              </w:rPr>
            </w:pPr>
            <w:r>
              <w:rPr>
                <w:rFonts w:hint="eastAsia" w:ascii="宋体" w:hAnsi="宋体" w:eastAsia="宋体" w:cs="宋体"/>
                <w:szCs w:val="24"/>
                <w:highlight w:val="none"/>
              </w:rPr>
              <w:t>5.用于心腔内的超声导管需兼容≤9F指引导管。</w:t>
            </w:r>
          </w:p>
        </w:tc>
        <w:tc>
          <w:tcPr>
            <w:tcW w:w="1045" w:type="dxa"/>
            <w:tcBorders>
              <w:left w:val="single" w:color="auto" w:sz="4" w:space="0"/>
              <w:bottom w:val="single" w:color="auto" w:sz="4" w:space="0"/>
              <w:right w:val="single" w:color="auto" w:sz="4" w:space="0"/>
            </w:tcBorders>
            <w:noWrap w:val="0"/>
            <w:vAlign w:val="center"/>
          </w:tcPr>
          <w:p w14:paraId="15EFDD1E">
            <w:pPr>
              <w:widowControl/>
              <w:shd w:val="clear" w:color="auto" w:fill="FFFFFF"/>
              <w:spacing w:line="360" w:lineRule="auto"/>
              <w:rPr>
                <w:rFonts w:hint="eastAsia" w:ascii="宋体" w:hAnsi="宋体" w:eastAsia="宋体" w:cs="宋体"/>
                <w:szCs w:val="21"/>
              </w:rPr>
            </w:pPr>
            <w:r>
              <w:rPr>
                <w:rFonts w:hint="eastAsia" w:ascii="宋体" w:hAnsi="宋体" w:eastAsia="宋体" w:cs="宋体"/>
                <w:szCs w:val="21"/>
              </w:rPr>
              <w:t>180.00</w:t>
            </w:r>
          </w:p>
        </w:tc>
        <w:tc>
          <w:tcPr>
            <w:tcW w:w="1018" w:type="dxa"/>
            <w:tcBorders>
              <w:left w:val="single" w:color="auto" w:sz="4" w:space="0"/>
              <w:bottom w:val="single" w:color="auto" w:sz="4" w:space="0"/>
              <w:right w:val="single" w:color="auto" w:sz="4" w:space="0"/>
            </w:tcBorders>
            <w:noWrap w:val="0"/>
            <w:vAlign w:val="center"/>
          </w:tcPr>
          <w:p w14:paraId="79AA2710">
            <w:pPr>
              <w:widowControl/>
              <w:shd w:val="clear" w:color="auto" w:fill="FFFFFF"/>
              <w:spacing w:line="360" w:lineRule="auto"/>
              <w:jc w:val="center"/>
              <w:rPr>
                <w:rFonts w:hint="eastAsia" w:ascii="宋体" w:hAnsi="宋体" w:eastAsia="宋体" w:cs="宋体"/>
                <w:szCs w:val="21"/>
              </w:rPr>
            </w:pPr>
            <w:r>
              <w:rPr>
                <w:rFonts w:hint="eastAsia" w:ascii="宋体" w:hAnsi="宋体" w:eastAsia="宋体" w:cs="宋体"/>
                <w:szCs w:val="21"/>
              </w:rPr>
              <w:t>工业</w:t>
            </w:r>
          </w:p>
        </w:tc>
      </w:tr>
      <w:tr w14:paraId="09600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 w:hRule="atLeast"/>
          <w:jc w:val="center"/>
        </w:trPr>
        <w:tc>
          <w:tcPr>
            <w:tcW w:w="428" w:type="dxa"/>
            <w:vMerge w:val="continue"/>
            <w:tcBorders>
              <w:left w:val="single" w:color="auto" w:sz="4" w:space="0"/>
              <w:bottom w:val="single" w:color="auto" w:sz="4" w:space="0"/>
              <w:right w:val="single" w:color="auto" w:sz="4" w:space="0"/>
            </w:tcBorders>
            <w:noWrap w:val="0"/>
            <w:vAlign w:val="center"/>
          </w:tcPr>
          <w:p w14:paraId="757C0DDE">
            <w:pPr>
              <w:widowControl/>
              <w:shd w:val="clear" w:color="auto" w:fill="FFFFFF"/>
              <w:spacing w:line="360" w:lineRule="auto"/>
              <w:ind w:firstLine="420" w:firstLineChars="200"/>
              <w:rPr>
                <w:rFonts w:hint="eastAsia" w:ascii="宋体" w:hAnsi="宋体" w:eastAsia="宋体" w:cs="宋体"/>
                <w:szCs w:val="21"/>
              </w:rPr>
            </w:pPr>
          </w:p>
        </w:tc>
        <w:tc>
          <w:tcPr>
            <w:tcW w:w="453" w:type="dxa"/>
            <w:tcBorders>
              <w:top w:val="single" w:color="auto" w:sz="4" w:space="0"/>
              <w:left w:val="single" w:color="auto" w:sz="4" w:space="0"/>
              <w:bottom w:val="single" w:color="auto" w:sz="4" w:space="0"/>
              <w:right w:val="single" w:color="auto" w:sz="4" w:space="0"/>
            </w:tcBorders>
            <w:noWrap w:val="0"/>
            <w:vAlign w:val="center"/>
          </w:tcPr>
          <w:p w14:paraId="47C97600">
            <w:pPr>
              <w:widowControl/>
              <w:shd w:val="clear" w:color="auto" w:fill="FFFFFF"/>
              <w:spacing w:line="360" w:lineRule="auto"/>
              <w:jc w:val="center"/>
              <w:rPr>
                <w:rFonts w:ascii="宋体" w:hAnsi="宋体" w:eastAsia="宋体" w:cs="宋体"/>
                <w:szCs w:val="21"/>
              </w:rPr>
            </w:pPr>
            <w:r>
              <w:rPr>
                <w:rFonts w:hint="eastAsia" w:ascii="宋体" w:hAnsi="宋体" w:eastAsia="宋体" w:cs="宋体"/>
                <w:szCs w:val="21"/>
              </w:rPr>
              <w:t>5</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367CEB8E">
            <w:pPr>
              <w:widowControl/>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心脏病质量指标体系及科研服务大数据平台</w:t>
            </w:r>
          </w:p>
        </w:tc>
        <w:tc>
          <w:tcPr>
            <w:tcW w:w="473" w:type="dxa"/>
            <w:tcBorders>
              <w:top w:val="single" w:color="auto" w:sz="4" w:space="0"/>
              <w:left w:val="single" w:color="auto" w:sz="4" w:space="0"/>
              <w:bottom w:val="single" w:color="auto" w:sz="4" w:space="0"/>
              <w:right w:val="single" w:color="auto" w:sz="4" w:space="0"/>
            </w:tcBorders>
            <w:noWrap w:val="0"/>
            <w:vAlign w:val="center"/>
          </w:tcPr>
          <w:p w14:paraId="4DBBA48F">
            <w:pPr>
              <w:widowControl/>
              <w:jc w:val="center"/>
              <w:textAlignment w:val="center"/>
              <w:rPr>
                <w:rFonts w:hint="eastAsia" w:ascii="宋体" w:hAnsi="宋体" w:eastAsia="宋体" w:cs="宋体"/>
                <w:szCs w:val="21"/>
              </w:rPr>
            </w:pPr>
            <w:r>
              <w:rPr>
                <w:rFonts w:hint="eastAsia" w:ascii="宋体" w:hAnsi="宋体" w:eastAsia="宋体" w:cs="宋体"/>
                <w:szCs w:val="21"/>
              </w:rPr>
              <w:t>套</w:t>
            </w:r>
          </w:p>
        </w:tc>
        <w:tc>
          <w:tcPr>
            <w:tcW w:w="455" w:type="dxa"/>
            <w:tcBorders>
              <w:top w:val="single" w:color="auto" w:sz="4" w:space="0"/>
              <w:left w:val="single" w:color="auto" w:sz="4" w:space="0"/>
              <w:bottom w:val="single" w:color="auto" w:sz="4" w:space="0"/>
              <w:right w:val="single" w:color="auto" w:sz="4" w:space="0"/>
            </w:tcBorders>
            <w:noWrap w:val="0"/>
            <w:vAlign w:val="center"/>
          </w:tcPr>
          <w:p w14:paraId="6CCCB585">
            <w:pPr>
              <w:widowControl/>
              <w:shd w:val="clear" w:color="auto" w:fill="FFFFFF"/>
              <w:spacing w:line="360" w:lineRule="auto"/>
              <w:jc w:val="center"/>
              <w:rPr>
                <w:rFonts w:ascii="宋体" w:hAnsi="宋体" w:eastAsia="宋体" w:cs="宋体"/>
                <w:szCs w:val="21"/>
              </w:rPr>
            </w:pPr>
            <w:r>
              <w:rPr>
                <w:rFonts w:hint="eastAsia" w:ascii="宋体" w:hAnsi="宋体" w:eastAsia="宋体" w:cs="宋体"/>
                <w:szCs w:val="21"/>
              </w:rPr>
              <w:t>1</w:t>
            </w:r>
          </w:p>
        </w:tc>
        <w:tc>
          <w:tcPr>
            <w:tcW w:w="865" w:type="dxa"/>
            <w:tcBorders>
              <w:top w:val="single" w:color="auto" w:sz="4" w:space="0"/>
              <w:left w:val="single" w:color="auto" w:sz="4" w:space="0"/>
              <w:bottom w:val="single" w:color="auto" w:sz="4" w:space="0"/>
              <w:right w:val="single" w:color="auto" w:sz="4" w:space="0"/>
            </w:tcBorders>
            <w:noWrap w:val="0"/>
            <w:vAlign w:val="center"/>
          </w:tcPr>
          <w:p w14:paraId="5731D540">
            <w:pPr>
              <w:widowControl/>
              <w:shd w:val="clear" w:color="auto" w:fill="FFFFFF"/>
              <w:spacing w:line="360" w:lineRule="auto"/>
              <w:jc w:val="center"/>
              <w:rPr>
                <w:rFonts w:ascii="宋体" w:hAnsi="宋体" w:eastAsia="宋体" w:cs="宋体"/>
                <w:szCs w:val="21"/>
              </w:rPr>
            </w:pPr>
            <w:r>
              <w:rPr>
                <w:rFonts w:hint="eastAsia" w:ascii="宋体" w:hAnsi="宋体" w:eastAsia="宋体" w:cs="宋体"/>
                <w:szCs w:val="21"/>
              </w:rPr>
              <w:t>150.00</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394D577E">
            <w:pPr>
              <w:widowControl/>
              <w:shd w:val="clear" w:color="auto" w:fill="FFFFFF"/>
              <w:spacing w:line="360" w:lineRule="auto"/>
              <w:jc w:val="center"/>
              <w:rPr>
                <w:rFonts w:hint="eastAsia" w:ascii="宋体" w:hAnsi="宋体" w:eastAsia="宋体" w:cs="宋体"/>
                <w:szCs w:val="21"/>
              </w:rPr>
            </w:pPr>
            <w:r>
              <w:rPr>
                <w:rFonts w:hint="eastAsia" w:ascii="宋体" w:hAnsi="宋体" w:eastAsia="宋体" w:cs="宋体"/>
                <w:szCs w:val="21"/>
              </w:rPr>
              <w:t>150.00</w:t>
            </w:r>
          </w:p>
        </w:tc>
        <w:tc>
          <w:tcPr>
            <w:tcW w:w="9132" w:type="dxa"/>
            <w:tcBorders>
              <w:top w:val="single" w:color="auto" w:sz="4" w:space="0"/>
              <w:left w:val="single" w:color="auto" w:sz="4" w:space="0"/>
              <w:bottom w:val="single" w:color="auto" w:sz="4" w:space="0"/>
              <w:right w:val="single" w:color="auto" w:sz="4" w:space="0"/>
            </w:tcBorders>
            <w:noWrap w:val="0"/>
            <w:vAlign w:val="center"/>
          </w:tcPr>
          <w:p w14:paraId="24519547">
            <w:pPr>
              <w:rPr>
                <w:rFonts w:hint="eastAsia" w:ascii="宋体" w:hAnsi="宋体" w:eastAsia="宋体" w:cs="宋体"/>
                <w:szCs w:val="21"/>
              </w:rPr>
            </w:pPr>
            <w:r>
              <w:rPr>
                <w:rFonts w:hint="eastAsia" w:ascii="宋体" w:hAnsi="宋体" w:eastAsia="宋体" w:cs="宋体"/>
                <w:szCs w:val="21"/>
              </w:rPr>
              <w:t>一、医疗智能数据网关系统</w:t>
            </w:r>
          </w:p>
          <w:p w14:paraId="0EF51EF7">
            <w:pPr>
              <w:rPr>
                <w:rFonts w:hint="eastAsia" w:ascii="宋体" w:hAnsi="宋体" w:eastAsia="宋体" w:cs="宋体"/>
                <w:szCs w:val="21"/>
              </w:rPr>
            </w:pPr>
            <w:r>
              <w:rPr>
                <w:rFonts w:hint="eastAsia" w:ascii="宋体" w:hAnsi="宋体" w:eastAsia="宋体" w:cs="宋体"/>
                <w:szCs w:val="21"/>
              </w:rPr>
              <w:t>1.数据对接</w:t>
            </w:r>
            <w:r>
              <w:rPr>
                <w:rFonts w:hint="eastAsia" w:ascii="宋体" w:hAnsi="宋体" w:eastAsia="宋体" w:cs="宋体"/>
                <w:szCs w:val="21"/>
                <w:lang w:val="en-US" w:eastAsia="zh-CN"/>
              </w:rPr>
              <w:t>系统</w:t>
            </w:r>
            <w:r>
              <w:rPr>
                <w:rFonts w:hint="eastAsia" w:ascii="宋体" w:hAnsi="宋体" w:eastAsia="宋体" w:cs="宋体"/>
                <w:szCs w:val="21"/>
              </w:rPr>
              <w:t xml:space="preserve">   1台</w:t>
            </w:r>
          </w:p>
          <w:p w14:paraId="5E8E1D48">
            <w:pPr>
              <w:rPr>
                <w:rFonts w:hint="eastAsia" w:ascii="宋体" w:hAnsi="宋体" w:eastAsia="宋体" w:cs="宋体"/>
                <w:szCs w:val="21"/>
              </w:rPr>
            </w:pPr>
            <w:r>
              <w:rPr>
                <w:rFonts w:hint="eastAsia" w:ascii="宋体" w:hAnsi="宋体" w:eastAsia="宋体" w:cs="宋体"/>
                <w:szCs w:val="21"/>
              </w:rPr>
              <w:t>1.1</w:t>
            </w:r>
            <w:r>
              <w:rPr>
                <w:rFonts w:hint="eastAsia" w:ascii="宋体" w:hAnsi="宋体" w:eastAsia="宋体" w:cs="宋体"/>
                <w:szCs w:val="21"/>
              </w:rPr>
              <w:tab/>
            </w:r>
            <w:r>
              <w:rPr>
                <w:rFonts w:hint="eastAsia" w:ascii="宋体" w:hAnsi="宋体" w:eastAsia="宋体" w:cs="宋体"/>
                <w:szCs w:val="21"/>
              </w:rPr>
              <w:t>CPU：≥2颗；核心数量≥12核，主频≥2.1GHz</w:t>
            </w:r>
          </w:p>
          <w:p w14:paraId="37DA9868">
            <w:pPr>
              <w:rPr>
                <w:rFonts w:hint="eastAsia" w:ascii="宋体" w:hAnsi="宋体" w:eastAsia="宋体" w:cs="宋体"/>
                <w:szCs w:val="21"/>
              </w:rPr>
            </w:pPr>
            <w:r>
              <w:rPr>
                <w:rFonts w:hint="eastAsia" w:ascii="宋体" w:hAnsi="宋体" w:eastAsia="宋体" w:cs="宋体"/>
                <w:szCs w:val="24"/>
              </w:rPr>
              <w:t>▲</w:t>
            </w:r>
            <w:r>
              <w:rPr>
                <w:rFonts w:hint="eastAsia" w:ascii="宋体" w:hAnsi="宋体" w:eastAsia="宋体" w:cs="宋体"/>
                <w:szCs w:val="21"/>
              </w:rPr>
              <w:t>1.2</w:t>
            </w:r>
            <w:r>
              <w:rPr>
                <w:rFonts w:hint="eastAsia" w:ascii="宋体" w:hAnsi="宋体" w:eastAsia="宋体" w:cs="宋体"/>
                <w:szCs w:val="21"/>
              </w:rPr>
              <w:tab/>
            </w:r>
            <w:r>
              <w:rPr>
                <w:rFonts w:hint="eastAsia" w:ascii="宋体" w:hAnsi="宋体" w:eastAsia="宋体" w:cs="宋体"/>
                <w:szCs w:val="21"/>
              </w:rPr>
              <w:t>内存：≥160G</w:t>
            </w:r>
          </w:p>
          <w:p w14:paraId="0CA1CB3C">
            <w:pPr>
              <w:rPr>
                <w:rFonts w:hint="eastAsia" w:ascii="宋体" w:hAnsi="宋体" w:eastAsia="宋体" w:cs="宋体"/>
                <w:szCs w:val="21"/>
              </w:rPr>
            </w:pPr>
            <w:r>
              <w:rPr>
                <w:rFonts w:hint="eastAsia" w:ascii="宋体" w:hAnsi="宋体" w:eastAsia="宋体" w:cs="宋体"/>
                <w:szCs w:val="21"/>
              </w:rPr>
              <w:t>1.3</w:t>
            </w:r>
            <w:r>
              <w:rPr>
                <w:rFonts w:hint="eastAsia" w:ascii="宋体" w:hAnsi="宋体" w:eastAsia="宋体" w:cs="宋体"/>
                <w:szCs w:val="21"/>
              </w:rPr>
              <w:tab/>
            </w:r>
            <w:r>
              <w:rPr>
                <w:rFonts w:hint="eastAsia" w:ascii="宋体" w:hAnsi="宋体" w:eastAsia="宋体" w:cs="宋体"/>
                <w:szCs w:val="21"/>
              </w:rPr>
              <w:t>硬盘：数量≥2块；单块容量≥2TB</w:t>
            </w:r>
          </w:p>
          <w:p w14:paraId="1434395B">
            <w:pPr>
              <w:rPr>
                <w:rFonts w:hint="eastAsia" w:ascii="宋体" w:hAnsi="宋体" w:eastAsia="宋体" w:cs="宋体"/>
                <w:szCs w:val="21"/>
              </w:rPr>
            </w:pPr>
            <w:r>
              <w:rPr>
                <w:rFonts w:hint="eastAsia" w:ascii="宋体" w:hAnsi="宋体" w:eastAsia="宋体" w:cs="宋体"/>
                <w:szCs w:val="21"/>
              </w:rPr>
              <w:t>1.4</w:t>
            </w:r>
            <w:r>
              <w:rPr>
                <w:rFonts w:hint="eastAsia" w:ascii="宋体" w:hAnsi="宋体" w:eastAsia="宋体" w:cs="宋体"/>
                <w:szCs w:val="21"/>
              </w:rPr>
              <w:tab/>
            </w:r>
            <w:r>
              <w:rPr>
                <w:rFonts w:hint="eastAsia" w:ascii="宋体" w:hAnsi="宋体" w:eastAsia="宋体" w:cs="宋体"/>
                <w:szCs w:val="21"/>
              </w:rPr>
              <w:t>支持RAID 0/1/5/10</w:t>
            </w:r>
          </w:p>
          <w:p w14:paraId="37AFA283">
            <w:pPr>
              <w:rPr>
                <w:rFonts w:hint="eastAsia" w:ascii="宋体" w:hAnsi="宋体" w:eastAsia="宋体" w:cs="宋体"/>
                <w:szCs w:val="21"/>
              </w:rPr>
            </w:pPr>
            <w:r>
              <w:rPr>
                <w:rFonts w:hint="eastAsia" w:ascii="宋体" w:hAnsi="宋体" w:eastAsia="宋体" w:cs="宋体"/>
                <w:szCs w:val="21"/>
              </w:rPr>
              <w:t>1.5</w:t>
            </w:r>
            <w:r>
              <w:rPr>
                <w:rFonts w:hint="eastAsia" w:ascii="宋体" w:hAnsi="宋体" w:eastAsia="宋体" w:cs="宋体"/>
                <w:szCs w:val="21"/>
              </w:rPr>
              <w:tab/>
            </w:r>
            <w:r>
              <w:rPr>
                <w:rFonts w:hint="eastAsia" w:ascii="宋体" w:hAnsi="宋体" w:eastAsia="宋体" w:cs="宋体"/>
                <w:szCs w:val="21"/>
              </w:rPr>
              <w:t>冗余电源</w:t>
            </w:r>
          </w:p>
          <w:p w14:paraId="0CA8B070">
            <w:pPr>
              <w:rPr>
                <w:rFonts w:hint="eastAsia" w:ascii="宋体" w:hAnsi="宋体" w:eastAsia="宋体" w:cs="宋体"/>
                <w:szCs w:val="21"/>
              </w:rPr>
            </w:pPr>
            <w:r>
              <w:rPr>
                <w:rFonts w:hint="eastAsia" w:ascii="宋体" w:hAnsi="宋体" w:eastAsia="宋体" w:cs="宋体"/>
                <w:szCs w:val="21"/>
              </w:rPr>
              <w:t>1.6</w:t>
            </w:r>
            <w:r>
              <w:rPr>
                <w:rFonts w:hint="eastAsia" w:ascii="宋体" w:hAnsi="宋体" w:eastAsia="宋体" w:cs="宋体"/>
                <w:szCs w:val="21"/>
              </w:rPr>
              <w:tab/>
            </w:r>
            <w:r>
              <w:rPr>
                <w:rFonts w:hint="eastAsia" w:ascii="宋体" w:hAnsi="宋体" w:eastAsia="宋体" w:cs="宋体"/>
                <w:szCs w:val="21"/>
              </w:rPr>
              <w:t>含上架导轨</w:t>
            </w:r>
          </w:p>
          <w:p w14:paraId="4A88293D">
            <w:pPr>
              <w:rPr>
                <w:rFonts w:hint="eastAsia" w:ascii="宋体" w:hAnsi="宋体" w:eastAsia="宋体" w:cs="宋体"/>
                <w:szCs w:val="21"/>
              </w:rPr>
            </w:pPr>
            <w:r>
              <w:rPr>
                <w:rFonts w:hint="eastAsia" w:ascii="宋体" w:hAnsi="宋体" w:eastAsia="宋体" w:cs="宋体"/>
                <w:szCs w:val="21"/>
              </w:rPr>
              <w:t>1.7</w:t>
            </w:r>
            <w:r>
              <w:rPr>
                <w:rFonts w:hint="eastAsia" w:ascii="宋体" w:hAnsi="宋体" w:eastAsia="宋体" w:cs="宋体"/>
                <w:szCs w:val="21"/>
              </w:rPr>
              <w:tab/>
            </w:r>
            <w:r>
              <w:rPr>
                <w:rFonts w:hint="eastAsia" w:ascii="宋体" w:hAnsi="宋体" w:eastAsia="宋体" w:cs="宋体"/>
                <w:szCs w:val="21"/>
              </w:rPr>
              <w:t>机型：1U机架式</w:t>
            </w:r>
          </w:p>
          <w:p w14:paraId="109D9E76">
            <w:pPr>
              <w:rPr>
                <w:rFonts w:hint="eastAsia" w:ascii="宋体" w:hAnsi="宋体" w:eastAsia="宋体" w:cs="宋体"/>
                <w:szCs w:val="21"/>
              </w:rPr>
            </w:pPr>
            <w:r>
              <w:rPr>
                <w:rFonts w:hint="eastAsia" w:ascii="宋体" w:hAnsi="宋体" w:eastAsia="宋体" w:cs="宋体"/>
                <w:szCs w:val="21"/>
              </w:rPr>
              <w:t>2.数据同步</w:t>
            </w:r>
            <w:r>
              <w:rPr>
                <w:rFonts w:hint="eastAsia" w:ascii="宋体" w:hAnsi="宋体" w:eastAsia="宋体" w:cs="宋体"/>
                <w:szCs w:val="21"/>
                <w:lang w:val="en-US" w:eastAsia="zh-CN"/>
              </w:rPr>
              <w:t>系统</w:t>
            </w:r>
            <w:r>
              <w:rPr>
                <w:rFonts w:hint="eastAsia" w:ascii="宋体" w:hAnsi="宋体" w:eastAsia="宋体" w:cs="宋体"/>
                <w:szCs w:val="21"/>
              </w:rPr>
              <w:t xml:space="preserve">   1台</w:t>
            </w:r>
          </w:p>
          <w:p w14:paraId="079CBD35">
            <w:pPr>
              <w:rPr>
                <w:rFonts w:hint="eastAsia" w:ascii="宋体" w:hAnsi="宋体" w:eastAsia="宋体" w:cs="宋体"/>
                <w:szCs w:val="21"/>
              </w:rPr>
            </w:pPr>
            <w:r>
              <w:rPr>
                <w:rFonts w:hint="eastAsia" w:ascii="宋体" w:hAnsi="宋体" w:eastAsia="宋体" w:cs="宋体"/>
                <w:szCs w:val="21"/>
              </w:rPr>
              <w:t>2.1</w:t>
            </w:r>
            <w:r>
              <w:rPr>
                <w:rFonts w:hint="eastAsia" w:ascii="宋体" w:hAnsi="宋体" w:eastAsia="宋体" w:cs="宋体"/>
                <w:szCs w:val="21"/>
              </w:rPr>
              <w:tab/>
            </w:r>
            <w:r>
              <w:rPr>
                <w:rFonts w:hint="eastAsia" w:ascii="宋体" w:hAnsi="宋体" w:eastAsia="宋体" w:cs="宋体"/>
                <w:szCs w:val="21"/>
              </w:rPr>
              <w:t>CPU：≥2颗；核心数量≥12核，主频≥2.1GHz</w:t>
            </w:r>
          </w:p>
          <w:p w14:paraId="756DED78">
            <w:pPr>
              <w:rPr>
                <w:rFonts w:hint="eastAsia" w:ascii="宋体" w:hAnsi="宋体" w:eastAsia="宋体" w:cs="宋体"/>
                <w:szCs w:val="21"/>
              </w:rPr>
            </w:pPr>
            <w:r>
              <w:rPr>
                <w:rFonts w:hint="eastAsia" w:ascii="宋体" w:hAnsi="宋体" w:eastAsia="宋体" w:cs="宋体"/>
                <w:szCs w:val="21"/>
              </w:rPr>
              <w:t>2.2</w:t>
            </w:r>
            <w:r>
              <w:rPr>
                <w:rFonts w:hint="eastAsia" w:ascii="宋体" w:hAnsi="宋体" w:eastAsia="宋体" w:cs="宋体"/>
                <w:szCs w:val="21"/>
              </w:rPr>
              <w:tab/>
            </w:r>
            <w:r>
              <w:rPr>
                <w:rFonts w:hint="eastAsia" w:ascii="宋体" w:hAnsi="宋体" w:eastAsia="宋体" w:cs="宋体"/>
                <w:szCs w:val="21"/>
              </w:rPr>
              <w:t>内存：≥32G</w:t>
            </w:r>
          </w:p>
          <w:p w14:paraId="52986EBE">
            <w:pPr>
              <w:rPr>
                <w:rFonts w:hint="eastAsia" w:ascii="宋体" w:hAnsi="宋体" w:eastAsia="宋体" w:cs="宋体"/>
                <w:szCs w:val="21"/>
              </w:rPr>
            </w:pPr>
            <w:r>
              <w:rPr>
                <w:rFonts w:hint="eastAsia" w:ascii="宋体" w:hAnsi="宋体" w:eastAsia="宋体" w:cs="宋体"/>
                <w:szCs w:val="21"/>
              </w:rPr>
              <w:t>2.3</w:t>
            </w:r>
            <w:r>
              <w:rPr>
                <w:rFonts w:hint="eastAsia" w:ascii="宋体" w:hAnsi="宋体" w:eastAsia="宋体" w:cs="宋体"/>
                <w:szCs w:val="21"/>
              </w:rPr>
              <w:tab/>
            </w:r>
            <w:r>
              <w:rPr>
                <w:rFonts w:hint="eastAsia" w:ascii="宋体" w:hAnsi="宋体" w:eastAsia="宋体" w:cs="宋体"/>
                <w:szCs w:val="21"/>
              </w:rPr>
              <w:t>硬盘：数量≥2块；单块容量≥1TB</w:t>
            </w:r>
          </w:p>
          <w:p w14:paraId="63F09816">
            <w:pPr>
              <w:rPr>
                <w:rFonts w:hint="eastAsia" w:ascii="宋体" w:hAnsi="宋体" w:eastAsia="宋体" w:cs="宋体"/>
                <w:szCs w:val="21"/>
              </w:rPr>
            </w:pPr>
            <w:r>
              <w:rPr>
                <w:rFonts w:hint="eastAsia" w:ascii="宋体" w:hAnsi="宋体" w:eastAsia="宋体" w:cs="宋体"/>
                <w:szCs w:val="21"/>
              </w:rPr>
              <w:t>2.4</w:t>
            </w:r>
            <w:r>
              <w:rPr>
                <w:rFonts w:hint="eastAsia" w:ascii="宋体" w:hAnsi="宋体" w:eastAsia="宋体" w:cs="宋体"/>
                <w:szCs w:val="21"/>
              </w:rPr>
              <w:tab/>
            </w:r>
            <w:r>
              <w:rPr>
                <w:rFonts w:hint="eastAsia" w:ascii="宋体" w:hAnsi="宋体" w:eastAsia="宋体" w:cs="宋体"/>
                <w:szCs w:val="21"/>
              </w:rPr>
              <w:t>支持RAID 0/1/5/10</w:t>
            </w:r>
          </w:p>
          <w:p w14:paraId="294C4131">
            <w:pPr>
              <w:rPr>
                <w:rFonts w:hint="eastAsia" w:ascii="宋体" w:hAnsi="宋体" w:eastAsia="宋体" w:cs="宋体"/>
                <w:szCs w:val="21"/>
              </w:rPr>
            </w:pPr>
            <w:r>
              <w:rPr>
                <w:rFonts w:hint="eastAsia" w:ascii="宋体" w:hAnsi="宋体" w:eastAsia="宋体" w:cs="宋体"/>
                <w:szCs w:val="21"/>
              </w:rPr>
              <w:t>2.5</w:t>
            </w:r>
            <w:r>
              <w:rPr>
                <w:rFonts w:hint="eastAsia" w:ascii="宋体" w:hAnsi="宋体" w:eastAsia="宋体" w:cs="宋体"/>
                <w:szCs w:val="21"/>
              </w:rPr>
              <w:tab/>
            </w:r>
            <w:r>
              <w:rPr>
                <w:rFonts w:hint="eastAsia" w:ascii="宋体" w:hAnsi="宋体" w:eastAsia="宋体" w:cs="宋体"/>
                <w:szCs w:val="21"/>
              </w:rPr>
              <w:t>冗余电源</w:t>
            </w:r>
          </w:p>
          <w:p w14:paraId="71CB9320">
            <w:pPr>
              <w:rPr>
                <w:rFonts w:hint="eastAsia" w:ascii="宋体" w:hAnsi="宋体" w:eastAsia="宋体" w:cs="宋体"/>
                <w:szCs w:val="21"/>
              </w:rPr>
            </w:pPr>
            <w:r>
              <w:rPr>
                <w:rFonts w:hint="eastAsia" w:ascii="宋体" w:hAnsi="宋体" w:eastAsia="宋体" w:cs="宋体"/>
                <w:szCs w:val="21"/>
              </w:rPr>
              <w:t>2.6</w:t>
            </w:r>
            <w:r>
              <w:rPr>
                <w:rFonts w:hint="eastAsia" w:ascii="宋体" w:hAnsi="宋体" w:eastAsia="宋体" w:cs="宋体"/>
                <w:szCs w:val="21"/>
              </w:rPr>
              <w:tab/>
            </w:r>
            <w:r>
              <w:rPr>
                <w:rFonts w:hint="eastAsia" w:ascii="宋体" w:hAnsi="宋体" w:eastAsia="宋体" w:cs="宋体"/>
                <w:szCs w:val="21"/>
              </w:rPr>
              <w:t>含上架导轨</w:t>
            </w:r>
          </w:p>
          <w:p w14:paraId="1D48C429">
            <w:pPr>
              <w:rPr>
                <w:rFonts w:hint="eastAsia" w:ascii="宋体" w:hAnsi="宋体" w:eastAsia="宋体" w:cs="宋体"/>
                <w:szCs w:val="21"/>
              </w:rPr>
            </w:pPr>
            <w:r>
              <w:rPr>
                <w:rFonts w:hint="eastAsia" w:ascii="宋体" w:hAnsi="宋体" w:eastAsia="宋体" w:cs="宋体"/>
                <w:szCs w:val="21"/>
              </w:rPr>
              <w:t>2.7</w:t>
            </w:r>
            <w:r>
              <w:rPr>
                <w:rFonts w:hint="eastAsia" w:ascii="宋体" w:hAnsi="宋体" w:eastAsia="宋体" w:cs="宋体"/>
                <w:szCs w:val="21"/>
              </w:rPr>
              <w:tab/>
            </w:r>
            <w:r>
              <w:rPr>
                <w:rFonts w:hint="eastAsia" w:ascii="宋体" w:hAnsi="宋体" w:eastAsia="宋体" w:cs="宋体"/>
                <w:szCs w:val="21"/>
              </w:rPr>
              <w:t>机型：1U机架式</w:t>
            </w:r>
          </w:p>
          <w:p w14:paraId="14787832">
            <w:pPr>
              <w:rPr>
                <w:rFonts w:hint="eastAsia" w:ascii="宋体" w:hAnsi="宋体" w:eastAsia="宋体" w:cs="宋体"/>
                <w:szCs w:val="21"/>
              </w:rPr>
            </w:pPr>
            <w:r>
              <w:rPr>
                <w:rFonts w:hint="eastAsia" w:ascii="宋体" w:hAnsi="宋体" w:eastAsia="宋体" w:cs="宋体"/>
                <w:szCs w:val="21"/>
              </w:rPr>
              <w:t>二、医疗智能数据网关基础组件环境</w:t>
            </w:r>
          </w:p>
          <w:p w14:paraId="1C7E28F8">
            <w:pPr>
              <w:rPr>
                <w:rFonts w:hint="eastAsia" w:ascii="宋体" w:hAnsi="宋体" w:eastAsia="宋体" w:cs="宋体"/>
                <w:szCs w:val="21"/>
              </w:rPr>
            </w:pPr>
            <w:r>
              <w:rPr>
                <w:rFonts w:hint="eastAsia" w:ascii="宋体" w:hAnsi="宋体" w:eastAsia="宋体" w:cs="宋体"/>
                <w:szCs w:val="21"/>
              </w:rPr>
              <w:t>1.支持部署主流Linux、Windows</w:t>
            </w:r>
            <w:r>
              <w:rPr>
                <w:rFonts w:hint="eastAsia" w:ascii="宋体" w:hAnsi="宋体" w:cs="宋体"/>
                <w:szCs w:val="21"/>
                <w:lang w:val="en-US" w:eastAsia="zh-CN"/>
              </w:rPr>
              <w:t>等</w:t>
            </w:r>
            <w:r>
              <w:rPr>
                <w:rFonts w:hint="eastAsia" w:ascii="宋体" w:hAnsi="宋体" w:eastAsia="宋体" w:cs="宋体"/>
                <w:szCs w:val="21"/>
              </w:rPr>
              <w:t>各版本的操作系统</w:t>
            </w:r>
          </w:p>
          <w:p w14:paraId="4821F0EA">
            <w:pPr>
              <w:rPr>
                <w:rFonts w:hint="eastAsia" w:ascii="宋体" w:hAnsi="宋体" w:eastAsia="宋体" w:cs="宋体"/>
                <w:szCs w:val="21"/>
              </w:rPr>
            </w:pPr>
            <w:r>
              <w:rPr>
                <w:rFonts w:hint="eastAsia" w:ascii="宋体" w:hAnsi="宋体" w:eastAsia="宋体" w:cs="宋体"/>
                <w:szCs w:val="21"/>
              </w:rPr>
              <w:t>2.支持部署Kettle、DataX等常用ETL工具部署</w:t>
            </w:r>
          </w:p>
          <w:p w14:paraId="76670465">
            <w:pPr>
              <w:rPr>
                <w:rFonts w:hint="eastAsia" w:ascii="宋体" w:hAnsi="宋体" w:eastAsia="宋体" w:cs="宋体"/>
                <w:szCs w:val="21"/>
              </w:rPr>
            </w:pPr>
            <w:r>
              <w:rPr>
                <w:rFonts w:hint="eastAsia" w:ascii="宋体" w:hAnsi="宋体" w:eastAsia="宋体" w:cs="宋体"/>
                <w:szCs w:val="21"/>
              </w:rPr>
              <w:t>3.支持SQL-Server、Mysql、Oracle等常用数据库的部署</w:t>
            </w:r>
          </w:p>
          <w:p w14:paraId="793F6098">
            <w:pPr>
              <w:rPr>
                <w:rFonts w:hint="eastAsia" w:ascii="宋体" w:hAnsi="宋体" w:eastAsia="宋体" w:cs="宋体"/>
                <w:szCs w:val="21"/>
              </w:rPr>
            </w:pPr>
            <w:bookmarkStart w:id="38" w:name="_Toc287228952"/>
            <w:r>
              <w:rPr>
                <w:rFonts w:hint="eastAsia" w:ascii="宋体" w:hAnsi="宋体" w:eastAsia="宋体" w:cs="宋体"/>
                <w:szCs w:val="21"/>
              </w:rPr>
              <w:t>三、建设内容</w:t>
            </w:r>
            <w:bookmarkEnd w:id="38"/>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2316"/>
              <w:gridCol w:w="2946"/>
              <w:gridCol w:w="3502"/>
            </w:tblGrid>
            <w:tr w14:paraId="06DFC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2" w:type="dxa"/>
                  <w:gridSpan w:val="3"/>
                  <w:shd w:val="clear" w:color="auto" w:fill="FFFFFF"/>
                  <w:noWrap w:val="0"/>
                  <w:vAlign w:val="center"/>
                </w:tcPr>
                <w:p w14:paraId="29A72A56">
                  <w:pPr>
                    <w:rPr>
                      <w:rFonts w:hint="eastAsia" w:ascii="宋体" w:hAnsi="宋体" w:eastAsia="宋体" w:cs="宋体"/>
                      <w:szCs w:val="21"/>
                    </w:rPr>
                  </w:pPr>
                  <w:r>
                    <w:rPr>
                      <w:rFonts w:hint="eastAsia" w:ascii="宋体" w:hAnsi="宋体" w:eastAsia="宋体" w:cs="宋体"/>
                      <w:szCs w:val="21"/>
                    </w:rPr>
                    <w:t>大数据平台分中心应用</w:t>
                  </w:r>
                </w:p>
              </w:tc>
            </w:tr>
            <w:tr w14:paraId="143A2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316" w:type="dxa"/>
                  <w:shd w:val="clear" w:color="auto" w:fill="FFFFFF"/>
                  <w:noWrap w:val="0"/>
                  <w:vAlign w:val="center"/>
                </w:tcPr>
                <w:p w14:paraId="34715090">
                  <w:pPr>
                    <w:rPr>
                      <w:rFonts w:hint="eastAsia" w:ascii="宋体" w:hAnsi="宋体" w:eastAsia="宋体" w:cs="宋体"/>
                      <w:szCs w:val="21"/>
                    </w:rPr>
                  </w:pPr>
                  <w:r>
                    <w:rPr>
                      <w:rFonts w:hint="eastAsia" w:ascii="宋体" w:hAnsi="宋体" w:eastAsia="宋体" w:cs="宋体"/>
                      <w:szCs w:val="21"/>
                    </w:rPr>
                    <w:t>一级目录</w:t>
                  </w:r>
                </w:p>
              </w:tc>
              <w:tc>
                <w:tcPr>
                  <w:tcW w:w="2946" w:type="dxa"/>
                  <w:shd w:val="clear" w:color="auto" w:fill="FFFFFF"/>
                  <w:noWrap w:val="0"/>
                  <w:vAlign w:val="center"/>
                </w:tcPr>
                <w:p w14:paraId="3B04D3F7">
                  <w:pPr>
                    <w:rPr>
                      <w:rFonts w:hint="eastAsia" w:ascii="宋体" w:hAnsi="宋体" w:eastAsia="宋体" w:cs="宋体"/>
                      <w:szCs w:val="21"/>
                    </w:rPr>
                  </w:pPr>
                  <w:r>
                    <w:rPr>
                      <w:rFonts w:hint="eastAsia" w:ascii="宋体" w:hAnsi="宋体" w:eastAsia="宋体" w:cs="宋体"/>
                      <w:szCs w:val="21"/>
                    </w:rPr>
                    <w:t>二级目录</w:t>
                  </w:r>
                </w:p>
              </w:tc>
              <w:tc>
                <w:tcPr>
                  <w:tcW w:w="3502" w:type="dxa"/>
                  <w:shd w:val="clear" w:color="auto" w:fill="FFFFFF"/>
                  <w:noWrap w:val="0"/>
                  <w:vAlign w:val="center"/>
                </w:tcPr>
                <w:p w14:paraId="19E16E1B">
                  <w:pPr>
                    <w:rPr>
                      <w:rFonts w:hint="eastAsia" w:ascii="宋体" w:hAnsi="宋体" w:eastAsia="宋体" w:cs="宋体"/>
                      <w:szCs w:val="21"/>
                    </w:rPr>
                  </w:pPr>
                  <w:r>
                    <w:rPr>
                      <w:rFonts w:hint="eastAsia" w:ascii="宋体" w:hAnsi="宋体" w:eastAsia="宋体" w:cs="宋体"/>
                      <w:szCs w:val="21"/>
                    </w:rPr>
                    <w:t>功能点</w:t>
                  </w:r>
                </w:p>
              </w:tc>
            </w:tr>
            <w:tr w14:paraId="28F7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316" w:type="dxa"/>
                  <w:shd w:val="clear" w:color="auto" w:fill="FFFFFF"/>
                  <w:noWrap w:val="0"/>
                  <w:vAlign w:val="center"/>
                </w:tcPr>
                <w:p w14:paraId="17F33142">
                  <w:pPr>
                    <w:rPr>
                      <w:rFonts w:hint="eastAsia" w:ascii="宋体" w:hAnsi="宋体" w:eastAsia="宋体" w:cs="宋体"/>
                      <w:szCs w:val="21"/>
                    </w:rPr>
                  </w:pPr>
                  <w:r>
                    <w:rPr>
                      <w:rFonts w:hint="eastAsia" w:ascii="宋体" w:hAnsi="宋体" w:eastAsia="宋体" w:cs="宋体"/>
                      <w:szCs w:val="21"/>
                    </w:rPr>
                    <w:t>数据采集</w:t>
                  </w:r>
                </w:p>
              </w:tc>
              <w:tc>
                <w:tcPr>
                  <w:tcW w:w="2946" w:type="dxa"/>
                  <w:shd w:val="clear" w:color="auto" w:fill="FFFFFF"/>
                  <w:noWrap w:val="0"/>
                  <w:vAlign w:val="center"/>
                </w:tcPr>
                <w:p w14:paraId="5E64440C">
                  <w:pPr>
                    <w:rPr>
                      <w:rFonts w:hint="eastAsia" w:ascii="宋体" w:hAnsi="宋体" w:eastAsia="宋体" w:cs="宋体"/>
                      <w:szCs w:val="21"/>
                    </w:rPr>
                  </w:pPr>
                  <w:r>
                    <w:rPr>
                      <w:rFonts w:hint="eastAsia" w:ascii="宋体" w:hAnsi="宋体" w:eastAsia="宋体" w:cs="宋体"/>
                      <w:szCs w:val="21"/>
                    </w:rPr>
                    <w:t>数据采集</w:t>
                  </w:r>
                </w:p>
              </w:tc>
              <w:tc>
                <w:tcPr>
                  <w:tcW w:w="3502" w:type="dxa"/>
                  <w:shd w:val="clear" w:color="auto" w:fill="FFFFFF"/>
                  <w:noWrap w:val="0"/>
                  <w:vAlign w:val="center"/>
                </w:tcPr>
                <w:p w14:paraId="2BD26EBD">
                  <w:pPr>
                    <w:rPr>
                      <w:rFonts w:hint="eastAsia" w:ascii="宋体" w:hAnsi="宋体" w:eastAsia="宋体" w:cs="宋体"/>
                      <w:szCs w:val="21"/>
                    </w:rPr>
                  </w:pPr>
                  <w:r>
                    <w:rPr>
                      <w:rFonts w:hint="eastAsia" w:ascii="宋体" w:hAnsi="宋体" w:eastAsia="宋体" w:cs="宋体"/>
                      <w:szCs w:val="21"/>
                    </w:rPr>
                    <w:t>支持对全院多源异构数据（全量历史数据和增量数据）进行一站式的数据采集</w:t>
                  </w:r>
                </w:p>
              </w:tc>
            </w:tr>
            <w:tr w14:paraId="535A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316" w:type="dxa"/>
                  <w:shd w:val="clear" w:color="auto" w:fill="FFFFFF"/>
                  <w:noWrap w:val="0"/>
                  <w:vAlign w:val="center"/>
                </w:tcPr>
                <w:p w14:paraId="761F89DA">
                  <w:pPr>
                    <w:rPr>
                      <w:rFonts w:hint="eastAsia" w:ascii="宋体" w:hAnsi="宋体" w:eastAsia="宋体" w:cs="宋体"/>
                      <w:szCs w:val="21"/>
                    </w:rPr>
                  </w:pPr>
                  <w:r>
                    <w:rPr>
                      <w:rFonts w:hint="eastAsia" w:ascii="宋体" w:hAnsi="宋体" w:eastAsia="宋体" w:cs="宋体"/>
                      <w:szCs w:val="21"/>
                    </w:rPr>
                    <w:t>数据治理</w:t>
                  </w:r>
                </w:p>
              </w:tc>
              <w:tc>
                <w:tcPr>
                  <w:tcW w:w="2946" w:type="dxa"/>
                  <w:shd w:val="clear" w:color="auto" w:fill="FFFFFF"/>
                  <w:noWrap w:val="0"/>
                  <w:vAlign w:val="center"/>
                </w:tcPr>
                <w:p w14:paraId="1F05FB4C">
                  <w:pPr>
                    <w:rPr>
                      <w:rFonts w:hint="eastAsia" w:ascii="宋体" w:hAnsi="宋体" w:eastAsia="宋体" w:cs="宋体"/>
                      <w:szCs w:val="21"/>
                    </w:rPr>
                  </w:pPr>
                  <w:r>
                    <w:rPr>
                      <w:rFonts w:hint="eastAsia" w:ascii="宋体" w:hAnsi="宋体" w:eastAsia="宋体" w:cs="宋体"/>
                      <w:szCs w:val="21"/>
                    </w:rPr>
                    <w:t>数据治理</w:t>
                  </w:r>
                </w:p>
              </w:tc>
              <w:tc>
                <w:tcPr>
                  <w:tcW w:w="3502" w:type="dxa"/>
                  <w:shd w:val="clear" w:color="auto" w:fill="FFFFFF"/>
                  <w:noWrap w:val="0"/>
                  <w:vAlign w:val="center"/>
                </w:tcPr>
                <w:p w14:paraId="38EBA8C1">
                  <w:pPr>
                    <w:rPr>
                      <w:rFonts w:hint="eastAsia" w:ascii="宋体" w:hAnsi="宋体" w:eastAsia="宋体" w:cs="宋体"/>
                      <w:szCs w:val="21"/>
                    </w:rPr>
                  </w:pPr>
                  <w:r>
                    <w:rPr>
                      <w:rFonts w:hint="eastAsia" w:ascii="宋体" w:hAnsi="宋体" w:eastAsia="宋体" w:cs="宋体"/>
                      <w:szCs w:val="21"/>
                    </w:rPr>
                    <w:t>通过大数据平台（主中心）对数据进行清洗、标准化、结构化、质控等数据治理</w:t>
                  </w:r>
                </w:p>
              </w:tc>
            </w:tr>
            <w:tr w14:paraId="02275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30" w:hRule="atLeast"/>
                <w:jc w:val="center"/>
              </w:trPr>
              <w:tc>
                <w:tcPr>
                  <w:tcW w:w="2316" w:type="dxa"/>
                  <w:vMerge w:val="restart"/>
                  <w:shd w:val="clear" w:color="auto" w:fill="FFFFFF"/>
                  <w:noWrap w:val="0"/>
                  <w:vAlign w:val="center"/>
                </w:tcPr>
                <w:p w14:paraId="0C021F62">
                  <w:pPr>
                    <w:rPr>
                      <w:rFonts w:hint="eastAsia" w:ascii="宋体" w:hAnsi="宋体" w:eastAsia="宋体" w:cs="宋体"/>
                      <w:szCs w:val="21"/>
                    </w:rPr>
                  </w:pPr>
                  <w:r>
                    <w:rPr>
                      <w:rFonts w:hint="eastAsia" w:ascii="宋体" w:hAnsi="宋体" w:eastAsia="宋体" w:cs="宋体"/>
                      <w:szCs w:val="21"/>
                    </w:rPr>
                    <w:t>患者智能搜索和可视化</w:t>
                  </w:r>
                </w:p>
              </w:tc>
              <w:tc>
                <w:tcPr>
                  <w:tcW w:w="2946" w:type="dxa"/>
                  <w:shd w:val="clear" w:color="auto" w:fill="FFFFFF"/>
                  <w:noWrap w:val="0"/>
                  <w:vAlign w:val="center"/>
                </w:tcPr>
                <w:p w14:paraId="2D5180FC">
                  <w:pPr>
                    <w:rPr>
                      <w:rFonts w:hint="eastAsia" w:ascii="宋体" w:hAnsi="宋体" w:eastAsia="宋体" w:cs="宋体"/>
                      <w:szCs w:val="21"/>
                    </w:rPr>
                  </w:pPr>
                  <w:r>
                    <w:rPr>
                      <w:rFonts w:hint="eastAsia" w:ascii="宋体" w:hAnsi="宋体" w:eastAsia="宋体" w:cs="宋体"/>
                      <w:szCs w:val="21"/>
                    </w:rPr>
                    <w:t>模糊搜索</w:t>
                  </w:r>
                </w:p>
              </w:tc>
              <w:tc>
                <w:tcPr>
                  <w:tcW w:w="3502" w:type="dxa"/>
                  <w:shd w:val="clear" w:color="auto" w:fill="FFFFFF"/>
                  <w:noWrap w:val="0"/>
                  <w:vAlign w:val="center"/>
                </w:tcPr>
                <w:p w14:paraId="52DF4E3A">
                  <w:pPr>
                    <w:rPr>
                      <w:rFonts w:hint="eastAsia" w:ascii="宋体" w:hAnsi="宋体" w:eastAsia="宋体" w:cs="宋体"/>
                      <w:szCs w:val="21"/>
                    </w:rPr>
                  </w:pPr>
                  <w:r>
                    <w:rPr>
                      <w:rFonts w:hint="eastAsia" w:ascii="宋体" w:hAnsi="宋体" w:eastAsia="宋体" w:cs="宋体"/>
                      <w:szCs w:val="21"/>
                    </w:rPr>
                    <w:t>使用关键词搜索，支持查询目标内容，诊断、手术等信息</w:t>
                  </w:r>
                </w:p>
              </w:tc>
            </w:tr>
            <w:tr w14:paraId="7D353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316" w:type="dxa"/>
                  <w:vMerge w:val="continue"/>
                  <w:shd w:val="clear" w:color="auto" w:fill="FFFFFF"/>
                  <w:noWrap w:val="0"/>
                  <w:vAlign w:val="center"/>
                </w:tcPr>
                <w:p w14:paraId="439F2EB6">
                  <w:pPr>
                    <w:rPr>
                      <w:rFonts w:hint="eastAsia" w:ascii="宋体" w:hAnsi="宋体" w:eastAsia="宋体" w:cs="宋体"/>
                      <w:szCs w:val="21"/>
                    </w:rPr>
                  </w:pPr>
                </w:p>
              </w:tc>
              <w:tc>
                <w:tcPr>
                  <w:tcW w:w="2946" w:type="dxa"/>
                  <w:shd w:val="clear" w:color="auto" w:fill="FFFFFF"/>
                  <w:noWrap w:val="0"/>
                  <w:vAlign w:val="center"/>
                </w:tcPr>
                <w:p w14:paraId="46247967">
                  <w:pPr>
                    <w:rPr>
                      <w:rFonts w:hint="eastAsia" w:ascii="宋体" w:hAnsi="宋体" w:eastAsia="宋体" w:cs="宋体"/>
                      <w:szCs w:val="21"/>
                    </w:rPr>
                  </w:pPr>
                  <w:r>
                    <w:rPr>
                      <w:rFonts w:hint="eastAsia" w:ascii="宋体" w:hAnsi="宋体" w:eastAsia="宋体" w:cs="宋体"/>
                      <w:szCs w:val="21"/>
                    </w:rPr>
                    <w:t>高级搜索</w:t>
                  </w:r>
                </w:p>
              </w:tc>
              <w:tc>
                <w:tcPr>
                  <w:tcW w:w="3502" w:type="dxa"/>
                  <w:shd w:val="clear" w:color="auto" w:fill="FFFFFF"/>
                  <w:noWrap w:val="0"/>
                  <w:vAlign w:val="center"/>
                </w:tcPr>
                <w:p w14:paraId="7A0727D3">
                  <w:pPr>
                    <w:rPr>
                      <w:rFonts w:hint="eastAsia" w:ascii="宋体" w:hAnsi="宋体" w:eastAsia="宋体" w:cs="宋体"/>
                      <w:szCs w:val="21"/>
                    </w:rPr>
                  </w:pPr>
                  <w:r>
                    <w:rPr>
                      <w:rFonts w:hint="eastAsia" w:ascii="宋体" w:hAnsi="宋体" w:eastAsia="宋体" w:cs="宋体"/>
                      <w:szCs w:val="21"/>
                    </w:rPr>
                    <w:t>高级搜索-条件树搜索</w:t>
                  </w:r>
                </w:p>
              </w:tc>
            </w:tr>
            <w:tr w14:paraId="3B20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316" w:type="dxa"/>
                  <w:vMerge w:val="continue"/>
                  <w:shd w:val="clear" w:color="auto" w:fill="FFFFFF"/>
                  <w:noWrap w:val="0"/>
                  <w:vAlign w:val="center"/>
                </w:tcPr>
                <w:p w14:paraId="476927D7">
                  <w:pPr>
                    <w:rPr>
                      <w:rFonts w:hint="eastAsia" w:ascii="宋体" w:hAnsi="宋体" w:eastAsia="宋体" w:cs="宋体"/>
                      <w:szCs w:val="21"/>
                    </w:rPr>
                  </w:pPr>
                </w:p>
              </w:tc>
              <w:tc>
                <w:tcPr>
                  <w:tcW w:w="2946" w:type="dxa"/>
                  <w:vMerge w:val="restart"/>
                  <w:shd w:val="clear" w:color="auto" w:fill="FFFFFF"/>
                  <w:noWrap w:val="0"/>
                  <w:vAlign w:val="center"/>
                </w:tcPr>
                <w:p w14:paraId="33A9B317">
                  <w:pPr>
                    <w:rPr>
                      <w:rFonts w:hint="eastAsia" w:ascii="宋体" w:hAnsi="宋体" w:eastAsia="宋体" w:cs="宋体"/>
                      <w:szCs w:val="21"/>
                    </w:rPr>
                  </w:pPr>
                </w:p>
              </w:tc>
              <w:tc>
                <w:tcPr>
                  <w:tcW w:w="3502" w:type="dxa"/>
                  <w:shd w:val="clear" w:color="auto" w:fill="FFFFFF"/>
                  <w:noWrap w:val="0"/>
                  <w:vAlign w:val="center"/>
                </w:tcPr>
                <w:p w14:paraId="686877F5">
                  <w:pPr>
                    <w:rPr>
                      <w:rFonts w:hint="eastAsia" w:ascii="宋体" w:hAnsi="宋体" w:eastAsia="宋体" w:cs="宋体"/>
                      <w:szCs w:val="21"/>
                    </w:rPr>
                  </w:pPr>
                  <w:r>
                    <w:rPr>
                      <w:rFonts w:hint="eastAsia" w:ascii="宋体" w:hAnsi="宋体" w:eastAsia="宋体" w:cs="宋体"/>
                      <w:szCs w:val="21"/>
                    </w:rPr>
                    <w:t>自定义指标精细筛选</w:t>
                  </w:r>
                </w:p>
              </w:tc>
            </w:tr>
            <w:tr w14:paraId="052B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316" w:type="dxa"/>
                  <w:vMerge w:val="continue"/>
                  <w:shd w:val="clear" w:color="auto" w:fill="FFFFFF"/>
                  <w:noWrap w:val="0"/>
                  <w:vAlign w:val="center"/>
                </w:tcPr>
                <w:p w14:paraId="02550DE9">
                  <w:pPr>
                    <w:rPr>
                      <w:rFonts w:hint="eastAsia" w:ascii="宋体" w:hAnsi="宋体" w:eastAsia="宋体" w:cs="宋体"/>
                      <w:szCs w:val="21"/>
                    </w:rPr>
                  </w:pPr>
                </w:p>
              </w:tc>
              <w:tc>
                <w:tcPr>
                  <w:tcW w:w="2946" w:type="dxa"/>
                  <w:vMerge w:val="continue"/>
                  <w:shd w:val="clear" w:color="auto" w:fill="FFFFFF"/>
                  <w:noWrap w:val="0"/>
                  <w:vAlign w:val="center"/>
                </w:tcPr>
                <w:p w14:paraId="27E2E7F5">
                  <w:pPr>
                    <w:rPr>
                      <w:rFonts w:hint="eastAsia" w:ascii="宋体" w:hAnsi="宋体" w:eastAsia="宋体" w:cs="宋体"/>
                      <w:szCs w:val="21"/>
                    </w:rPr>
                  </w:pPr>
                </w:p>
              </w:tc>
              <w:tc>
                <w:tcPr>
                  <w:tcW w:w="3502" w:type="dxa"/>
                  <w:shd w:val="clear" w:color="auto" w:fill="FFFFFF"/>
                  <w:noWrap w:val="0"/>
                  <w:vAlign w:val="center"/>
                </w:tcPr>
                <w:p w14:paraId="4C673A3A">
                  <w:pPr>
                    <w:rPr>
                      <w:rFonts w:hint="eastAsia" w:ascii="宋体" w:hAnsi="宋体" w:eastAsia="宋体" w:cs="宋体"/>
                      <w:szCs w:val="21"/>
                    </w:rPr>
                  </w:pPr>
                  <w:r>
                    <w:rPr>
                      <w:rFonts w:hint="eastAsia" w:ascii="宋体" w:hAnsi="宋体" w:eastAsia="宋体" w:cs="宋体"/>
                      <w:szCs w:val="21"/>
                    </w:rPr>
                    <w:t>数据反查条件设定</w:t>
                  </w:r>
                </w:p>
              </w:tc>
            </w:tr>
            <w:tr w14:paraId="2BF3D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6" w:type="dxa"/>
                  <w:vMerge w:val="continue"/>
                  <w:shd w:val="clear" w:color="auto" w:fill="FFFFFF"/>
                  <w:noWrap w:val="0"/>
                  <w:vAlign w:val="center"/>
                </w:tcPr>
                <w:p w14:paraId="09027070">
                  <w:pPr>
                    <w:rPr>
                      <w:rFonts w:hint="eastAsia" w:ascii="宋体" w:hAnsi="宋体" w:eastAsia="宋体" w:cs="宋体"/>
                      <w:szCs w:val="21"/>
                    </w:rPr>
                  </w:pPr>
                </w:p>
              </w:tc>
              <w:tc>
                <w:tcPr>
                  <w:tcW w:w="2946" w:type="dxa"/>
                  <w:vMerge w:val="continue"/>
                  <w:shd w:val="clear" w:color="auto" w:fill="FFFFFF"/>
                  <w:noWrap w:val="0"/>
                  <w:vAlign w:val="center"/>
                </w:tcPr>
                <w:p w14:paraId="588FFBCB">
                  <w:pPr>
                    <w:rPr>
                      <w:rFonts w:hint="eastAsia" w:ascii="宋体" w:hAnsi="宋体" w:eastAsia="宋体" w:cs="宋体"/>
                      <w:szCs w:val="21"/>
                    </w:rPr>
                  </w:pPr>
                </w:p>
              </w:tc>
              <w:tc>
                <w:tcPr>
                  <w:tcW w:w="3502" w:type="dxa"/>
                  <w:shd w:val="clear" w:color="auto" w:fill="FFFFFF"/>
                  <w:noWrap w:val="0"/>
                  <w:vAlign w:val="center"/>
                </w:tcPr>
                <w:p w14:paraId="0D0C94CC">
                  <w:pPr>
                    <w:rPr>
                      <w:rFonts w:hint="eastAsia" w:ascii="宋体" w:hAnsi="宋体" w:eastAsia="宋体" w:cs="宋体"/>
                      <w:szCs w:val="21"/>
                    </w:rPr>
                  </w:pPr>
                  <w:r>
                    <w:rPr>
                      <w:rFonts w:hint="eastAsia" w:ascii="宋体" w:hAnsi="宋体" w:eastAsia="宋体" w:cs="宋体"/>
                      <w:szCs w:val="21"/>
                    </w:rPr>
                    <w:t>患者精确搜索</w:t>
                  </w:r>
                </w:p>
              </w:tc>
            </w:tr>
            <w:tr w14:paraId="4C40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316" w:type="dxa"/>
                  <w:vMerge w:val="continue"/>
                  <w:shd w:val="clear" w:color="auto" w:fill="FFFFFF"/>
                  <w:noWrap w:val="0"/>
                  <w:vAlign w:val="center"/>
                </w:tcPr>
                <w:p w14:paraId="44D479B2">
                  <w:pPr>
                    <w:rPr>
                      <w:rFonts w:hint="eastAsia" w:ascii="宋体" w:hAnsi="宋体" w:eastAsia="宋体" w:cs="宋体"/>
                      <w:szCs w:val="21"/>
                    </w:rPr>
                  </w:pPr>
                </w:p>
              </w:tc>
              <w:tc>
                <w:tcPr>
                  <w:tcW w:w="2946" w:type="dxa"/>
                  <w:vMerge w:val="continue"/>
                  <w:shd w:val="clear" w:color="auto" w:fill="FFFFFF"/>
                  <w:noWrap w:val="0"/>
                  <w:vAlign w:val="center"/>
                </w:tcPr>
                <w:p w14:paraId="16EBDC43">
                  <w:pPr>
                    <w:rPr>
                      <w:rFonts w:hint="eastAsia" w:ascii="宋体" w:hAnsi="宋体" w:eastAsia="宋体" w:cs="宋体"/>
                      <w:szCs w:val="21"/>
                    </w:rPr>
                  </w:pPr>
                </w:p>
              </w:tc>
              <w:tc>
                <w:tcPr>
                  <w:tcW w:w="3502" w:type="dxa"/>
                  <w:shd w:val="clear" w:color="auto" w:fill="FFFFFF"/>
                  <w:noWrap w:val="0"/>
                  <w:vAlign w:val="center"/>
                </w:tcPr>
                <w:p w14:paraId="10B0D874">
                  <w:pPr>
                    <w:rPr>
                      <w:rFonts w:hint="eastAsia" w:ascii="宋体" w:hAnsi="宋体" w:eastAsia="宋体" w:cs="宋体"/>
                      <w:szCs w:val="21"/>
                    </w:rPr>
                  </w:pPr>
                  <w:r>
                    <w:rPr>
                      <w:rFonts w:hint="eastAsia" w:ascii="宋体" w:hAnsi="宋体" w:eastAsia="宋体" w:cs="宋体"/>
                      <w:szCs w:val="21"/>
                    </w:rPr>
                    <w:t>我的诊室</w:t>
                  </w:r>
                </w:p>
              </w:tc>
            </w:tr>
            <w:tr w14:paraId="690C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6" w:type="dxa"/>
                  <w:vMerge w:val="continue"/>
                  <w:shd w:val="clear" w:color="auto" w:fill="FFFFFF"/>
                  <w:noWrap w:val="0"/>
                  <w:vAlign w:val="center"/>
                </w:tcPr>
                <w:p w14:paraId="0DA7B025">
                  <w:pPr>
                    <w:rPr>
                      <w:rFonts w:hint="eastAsia" w:ascii="宋体" w:hAnsi="宋体" w:eastAsia="宋体" w:cs="宋体"/>
                      <w:szCs w:val="21"/>
                    </w:rPr>
                  </w:pPr>
                </w:p>
              </w:tc>
              <w:tc>
                <w:tcPr>
                  <w:tcW w:w="2946" w:type="dxa"/>
                  <w:vMerge w:val="continue"/>
                  <w:shd w:val="clear" w:color="auto" w:fill="FFFFFF"/>
                  <w:noWrap w:val="0"/>
                  <w:vAlign w:val="center"/>
                </w:tcPr>
                <w:p w14:paraId="3D4AD522">
                  <w:pPr>
                    <w:rPr>
                      <w:rFonts w:hint="eastAsia" w:ascii="宋体" w:hAnsi="宋体" w:eastAsia="宋体" w:cs="宋体"/>
                      <w:szCs w:val="21"/>
                    </w:rPr>
                  </w:pPr>
                </w:p>
              </w:tc>
              <w:tc>
                <w:tcPr>
                  <w:tcW w:w="3502" w:type="dxa"/>
                  <w:shd w:val="clear" w:color="auto" w:fill="FFFFFF"/>
                  <w:noWrap w:val="0"/>
                  <w:vAlign w:val="center"/>
                </w:tcPr>
                <w:p w14:paraId="23F8299B">
                  <w:pPr>
                    <w:rPr>
                      <w:rFonts w:hint="eastAsia" w:ascii="宋体" w:hAnsi="宋体" w:eastAsia="宋体" w:cs="宋体"/>
                      <w:szCs w:val="21"/>
                    </w:rPr>
                  </w:pPr>
                  <w:r>
                    <w:rPr>
                      <w:rFonts w:hint="eastAsia" w:ascii="宋体" w:hAnsi="宋体" w:eastAsia="宋体" w:cs="宋体"/>
                      <w:szCs w:val="21"/>
                    </w:rPr>
                    <w:t>搜索条件的保存、删除和编辑</w:t>
                  </w:r>
                </w:p>
              </w:tc>
            </w:tr>
            <w:tr w14:paraId="56F1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85" w:hRule="atLeast"/>
                <w:jc w:val="center"/>
              </w:trPr>
              <w:tc>
                <w:tcPr>
                  <w:tcW w:w="2316" w:type="dxa"/>
                  <w:vMerge w:val="continue"/>
                  <w:shd w:val="clear" w:color="auto" w:fill="FFFFFF"/>
                  <w:noWrap w:val="0"/>
                  <w:vAlign w:val="center"/>
                </w:tcPr>
                <w:p w14:paraId="54E8B871">
                  <w:pPr>
                    <w:rPr>
                      <w:rFonts w:hint="eastAsia" w:ascii="宋体" w:hAnsi="宋体" w:eastAsia="宋体" w:cs="宋体"/>
                      <w:szCs w:val="21"/>
                    </w:rPr>
                  </w:pPr>
                </w:p>
              </w:tc>
              <w:tc>
                <w:tcPr>
                  <w:tcW w:w="2946" w:type="dxa"/>
                  <w:vMerge w:val="continue"/>
                  <w:shd w:val="clear" w:color="auto" w:fill="FFFFFF"/>
                  <w:noWrap w:val="0"/>
                  <w:vAlign w:val="center"/>
                </w:tcPr>
                <w:p w14:paraId="70CA3A4E">
                  <w:pPr>
                    <w:rPr>
                      <w:rFonts w:hint="eastAsia" w:ascii="宋体" w:hAnsi="宋体" w:eastAsia="宋体" w:cs="宋体"/>
                      <w:szCs w:val="21"/>
                    </w:rPr>
                  </w:pPr>
                </w:p>
              </w:tc>
              <w:tc>
                <w:tcPr>
                  <w:tcW w:w="3502" w:type="dxa"/>
                  <w:shd w:val="clear" w:color="auto" w:fill="FFFFFF"/>
                  <w:noWrap w:val="0"/>
                  <w:vAlign w:val="center"/>
                </w:tcPr>
                <w:p w14:paraId="0E364A41">
                  <w:pPr>
                    <w:rPr>
                      <w:rFonts w:hint="eastAsia" w:ascii="宋体" w:hAnsi="宋体" w:eastAsia="宋体" w:cs="宋体"/>
                      <w:szCs w:val="21"/>
                    </w:rPr>
                  </w:pPr>
                  <w:r>
                    <w:rPr>
                      <w:rFonts w:hint="eastAsia" w:ascii="宋体" w:hAnsi="宋体" w:eastAsia="宋体" w:cs="宋体"/>
                      <w:szCs w:val="21"/>
                    </w:rPr>
                    <w:t>检索数据导出</w:t>
                  </w:r>
                </w:p>
              </w:tc>
            </w:tr>
            <w:tr w14:paraId="6D1D5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316" w:type="dxa"/>
                  <w:vMerge w:val="continue"/>
                  <w:shd w:val="clear" w:color="auto" w:fill="FFFFFF"/>
                  <w:noWrap w:val="0"/>
                  <w:vAlign w:val="center"/>
                </w:tcPr>
                <w:p w14:paraId="1B0FE4FE">
                  <w:pPr>
                    <w:rPr>
                      <w:rFonts w:hint="eastAsia" w:ascii="宋体" w:hAnsi="宋体" w:eastAsia="宋体" w:cs="宋体"/>
                      <w:szCs w:val="21"/>
                    </w:rPr>
                  </w:pPr>
                </w:p>
              </w:tc>
              <w:tc>
                <w:tcPr>
                  <w:tcW w:w="2946" w:type="dxa"/>
                  <w:vMerge w:val="restart"/>
                  <w:shd w:val="clear" w:color="auto" w:fill="FFFFFF"/>
                  <w:noWrap w:val="0"/>
                  <w:vAlign w:val="center"/>
                </w:tcPr>
                <w:p w14:paraId="49181880">
                  <w:pPr>
                    <w:rPr>
                      <w:rFonts w:hint="eastAsia" w:ascii="宋体" w:hAnsi="宋体" w:eastAsia="宋体" w:cs="宋体"/>
                      <w:szCs w:val="21"/>
                    </w:rPr>
                  </w:pPr>
                  <w:r>
                    <w:rPr>
                      <w:rFonts w:hint="eastAsia" w:ascii="宋体" w:hAnsi="宋体" w:eastAsia="宋体" w:cs="宋体"/>
                      <w:szCs w:val="21"/>
                    </w:rPr>
                    <w:t>搜索结果（搜索结果可视化）</w:t>
                  </w:r>
                </w:p>
              </w:tc>
              <w:tc>
                <w:tcPr>
                  <w:tcW w:w="3502" w:type="dxa"/>
                  <w:shd w:val="clear" w:color="auto" w:fill="FFFFFF"/>
                  <w:noWrap w:val="0"/>
                  <w:vAlign w:val="center"/>
                </w:tcPr>
                <w:p w14:paraId="21852E2A">
                  <w:pPr>
                    <w:rPr>
                      <w:rFonts w:hint="eastAsia" w:ascii="宋体" w:hAnsi="宋体" w:eastAsia="宋体" w:cs="宋体"/>
                      <w:szCs w:val="21"/>
                    </w:rPr>
                  </w:pPr>
                  <w:r>
                    <w:rPr>
                      <w:rFonts w:hint="eastAsia" w:ascii="宋体" w:hAnsi="宋体" w:eastAsia="宋体" w:cs="宋体"/>
                      <w:szCs w:val="21"/>
                    </w:rPr>
                    <w:t>搜索条件下患者列表展示</w:t>
                  </w:r>
                </w:p>
              </w:tc>
            </w:tr>
            <w:tr w14:paraId="79444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316" w:type="dxa"/>
                  <w:vMerge w:val="continue"/>
                  <w:shd w:val="clear" w:color="auto" w:fill="FFFFFF"/>
                  <w:noWrap w:val="0"/>
                  <w:vAlign w:val="center"/>
                </w:tcPr>
                <w:p w14:paraId="7C745EAF">
                  <w:pPr>
                    <w:rPr>
                      <w:rFonts w:hint="eastAsia" w:ascii="宋体" w:hAnsi="宋体" w:eastAsia="宋体" w:cs="宋体"/>
                      <w:szCs w:val="21"/>
                    </w:rPr>
                  </w:pPr>
                </w:p>
              </w:tc>
              <w:tc>
                <w:tcPr>
                  <w:tcW w:w="2946" w:type="dxa"/>
                  <w:vMerge w:val="continue"/>
                  <w:shd w:val="clear" w:color="auto" w:fill="FFFFFF"/>
                  <w:noWrap w:val="0"/>
                  <w:vAlign w:val="center"/>
                </w:tcPr>
                <w:p w14:paraId="4607B472">
                  <w:pPr>
                    <w:rPr>
                      <w:rFonts w:hint="eastAsia" w:ascii="宋体" w:hAnsi="宋体" w:eastAsia="宋体" w:cs="宋体"/>
                      <w:szCs w:val="21"/>
                    </w:rPr>
                  </w:pPr>
                </w:p>
              </w:tc>
              <w:tc>
                <w:tcPr>
                  <w:tcW w:w="3502" w:type="dxa"/>
                  <w:shd w:val="clear" w:color="auto" w:fill="FFFFFF"/>
                  <w:noWrap w:val="0"/>
                  <w:vAlign w:val="center"/>
                </w:tcPr>
                <w:p w14:paraId="376A31D5">
                  <w:pPr>
                    <w:rPr>
                      <w:rFonts w:hint="eastAsia" w:ascii="宋体" w:hAnsi="宋体" w:eastAsia="宋体" w:cs="宋体"/>
                      <w:szCs w:val="21"/>
                    </w:rPr>
                  </w:pPr>
                  <w:r>
                    <w:rPr>
                      <w:rFonts w:hint="eastAsia" w:ascii="宋体" w:hAnsi="宋体" w:eastAsia="宋体" w:cs="宋体"/>
                      <w:szCs w:val="21"/>
                    </w:rPr>
                    <w:t>搜索数据导出</w:t>
                  </w:r>
                </w:p>
              </w:tc>
            </w:tr>
            <w:tr w14:paraId="44B3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6" w:type="dxa"/>
                  <w:vMerge w:val="continue"/>
                  <w:shd w:val="clear" w:color="auto" w:fill="FFFFFF"/>
                  <w:noWrap w:val="0"/>
                  <w:vAlign w:val="center"/>
                </w:tcPr>
                <w:p w14:paraId="1A14E84C">
                  <w:pPr>
                    <w:rPr>
                      <w:rFonts w:hint="eastAsia" w:ascii="宋体" w:hAnsi="宋体" w:eastAsia="宋体" w:cs="宋体"/>
                      <w:szCs w:val="21"/>
                    </w:rPr>
                  </w:pPr>
                </w:p>
              </w:tc>
              <w:tc>
                <w:tcPr>
                  <w:tcW w:w="2946" w:type="dxa"/>
                  <w:vMerge w:val="continue"/>
                  <w:shd w:val="clear" w:color="auto" w:fill="FFFFFF"/>
                  <w:noWrap w:val="0"/>
                  <w:vAlign w:val="center"/>
                </w:tcPr>
                <w:p w14:paraId="22EE4F90">
                  <w:pPr>
                    <w:rPr>
                      <w:rFonts w:hint="eastAsia" w:ascii="宋体" w:hAnsi="宋体" w:eastAsia="宋体" w:cs="宋体"/>
                      <w:szCs w:val="21"/>
                    </w:rPr>
                  </w:pPr>
                </w:p>
              </w:tc>
              <w:tc>
                <w:tcPr>
                  <w:tcW w:w="3502" w:type="dxa"/>
                  <w:shd w:val="clear" w:color="auto" w:fill="FFFFFF"/>
                  <w:noWrap w:val="0"/>
                  <w:vAlign w:val="center"/>
                </w:tcPr>
                <w:p w14:paraId="22892F05">
                  <w:pPr>
                    <w:rPr>
                      <w:rFonts w:hint="eastAsia" w:ascii="宋体" w:hAnsi="宋体" w:eastAsia="宋体" w:cs="宋体"/>
                      <w:szCs w:val="21"/>
                    </w:rPr>
                  </w:pPr>
                  <w:r>
                    <w:rPr>
                      <w:rFonts w:hint="eastAsia" w:ascii="宋体" w:hAnsi="宋体" w:eastAsia="宋体" w:cs="宋体"/>
                      <w:szCs w:val="21"/>
                    </w:rPr>
                    <w:t>患者数据导入至科研项目</w:t>
                  </w:r>
                </w:p>
              </w:tc>
            </w:tr>
            <w:tr w14:paraId="0135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316" w:type="dxa"/>
                  <w:vMerge w:val="restart"/>
                  <w:shd w:val="clear" w:color="auto" w:fill="FFFFFF"/>
                  <w:noWrap w:val="0"/>
                  <w:vAlign w:val="center"/>
                </w:tcPr>
                <w:p w14:paraId="2AC6D6E1">
                  <w:pPr>
                    <w:rPr>
                      <w:rFonts w:hint="eastAsia" w:ascii="宋体" w:hAnsi="宋体" w:eastAsia="宋体" w:cs="宋体"/>
                      <w:szCs w:val="21"/>
                    </w:rPr>
                  </w:pPr>
                  <w:r>
                    <w:rPr>
                      <w:rFonts w:hint="eastAsia" w:ascii="宋体" w:hAnsi="宋体" w:eastAsia="宋体" w:cs="宋体"/>
                      <w:szCs w:val="21"/>
                    </w:rPr>
                    <w:t>患者全景</w:t>
                  </w:r>
                </w:p>
              </w:tc>
              <w:tc>
                <w:tcPr>
                  <w:tcW w:w="2946" w:type="dxa"/>
                  <w:vMerge w:val="restart"/>
                  <w:shd w:val="clear" w:color="auto" w:fill="FFFFFF"/>
                  <w:noWrap w:val="0"/>
                  <w:vAlign w:val="center"/>
                </w:tcPr>
                <w:p w14:paraId="556B2ADD">
                  <w:pPr>
                    <w:rPr>
                      <w:rFonts w:hint="eastAsia" w:ascii="宋体" w:hAnsi="宋体" w:eastAsia="宋体" w:cs="宋体"/>
                      <w:szCs w:val="21"/>
                    </w:rPr>
                  </w:pPr>
                  <w:r>
                    <w:rPr>
                      <w:rFonts w:hint="eastAsia" w:ascii="宋体" w:hAnsi="宋体" w:eastAsia="宋体" w:cs="宋体"/>
                      <w:szCs w:val="21"/>
                    </w:rPr>
                    <w:t>患者全景视图</w:t>
                  </w:r>
                </w:p>
              </w:tc>
              <w:tc>
                <w:tcPr>
                  <w:tcW w:w="3502" w:type="dxa"/>
                  <w:shd w:val="clear" w:color="auto" w:fill="FFFFFF"/>
                  <w:noWrap w:val="0"/>
                  <w:vAlign w:val="center"/>
                </w:tcPr>
                <w:p w14:paraId="1BC29490">
                  <w:pPr>
                    <w:rPr>
                      <w:rFonts w:hint="eastAsia" w:ascii="宋体" w:hAnsi="宋体" w:eastAsia="宋体" w:cs="宋体"/>
                      <w:szCs w:val="21"/>
                    </w:rPr>
                  </w:pPr>
                  <w:r>
                    <w:rPr>
                      <w:rFonts w:hint="eastAsia" w:ascii="宋体" w:hAnsi="宋体" w:eastAsia="宋体" w:cs="宋体"/>
                      <w:szCs w:val="21"/>
                    </w:rPr>
                    <w:t>患者基本信息脱敏展示</w:t>
                  </w:r>
                </w:p>
              </w:tc>
            </w:tr>
            <w:tr w14:paraId="5111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6" w:type="dxa"/>
                  <w:vMerge w:val="continue"/>
                  <w:shd w:val="clear" w:color="auto" w:fill="FFFFFF"/>
                  <w:noWrap w:val="0"/>
                  <w:vAlign w:val="center"/>
                </w:tcPr>
                <w:p w14:paraId="0C2108E0">
                  <w:pPr>
                    <w:rPr>
                      <w:rFonts w:hint="eastAsia" w:ascii="宋体" w:hAnsi="宋体" w:eastAsia="宋体" w:cs="宋体"/>
                      <w:szCs w:val="21"/>
                    </w:rPr>
                  </w:pPr>
                </w:p>
              </w:tc>
              <w:tc>
                <w:tcPr>
                  <w:tcW w:w="2946" w:type="dxa"/>
                  <w:vMerge w:val="continue"/>
                  <w:shd w:val="clear" w:color="auto" w:fill="FFFFFF"/>
                  <w:noWrap w:val="0"/>
                  <w:vAlign w:val="center"/>
                </w:tcPr>
                <w:p w14:paraId="48A214EB">
                  <w:pPr>
                    <w:rPr>
                      <w:rFonts w:hint="eastAsia" w:ascii="宋体" w:hAnsi="宋体" w:eastAsia="宋体" w:cs="宋体"/>
                      <w:szCs w:val="21"/>
                    </w:rPr>
                  </w:pPr>
                </w:p>
              </w:tc>
              <w:tc>
                <w:tcPr>
                  <w:tcW w:w="3502" w:type="dxa"/>
                  <w:shd w:val="clear" w:color="auto" w:fill="FFFFFF"/>
                  <w:noWrap w:val="0"/>
                  <w:vAlign w:val="center"/>
                </w:tcPr>
                <w:p w14:paraId="6115266A">
                  <w:pPr>
                    <w:rPr>
                      <w:rFonts w:hint="eastAsia" w:ascii="宋体" w:hAnsi="宋体" w:eastAsia="宋体" w:cs="宋体"/>
                      <w:szCs w:val="21"/>
                    </w:rPr>
                  </w:pPr>
                  <w:r>
                    <w:rPr>
                      <w:rFonts w:hint="eastAsia" w:ascii="宋体" w:hAnsi="宋体" w:eastAsia="宋体" w:cs="宋体"/>
                      <w:szCs w:val="21"/>
                    </w:rPr>
                    <w:t>就诊信息汇总</w:t>
                  </w:r>
                </w:p>
              </w:tc>
            </w:tr>
            <w:tr w14:paraId="794F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316" w:type="dxa"/>
                  <w:vMerge w:val="continue"/>
                  <w:shd w:val="clear" w:color="auto" w:fill="FFFFFF"/>
                  <w:noWrap w:val="0"/>
                  <w:vAlign w:val="center"/>
                </w:tcPr>
                <w:p w14:paraId="5CCE3A17">
                  <w:pPr>
                    <w:rPr>
                      <w:rFonts w:hint="eastAsia" w:ascii="宋体" w:hAnsi="宋体" w:eastAsia="宋体" w:cs="宋体"/>
                      <w:szCs w:val="21"/>
                    </w:rPr>
                  </w:pPr>
                </w:p>
              </w:tc>
              <w:tc>
                <w:tcPr>
                  <w:tcW w:w="2946" w:type="dxa"/>
                  <w:vMerge w:val="continue"/>
                  <w:shd w:val="clear" w:color="auto" w:fill="FFFFFF"/>
                  <w:noWrap w:val="0"/>
                  <w:vAlign w:val="center"/>
                </w:tcPr>
                <w:p w14:paraId="45DFE473">
                  <w:pPr>
                    <w:rPr>
                      <w:rFonts w:hint="eastAsia" w:ascii="宋体" w:hAnsi="宋体" w:eastAsia="宋体" w:cs="宋体"/>
                      <w:szCs w:val="21"/>
                    </w:rPr>
                  </w:pPr>
                </w:p>
              </w:tc>
              <w:tc>
                <w:tcPr>
                  <w:tcW w:w="3502" w:type="dxa"/>
                  <w:shd w:val="clear" w:color="auto" w:fill="FFFFFF"/>
                  <w:noWrap w:val="0"/>
                  <w:vAlign w:val="center"/>
                </w:tcPr>
                <w:p w14:paraId="3DD9349C">
                  <w:pPr>
                    <w:rPr>
                      <w:rFonts w:hint="eastAsia" w:ascii="宋体" w:hAnsi="宋体" w:eastAsia="宋体" w:cs="宋体"/>
                      <w:szCs w:val="21"/>
                    </w:rPr>
                  </w:pPr>
                  <w:r>
                    <w:rPr>
                      <w:rFonts w:hint="eastAsia" w:ascii="宋体" w:hAnsi="宋体" w:eastAsia="宋体" w:cs="宋体"/>
                      <w:szCs w:val="21"/>
                    </w:rPr>
                    <w:t>就诊信息统计</w:t>
                  </w:r>
                </w:p>
              </w:tc>
            </w:tr>
            <w:tr w14:paraId="0646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316" w:type="dxa"/>
                  <w:vMerge w:val="continue"/>
                  <w:shd w:val="clear" w:color="auto" w:fill="FFFFFF"/>
                  <w:noWrap w:val="0"/>
                  <w:vAlign w:val="center"/>
                </w:tcPr>
                <w:p w14:paraId="2487F7EE">
                  <w:pPr>
                    <w:rPr>
                      <w:rFonts w:hint="eastAsia" w:ascii="宋体" w:hAnsi="宋体" w:eastAsia="宋体" w:cs="宋体"/>
                      <w:szCs w:val="21"/>
                    </w:rPr>
                  </w:pPr>
                </w:p>
              </w:tc>
              <w:tc>
                <w:tcPr>
                  <w:tcW w:w="2946" w:type="dxa"/>
                  <w:vMerge w:val="continue"/>
                  <w:shd w:val="clear" w:color="auto" w:fill="FFFFFF"/>
                  <w:noWrap w:val="0"/>
                  <w:vAlign w:val="center"/>
                </w:tcPr>
                <w:p w14:paraId="48303AFA">
                  <w:pPr>
                    <w:rPr>
                      <w:rFonts w:hint="eastAsia" w:ascii="宋体" w:hAnsi="宋体" w:eastAsia="宋体" w:cs="宋体"/>
                      <w:szCs w:val="21"/>
                    </w:rPr>
                  </w:pPr>
                </w:p>
              </w:tc>
              <w:tc>
                <w:tcPr>
                  <w:tcW w:w="3502" w:type="dxa"/>
                  <w:shd w:val="clear" w:color="auto" w:fill="FFFFFF"/>
                  <w:noWrap w:val="0"/>
                  <w:vAlign w:val="center"/>
                </w:tcPr>
                <w:p w14:paraId="02D6AB82">
                  <w:pPr>
                    <w:rPr>
                      <w:rFonts w:hint="eastAsia" w:ascii="宋体" w:hAnsi="宋体" w:eastAsia="宋体" w:cs="宋体"/>
                      <w:szCs w:val="21"/>
                    </w:rPr>
                  </w:pPr>
                  <w:r>
                    <w:rPr>
                      <w:rFonts w:hint="eastAsia" w:ascii="宋体" w:hAnsi="宋体" w:eastAsia="宋体" w:cs="宋体"/>
                      <w:szCs w:val="21"/>
                    </w:rPr>
                    <w:t>就诊信息筛选</w:t>
                  </w:r>
                </w:p>
              </w:tc>
            </w:tr>
            <w:tr w14:paraId="0EE3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316" w:type="dxa"/>
                  <w:vMerge w:val="continue"/>
                  <w:shd w:val="clear" w:color="auto" w:fill="FFFFFF"/>
                  <w:noWrap w:val="0"/>
                  <w:vAlign w:val="center"/>
                </w:tcPr>
                <w:p w14:paraId="191C9F1F">
                  <w:pPr>
                    <w:rPr>
                      <w:rFonts w:hint="eastAsia" w:ascii="宋体" w:hAnsi="宋体" w:eastAsia="宋体" w:cs="宋体"/>
                      <w:szCs w:val="21"/>
                    </w:rPr>
                  </w:pPr>
                </w:p>
              </w:tc>
              <w:tc>
                <w:tcPr>
                  <w:tcW w:w="2946" w:type="dxa"/>
                  <w:vMerge w:val="continue"/>
                  <w:shd w:val="clear" w:color="auto" w:fill="FFFFFF"/>
                  <w:noWrap w:val="0"/>
                  <w:vAlign w:val="center"/>
                </w:tcPr>
                <w:p w14:paraId="32217323">
                  <w:pPr>
                    <w:rPr>
                      <w:rFonts w:hint="eastAsia" w:ascii="宋体" w:hAnsi="宋体" w:eastAsia="宋体" w:cs="宋体"/>
                      <w:szCs w:val="21"/>
                    </w:rPr>
                  </w:pPr>
                </w:p>
              </w:tc>
              <w:tc>
                <w:tcPr>
                  <w:tcW w:w="3502" w:type="dxa"/>
                  <w:shd w:val="clear" w:color="auto" w:fill="FFFFFF"/>
                  <w:noWrap w:val="0"/>
                  <w:vAlign w:val="center"/>
                </w:tcPr>
                <w:p w14:paraId="7A4FBF6F">
                  <w:pPr>
                    <w:rPr>
                      <w:rFonts w:hint="eastAsia" w:ascii="宋体" w:hAnsi="宋体" w:eastAsia="宋体" w:cs="宋体"/>
                      <w:szCs w:val="21"/>
                    </w:rPr>
                  </w:pPr>
                  <w:r>
                    <w:rPr>
                      <w:rFonts w:hint="eastAsia" w:ascii="宋体" w:hAnsi="宋体" w:eastAsia="宋体" w:cs="宋体"/>
                      <w:szCs w:val="21"/>
                    </w:rPr>
                    <w:t>患者详情页（360）视图</w:t>
                  </w:r>
                </w:p>
              </w:tc>
            </w:tr>
            <w:tr w14:paraId="641F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2316" w:type="dxa"/>
                  <w:vMerge w:val="continue"/>
                  <w:shd w:val="clear" w:color="auto" w:fill="FFFFFF"/>
                  <w:noWrap w:val="0"/>
                  <w:vAlign w:val="center"/>
                </w:tcPr>
                <w:p w14:paraId="5DF60680">
                  <w:pPr>
                    <w:rPr>
                      <w:rFonts w:hint="eastAsia" w:ascii="宋体" w:hAnsi="宋体" w:eastAsia="宋体" w:cs="宋体"/>
                      <w:szCs w:val="21"/>
                    </w:rPr>
                  </w:pPr>
                </w:p>
              </w:tc>
              <w:tc>
                <w:tcPr>
                  <w:tcW w:w="2946" w:type="dxa"/>
                  <w:vMerge w:val="continue"/>
                  <w:shd w:val="clear" w:color="auto" w:fill="FFFFFF"/>
                  <w:noWrap w:val="0"/>
                  <w:vAlign w:val="center"/>
                </w:tcPr>
                <w:p w14:paraId="0ECFEBC9">
                  <w:pPr>
                    <w:rPr>
                      <w:rFonts w:hint="eastAsia" w:ascii="宋体" w:hAnsi="宋体" w:eastAsia="宋体" w:cs="宋体"/>
                      <w:szCs w:val="21"/>
                    </w:rPr>
                  </w:pPr>
                </w:p>
              </w:tc>
              <w:tc>
                <w:tcPr>
                  <w:tcW w:w="3502" w:type="dxa"/>
                  <w:shd w:val="clear" w:color="auto" w:fill="FFFFFF"/>
                  <w:noWrap w:val="0"/>
                  <w:vAlign w:val="center"/>
                </w:tcPr>
                <w:p w14:paraId="6081AFEC">
                  <w:pPr>
                    <w:rPr>
                      <w:rFonts w:hint="eastAsia" w:ascii="宋体" w:hAnsi="宋体" w:eastAsia="宋体" w:cs="宋体"/>
                      <w:szCs w:val="21"/>
                    </w:rPr>
                  </w:pPr>
                  <w:r>
                    <w:rPr>
                      <w:rFonts w:hint="eastAsia" w:ascii="宋体" w:hAnsi="宋体" w:eastAsia="宋体" w:cs="宋体"/>
                      <w:szCs w:val="21"/>
                    </w:rPr>
                    <w:t>患者时间轴</w:t>
                  </w:r>
                </w:p>
              </w:tc>
            </w:tr>
            <w:tr w14:paraId="4E3D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316" w:type="dxa"/>
                  <w:vMerge w:val="continue"/>
                  <w:shd w:val="clear" w:color="auto" w:fill="FFFFFF"/>
                  <w:noWrap w:val="0"/>
                  <w:vAlign w:val="center"/>
                </w:tcPr>
                <w:p w14:paraId="77E28C60">
                  <w:pPr>
                    <w:rPr>
                      <w:rFonts w:hint="eastAsia" w:ascii="宋体" w:hAnsi="宋体" w:eastAsia="宋体" w:cs="宋体"/>
                      <w:szCs w:val="21"/>
                    </w:rPr>
                  </w:pPr>
                </w:p>
              </w:tc>
              <w:tc>
                <w:tcPr>
                  <w:tcW w:w="2946" w:type="dxa"/>
                  <w:vMerge w:val="continue"/>
                  <w:shd w:val="clear" w:color="auto" w:fill="FFFFFF"/>
                  <w:noWrap w:val="0"/>
                  <w:vAlign w:val="center"/>
                </w:tcPr>
                <w:p w14:paraId="00554853">
                  <w:pPr>
                    <w:rPr>
                      <w:rFonts w:hint="eastAsia" w:ascii="宋体" w:hAnsi="宋体" w:eastAsia="宋体" w:cs="宋体"/>
                      <w:szCs w:val="21"/>
                    </w:rPr>
                  </w:pPr>
                </w:p>
              </w:tc>
              <w:tc>
                <w:tcPr>
                  <w:tcW w:w="3502" w:type="dxa"/>
                  <w:shd w:val="clear" w:color="auto" w:fill="FFFFFF"/>
                  <w:noWrap w:val="0"/>
                  <w:vAlign w:val="center"/>
                </w:tcPr>
                <w:p w14:paraId="55FCE294">
                  <w:pPr>
                    <w:rPr>
                      <w:rFonts w:hint="eastAsia" w:ascii="宋体" w:hAnsi="宋体" w:eastAsia="宋体" w:cs="宋体"/>
                      <w:szCs w:val="21"/>
                    </w:rPr>
                  </w:pPr>
                  <w:r>
                    <w:rPr>
                      <w:rFonts w:hint="eastAsia" w:ascii="宋体" w:hAnsi="宋体" w:eastAsia="宋体" w:cs="宋体"/>
                      <w:szCs w:val="21"/>
                    </w:rPr>
                    <w:t>患者历次指标变化趋势图</w:t>
                  </w:r>
                </w:p>
              </w:tc>
            </w:tr>
          </w:tbl>
          <w:p w14:paraId="37ED2FAC">
            <w:pPr>
              <w:rPr>
                <w:rFonts w:hint="eastAsia" w:ascii="宋体" w:hAnsi="宋体" w:eastAsia="宋体" w:cs="宋体"/>
                <w:szCs w:val="21"/>
              </w:rPr>
            </w:pPr>
            <w:bookmarkStart w:id="39" w:name="_Toc77177591"/>
            <w:bookmarkStart w:id="40" w:name="_Toc38651133"/>
            <w:bookmarkStart w:id="41" w:name="_Toc92899460"/>
            <w:bookmarkStart w:id="42" w:name="_Toc2061241455"/>
            <w:r>
              <w:rPr>
                <w:rFonts w:hint="eastAsia" w:ascii="宋体" w:hAnsi="宋体" w:eastAsia="宋体" w:cs="宋体"/>
                <w:szCs w:val="21"/>
              </w:rPr>
              <w:t>四、总体技术</w:t>
            </w:r>
            <w:bookmarkEnd w:id="39"/>
            <w:bookmarkEnd w:id="40"/>
            <w:bookmarkEnd w:id="41"/>
            <w:r>
              <w:rPr>
                <w:rFonts w:hint="eastAsia" w:ascii="宋体" w:hAnsi="宋体" w:eastAsia="宋体" w:cs="宋体"/>
                <w:szCs w:val="21"/>
              </w:rPr>
              <w:t>要求</w:t>
            </w:r>
            <w:bookmarkEnd w:id="42"/>
          </w:p>
          <w:p w14:paraId="1DEF0490">
            <w:pPr>
              <w:rPr>
                <w:rFonts w:hint="eastAsia" w:ascii="宋体" w:hAnsi="宋体" w:eastAsia="宋体" w:cs="宋体"/>
                <w:szCs w:val="21"/>
              </w:rPr>
            </w:pPr>
            <w:bookmarkStart w:id="43" w:name="_Toc38651135"/>
            <w:bookmarkStart w:id="44" w:name="_Toc77177593"/>
            <w:bookmarkStart w:id="45" w:name="_Toc78940781"/>
            <w:bookmarkStart w:id="46" w:name="_Toc106817774"/>
            <w:bookmarkStart w:id="47" w:name="_Toc530497706"/>
            <w:r>
              <w:rPr>
                <w:rFonts w:hint="eastAsia" w:ascii="宋体" w:hAnsi="宋体" w:eastAsia="宋体" w:cs="宋体"/>
                <w:szCs w:val="21"/>
              </w:rPr>
              <w:t>（一）系统架构</w:t>
            </w:r>
            <w:bookmarkEnd w:id="43"/>
            <w:bookmarkEnd w:id="44"/>
            <w:bookmarkEnd w:id="45"/>
            <w:bookmarkEnd w:id="46"/>
          </w:p>
          <w:p w14:paraId="605248D6">
            <w:pPr>
              <w:rPr>
                <w:rFonts w:hint="eastAsia" w:ascii="宋体" w:hAnsi="宋体" w:eastAsia="宋体" w:cs="宋体"/>
                <w:szCs w:val="21"/>
              </w:rPr>
            </w:pPr>
            <w:r>
              <w:rPr>
                <w:rFonts w:hint="eastAsia" w:ascii="宋体" w:hAnsi="宋体" w:eastAsia="宋体" w:cs="宋体"/>
                <w:szCs w:val="21"/>
              </w:rPr>
              <w:t>1.部署大数据计算框架，基于多种算法库，实现大数据存储访问及分布式计算任务调度、多维索引数据的深度搜索和全文检索等功能。</w:t>
            </w:r>
          </w:p>
          <w:p w14:paraId="09F2C747">
            <w:pPr>
              <w:rPr>
                <w:rFonts w:hint="eastAsia" w:ascii="宋体" w:hAnsi="宋体" w:eastAsia="宋体" w:cs="宋体"/>
                <w:szCs w:val="21"/>
              </w:rPr>
            </w:pPr>
            <w:r>
              <w:rPr>
                <w:rFonts w:hint="eastAsia" w:ascii="宋体" w:hAnsi="宋体" w:eastAsia="宋体" w:cs="宋体"/>
                <w:szCs w:val="21"/>
              </w:rPr>
              <w:t>2.建立基于分布式并行计算架构，部署服务器集群，具备横向扩展能力，可以动态增加或减少计算资源和存储资源，支持 PB 量级离线计算和在线计算。</w:t>
            </w:r>
          </w:p>
          <w:p w14:paraId="792C79BB">
            <w:pPr>
              <w:rPr>
                <w:rFonts w:hint="eastAsia" w:ascii="宋体" w:hAnsi="宋体" w:eastAsia="宋体" w:cs="宋体"/>
                <w:szCs w:val="21"/>
              </w:rPr>
            </w:pPr>
            <w:r>
              <w:rPr>
                <w:rFonts w:hint="eastAsia" w:ascii="宋体" w:hAnsi="宋体" w:eastAsia="宋体" w:cs="宋体"/>
                <w:szCs w:val="21"/>
              </w:rPr>
              <w:t>3.支持多种数据对接方案；对于关系型数据库，支持基于kettle、datax等主流ETL工具的配置，批量同步数据。对于关系型数据库，提供基于OGG/CDC等形式的数据同步；支持通过数据接收网关或者kafka消息流的形式，接入数据。</w:t>
            </w:r>
          </w:p>
          <w:p w14:paraId="02F91632">
            <w:pPr>
              <w:rPr>
                <w:rFonts w:hint="eastAsia" w:ascii="宋体" w:hAnsi="宋体" w:eastAsia="宋体" w:cs="宋体"/>
                <w:szCs w:val="21"/>
              </w:rPr>
            </w:pPr>
            <w:r>
              <w:rPr>
                <w:rFonts w:hint="eastAsia" w:ascii="宋体" w:hAnsi="宋体" w:eastAsia="宋体" w:cs="宋体"/>
                <w:szCs w:val="21"/>
              </w:rPr>
              <w:t>4.支持各种类型文件推送: txt,csv, excel等。</w:t>
            </w:r>
          </w:p>
          <w:p w14:paraId="750B3A29">
            <w:pPr>
              <w:rPr>
                <w:rFonts w:hint="eastAsia" w:ascii="宋体" w:hAnsi="宋体" w:eastAsia="宋体" w:cs="宋体"/>
                <w:szCs w:val="21"/>
              </w:rPr>
            </w:pPr>
            <w:r>
              <w:rPr>
                <w:rFonts w:hint="eastAsia" w:ascii="宋体" w:hAnsi="宋体" w:eastAsia="宋体" w:cs="宋体"/>
                <w:szCs w:val="21"/>
              </w:rPr>
              <w:t>5.在线计算支持impala技术，对固定报表提供秒级别的查询响应；支持SparkStreaming和Flink，对海量大数据支持实时计算和处理。</w:t>
            </w:r>
          </w:p>
          <w:p w14:paraId="3CEE8FBC">
            <w:pPr>
              <w:rPr>
                <w:rFonts w:hint="eastAsia" w:ascii="宋体" w:hAnsi="宋体" w:eastAsia="宋体" w:cs="宋体"/>
                <w:szCs w:val="21"/>
              </w:rPr>
            </w:pPr>
            <w:bookmarkStart w:id="48" w:name="_Toc81922812"/>
            <w:bookmarkStart w:id="49" w:name="_Toc1760296068"/>
            <w:bookmarkStart w:id="50" w:name="_Toc106817775"/>
            <w:r>
              <w:rPr>
                <w:rFonts w:hint="eastAsia" w:ascii="宋体" w:hAnsi="宋体" w:eastAsia="宋体" w:cs="宋体"/>
                <w:szCs w:val="21"/>
              </w:rPr>
              <w:t>6.基于分布式的数据存储架构</w:t>
            </w:r>
            <w:bookmarkEnd w:id="48"/>
            <w:bookmarkEnd w:id="49"/>
            <w:bookmarkEnd w:id="50"/>
          </w:p>
          <w:p w14:paraId="59FA2769">
            <w:pPr>
              <w:rPr>
                <w:rFonts w:hint="eastAsia" w:ascii="宋体" w:hAnsi="宋体" w:eastAsia="宋体" w:cs="宋体"/>
                <w:szCs w:val="21"/>
              </w:rPr>
            </w:pPr>
            <w:r>
              <w:rPr>
                <w:rFonts w:hint="eastAsia" w:ascii="宋体" w:hAnsi="宋体" w:eastAsia="宋体" w:cs="宋体"/>
                <w:szCs w:val="21"/>
              </w:rPr>
              <w:t>7.整个系统需要基于分布式的数据存储架构。</w:t>
            </w:r>
          </w:p>
          <w:p w14:paraId="75236D5D">
            <w:pPr>
              <w:rPr>
                <w:rFonts w:hint="eastAsia" w:ascii="宋体" w:hAnsi="宋体" w:eastAsia="宋体" w:cs="宋体"/>
                <w:szCs w:val="21"/>
              </w:rPr>
            </w:pPr>
            <w:r>
              <w:rPr>
                <w:rFonts w:hint="eastAsia" w:ascii="宋体" w:hAnsi="宋体" w:eastAsia="宋体" w:cs="宋体"/>
                <w:szCs w:val="21"/>
              </w:rPr>
              <w:t>（二）分布式数据存储要求如下：</w:t>
            </w:r>
          </w:p>
          <w:p w14:paraId="1306976D">
            <w:pPr>
              <w:rPr>
                <w:rFonts w:hint="eastAsia" w:ascii="宋体" w:hAnsi="宋体" w:eastAsia="宋体" w:cs="宋体"/>
                <w:szCs w:val="21"/>
              </w:rPr>
            </w:pPr>
            <w:r>
              <w:rPr>
                <w:rFonts w:hint="eastAsia" w:ascii="宋体" w:hAnsi="宋体" w:eastAsia="宋体" w:cs="宋体"/>
                <w:szCs w:val="21"/>
              </w:rPr>
              <w:t>1.实现虚拟机可用性和可扩展性：能够支持采用超融合分布式计算技术，并保证基础设施在进行扩展时其性能仍然保持不变。支持在集群扩展时，存储控制器可有效的扩展。</w:t>
            </w:r>
          </w:p>
          <w:p w14:paraId="79EEA236">
            <w:pPr>
              <w:rPr>
                <w:rFonts w:hint="eastAsia" w:ascii="宋体" w:hAnsi="宋体" w:eastAsia="宋体" w:cs="宋体"/>
                <w:szCs w:val="21"/>
              </w:rPr>
            </w:pPr>
            <w:r>
              <w:rPr>
                <w:rFonts w:hint="eastAsia" w:ascii="宋体" w:hAnsi="宋体" w:eastAsia="宋体" w:cs="宋体"/>
                <w:szCs w:val="21"/>
              </w:rPr>
              <w:t>2.要求实现虚拟的性能稳定可靠：保证每个节点的SSD磁盘并非有每个节点单独使用，而是在整个集群范围内作为一个整体使用，保证不会由于单个节点本地的SSD耗尽而导致其性能急剧下降。</w:t>
            </w:r>
          </w:p>
          <w:p w14:paraId="33EDBC39">
            <w:pPr>
              <w:rPr>
                <w:rFonts w:hint="eastAsia" w:ascii="宋体" w:hAnsi="宋体" w:eastAsia="宋体" w:cs="宋体"/>
                <w:szCs w:val="21"/>
              </w:rPr>
            </w:pPr>
            <w:r>
              <w:rPr>
                <w:rFonts w:hint="eastAsia" w:ascii="宋体" w:hAnsi="宋体" w:eastAsia="宋体" w:cs="宋体"/>
                <w:szCs w:val="21"/>
              </w:rPr>
              <w:t>3.整个数据的存储规模，要支持历史所有临床相关的数据以及</w:t>
            </w:r>
            <w:r>
              <w:rPr>
                <w:rFonts w:hint="eastAsia" w:ascii="宋体" w:hAnsi="宋体" w:eastAsia="宋体" w:cs="宋体"/>
                <w:szCs w:val="21"/>
                <w:lang w:val="en-US" w:eastAsia="zh-CN"/>
              </w:rPr>
              <w:t>不少于</w:t>
            </w:r>
            <w:r>
              <w:rPr>
                <w:rFonts w:hint="eastAsia" w:ascii="宋体" w:hAnsi="宋体" w:eastAsia="宋体" w:cs="宋体"/>
                <w:szCs w:val="21"/>
              </w:rPr>
              <w:t>未来5年数据的存储，并且支持多节点的备份。</w:t>
            </w:r>
          </w:p>
          <w:p w14:paraId="69802FE8">
            <w:pPr>
              <w:rPr>
                <w:rFonts w:hint="eastAsia" w:ascii="宋体" w:hAnsi="宋体" w:eastAsia="宋体" w:cs="宋体"/>
                <w:szCs w:val="21"/>
              </w:rPr>
            </w:pPr>
            <w:r>
              <w:rPr>
                <w:rFonts w:hint="eastAsia" w:ascii="宋体" w:hAnsi="宋体" w:eastAsia="宋体" w:cs="宋体"/>
                <w:szCs w:val="21"/>
              </w:rPr>
              <w:t>4.数据备份平台提供多种数据恢复方式，便于数据的恢复以及恢复演练。</w:t>
            </w:r>
          </w:p>
          <w:p w14:paraId="29C0FF05">
            <w:pPr>
              <w:rPr>
                <w:rFonts w:hint="eastAsia" w:ascii="宋体" w:hAnsi="宋体" w:eastAsia="宋体" w:cs="宋体"/>
                <w:szCs w:val="21"/>
              </w:rPr>
            </w:pPr>
            <w:r>
              <w:rPr>
                <w:rFonts w:hint="eastAsia" w:ascii="宋体" w:hAnsi="宋体" w:eastAsia="宋体" w:cs="宋体"/>
                <w:szCs w:val="21"/>
              </w:rPr>
              <w:t>5.信息平台具备数据备份功能，数据备份采用无代理虚拟机备份，通过备份设置每天对平台进行一次定时备份。</w:t>
            </w:r>
          </w:p>
          <w:p w14:paraId="20B01403">
            <w:pPr>
              <w:rPr>
                <w:rFonts w:hint="eastAsia" w:ascii="宋体" w:hAnsi="宋体" w:eastAsia="宋体" w:cs="宋体"/>
                <w:szCs w:val="21"/>
              </w:rPr>
            </w:pPr>
            <w:r>
              <w:rPr>
                <w:rFonts w:hint="eastAsia" w:ascii="宋体" w:hAnsi="宋体" w:eastAsia="宋体" w:cs="宋体"/>
                <w:szCs w:val="21"/>
              </w:rPr>
              <w:t>6.支持即时虚机恢复。</w:t>
            </w:r>
          </w:p>
          <w:p w14:paraId="52315627">
            <w:pPr>
              <w:rPr>
                <w:rFonts w:hint="eastAsia" w:ascii="宋体" w:hAnsi="宋体" w:eastAsia="宋体" w:cs="宋体"/>
                <w:szCs w:val="21"/>
              </w:rPr>
            </w:pPr>
            <w:r>
              <w:rPr>
                <w:rFonts w:hint="eastAsia" w:ascii="宋体" w:hAnsi="宋体" w:eastAsia="宋体" w:cs="宋体"/>
                <w:szCs w:val="21"/>
              </w:rPr>
              <w:t>7.支持即时文件恢复。</w:t>
            </w:r>
          </w:p>
          <w:p w14:paraId="4B9FA494">
            <w:pPr>
              <w:rPr>
                <w:rFonts w:hint="eastAsia" w:ascii="宋体" w:hAnsi="宋体" w:eastAsia="宋体" w:cs="宋体"/>
                <w:szCs w:val="21"/>
              </w:rPr>
            </w:pPr>
            <w:r>
              <w:rPr>
                <w:rFonts w:hint="eastAsia" w:ascii="宋体" w:hAnsi="宋体" w:eastAsia="宋体" w:cs="宋体"/>
                <w:szCs w:val="21"/>
              </w:rPr>
              <w:t>8.支持数据库恢复。</w:t>
            </w:r>
          </w:p>
          <w:p w14:paraId="34E34E27">
            <w:pPr>
              <w:rPr>
                <w:rFonts w:hint="eastAsia" w:ascii="宋体" w:hAnsi="宋体" w:eastAsia="宋体" w:cs="宋体"/>
                <w:szCs w:val="21"/>
              </w:rPr>
            </w:pPr>
            <w:bookmarkStart w:id="51" w:name="_Toc106817778"/>
            <w:bookmarkStart w:id="52" w:name="_Toc1561293804"/>
            <w:r>
              <w:rPr>
                <w:rFonts w:hint="eastAsia" w:ascii="宋体" w:hAnsi="宋体" w:eastAsia="宋体" w:cs="宋体"/>
                <w:szCs w:val="21"/>
              </w:rPr>
              <w:t>（三）微服务和容器架构</w:t>
            </w:r>
            <w:bookmarkEnd w:id="51"/>
            <w:bookmarkEnd w:id="52"/>
          </w:p>
          <w:p w14:paraId="1BFF8FB7">
            <w:pPr>
              <w:rPr>
                <w:rFonts w:hint="eastAsia" w:ascii="宋体" w:hAnsi="宋体" w:eastAsia="宋体" w:cs="宋体"/>
                <w:szCs w:val="21"/>
              </w:rPr>
            </w:pPr>
            <w:r>
              <w:rPr>
                <w:rFonts w:hint="eastAsia" w:ascii="宋体" w:hAnsi="宋体" w:eastAsia="宋体" w:cs="宋体"/>
                <w:szCs w:val="21"/>
              </w:rPr>
              <w:t>1.整个大数据平台架构采用微服务和容器架构。</w:t>
            </w:r>
          </w:p>
          <w:p w14:paraId="485A39F9">
            <w:pPr>
              <w:rPr>
                <w:rFonts w:hint="eastAsia" w:ascii="宋体" w:hAnsi="宋体" w:eastAsia="宋体" w:cs="宋体"/>
                <w:szCs w:val="21"/>
              </w:rPr>
            </w:pPr>
            <w:r>
              <w:rPr>
                <w:rFonts w:hint="eastAsia" w:ascii="宋体" w:hAnsi="宋体" w:eastAsia="宋体" w:cs="宋体"/>
                <w:szCs w:val="21"/>
              </w:rPr>
              <w:t>2.提供一套基于容器的微服务架构，具备以下功能：</w:t>
            </w:r>
          </w:p>
          <w:p w14:paraId="32450F0D">
            <w:pPr>
              <w:rPr>
                <w:rFonts w:hint="eastAsia" w:ascii="宋体" w:hAnsi="宋体" w:eastAsia="宋体" w:cs="宋体"/>
                <w:szCs w:val="21"/>
              </w:rPr>
            </w:pPr>
            <w:r>
              <w:rPr>
                <w:rFonts w:hint="eastAsia" w:ascii="宋体" w:hAnsi="宋体" w:eastAsia="宋体" w:cs="宋体"/>
                <w:szCs w:val="21"/>
              </w:rPr>
              <w:t>2.1为容器化的应用提供部署运行、资源调度、服务发现和动态伸缩等一系列完整功能，提高了大规模容器集群管理的便捷性。</w:t>
            </w:r>
          </w:p>
          <w:p w14:paraId="1FE17105">
            <w:pPr>
              <w:rPr>
                <w:rFonts w:hint="eastAsia" w:ascii="宋体" w:hAnsi="宋体" w:eastAsia="宋体" w:cs="宋体"/>
                <w:szCs w:val="21"/>
              </w:rPr>
            </w:pPr>
            <w:bookmarkStart w:id="53" w:name="_Toc562281135"/>
            <w:bookmarkStart w:id="54" w:name="_Toc106817781"/>
            <w:r>
              <w:rPr>
                <w:rFonts w:hint="eastAsia" w:ascii="宋体" w:hAnsi="宋体" w:eastAsia="宋体" w:cs="宋体"/>
                <w:szCs w:val="21"/>
              </w:rPr>
              <w:t>2.2基于深度学习的自然语言处理</w:t>
            </w:r>
            <w:bookmarkEnd w:id="53"/>
            <w:bookmarkEnd w:id="54"/>
            <w:r>
              <w:rPr>
                <w:rFonts w:hint="eastAsia" w:ascii="宋体" w:hAnsi="宋体" w:eastAsia="宋体" w:cs="宋体"/>
                <w:szCs w:val="21"/>
              </w:rPr>
              <w:t>：</w:t>
            </w:r>
          </w:p>
          <w:p w14:paraId="28765D07">
            <w:pPr>
              <w:rPr>
                <w:rFonts w:hint="eastAsia" w:ascii="宋体" w:hAnsi="宋体" w:eastAsia="宋体" w:cs="宋体"/>
                <w:szCs w:val="21"/>
              </w:rPr>
            </w:pPr>
            <w:r>
              <w:rPr>
                <w:rFonts w:hint="eastAsia" w:ascii="宋体" w:hAnsi="宋体" w:eastAsia="宋体" w:cs="宋体"/>
                <w:szCs w:val="21"/>
              </w:rPr>
              <w:t>2.2.1平台支持利用自然语言处理技术进行数据的自动标化。</w:t>
            </w:r>
          </w:p>
          <w:p w14:paraId="3146D3BD">
            <w:pPr>
              <w:rPr>
                <w:rFonts w:hint="eastAsia" w:ascii="宋体" w:hAnsi="宋体" w:eastAsia="宋体" w:cs="宋体"/>
                <w:szCs w:val="21"/>
              </w:rPr>
            </w:pPr>
            <w:r>
              <w:rPr>
                <w:rFonts w:hint="eastAsia" w:ascii="宋体" w:hAnsi="宋体" w:eastAsia="宋体" w:cs="宋体"/>
                <w:szCs w:val="21"/>
              </w:rPr>
              <w:t>2.2.2平台支持利用自然语言处理技术对病历文书结构进行自动解析。</w:t>
            </w:r>
          </w:p>
          <w:bookmarkEnd w:id="47"/>
          <w:p w14:paraId="3F062A35">
            <w:pPr>
              <w:rPr>
                <w:rFonts w:hint="eastAsia" w:ascii="宋体" w:hAnsi="宋体" w:eastAsia="宋体" w:cs="宋体"/>
                <w:szCs w:val="21"/>
              </w:rPr>
            </w:pPr>
            <w:bookmarkStart w:id="55" w:name="_Toc106817785"/>
            <w:bookmarkStart w:id="56" w:name="_Toc1330989145"/>
            <w:r>
              <w:rPr>
                <w:rFonts w:hint="eastAsia" w:ascii="宋体" w:hAnsi="宋体" w:eastAsia="宋体" w:cs="宋体"/>
                <w:szCs w:val="21"/>
              </w:rPr>
              <w:t>2.3数据融合技术路线</w:t>
            </w:r>
            <w:bookmarkEnd w:id="55"/>
            <w:bookmarkEnd w:id="56"/>
            <w:r>
              <w:rPr>
                <w:rFonts w:hint="eastAsia" w:ascii="宋体" w:hAnsi="宋体" w:eastAsia="宋体" w:cs="宋体"/>
                <w:szCs w:val="21"/>
              </w:rPr>
              <w:t>：实现对医院现有业务系统（HIS/LIS/EMR/RIS等）以及生物样本库和生物组学数据（如有）的集成对接，实现跨系统的数据融合。</w:t>
            </w:r>
          </w:p>
          <w:p w14:paraId="2CBEF484">
            <w:pPr>
              <w:rPr>
                <w:rFonts w:hint="eastAsia" w:ascii="宋体" w:hAnsi="宋体" w:eastAsia="宋体" w:cs="宋体"/>
                <w:szCs w:val="21"/>
              </w:rPr>
            </w:pPr>
            <w:bookmarkStart w:id="57" w:name="_Toc92899473"/>
            <w:bookmarkStart w:id="58" w:name="_Toc38651153"/>
            <w:bookmarkStart w:id="59" w:name="_Toc77177603"/>
            <w:bookmarkStart w:id="60" w:name="_Toc1744892863"/>
            <w:r>
              <w:rPr>
                <w:rFonts w:hint="eastAsia" w:ascii="宋体" w:hAnsi="宋体" w:eastAsia="宋体" w:cs="宋体"/>
                <w:szCs w:val="21"/>
              </w:rPr>
              <w:t>2.4数据计算和搜索引擎部署</w:t>
            </w:r>
            <w:bookmarkEnd w:id="57"/>
            <w:bookmarkEnd w:id="58"/>
            <w:bookmarkEnd w:id="59"/>
            <w:bookmarkEnd w:id="60"/>
            <w:r>
              <w:rPr>
                <w:rFonts w:hint="eastAsia" w:ascii="宋体" w:hAnsi="宋体" w:eastAsia="宋体" w:cs="宋体"/>
                <w:szCs w:val="21"/>
              </w:rPr>
              <w:t>：</w:t>
            </w:r>
          </w:p>
          <w:p w14:paraId="3FDB91D6">
            <w:pPr>
              <w:rPr>
                <w:rFonts w:hint="eastAsia" w:ascii="宋体" w:hAnsi="宋体" w:eastAsia="宋体" w:cs="宋体"/>
                <w:szCs w:val="21"/>
              </w:rPr>
            </w:pPr>
            <w:r>
              <w:rPr>
                <w:rFonts w:hint="eastAsia" w:ascii="宋体" w:hAnsi="宋体" w:eastAsia="宋体" w:cs="宋体"/>
                <w:szCs w:val="21"/>
              </w:rPr>
              <w:t>2.4.1数据的计算涉及ElasticSearch、Spark、impala等各种技术的组合。在上层有知识图谱的建立和应用模型的积累。</w:t>
            </w:r>
          </w:p>
          <w:p w14:paraId="3BEECBAF">
            <w:pPr>
              <w:rPr>
                <w:rFonts w:hint="eastAsia" w:ascii="宋体" w:hAnsi="宋体" w:eastAsia="宋体" w:cs="宋体"/>
                <w:szCs w:val="21"/>
              </w:rPr>
            </w:pPr>
            <w:r>
              <w:rPr>
                <w:rFonts w:hint="eastAsia" w:ascii="宋体" w:hAnsi="宋体" w:eastAsia="宋体" w:cs="宋体"/>
                <w:szCs w:val="21"/>
              </w:rPr>
              <w:t>2.4.2提供ElasticSearch分布式实时文件存储、及实时分析的分布式搜索引擎，可将每一个字段存入索引，使其可以被检索到。索引分拆成多个分片，每个分片可有零个或多个副本。集群中的每个数据节点都可承载一个或多个分片，并且协调和处理各种操作；负载再平衡和路由在大多数情况下自动完成。可以扩展到上百台服务器，处理PB级别的结构化或非结构化数据。</w:t>
            </w:r>
            <w:bookmarkStart w:id="61" w:name="_Toc90919605"/>
            <w:bookmarkEnd w:id="61"/>
            <w:bookmarkStart w:id="62" w:name="_Toc90924197"/>
            <w:bookmarkEnd w:id="62"/>
            <w:bookmarkStart w:id="63" w:name="_Toc90924198"/>
            <w:bookmarkEnd w:id="63"/>
            <w:bookmarkStart w:id="64" w:name="_Toc90919604"/>
            <w:bookmarkEnd w:id="64"/>
            <w:bookmarkStart w:id="65" w:name="_Toc90919602"/>
            <w:bookmarkEnd w:id="65"/>
            <w:bookmarkStart w:id="66" w:name="_Toc90924196"/>
            <w:bookmarkEnd w:id="66"/>
            <w:bookmarkStart w:id="67" w:name="_Toc90924200"/>
            <w:bookmarkEnd w:id="67"/>
            <w:bookmarkStart w:id="68" w:name="_Toc90919603"/>
            <w:bookmarkEnd w:id="68"/>
            <w:bookmarkStart w:id="69" w:name="_Toc90919601"/>
            <w:bookmarkEnd w:id="69"/>
            <w:bookmarkStart w:id="70" w:name="_Toc90924199"/>
            <w:bookmarkEnd w:id="70"/>
          </w:p>
          <w:p w14:paraId="47A07F33">
            <w:pPr>
              <w:rPr>
                <w:rFonts w:hint="eastAsia" w:ascii="宋体" w:hAnsi="宋体" w:eastAsia="宋体" w:cs="宋体"/>
                <w:szCs w:val="21"/>
              </w:rPr>
            </w:pPr>
            <w:bookmarkStart w:id="71" w:name="_Toc377665009"/>
            <w:r>
              <w:rPr>
                <w:rFonts w:hint="eastAsia" w:ascii="宋体" w:hAnsi="宋体" w:eastAsia="宋体" w:cs="宋体"/>
                <w:szCs w:val="21"/>
              </w:rPr>
              <w:t>（四）数据应用平台（医院端）</w:t>
            </w:r>
            <w:bookmarkEnd w:id="71"/>
          </w:p>
          <w:p w14:paraId="1B6E355C">
            <w:pPr>
              <w:rPr>
                <w:rFonts w:hint="eastAsia" w:ascii="宋体" w:hAnsi="宋体" w:eastAsia="宋体" w:cs="宋体"/>
                <w:szCs w:val="21"/>
              </w:rPr>
            </w:pPr>
            <w:bookmarkStart w:id="72" w:name="_Toc92899513"/>
            <w:bookmarkStart w:id="73" w:name="_Toc1601629378"/>
            <w:r>
              <w:rPr>
                <w:rFonts w:hint="eastAsia" w:ascii="宋体" w:hAnsi="宋体" w:eastAsia="宋体" w:cs="宋体"/>
                <w:szCs w:val="21"/>
              </w:rPr>
              <w:t>1.</w:t>
            </w:r>
            <w:r>
              <w:rPr>
                <w:rFonts w:hint="eastAsia" w:ascii="宋体" w:hAnsi="宋体" w:eastAsia="宋体" w:cs="宋体"/>
                <w:szCs w:val="21"/>
                <w:lang w:eastAsia="zh-Hans"/>
              </w:rPr>
              <w:t>数据</w:t>
            </w:r>
            <w:bookmarkEnd w:id="72"/>
            <w:r>
              <w:rPr>
                <w:rFonts w:hint="eastAsia" w:ascii="宋体" w:hAnsi="宋体" w:eastAsia="宋体" w:cs="宋体"/>
                <w:szCs w:val="21"/>
              </w:rPr>
              <w:t>采集</w:t>
            </w:r>
            <w:bookmarkEnd w:id="73"/>
            <w:r>
              <w:rPr>
                <w:rFonts w:hint="eastAsia" w:ascii="宋体" w:hAnsi="宋体" w:eastAsia="宋体" w:cs="宋体"/>
                <w:szCs w:val="21"/>
              </w:rPr>
              <w:t>：</w:t>
            </w:r>
          </w:p>
          <w:p w14:paraId="2EF1444B">
            <w:pPr>
              <w:rPr>
                <w:rFonts w:hint="eastAsia" w:ascii="宋体" w:hAnsi="宋体" w:eastAsia="宋体" w:cs="宋体"/>
                <w:szCs w:val="21"/>
              </w:rPr>
            </w:pPr>
            <w:r>
              <w:rPr>
                <w:rFonts w:hint="eastAsia" w:ascii="宋体" w:hAnsi="宋体" w:eastAsia="宋体" w:cs="宋体"/>
                <w:szCs w:val="21"/>
              </w:rPr>
              <w:t>1.1通过部署前置机和数据智能网关，利用数据归集引擎，采用数据同步备份，批量采集各联盟中心业务系统中的历史数据。</w:t>
            </w:r>
          </w:p>
          <w:p w14:paraId="38E5AD94">
            <w:pPr>
              <w:rPr>
                <w:rFonts w:hint="eastAsia" w:ascii="宋体" w:hAnsi="宋体" w:eastAsia="宋体" w:cs="宋体"/>
                <w:szCs w:val="21"/>
              </w:rPr>
            </w:pPr>
            <w:r>
              <w:rPr>
                <w:rFonts w:hint="eastAsia" w:ascii="宋体" w:hAnsi="宋体" w:eastAsia="宋体" w:cs="宋体"/>
                <w:szCs w:val="21"/>
              </w:rPr>
              <w:t>1.2支持通过数据采集CDC\OGG、ETL技术， 将分布的、异构数据源中的增量数据如关系数据、平面数据文件，批量完成数据抽取、清洗、转换、装载等任务，实现增量数据更新。</w:t>
            </w:r>
            <w:bookmarkStart w:id="74" w:name="_Toc2024924548"/>
            <w:bookmarkStart w:id="75" w:name="_Toc92899514"/>
          </w:p>
          <w:p w14:paraId="2D2EBFD0">
            <w:pPr>
              <w:rPr>
                <w:rFonts w:hint="eastAsia" w:ascii="宋体" w:hAnsi="宋体" w:eastAsia="宋体" w:cs="宋体"/>
                <w:szCs w:val="21"/>
              </w:rPr>
            </w:pPr>
            <w:r>
              <w:rPr>
                <w:rFonts w:hint="eastAsia" w:ascii="宋体" w:hAnsi="宋体" w:eastAsia="宋体" w:cs="宋体"/>
                <w:szCs w:val="21"/>
              </w:rPr>
              <w:t>2.数据存储和计算</w:t>
            </w:r>
            <w:bookmarkEnd w:id="74"/>
            <w:r>
              <w:rPr>
                <w:rFonts w:hint="eastAsia" w:ascii="宋体" w:hAnsi="宋体" w:eastAsia="宋体" w:cs="宋体"/>
                <w:szCs w:val="21"/>
              </w:rPr>
              <w:t>：通过中心端对医院（分中心）数据进行存储和计算。</w:t>
            </w:r>
          </w:p>
          <w:p w14:paraId="03A02CA5">
            <w:pPr>
              <w:rPr>
                <w:rFonts w:hint="eastAsia" w:ascii="宋体" w:hAnsi="宋体" w:eastAsia="宋体" w:cs="宋体"/>
                <w:szCs w:val="21"/>
              </w:rPr>
            </w:pPr>
            <w:bookmarkStart w:id="76" w:name="_Toc1733524227"/>
            <w:r>
              <w:rPr>
                <w:rFonts w:hint="eastAsia" w:ascii="宋体" w:hAnsi="宋体" w:eastAsia="宋体" w:cs="宋体"/>
                <w:szCs w:val="21"/>
              </w:rPr>
              <w:t>3.数据治理</w:t>
            </w:r>
            <w:bookmarkEnd w:id="76"/>
            <w:r>
              <w:rPr>
                <w:rFonts w:hint="eastAsia" w:ascii="宋体" w:hAnsi="宋体" w:eastAsia="宋体" w:cs="宋体"/>
                <w:szCs w:val="21"/>
              </w:rPr>
              <w:t>：各联盟医院数据上传后，通过大数据中心平台，将采集的联盟医院数据进行集中存储，并通过大数据技术、自然语言处理技术、机器学习、深度学习等人机技术实现高效精准的数据治理。数据治理包含以下内容：</w:t>
            </w:r>
          </w:p>
          <w:p w14:paraId="3BCDFEFA">
            <w:pPr>
              <w:rPr>
                <w:rFonts w:hint="eastAsia" w:ascii="宋体" w:hAnsi="宋体" w:eastAsia="宋体" w:cs="宋体"/>
                <w:szCs w:val="21"/>
              </w:rPr>
            </w:pPr>
            <w:r>
              <w:rPr>
                <w:rFonts w:hint="eastAsia" w:ascii="宋体" w:hAnsi="宋体" w:eastAsia="宋体" w:cs="宋体"/>
                <w:szCs w:val="21"/>
              </w:rPr>
              <w:t>3.1数据标准：支持不同来源的数据统一到一个参考体系下。数据标准定义参照卫健委以及国际标准如ICD9/10、医院标准等，建立代码、数据元的分类标准，为数据的存储、访问、整合提供一致性保障。</w:t>
            </w:r>
          </w:p>
          <w:p w14:paraId="6BDD9650">
            <w:pPr>
              <w:rPr>
                <w:rFonts w:hint="eastAsia" w:ascii="宋体" w:hAnsi="宋体" w:eastAsia="宋体" w:cs="宋体"/>
                <w:szCs w:val="21"/>
              </w:rPr>
            </w:pPr>
            <w:r>
              <w:rPr>
                <w:rFonts w:hint="eastAsia" w:ascii="宋体" w:hAnsi="宋体" w:eastAsia="宋体" w:cs="宋体"/>
                <w:szCs w:val="21"/>
              </w:rPr>
              <w:t>3.2 EMPI-患者主索引：</w:t>
            </w:r>
          </w:p>
          <w:p w14:paraId="6C09A696">
            <w:pPr>
              <w:ind w:firstLine="420" w:firstLineChars="200"/>
              <w:rPr>
                <w:rFonts w:hint="eastAsia" w:ascii="宋体" w:hAnsi="宋体" w:eastAsia="宋体" w:cs="宋体"/>
                <w:szCs w:val="21"/>
              </w:rPr>
            </w:pPr>
            <w:r>
              <w:rPr>
                <w:rFonts w:hint="eastAsia" w:ascii="宋体" w:hAnsi="宋体" w:eastAsia="宋体" w:cs="宋体"/>
                <w:szCs w:val="21"/>
              </w:rPr>
              <w:t>患者主索引系统包括患者主索引算法配置、唯一标识的产生、匹配和交叉引用管理、标识及基本信息的更新通知等。患者主索引基于身份证（社保卡）、姓名、性别、联系方式等进行算法匹配。</w:t>
            </w:r>
          </w:p>
          <w:p w14:paraId="135F8F43">
            <w:pPr>
              <w:ind w:firstLine="420" w:firstLineChars="200"/>
              <w:rPr>
                <w:rFonts w:hint="eastAsia" w:ascii="宋体" w:hAnsi="宋体" w:eastAsia="宋体" w:cs="宋体"/>
                <w:szCs w:val="21"/>
              </w:rPr>
            </w:pPr>
            <w:r>
              <w:rPr>
                <w:rFonts w:hint="eastAsia" w:ascii="宋体" w:hAnsi="宋体" w:eastAsia="宋体" w:cs="宋体"/>
                <w:szCs w:val="21"/>
              </w:rPr>
              <w:t>通过患者主索引，能够将患者在医院不同科室、不同就诊类型的临床数据进行自动关联，实现临床信息的连续性；系统以患者时间轴形式进行展示。</w:t>
            </w:r>
          </w:p>
          <w:p w14:paraId="200C1F20">
            <w:pPr>
              <w:rPr>
                <w:rFonts w:hint="eastAsia" w:ascii="宋体" w:hAnsi="宋体" w:eastAsia="宋体" w:cs="宋体"/>
                <w:szCs w:val="21"/>
              </w:rPr>
            </w:pPr>
            <w:r>
              <w:rPr>
                <w:rFonts w:hint="eastAsia" w:ascii="宋体" w:hAnsi="宋体" w:eastAsia="宋体" w:cs="宋体"/>
                <w:szCs w:val="21"/>
              </w:rPr>
              <w:t>3.3数据清洗：支持对采集汇聚的数据进行清洗加工处理，并做标准化整理。主要包括制定数据清洗流程、清洗流程控制、清洗质量控制、清洗过程管理等。通过规范流程和规则库，基于流程引擎构建统一的、可配置的数据转换、清洗、比对、关联、融合等加工处理过程，对异构异源海量离散的数据资源加工生产，生成易于分析利用的、可共享的数据。</w:t>
            </w:r>
          </w:p>
          <w:p w14:paraId="7DEF2436">
            <w:pPr>
              <w:ind w:left="420" w:hanging="420" w:hangingChars="200"/>
              <w:rPr>
                <w:rFonts w:hint="eastAsia" w:ascii="宋体" w:hAnsi="宋体" w:eastAsia="宋体" w:cs="宋体"/>
                <w:szCs w:val="21"/>
              </w:rPr>
            </w:pPr>
            <w:r>
              <w:rPr>
                <w:rFonts w:hint="eastAsia" w:ascii="宋体" w:hAnsi="宋体" w:eastAsia="宋体" w:cs="宋体"/>
                <w:szCs w:val="21"/>
              </w:rPr>
              <w:t>3.4数据质量控制：</w:t>
            </w:r>
          </w:p>
          <w:p w14:paraId="0B7679ED">
            <w:pPr>
              <w:ind w:firstLine="420" w:firstLineChars="200"/>
              <w:rPr>
                <w:rFonts w:hint="eastAsia" w:ascii="宋体" w:hAnsi="宋体" w:eastAsia="宋体" w:cs="宋体"/>
                <w:szCs w:val="21"/>
              </w:rPr>
            </w:pPr>
            <w:r>
              <w:rPr>
                <w:rFonts w:hint="eastAsia" w:ascii="宋体" w:hAnsi="宋体" w:eastAsia="宋体" w:cs="宋体"/>
                <w:szCs w:val="21"/>
              </w:rPr>
              <w:t>平台运用大数据和深度学习等人工智能技术，结合医学信息规则引擎，建立多维度医疗数据质控体系，确保数据处理过程的完整性，一致性、合法性及正确性，提升数据分析利用的准确性和实用性。通过大数据中心平台，对数据进行全流程质控，实现以下质控指标：</w:t>
            </w:r>
          </w:p>
          <w:p w14:paraId="74977068">
            <w:pPr>
              <w:rPr>
                <w:rFonts w:hint="eastAsia" w:ascii="宋体" w:hAnsi="宋体" w:eastAsia="宋体" w:cs="宋体"/>
                <w:szCs w:val="21"/>
              </w:rPr>
            </w:pPr>
            <w:r>
              <w:rPr>
                <w:rFonts w:hint="eastAsia" w:ascii="宋体" w:hAnsi="宋体" w:eastAsia="宋体" w:cs="宋体"/>
                <w:szCs w:val="21"/>
              </w:rPr>
              <w:t>3.4.1完整性：完整性用于度量哪些数据丢失了或者哪些数据不可用。</w:t>
            </w:r>
          </w:p>
          <w:p w14:paraId="3246A0BE">
            <w:pPr>
              <w:rPr>
                <w:rFonts w:hint="eastAsia" w:ascii="宋体" w:hAnsi="宋体" w:eastAsia="宋体" w:cs="宋体"/>
                <w:szCs w:val="21"/>
              </w:rPr>
            </w:pPr>
            <w:r>
              <w:rPr>
                <w:rFonts w:hint="eastAsia" w:ascii="宋体" w:hAnsi="宋体" w:eastAsia="宋体" w:cs="宋体"/>
                <w:szCs w:val="21"/>
              </w:rPr>
              <w:t>3.4.2规范性：规范性用于度量哪些数据未按统一格式存储。</w:t>
            </w:r>
            <w:r>
              <w:rPr>
                <w:rFonts w:hint="eastAsia" w:ascii="宋体" w:hAnsi="宋体" w:eastAsia="宋体" w:cs="宋体"/>
                <w:szCs w:val="21"/>
              </w:rPr>
              <w:br w:type="textWrapping"/>
            </w:r>
            <w:r>
              <w:rPr>
                <w:rFonts w:hint="eastAsia" w:ascii="宋体" w:hAnsi="宋体" w:eastAsia="宋体" w:cs="宋体"/>
                <w:szCs w:val="21"/>
              </w:rPr>
              <w:t>3.4.3有效性：有效性用于度量哪些数据的值在信息含义上是冲突的。</w:t>
            </w:r>
            <w:r>
              <w:rPr>
                <w:rFonts w:hint="eastAsia" w:ascii="宋体" w:hAnsi="宋体" w:eastAsia="宋体" w:cs="宋体"/>
                <w:szCs w:val="21"/>
              </w:rPr>
              <w:br w:type="textWrapping"/>
            </w:r>
            <w:r>
              <w:rPr>
                <w:rFonts w:hint="eastAsia" w:ascii="宋体" w:hAnsi="宋体" w:eastAsia="宋体" w:cs="宋体"/>
                <w:szCs w:val="21"/>
              </w:rPr>
              <w:t>3.4.4准确性：准确性用于度量哪些数据和信息是不正确的，或者数据是超期的。</w:t>
            </w:r>
            <w:r>
              <w:rPr>
                <w:rFonts w:hint="eastAsia" w:ascii="宋体" w:hAnsi="宋体" w:eastAsia="宋体" w:cs="宋体"/>
                <w:szCs w:val="21"/>
              </w:rPr>
              <w:br w:type="textWrapping"/>
            </w:r>
            <w:r>
              <w:rPr>
                <w:rFonts w:hint="eastAsia" w:ascii="宋体" w:hAnsi="宋体" w:eastAsia="宋体" w:cs="宋体"/>
                <w:szCs w:val="21"/>
              </w:rPr>
              <w:t>3.4.5唯一性：唯一性用于度量哪些数据是重复数据或者数据的哪些属性是重复的。</w:t>
            </w:r>
            <w:r>
              <w:rPr>
                <w:rFonts w:hint="eastAsia" w:ascii="宋体" w:hAnsi="宋体" w:eastAsia="宋体" w:cs="宋体"/>
                <w:szCs w:val="21"/>
              </w:rPr>
              <w:br w:type="textWrapping"/>
            </w:r>
            <w:r>
              <w:rPr>
                <w:rFonts w:hint="eastAsia" w:ascii="宋体" w:hAnsi="宋体" w:eastAsia="宋体" w:cs="宋体"/>
                <w:szCs w:val="21"/>
              </w:rPr>
              <w:t>3.4.6关联性：关联性用于度量哪些关联的数据缺失或者未建立索引。</w:t>
            </w:r>
            <w:r>
              <w:rPr>
                <w:rFonts w:hint="eastAsia" w:ascii="宋体" w:hAnsi="宋体" w:eastAsia="宋体" w:cs="宋体"/>
                <w:szCs w:val="21"/>
              </w:rPr>
              <w:br w:type="textWrapping"/>
            </w:r>
            <w:r>
              <w:rPr>
                <w:rFonts w:hint="eastAsia" w:ascii="宋体" w:hAnsi="宋体" w:eastAsia="宋体" w:cs="宋体"/>
                <w:szCs w:val="21"/>
              </w:rPr>
              <w:t>3.4.7分布性：分布性是指从时间、类型等多种值域角度校验数据是否遗漏</w:t>
            </w:r>
            <w:r>
              <w:rPr>
                <w:rFonts w:hint="eastAsia" w:ascii="宋体" w:hAnsi="宋体" w:eastAsia="宋体" w:cs="宋体"/>
                <w:szCs w:val="21"/>
              </w:rPr>
              <w:br w:type="textWrapping"/>
            </w:r>
            <w:r>
              <w:rPr>
                <w:rFonts w:hint="eastAsia" w:ascii="宋体" w:hAnsi="宋体" w:eastAsia="宋体" w:cs="宋体"/>
                <w:szCs w:val="21"/>
              </w:rPr>
              <w:t>3.4.8基于数据质量控制的结果，可以识别业务系统数据质量问题。</w:t>
            </w:r>
          </w:p>
          <w:p w14:paraId="4D12A528">
            <w:pPr>
              <w:rPr>
                <w:rFonts w:hint="eastAsia" w:ascii="宋体" w:hAnsi="宋体" w:eastAsia="宋体" w:cs="宋体"/>
                <w:szCs w:val="21"/>
              </w:rPr>
            </w:pPr>
            <w:r>
              <w:rPr>
                <w:rFonts w:hint="eastAsia" w:ascii="宋体" w:hAnsi="宋体" w:eastAsia="宋体" w:cs="宋体"/>
                <w:szCs w:val="21"/>
              </w:rPr>
              <w:t>3.5数据脱敏：</w:t>
            </w:r>
          </w:p>
          <w:p w14:paraId="633AF8B9">
            <w:pPr>
              <w:ind w:firstLine="420" w:firstLineChars="200"/>
              <w:rPr>
                <w:rFonts w:hint="eastAsia" w:ascii="宋体" w:hAnsi="宋体" w:eastAsia="宋体" w:cs="宋体"/>
                <w:szCs w:val="21"/>
              </w:rPr>
            </w:pPr>
            <w:r>
              <w:rPr>
                <w:rFonts w:hint="eastAsia" w:ascii="宋体" w:hAnsi="宋体" w:eastAsia="宋体" w:cs="宋体"/>
                <w:szCs w:val="21"/>
              </w:rPr>
              <w:t>平台支持对患者数据中的姓名、出生日期、地址、身份证、军官证、电话号码等患者隐私信息、可唯一识别出患者的信息做脱敏。支持以下功能：</w:t>
            </w:r>
            <w:r>
              <w:rPr>
                <w:rFonts w:hint="eastAsia" w:ascii="宋体" w:hAnsi="宋体" w:eastAsia="宋体" w:cs="宋体"/>
                <w:szCs w:val="21"/>
              </w:rPr>
              <w:br w:type="textWrapping"/>
            </w:r>
            <w:r>
              <w:rPr>
                <w:rFonts w:hint="eastAsia" w:ascii="宋体" w:hAnsi="宋体" w:eastAsia="宋体" w:cs="宋体"/>
                <w:szCs w:val="21"/>
              </w:rPr>
              <w:t>3.5.1脱敏规则：具备多种脱敏规则的制定，例如偏转、替换等。</w:t>
            </w:r>
            <w:r>
              <w:rPr>
                <w:rFonts w:hint="eastAsia" w:ascii="宋体" w:hAnsi="宋体" w:eastAsia="宋体" w:cs="宋体"/>
                <w:szCs w:val="21"/>
              </w:rPr>
              <w:br w:type="textWrapping"/>
            </w:r>
            <w:r>
              <w:rPr>
                <w:rFonts w:hint="eastAsia" w:ascii="宋体" w:hAnsi="宋体" w:eastAsia="宋体" w:cs="宋体"/>
                <w:szCs w:val="21"/>
              </w:rPr>
              <w:t>3.5.2脱敏配置：制定脱敏字段，实现不同的脱敏规则。</w:t>
            </w:r>
            <w:r>
              <w:rPr>
                <w:rFonts w:hint="eastAsia" w:ascii="宋体" w:hAnsi="宋体" w:eastAsia="宋体" w:cs="宋体"/>
                <w:szCs w:val="21"/>
              </w:rPr>
              <w:br w:type="textWrapping"/>
            </w:r>
            <w:r>
              <w:rPr>
                <w:rFonts w:hint="eastAsia" w:ascii="宋体" w:hAnsi="宋体" w:eastAsia="宋体" w:cs="宋体"/>
                <w:szCs w:val="21"/>
              </w:rPr>
              <w:t>3.5.3脱敏应用：可在查询或导出数据过程中进行实时脱敏。</w:t>
            </w:r>
          </w:p>
          <w:p w14:paraId="017B3FCD">
            <w:pPr>
              <w:rPr>
                <w:rFonts w:hint="eastAsia" w:ascii="宋体" w:hAnsi="宋体" w:eastAsia="宋体" w:cs="宋体"/>
                <w:szCs w:val="21"/>
              </w:rPr>
            </w:pPr>
            <w:r>
              <w:rPr>
                <w:rFonts w:hint="eastAsia" w:ascii="宋体" w:hAnsi="宋体" w:eastAsia="宋体" w:cs="宋体"/>
                <w:szCs w:val="21"/>
              </w:rPr>
              <w:t>3.6通过大数据中心平台，采用自然语言处理技术和人工智能技术，实现电子病历解析。</w:t>
            </w:r>
          </w:p>
          <w:p w14:paraId="4310B47B">
            <w:pPr>
              <w:rPr>
                <w:rFonts w:hint="eastAsia" w:ascii="宋体" w:hAnsi="宋体" w:eastAsia="宋体" w:cs="宋体"/>
                <w:szCs w:val="21"/>
              </w:rPr>
            </w:pPr>
            <w:r>
              <w:rPr>
                <w:rFonts w:hint="eastAsia" w:ascii="宋体" w:hAnsi="宋体" w:eastAsia="宋体" w:cs="宋体"/>
                <w:szCs w:val="21"/>
              </w:rPr>
              <w:t>3.7利用自然语言处理技术进行数据的自动标化。</w:t>
            </w:r>
          </w:p>
          <w:p w14:paraId="41C3806A">
            <w:pPr>
              <w:rPr>
                <w:rFonts w:hint="eastAsia" w:ascii="宋体" w:hAnsi="宋体" w:eastAsia="宋体" w:cs="宋体"/>
                <w:szCs w:val="21"/>
              </w:rPr>
            </w:pPr>
            <w:r>
              <w:rPr>
                <w:rFonts w:hint="eastAsia" w:ascii="宋体" w:hAnsi="宋体" w:eastAsia="宋体" w:cs="宋体"/>
                <w:szCs w:val="21"/>
              </w:rPr>
              <w:t>3.8利用自然语言处理技术对病历文书结构进行自动解析。</w:t>
            </w:r>
          </w:p>
          <w:p w14:paraId="56FE5C89">
            <w:pPr>
              <w:rPr>
                <w:rFonts w:hint="eastAsia" w:ascii="宋体" w:hAnsi="宋体" w:eastAsia="宋体" w:cs="宋体"/>
                <w:szCs w:val="21"/>
              </w:rPr>
            </w:pPr>
            <w:r>
              <w:rPr>
                <w:rFonts w:hint="eastAsia" w:ascii="宋体" w:hAnsi="宋体" w:eastAsia="宋体" w:cs="宋体"/>
                <w:szCs w:val="21"/>
              </w:rPr>
              <w:t>基于上述各联盟医院数据在大数据平台（中心端）的数据治理后，奠定坚实的数据基础，实现各联盟医院数据的应用。</w:t>
            </w:r>
          </w:p>
          <w:p w14:paraId="6D9C3739">
            <w:pPr>
              <w:rPr>
                <w:rFonts w:hint="eastAsia" w:ascii="宋体" w:hAnsi="宋体" w:eastAsia="宋体" w:cs="宋体"/>
                <w:szCs w:val="21"/>
              </w:rPr>
            </w:pPr>
            <w:r>
              <w:rPr>
                <w:rFonts w:hint="eastAsia" w:ascii="宋体" w:hAnsi="宋体" w:eastAsia="宋体" w:cs="宋体"/>
                <w:szCs w:val="21"/>
              </w:rPr>
              <w:t>3.9数据解密</w:t>
            </w:r>
          </w:p>
          <w:p w14:paraId="3AB243EA">
            <w:pPr>
              <w:ind w:firstLine="420" w:firstLineChars="200"/>
              <w:rPr>
                <w:rFonts w:hint="eastAsia" w:ascii="宋体" w:hAnsi="宋体" w:eastAsia="宋体" w:cs="宋体"/>
                <w:szCs w:val="21"/>
              </w:rPr>
            </w:pPr>
            <w:r>
              <w:rPr>
                <w:rFonts w:hint="eastAsia" w:ascii="宋体" w:hAnsi="宋体" w:eastAsia="宋体" w:cs="宋体"/>
                <w:szCs w:val="21"/>
              </w:rPr>
              <w:t>医院中的病历文档、检验检查报告等业务数据，经常是被加密处理后保存入库的，防止数据泄露造成数据安全问题，但同时也给后续的数据应用带来了困扰：</w:t>
            </w:r>
          </w:p>
          <w:p w14:paraId="0F59A063">
            <w:pPr>
              <w:rPr>
                <w:rFonts w:hint="eastAsia" w:ascii="宋体" w:hAnsi="宋体" w:eastAsia="宋体" w:cs="宋体"/>
                <w:szCs w:val="21"/>
              </w:rPr>
            </w:pPr>
            <w:r>
              <w:rPr>
                <w:rFonts w:hint="eastAsia" w:ascii="宋体" w:hAnsi="宋体" w:eastAsia="宋体" w:cs="宋体"/>
                <w:szCs w:val="21"/>
              </w:rPr>
              <w:t>3.9.1需要针对医院使用的厂商进行前期调研，了解厂商是否在不同的时间段做过结构性升级而使用了不同的加密算法，为后续解密服务做好前期准备；</w:t>
            </w:r>
          </w:p>
          <w:p w14:paraId="71DA02E9">
            <w:pPr>
              <w:rPr>
                <w:rFonts w:hint="eastAsia" w:ascii="宋体" w:hAnsi="宋体" w:eastAsia="宋体" w:cs="宋体"/>
                <w:szCs w:val="21"/>
              </w:rPr>
            </w:pPr>
            <w:r>
              <w:rPr>
                <w:rFonts w:hint="eastAsia" w:ascii="宋体" w:hAnsi="宋体" w:eastAsia="宋体" w:cs="宋体"/>
                <w:szCs w:val="21"/>
              </w:rPr>
              <w:t>3.9.2平台需采用UTF-8、GBK等不同解密算法组合策略，确保数据能够准确解密成功；</w:t>
            </w:r>
          </w:p>
          <w:p w14:paraId="3714FCFE">
            <w:pPr>
              <w:rPr>
                <w:rFonts w:hint="eastAsia" w:ascii="宋体" w:hAnsi="宋体" w:eastAsia="宋体" w:cs="宋体"/>
                <w:szCs w:val="21"/>
              </w:rPr>
            </w:pPr>
            <w:r>
              <w:rPr>
                <w:rFonts w:hint="eastAsia" w:ascii="宋体" w:hAnsi="宋体" w:eastAsia="宋体" w:cs="宋体"/>
                <w:szCs w:val="21"/>
              </w:rPr>
              <w:t>3.9.3平台需将解密的过程做好日志留存，确保做好数据生命周期的溯源；</w:t>
            </w:r>
          </w:p>
          <w:p w14:paraId="31CB3953">
            <w:pPr>
              <w:rPr>
                <w:rFonts w:hint="eastAsia" w:ascii="宋体" w:hAnsi="宋体" w:eastAsia="宋体" w:cs="宋体"/>
                <w:szCs w:val="21"/>
              </w:rPr>
            </w:pPr>
            <w:bookmarkStart w:id="77" w:name="_Toc431044340"/>
            <w:r>
              <w:rPr>
                <w:rFonts w:hint="eastAsia" w:ascii="宋体" w:hAnsi="宋体" w:eastAsia="宋体" w:cs="宋体"/>
                <w:szCs w:val="21"/>
              </w:rPr>
              <w:t>4.患者智能搜索和可视化</w:t>
            </w:r>
            <w:bookmarkEnd w:id="75"/>
            <w:bookmarkEnd w:id="77"/>
          </w:p>
          <w:p w14:paraId="398B3A0D">
            <w:pPr>
              <w:ind w:firstLine="420" w:firstLineChars="200"/>
              <w:rPr>
                <w:rFonts w:hint="eastAsia" w:ascii="宋体" w:hAnsi="宋体" w:eastAsia="宋体" w:cs="宋体"/>
                <w:szCs w:val="21"/>
              </w:rPr>
            </w:pPr>
            <w:r>
              <w:rPr>
                <w:rFonts w:hint="eastAsia" w:ascii="宋体" w:hAnsi="宋体" w:eastAsia="宋体" w:cs="宋体"/>
                <w:szCs w:val="21"/>
              </w:rPr>
              <w:t>各联盟医院，根据数据权限，可登陆大数据平台（中心端）对本院数据进行病例搜索，病例搜索能够支持TB级数据的在线实时查询，不但支持模糊搜索，还支持各搜索业务场景下复杂的条件组合的高级搜索，例如条件树搜索，并在秒级时间内响应。</w:t>
            </w:r>
          </w:p>
          <w:p w14:paraId="248ECBDC">
            <w:pPr>
              <w:ind w:firstLine="420" w:firstLineChars="200"/>
              <w:rPr>
                <w:rFonts w:hint="eastAsia" w:ascii="宋体" w:hAnsi="宋体" w:eastAsia="宋体" w:cs="宋体"/>
                <w:szCs w:val="21"/>
              </w:rPr>
            </w:pPr>
            <w:r>
              <w:rPr>
                <w:rFonts w:hint="eastAsia" w:ascii="宋体" w:hAnsi="宋体" w:eastAsia="宋体" w:cs="宋体"/>
                <w:szCs w:val="21"/>
              </w:rPr>
              <w:t>整个搜索模块不仅能搜索结构化的数据，对部分没有结构化的电子病历数据，也需要能提供准确的查询和展现。</w:t>
            </w:r>
          </w:p>
          <w:p w14:paraId="76223C0B">
            <w:pPr>
              <w:rPr>
                <w:rFonts w:hint="eastAsia" w:ascii="宋体" w:hAnsi="宋体" w:eastAsia="宋体" w:cs="宋体"/>
                <w:szCs w:val="21"/>
              </w:rPr>
            </w:pPr>
            <w:bookmarkStart w:id="78" w:name="_Toc92899515"/>
            <w:bookmarkStart w:id="79" w:name="_Toc1099881049"/>
            <w:r>
              <w:rPr>
                <w:rFonts w:hint="eastAsia" w:ascii="宋体" w:hAnsi="宋体" w:eastAsia="宋体" w:cs="宋体"/>
                <w:szCs w:val="21"/>
              </w:rPr>
              <w:t>4.1模糊搜索</w:t>
            </w:r>
            <w:bookmarkEnd w:id="78"/>
            <w:bookmarkEnd w:id="79"/>
          </w:p>
          <w:p w14:paraId="1D5F9ABE">
            <w:pPr>
              <w:ind w:firstLine="420" w:firstLineChars="200"/>
              <w:rPr>
                <w:rFonts w:hint="eastAsia" w:ascii="宋体" w:hAnsi="宋体" w:eastAsia="宋体" w:cs="宋体"/>
                <w:szCs w:val="21"/>
              </w:rPr>
            </w:pPr>
            <w:r>
              <w:rPr>
                <w:rFonts w:hint="eastAsia" w:ascii="宋体" w:hAnsi="宋体" w:eastAsia="宋体" w:cs="宋体"/>
                <w:szCs w:val="21"/>
              </w:rPr>
              <w:t>可以根据用户所输入的关键字来检索所有数据信息（提供类似百度搜索界面），然后将与之相关的患者展示出来。</w:t>
            </w:r>
          </w:p>
          <w:p w14:paraId="174D61BC">
            <w:pPr>
              <w:rPr>
                <w:rFonts w:hint="eastAsia" w:ascii="宋体" w:hAnsi="宋体" w:eastAsia="宋体" w:cs="宋体"/>
                <w:szCs w:val="21"/>
              </w:rPr>
            </w:pPr>
            <w:bookmarkStart w:id="80" w:name="_Toc92899516"/>
            <w:bookmarkStart w:id="81" w:name="_Toc161557167"/>
            <w:r>
              <w:rPr>
                <w:rFonts w:hint="eastAsia" w:ascii="宋体" w:hAnsi="宋体" w:eastAsia="宋体" w:cs="宋体"/>
                <w:szCs w:val="21"/>
              </w:rPr>
              <w:t>4.2高级搜索</w:t>
            </w:r>
            <w:bookmarkEnd w:id="80"/>
            <w:bookmarkEnd w:id="81"/>
          </w:p>
          <w:p w14:paraId="36568B7F">
            <w:pPr>
              <w:rPr>
                <w:rFonts w:hint="eastAsia" w:ascii="宋体" w:hAnsi="宋体" w:eastAsia="宋体" w:cs="宋体"/>
                <w:szCs w:val="21"/>
              </w:rPr>
            </w:pPr>
            <w:r>
              <w:rPr>
                <w:rFonts w:hint="eastAsia" w:ascii="宋体" w:hAnsi="宋体" w:eastAsia="宋体" w:cs="宋体"/>
                <w:szCs w:val="21"/>
              </w:rPr>
              <w:t>4.2.1高级搜索（条件树搜索）</w:t>
            </w:r>
          </w:p>
          <w:p w14:paraId="3D0D12A0">
            <w:pPr>
              <w:rPr>
                <w:rFonts w:hint="eastAsia" w:ascii="宋体" w:hAnsi="宋体" w:eastAsia="宋体" w:cs="宋体"/>
                <w:szCs w:val="21"/>
              </w:rPr>
            </w:pPr>
            <w:r>
              <w:rPr>
                <w:rFonts w:hint="eastAsia" w:ascii="宋体" w:hAnsi="宋体" w:eastAsia="宋体" w:cs="宋体"/>
                <w:szCs w:val="21"/>
              </w:rPr>
              <w:t>4.2.1.1支持高级搜索-条件树搜索功能。用户可以使用患者信息、诊断、用药、检验结果等各种特征值组合查询条件。</w:t>
            </w:r>
          </w:p>
          <w:p w14:paraId="28FC09CD">
            <w:pPr>
              <w:rPr>
                <w:rFonts w:hint="eastAsia" w:ascii="宋体" w:hAnsi="宋体" w:eastAsia="宋体" w:cs="宋体"/>
                <w:szCs w:val="21"/>
              </w:rPr>
            </w:pPr>
            <w:r>
              <w:rPr>
                <w:rFonts w:hint="eastAsia" w:ascii="宋体" w:hAnsi="宋体" w:eastAsia="宋体" w:cs="宋体"/>
                <w:szCs w:val="21"/>
              </w:rPr>
              <w:t>4.2.1.2可进行搜索维度限定（患者维度、就诊维度、报告维度、字段维度）等。</w:t>
            </w:r>
          </w:p>
          <w:p w14:paraId="157A1F83">
            <w:pPr>
              <w:rPr>
                <w:rFonts w:hint="eastAsia" w:ascii="宋体" w:hAnsi="宋体" w:eastAsia="宋体" w:cs="宋体"/>
                <w:szCs w:val="21"/>
              </w:rPr>
            </w:pPr>
            <w:r>
              <w:rPr>
                <w:rFonts w:hint="eastAsia" w:ascii="宋体" w:hAnsi="宋体" w:eastAsia="宋体" w:cs="宋体"/>
                <w:szCs w:val="21"/>
              </w:rPr>
              <w:t>4.2.1.3编辑搜索条件：高级搜索支持多条件设置搜索，支持多个条件组合拼接，可以设置各种可以相互联系的条件筛选框。用户不仅可以对某一类信息设定具体的条件，还可以将各种条件组合起来，以达到最为精准的查找。</w:t>
            </w:r>
          </w:p>
          <w:p w14:paraId="7E854D95">
            <w:pPr>
              <w:ind w:firstLine="420" w:firstLineChars="200"/>
              <w:rPr>
                <w:rFonts w:hint="eastAsia" w:ascii="宋体" w:hAnsi="宋体" w:eastAsia="宋体" w:cs="宋体"/>
                <w:szCs w:val="21"/>
              </w:rPr>
            </w:pPr>
            <w:r>
              <w:rPr>
                <w:rFonts w:hint="eastAsia" w:ascii="宋体" w:hAnsi="宋体" w:eastAsia="宋体" w:cs="宋体"/>
                <w:szCs w:val="21"/>
              </w:rPr>
              <w:t>支持纳入搜索、排除搜索两种搜索模式；支持多个搜索条件之间的“并且”“或者”等关系灵活切换；支持“包含”或者“不包含”的限定；其中文本类型为：包含、完全匹配、任意值、通配符；数值类型为：大于，大于等于，等于，小于，小于等于等；能够分别定义单个条件的“是”或“否”；</w:t>
            </w:r>
          </w:p>
          <w:p w14:paraId="31BB7518">
            <w:pPr>
              <w:ind w:firstLine="420" w:firstLineChars="200"/>
              <w:rPr>
                <w:rFonts w:hint="eastAsia" w:ascii="宋体" w:hAnsi="宋体" w:eastAsia="宋体" w:cs="宋体"/>
                <w:szCs w:val="21"/>
              </w:rPr>
            </w:pPr>
            <w:r>
              <w:rPr>
                <w:rFonts w:hint="eastAsia" w:ascii="宋体" w:hAnsi="宋体" w:eastAsia="宋体" w:cs="宋体"/>
                <w:szCs w:val="21"/>
              </w:rPr>
              <w:t>支持区分单次就诊行为和多次就诊行为，实现跨就诊或者同就诊筛选。利用以上的功能点，高级搜索可以用于精确的构建患者队列和对患者进行分层。</w:t>
            </w:r>
          </w:p>
          <w:p w14:paraId="63519BAB">
            <w:pPr>
              <w:rPr>
                <w:rFonts w:hint="eastAsia" w:ascii="宋体" w:hAnsi="宋体" w:eastAsia="宋体" w:cs="宋体"/>
                <w:szCs w:val="21"/>
              </w:rPr>
            </w:pPr>
            <w:r>
              <w:rPr>
                <w:rFonts w:hint="eastAsia" w:ascii="宋体" w:hAnsi="宋体" w:eastAsia="宋体" w:cs="宋体"/>
                <w:szCs w:val="21"/>
              </w:rPr>
              <w:t>4.2.2自定义指标精细筛选</w:t>
            </w:r>
          </w:p>
          <w:p w14:paraId="25C129AC">
            <w:pPr>
              <w:ind w:firstLine="420" w:firstLineChars="200"/>
              <w:rPr>
                <w:rFonts w:hint="eastAsia" w:ascii="宋体" w:hAnsi="宋体" w:eastAsia="宋体" w:cs="宋体"/>
                <w:szCs w:val="21"/>
              </w:rPr>
            </w:pPr>
            <w:r>
              <w:rPr>
                <w:rFonts w:hint="eastAsia" w:ascii="宋体" w:hAnsi="宋体" w:eastAsia="宋体" w:cs="宋体"/>
                <w:szCs w:val="21"/>
              </w:rPr>
              <w:t>通过自定义指标筛选定义一些临床指标。利用这些指标，可以定义出更加复杂的搜索条件，从而找到更为符合要求的患者。</w:t>
            </w:r>
          </w:p>
          <w:p w14:paraId="2059AD7C">
            <w:pPr>
              <w:rPr>
                <w:rFonts w:hint="eastAsia" w:ascii="宋体" w:hAnsi="宋体" w:eastAsia="宋体" w:cs="宋体"/>
                <w:szCs w:val="21"/>
              </w:rPr>
            </w:pPr>
            <w:r>
              <w:rPr>
                <w:rFonts w:hint="eastAsia" w:ascii="宋体" w:hAnsi="宋体" w:eastAsia="宋体" w:cs="宋体"/>
                <w:szCs w:val="21"/>
              </w:rPr>
              <w:t>4.2.2.1取值位置：取哪个字段的值比如“检验子项结果值”，下面会有对应的取值条件如“检验子项名称”包含“糖化血红蛋白”取最大一次。</w:t>
            </w:r>
          </w:p>
          <w:p w14:paraId="7BD2C4DB">
            <w:pPr>
              <w:rPr>
                <w:rFonts w:hint="eastAsia" w:ascii="宋体" w:hAnsi="宋体" w:eastAsia="宋体" w:cs="宋体"/>
                <w:szCs w:val="21"/>
              </w:rPr>
            </w:pPr>
            <w:r>
              <w:rPr>
                <w:rFonts w:hint="eastAsia" w:ascii="宋体" w:hAnsi="宋体" w:eastAsia="宋体" w:cs="宋体"/>
                <w:szCs w:val="21"/>
              </w:rPr>
              <w:t>4.2.2.2就诊内条件：决定从哪些就诊内取数据，比如限定为出院诊断包含酮症酸中毒的就诊中取数据。</w:t>
            </w:r>
          </w:p>
          <w:p w14:paraId="280851E4">
            <w:pPr>
              <w:rPr>
                <w:rFonts w:hint="eastAsia" w:ascii="宋体" w:hAnsi="宋体" w:eastAsia="宋体" w:cs="宋体"/>
                <w:szCs w:val="21"/>
              </w:rPr>
            </w:pPr>
            <w:r>
              <w:rPr>
                <w:rFonts w:hint="eastAsia" w:ascii="宋体" w:hAnsi="宋体" w:eastAsia="宋体" w:cs="宋体"/>
                <w:szCs w:val="21"/>
              </w:rPr>
              <w:t>4.2.2.3限定条件：决定从哪些就诊内取数据比如在转肽酶升高的单子上取转氨酶。</w:t>
            </w:r>
          </w:p>
          <w:p w14:paraId="10EB595F">
            <w:pPr>
              <w:rPr>
                <w:rFonts w:hint="eastAsia" w:ascii="宋体" w:hAnsi="宋体" w:eastAsia="宋体" w:cs="宋体"/>
                <w:szCs w:val="21"/>
              </w:rPr>
            </w:pPr>
            <w:r>
              <w:rPr>
                <w:rFonts w:hint="eastAsia" w:ascii="宋体" w:hAnsi="宋体" w:eastAsia="宋体" w:cs="宋体"/>
                <w:szCs w:val="21"/>
              </w:rPr>
              <w:t>4.2.2.3可自定义新增多个枚举值，每个枚举值需要定义其名称和条件，支持拖拽式添加。</w:t>
            </w:r>
          </w:p>
          <w:p w14:paraId="3CC60BD3">
            <w:pPr>
              <w:rPr>
                <w:rFonts w:hint="eastAsia" w:ascii="宋体" w:hAnsi="宋体" w:eastAsia="宋体" w:cs="宋体"/>
                <w:szCs w:val="21"/>
              </w:rPr>
            </w:pPr>
            <w:r>
              <w:rPr>
                <w:rFonts w:hint="eastAsia" w:ascii="宋体" w:hAnsi="宋体" w:eastAsia="宋体" w:cs="宋体"/>
                <w:szCs w:val="21"/>
              </w:rPr>
              <w:t>4.2.2.4在构建数值型指标时，可以选择与定义好的数值类型指标进行比较。</w:t>
            </w:r>
          </w:p>
          <w:p w14:paraId="7BC327FA">
            <w:pPr>
              <w:rPr>
                <w:rFonts w:hint="eastAsia" w:ascii="宋体" w:hAnsi="宋体" w:eastAsia="宋体" w:cs="宋体"/>
                <w:szCs w:val="21"/>
              </w:rPr>
            </w:pPr>
            <w:r>
              <w:rPr>
                <w:rFonts w:hint="eastAsia" w:ascii="宋体" w:hAnsi="宋体" w:eastAsia="宋体" w:cs="宋体"/>
                <w:szCs w:val="21"/>
              </w:rPr>
              <w:t>4.2.3数据反查条件设定</w:t>
            </w:r>
          </w:p>
          <w:p w14:paraId="152B41D8">
            <w:pPr>
              <w:ind w:firstLine="420" w:firstLineChars="200"/>
              <w:rPr>
                <w:rFonts w:hint="eastAsia" w:ascii="宋体" w:hAnsi="宋体" w:eastAsia="宋体" w:cs="宋体"/>
                <w:szCs w:val="21"/>
              </w:rPr>
            </w:pPr>
            <w:r>
              <w:rPr>
                <w:rFonts w:hint="eastAsia" w:ascii="宋体" w:hAnsi="宋体" w:eastAsia="宋体" w:cs="宋体"/>
                <w:szCs w:val="21"/>
              </w:rPr>
              <w:t>反查条件的作用在于根据值域关键字来定位数据的所在的字段名称位置并进行搜索。举例，想查找有关于“肌酐”这个数据，但是不确定其所在的位置是哪个字段名称时，可用该功能反查数据条件。在定义了条件后，可展示关键字出现过的位置，并按照出现的频次从高到低进行排序展展示，可选择患者维度或者是就诊维度，某个维度内的字段直接多选，也可以切换多个字段来源的关联关系。</w:t>
            </w:r>
          </w:p>
          <w:p w14:paraId="1837D62E">
            <w:pPr>
              <w:rPr>
                <w:rFonts w:hint="eastAsia" w:ascii="宋体" w:hAnsi="宋体" w:eastAsia="宋体" w:cs="宋体"/>
                <w:szCs w:val="21"/>
              </w:rPr>
            </w:pPr>
            <w:r>
              <w:rPr>
                <w:rFonts w:hint="eastAsia" w:ascii="宋体" w:hAnsi="宋体" w:eastAsia="宋体" w:cs="宋体"/>
                <w:szCs w:val="21"/>
              </w:rPr>
              <w:t>4.2.4患者精准搜索</w:t>
            </w:r>
          </w:p>
          <w:p w14:paraId="70BE632B">
            <w:pPr>
              <w:ind w:firstLine="420" w:firstLineChars="200"/>
              <w:rPr>
                <w:rFonts w:hint="eastAsia" w:ascii="宋体" w:hAnsi="宋体" w:eastAsia="宋体" w:cs="宋体"/>
                <w:szCs w:val="21"/>
              </w:rPr>
            </w:pPr>
            <w:r>
              <w:rPr>
                <w:rFonts w:hint="eastAsia" w:ascii="宋体" w:hAnsi="宋体" w:eastAsia="宋体" w:cs="宋体"/>
                <w:szCs w:val="21"/>
              </w:rPr>
              <w:t>支持使用患者</w:t>
            </w:r>
            <w:r>
              <w:rPr>
                <w:rFonts w:hint="eastAsia" w:ascii="宋体" w:hAnsi="宋体" w:eastAsia="宋体" w:cs="宋体"/>
                <w:szCs w:val="21"/>
                <w:lang w:eastAsia="zh-Hans"/>
              </w:rPr>
              <w:t>编</w:t>
            </w:r>
            <w:r>
              <w:rPr>
                <w:rFonts w:hint="eastAsia" w:ascii="宋体" w:hAnsi="宋体" w:eastAsia="宋体" w:cs="宋体"/>
                <w:szCs w:val="21"/>
              </w:rPr>
              <w:t>号进行精确搜索，支持患者</w:t>
            </w:r>
            <w:r>
              <w:rPr>
                <w:rFonts w:hint="eastAsia" w:ascii="宋体" w:hAnsi="宋体" w:eastAsia="宋体" w:cs="宋体"/>
                <w:szCs w:val="21"/>
                <w:lang w:eastAsia="zh-Hans"/>
              </w:rPr>
              <w:t>编</w:t>
            </w:r>
            <w:r>
              <w:rPr>
                <w:rFonts w:hint="eastAsia" w:ascii="宋体" w:hAnsi="宋体" w:eastAsia="宋体" w:cs="宋体"/>
                <w:szCs w:val="21"/>
              </w:rPr>
              <w:t>号进行批量搜索，并支持查看搜索结果。</w:t>
            </w:r>
          </w:p>
          <w:p w14:paraId="410AE74A">
            <w:pPr>
              <w:rPr>
                <w:rFonts w:hint="eastAsia" w:ascii="宋体" w:hAnsi="宋体" w:eastAsia="宋体" w:cs="宋体"/>
                <w:szCs w:val="21"/>
              </w:rPr>
            </w:pPr>
            <w:r>
              <w:rPr>
                <w:rFonts w:hint="eastAsia" w:ascii="宋体" w:hAnsi="宋体" w:eastAsia="宋体" w:cs="宋体"/>
                <w:szCs w:val="21"/>
              </w:rPr>
              <w:t>4.2.5我的诊室</w:t>
            </w:r>
          </w:p>
          <w:p w14:paraId="312B6909">
            <w:pPr>
              <w:ind w:firstLine="420" w:firstLineChars="200"/>
              <w:rPr>
                <w:rFonts w:hint="eastAsia" w:ascii="宋体" w:hAnsi="宋体" w:eastAsia="宋体" w:cs="宋体"/>
                <w:szCs w:val="21"/>
              </w:rPr>
            </w:pPr>
            <w:r>
              <w:rPr>
                <w:rFonts w:hint="eastAsia" w:ascii="宋体" w:hAnsi="宋体" w:eastAsia="宋体" w:cs="宋体"/>
                <w:szCs w:val="21"/>
              </w:rPr>
              <w:t>在【我的诊室】中，有对应隐私搜索权限的用户可以通过患者隐私信息进行精准查找，比如：姓名、身份证号、就诊号等隐私信息查找诊室中的患者。给科室医生提供属于自身科室患者病历查询入口。</w:t>
            </w:r>
          </w:p>
          <w:p w14:paraId="5EED506B">
            <w:pPr>
              <w:rPr>
                <w:rFonts w:hint="eastAsia" w:ascii="宋体" w:hAnsi="宋体" w:eastAsia="宋体" w:cs="宋体"/>
                <w:szCs w:val="21"/>
              </w:rPr>
            </w:pPr>
            <w:r>
              <w:rPr>
                <w:rFonts w:hint="eastAsia" w:ascii="宋体" w:hAnsi="宋体" w:eastAsia="宋体" w:cs="宋体"/>
                <w:szCs w:val="21"/>
              </w:rPr>
              <w:t>4.2.6搜索条件保存、删除和编辑</w:t>
            </w:r>
          </w:p>
          <w:p w14:paraId="3054AF3B">
            <w:pPr>
              <w:ind w:firstLine="420" w:firstLineChars="200"/>
              <w:rPr>
                <w:rFonts w:hint="eastAsia" w:ascii="宋体" w:hAnsi="宋体" w:eastAsia="宋体" w:cs="宋体"/>
                <w:szCs w:val="21"/>
              </w:rPr>
            </w:pPr>
            <w:r>
              <w:rPr>
                <w:rFonts w:hint="eastAsia" w:ascii="宋体" w:hAnsi="宋体" w:eastAsia="宋体" w:cs="宋体"/>
                <w:szCs w:val="21"/>
              </w:rPr>
              <w:t>支持搜索条件的保存、收藏、删除和编辑：支持筛选记录查看。</w:t>
            </w:r>
          </w:p>
          <w:p w14:paraId="5E3768D3">
            <w:pPr>
              <w:rPr>
                <w:rFonts w:hint="eastAsia" w:ascii="宋体" w:hAnsi="宋体" w:eastAsia="宋体" w:cs="宋体"/>
                <w:szCs w:val="21"/>
              </w:rPr>
            </w:pPr>
            <w:bookmarkStart w:id="82" w:name="_Toc92899517"/>
            <w:bookmarkStart w:id="83" w:name="_Toc871975961"/>
            <w:r>
              <w:rPr>
                <w:rFonts w:hint="eastAsia" w:ascii="宋体" w:hAnsi="宋体" w:eastAsia="宋体" w:cs="宋体"/>
                <w:szCs w:val="21"/>
              </w:rPr>
              <w:t>4.3搜索结果可视化</w:t>
            </w:r>
            <w:bookmarkEnd w:id="82"/>
            <w:bookmarkEnd w:id="83"/>
          </w:p>
          <w:p w14:paraId="03344AF4">
            <w:pPr>
              <w:rPr>
                <w:rFonts w:hint="eastAsia" w:ascii="宋体" w:hAnsi="宋体" w:eastAsia="宋体" w:cs="宋体"/>
                <w:szCs w:val="21"/>
              </w:rPr>
            </w:pPr>
            <w:r>
              <w:rPr>
                <w:rFonts w:hint="eastAsia" w:ascii="宋体" w:hAnsi="宋体" w:eastAsia="宋体" w:cs="宋体"/>
                <w:szCs w:val="21"/>
              </w:rPr>
              <w:t>4.3.1搜索条件下患者列表展示</w:t>
            </w:r>
          </w:p>
          <w:p w14:paraId="46EFCD41">
            <w:pPr>
              <w:ind w:firstLine="420" w:firstLineChars="200"/>
              <w:rPr>
                <w:rFonts w:hint="eastAsia" w:ascii="宋体" w:hAnsi="宋体" w:eastAsia="宋体" w:cs="宋体"/>
                <w:szCs w:val="21"/>
              </w:rPr>
            </w:pPr>
            <w:r>
              <w:rPr>
                <w:rFonts w:hint="eastAsia" w:ascii="宋体" w:hAnsi="宋体" w:eastAsia="宋体" w:cs="宋体"/>
                <w:szCs w:val="21"/>
              </w:rPr>
              <w:t>系统</w:t>
            </w:r>
            <w:r>
              <w:rPr>
                <w:rFonts w:hint="eastAsia" w:ascii="宋体" w:hAnsi="宋体" w:eastAsia="宋体" w:cs="宋体"/>
                <w:szCs w:val="21"/>
                <w:lang w:eastAsia="zh-Hans"/>
              </w:rPr>
              <w:t>支持</w:t>
            </w:r>
            <w:r>
              <w:rPr>
                <w:rFonts w:hint="eastAsia" w:ascii="宋体" w:hAnsi="宋体" w:eastAsia="宋体" w:cs="宋体"/>
                <w:szCs w:val="21"/>
              </w:rPr>
              <w:t>搜索结果对应的患者以列表的形式展现给用户。用户可以点击进入到患者的命中详情页具体查看该患者被命中的个人信息、就诊、手术、用药、检查、检验等全方位的数据，并以此来判定该患者是否符合用户的预期要求。</w:t>
            </w:r>
          </w:p>
          <w:p w14:paraId="15A51F09">
            <w:pPr>
              <w:rPr>
                <w:rFonts w:hint="eastAsia" w:ascii="宋体" w:hAnsi="宋体" w:eastAsia="宋体" w:cs="宋体"/>
                <w:szCs w:val="21"/>
                <w:lang w:eastAsia="zh-Hans"/>
              </w:rPr>
            </w:pPr>
            <w:r>
              <w:rPr>
                <w:rFonts w:hint="eastAsia" w:ascii="宋体" w:hAnsi="宋体" w:eastAsia="宋体" w:cs="宋体"/>
                <w:szCs w:val="21"/>
              </w:rPr>
              <w:t>4.3</w:t>
            </w:r>
            <w:r>
              <w:rPr>
                <w:rFonts w:hint="eastAsia" w:ascii="宋体" w:hAnsi="宋体" w:eastAsia="宋体" w:cs="宋体"/>
                <w:szCs w:val="21"/>
                <w:lang w:eastAsia="zh-Hans"/>
              </w:rPr>
              <w:t>.2</w:t>
            </w:r>
            <w:r>
              <w:rPr>
                <w:rFonts w:hint="eastAsia" w:ascii="宋体" w:hAnsi="宋体" w:eastAsia="宋体" w:cs="宋体"/>
                <w:szCs w:val="21"/>
              </w:rPr>
              <w:t>通过</w:t>
            </w:r>
            <w:r>
              <w:rPr>
                <w:rFonts w:hint="eastAsia" w:ascii="宋体" w:hAnsi="宋体" w:eastAsia="宋体" w:cs="宋体"/>
                <w:szCs w:val="21"/>
                <w:lang w:eastAsia="zh-Hans"/>
              </w:rPr>
              <w:t>权限控制搜索结果</w:t>
            </w:r>
            <w:r>
              <w:rPr>
                <w:rFonts w:hint="eastAsia" w:ascii="宋体" w:hAnsi="宋体" w:eastAsia="宋体" w:cs="宋体"/>
                <w:szCs w:val="21"/>
              </w:rPr>
              <w:t>可查看的数量</w:t>
            </w:r>
          </w:p>
          <w:p w14:paraId="7BD0582A">
            <w:pPr>
              <w:ind w:firstLine="420" w:firstLineChars="200"/>
              <w:rPr>
                <w:rFonts w:hint="eastAsia" w:ascii="宋体" w:hAnsi="宋体" w:eastAsia="宋体" w:cs="宋体"/>
                <w:szCs w:val="21"/>
              </w:rPr>
            </w:pPr>
            <w:r>
              <w:rPr>
                <w:rFonts w:hint="eastAsia" w:ascii="宋体" w:hAnsi="宋体" w:eastAsia="宋体" w:cs="宋体"/>
                <w:szCs w:val="21"/>
                <w:lang w:eastAsia="zh-Hans"/>
              </w:rPr>
              <w:t>支持系统数据安全性设置，可以根据权限设置不同用户查看搜索命中结果</w:t>
            </w:r>
            <w:r>
              <w:rPr>
                <w:rFonts w:hint="eastAsia" w:ascii="宋体" w:hAnsi="宋体" w:eastAsia="宋体" w:cs="宋体"/>
                <w:szCs w:val="21"/>
              </w:rPr>
              <w:t>的</w:t>
            </w:r>
            <w:r>
              <w:rPr>
                <w:rFonts w:hint="eastAsia" w:ascii="宋体" w:hAnsi="宋体" w:eastAsia="宋体" w:cs="宋体"/>
                <w:szCs w:val="21"/>
                <w:lang w:eastAsia="zh-Hans"/>
              </w:rPr>
              <w:t>数量，提高医院对数据的精细把控。例如：搜索条件命中1000位患者，</w:t>
            </w:r>
            <w:r>
              <w:rPr>
                <w:rFonts w:hint="eastAsia" w:ascii="宋体" w:hAnsi="宋体" w:eastAsia="宋体" w:cs="宋体"/>
                <w:szCs w:val="21"/>
              </w:rPr>
              <w:t>如该用户可查看的</w:t>
            </w:r>
            <w:r>
              <w:rPr>
                <w:rFonts w:hint="eastAsia" w:ascii="宋体" w:hAnsi="宋体" w:eastAsia="宋体" w:cs="宋体"/>
                <w:szCs w:val="21"/>
                <w:lang w:eastAsia="zh-Hans"/>
              </w:rPr>
              <w:t>权限设置</w:t>
            </w:r>
            <w:r>
              <w:rPr>
                <w:rFonts w:hint="eastAsia" w:ascii="宋体" w:hAnsi="宋体" w:eastAsia="宋体" w:cs="宋体"/>
                <w:szCs w:val="21"/>
              </w:rPr>
              <w:t>为</w:t>
            </w:r>
            <w:r>
              <w:rPr>
                <w:rFonts w:hint="eastAsia" w:ascii="宋体" w:hAnsi="宋体" w:eastAsia="宋体" w:cs="宋体"/>
                <w:szCs w:val="21"/>
                <w:lang w:eastAsia="zh-Hans"/>
              </w:rPr>
              <w:t>查看命中数量为100位患者，</w:t>
            </w:r>
            <w:r>
              <w:rPr>
                <w:rFonts w:hint="eastAsia" w:ascii="宋体" w:hAnsi="宋体" w:eastAsia="宋体" w:cs="宋体"/>
                <w:szCs w:val="21"/>
              </w:rPr>
              <w:t>则</w:t>
            </w:r>
            <w:r>
              <w:rPr>
                <w:rFonts w:hint="eastAsia" w:ascii="宋体" w:hAnsi="宋体" w:eastAsia="宋体" w:cs="宋体"/>
                <w:szCs w:val="21"/>
                <w:lang w:eastAsia="zh-Hans"/>
              </w:rPr>
              <w:t>被分配权限用户，只能查看命中数量为100位患者信息。</w:t>
            </w:r>
            <w:r>
              <w:rPr>
                <w:rFonts w:hint="eastAsia" w:ascii="宋体" w:hAnsi="宋体" w:eastAsia="宋体" w:cs="宋体"/>
                <w:szCs w:val="21"/>
              </w:rPr>
              <w:t>如需查看更多，需要申请，并调整数量权限。</w:t>
            </w:r>
          </w:p>
          <w:p w14:paraId="2C2BE602">
            <w:pPr>
              <w:rPr>
                <w:rFonts w:hint="eastAsia" w:ascii="宋体" w:hAnsi="宋体" w:eastAsia="宋体" w:cs="宋体"/>
                <w:szCs w:val="21"/>
              </w:rPr>
            </w:pPr>
            <w:r>
              <w:rPr>
                <w:rFonts w:hint="eastAsia" w:ascii="宋体" w:hAnsi="宋体" w:eastAsia="宋体" w:cs="宋体"/>
                <w:szCs w:val="21"/>
              </w:rPr>
              <w:t>4.3.3搜索数据导出</w:t>
            </w:r>
          </w:p>
          <w:p w14:paraId="4D0F3144">
            <w:pPr>
              <w:ind w:firstLine="420" w:firstLineChars="200"/>
              <w:rPr>
                <w:rFonts w:hint="eastAsia" w:ascii="宋体" w:hAnsi="宋体" w:eastAsia="宋体" w:cs="宋体"/>
                <w:szCs w:val="21"/>
              </w:rPr>
            </w:pPr>
            <w:r>
              <w:rPr>
                <w:rFonts w:hint="eastAsia" w:ascii="宋体" w:hAnsi="宋体" w:eastAsia="宋体" w:cs="宋体"/>
                <w:szCs w:val="21"/>
              </w:rPr>
              <w:t>病历检索可按科研需求进行配置，可把检索结果数据导出到excel等指定数据文件格式。</w:t>
            </w:r>
          </w:p>
          <w:p w14:paraId="3C90EE00">
            <w:pPr>
              <w:rPr>
                <w:rFonts w:hint="eastAsia" w:ascii="宋体" w:hAnsi="宋体" w:eastAsia="宋体" w:cs="宋体"/>
                <w:szCs w:val="21"/>
              </w:rPr>
            </w:pPr>
            <w:r>
              <w:rPr>
                <w:rFonts w:hint="eastAsia" w:ascii="宋体" w:hAnsi="宋体" w:eastAsia="宋体" w:cs="宋体"/>
                <w:szCs w:val="21"/>
              </w:rPr>
              <w:t>数据导出支持数据权限校验，授权用户和授权数据资源才可以允许数据导出。</w:t>
            </w:r>
          </w:p>
          <w:p w14:paraId="4D5CAB6D">
            <w:pPr>
              <w:rPr>
                <w:rFonts w:hint="eastAsia" w:ascii="宋体" w:hAnsi="宋体" w:eastAsia="宋体" w:cs="宋体"/>
                <w:szCs w:val="21"/>
              </w:rPr>
            </w:pPr>
            <w:r>
              <w:rPr>
                <w:rFonts w:hint="eastAsia" w:ascii="宋体" w:hAnsi="宋体" w:eastAsia="宋体" w:cs="宋体"/>
                <w:szCs w:val="21"/>
              </w:rPr>
              <w:t>数据导出允许设置选择数据范围，支持仅导出与搜索条件相关的记录，支持仅导出符合搜索条件的就诊下全部数据，支持导出符合搜索条件的患者的所有数据。</w:t>
            </w:r>
          </w:p>
          <w:p w14:paraId="32784515">
            <w:pPr>
              <w:rPr>
                <w:rFonts w:hint="eastAsia" w:ascii="宋体" w:hAnsi="宋体" w:eastAsia="宋体" w:cs="宋体"/>
                <w:szCs w:val="21"/>
              </w:rPr>
            </w:pPr>
            <w:r>
              <w:rPr>
                <w:rFonts w:hint="eastAsia" w:ascii="宋体" w:hAnsi="宋体" w:eastAsia="宋体" w:cs="宋体"/>
                <w:szCs w:val="21"/>
              </w:rPr>
              <w:t>数据导出可以选择指定的字段。</w:t>
            </w:r>
          </w:p>
          <w:p w14:paraId="436F1481">
            <w:pPr>
              <w:rPr>
                <w:rFonts w:hint="eastAsia" w:ascii="宋体" w:hAnsi="宋体" w:eastAsia="宋体" w:cs="宋体"/>
                <w:szCs w:val="21"/>
              </w:rPr>
            </w:pPr>
            <w:r>
              <w:rPr>
                <w:rFonts w:hint="eastAsia" w:ascii="宋体" w:hAnsi="宋体" w:eastAsia="宋体" w:cs="宋体"/>
                <w:szCs w:val="21"/>
              </w:rPr>
              <w:t>数据导出就诊类型可以选择住院或者门诊类型。</w:t>
            </w:r>
          </w:p>
          <w:p w14:paraId="1417BB16">
            <w:pPr>
              <w:rPr>
                <w:rFonts w:hint="eastAsia" w:ascii="宋体" w:hAnsi="宋体" w:eastAsia="宋体" w:cs="宋体"/>
                <w:szCs w:val="21"/>
              </w:rPr>
            </w:pPr>
            <w:r>
              <w:rPr>
                <w:rFonts w:hint="eastAsia" w:ascii="宋体" w:hAnsi="宋体" w:eastAsia="宋体" w:cs="宋体"/>
                <w:szCs w:val="21"/>
              </w:rPr>
              <w:t>导出就诊时间可以设定在时间范围内的就诊。</w:t>
            </w:r>
          </w:p>
          <w:p w14:paraId="3BE51398">
            <w:pPr>
              <w:rPr>
                <w:rFonts w:hint="eastAsia" w:ascii="宋体" w:hAnsi="宋体" w:eastAsia="宋体" w:cs="宋体"/>
                <w:szCs w:val="21"/>
              </w:rPr>
            </w:pPr>
            <w:r>
              <w:rPr>
                <w:rFonts w:hint="eastAsia" w:ascii="宋体" w:hAnsi="宋体" w:eastAsia="宋体" w:cs="宋体"/>
                <w:szCs w:val="21"/>
              </w:rPr>
              <w:t>导出数据导出样式可以设定为按照记录维度进行导出（记录-分表）、也可以按照一条就诊一行的样式（记录-横向）、也可以按照一条一个就诊并将就诊内数据合并在一个单元格中的样式（记录-合并）。</w:t>
            </w:r>
          </w:p>
          <w:p w14:paraId="5E9BCCE5">
            <w:pPr>
              <w:rPr>
                <w:rFonts w:hint="eastAsia" w:ascii="宋体" w:hAnsi="宋体" w:eastAsia="宋体" w:cs="宋体"/>
                <w:szCs w:val="21"/>
              </w:rPr>
            </w:pPr>
            <w:r>
              <w:rPr>
                <w:rFonts w:hint="eastAsia" w:ascii="宋体" w:hAnsi="宋体" w:eastAsia="宋体" w:cs="宋体"/>
                <w:szCs w:val="21"/>
              </w:rPr>
              <w:t>在导出的文件名称中输入导出文件的名称，导出的excel文件名即为此处输入内容。</w:t>
            </w:r>
          </w:p>
          <w:p w14:paraId="2E5A7B7B">
            <w:pPr>
              <w:rPr>
                <w:rFonts w:hint="eastAsia" w:ascii="宋体" w:hAnsi="宋体" w:eastAsia="宋体" w:cs="宋体"/>
                <w:szCs w:val="21"/>
              </w:rPr>
            </w:pPr>
            <w:r>
              <w:rPr>
                <w:rFonts w:hint="eastAsia" w:ascii="宋体" w:hAnsi="宋体" w:eastAsia="宋体" w:cs="宋体"/>
                <w:szCs w:val="21"/>
              </w:rPr>
              <w:t>支持导出数据的预览，导出文件表头格式的切换与预览中的展示一致。</w:t>
            </w:r>
          </w:p>
          <w:p w14:paraId="19A56383">
            <w:pPr>
              <w:rPr>
                <w:rFonts w:hint="eastAsia" w:ascii="宋体" w:hAnsi="宋体" w:eastAsia="宋体" w:cs="宋体"/>
                <w:szCs w:val="21"/>
              </w:rPr>
            </w:pPr>
            <w:r>
              <w:rPr>
                <w:rFonts w:hint="eastAsia" w:ascii="宋体" w:hAnsi="宋体" w:eastAsia="宋体" w:cs="宋体"/>
                <w:szCs w:val="21"/>
              </w:rPr>
              <w:t>通用数据库的搜索是不包含隐私数据的，如果导出的数据想要额外导出对应隐私数据比如，电话等后期进行随访等，且具备隐私数据导出权限，也可支持相关导出。</w:t>
            </w:r>
          </w:p>
          <w:p w14:paraId="76C29F3F">
            <w:pPr>
              <w:rPr>
                <w:rFonts w:hint="eastAsia" w:ascii="宋体" w:hAnsi="宋体" w:eastAsia="宋体" w:cs="宋体"/>
                <w:szCs w:val="21"/>
              </w:rPr>
            </w:pPr>
            <w:bookmarkStart w:id="84" w:name="_Toc92899518"/>
            <w:bookmarkStart w:id="85" w:name="_Toc871569399"/>
            <w:r>
              <w:rPr>
                <w:rFonts w:hint="eastAsia" w:ascii="宋体" w:hAnsi="宋体" w:eastAsia="宋体" w:cs="宋体"/>
                <w:szCs w:val="21"/>
              </w:rPr>
              <w:t>5.患者全景视图</w:t>
            </w:r>
            <w:bookmarkEnd w:id="84"/>
            <w:bookmarkEnd w:id="85"/>
            <w:r>
              <w:rPr>
                <w:rFonts w:hint="eastAsia" w:ascii="宋体" w:hAnsi="宋体" w:eastAsia="宋体" w:cs="宋体"/>
                <w:szCs w:val="21"/>
              </w:rPr>
              <w:t>：依托于中心端的数据集成和治理，支持各医院在线查看用户历次诊疗、病历数据，可分类查询，如检验、检查、入院记录、药品医嘱、非药品医嘱、生命体征等。</w:t>
            </w:r>
          </w:p>
          <w:p w14:paraId="06CFFA07">
            <w:pPr>
              <w:rPr>
                <w:rFonts w:hint="eastAsia" w:ascii="宋体" w:hAnsi="宋体" w:eastAsia="宋体" w:cs="宋体"/>
                <w:szCs w:val="21"/>
              </w:rPr>
            </w:pPr>
            <w:bookmarkStart w:id="86" w:name="_Toc480932806"/>
            <w:bookmarkStart w:id="87" w:name="_Toc92899521"/>
            <w:bookmarkStart w:id="88" w:name="_Toc92899519"/>
            <w:r>
              <w:rPr>
                <w:rFonts w:hint="eastAsia" w:ascii="宋体" w:hAnsi="宋体" w:eastAsia="宋体" w:cs="宋体"/>
                <w:szCs w:val="21"/>
              </w:rPr>
              <w:t>5.1患者基本信息脱敏展示</w:t>
            </w:r>
            <w:bookmarkEnd w:id="86"/>
            <w:bookmarkEnd w:id="87"/>
            <w:r>
              <w:rPr>
                <w:rFonts w:hint="eastAsia" w:ascii="宋体" w:hAnsi="宋体" w:eastAsia="宋体" w:cs="宋体"/>
                <w:szCs w:val="21"/>
              </w:rPr>
              <w:t>：</w:t>
            </w:r>
          </w:p>
          <w:p w14:paraId="547BEDF0">
            <w:pPr>
              <w:rPr>
                <w:rFonts w:hint="eastAsia" w:ascii="宋体" w:hAnsi="宋体" w:eastAsia="宋体" w:cs="宋体"/>
                <w:szCs w:val="21"/>
              </w:rPr>
            </w:pPr>
            <w:r>
              <w:rPr>
                <w:rFonts w:hint="eastAsia" w:ascii="宋体" w:hAnsi="宋体" w:eastAsia="宋体" w:cs="宋体"/>
                <w:szCs w:val="21"/>
              </w:rPr>
              <w:t>5.1.1原始的患者信息可以分为患者基本信息和就诊信息。患者基本信息主要为性别、年龄、血型、婚姻等人口学信息，可以划分为患者隐私数据和非隐私数据。根据《信息安全技术 健康医疗数据安全指南》，平台将患者数据进行脱敏后展示。举例如下：</w:t>
            </w:r>
          </w:p>
          <w:p w14:paraId="353DD92F">
            <w:pPr>
              <w:rPr>
                <w:rFonts w:hint="eastAsia" w:ascii="宋体" w:hAnsi="宋体" w:eastAsia="宋体" w:cs="宋体"/>
                <w:szCs w:val="21"/>
              </w:rPr>
            </w:pPr>
            <w:r>
              <w:rPr>
                <w:rFonts w:hint="eastAsia" w:ascii="宋体" w:hAnsi="宋体" w:eastAsia="宋体" w:cs="宋体"/>
                <w:szCs w:val="21"/>
              </w:rPr>
              <w:t>5.1.1.1姓名不展示，平台用加密后的唯一患者ID来标识患者；</w:t>
            </w:r>
          </w:p>
          <w:p w14:paraId="5D4D1B33">
            <w:pPr>
              <w:rPr>
                <w:rFonts w:hint="eastAsia" w:ascii="宋体" w:hAnsi="宋体" w:eastAsia="宋体" w:cs="宋体"/>
                <w:szCs w:val="21"/>
              </w:rPr>
            </w:pPr>
            <w:r>
              <w:rPr>
                <w:rFonts w:hint="eastAsia" w:ascii="宋体" w:hAnsi="宋体" w:eastAsia="宋体" w:cs="宋体"/>
                <w:szCs w:val="21"/>
              </w:rPr>
              <w:t>5.1.1.2出生日期只展示出生年份，不展示具体的某年某月某日的出生日期；</w:t>
            </w:r>
          </w:p>
          <w:p w14:paraId="29DD8C8F">
            <w:pPr>
              <w:rPr>
                <w:rFonts w:hint="eastAsia" w:ascii="宋体" w:hAnsi="宋体" w:eastAsia="宋体" w:cs="宋体"/>
                <w:szCs w:val="21"/>
              </w:rPr>
            </w:pPr>
            <w:r>
              <w:rPr>
                <w:rFonts w:hint="eastAsia" w:ascii="宋体" w:hAnsi="宋体" w:eastAsia="宋体" w:cs="宋体"/>
                <w:szCs w:val="21"/>
              </w:rPr>
              <w:t>5.1.2 考虑到用户可能通过查看患者基本信息来对患者的病情做随访跟踪，或者给予其他医疗建议的情况。所以，需要提供患者电话住址等部分隐私信息来保持医患之间的良好的联系与沟通。因此，平台也需要支持临床医生可以查看患者的隐私数据信息，该功能设定权限，只有特定权限下的用户才可以访问到患者的基本信息，用来保证患者数据的安全。</w:t>
            </w:r>
          </w:p>
          <w:p w14:paraId="6BDC08F7">
            <w:pPr>
              <w:rPr>
                <w:rFonts w:hint="eastAsia" w:ascii="宋体" w:hAnsi="宋体" w:eastAsia="宋体" w:cs="宋体"/>
                <w:szCs w:val="21"/>
              </w:rPr>
            </w:pPr>
            <w:bookmarkStart w:id="89" w:name="_Toc2056706781"/>
            <w:r>
              <w:rPr>
                <w:rFonts w:hint="eastAsia" w:ascii="宋体" w:hAnsi="宋体" w:eastAsia="宋体" w:cs="宋体"/>
                <w:szCs w:val="21"/>
              </w:rPr>
              <w:t>5.2就诊信息汇总</w:t>
            </w:r>
            <w:bookmarkEnd w:id="88"/>
            <w:bookmarkEnd w:id="89"/>
            <w:r>
              <w:rPr>
                <w:rFonts w:hint="eastAsia" w:ascii="宋体" w:hAnsi="宋体" w:eastAsia="宋体" w:cs="宋体"/>
                <w:szCs w:val="21"/>
              </w:rPr>
              <w:t>：</w:t>
            </w:r>
          </w:p>
          <w:p w14:paraId="7E7E76CC">
            <w:pPr>
              <w:ind w:firstLine="420" w:firstLineChars="200"/>
              <w:rPr>
                <w:rFonts w:hint="eastAsia" w:ascii="宋体" w:hAnsi="宋体" w:eastAsia="宋体" w:cs="宋体"/>
                <w:szCs w:val="21"/>
              </w:rPr>
            </w:pPr>
            <w:r>
              <w:rPr>
                <w:rFonts w:hint="eastAsia" w:ascii="宋体" w:hAnsi="宋体" w:eastAsia="宋体" w:cs="宋体"/>
                <w:szCs w:val="21"/>
              </w:rPr>
              <w:t>就诊信息汇总，整合了医院HIS、EMR、LIS、RIS、手麻等各个系统的患者信息和就诊信息，并对信息进行了分类组装与多维度展示，以满足多样而复杂的科研和临床病例研究场景。系统可通过患者全景视图查看患者相关的所有临床信息。</w:t>
            </w:r>
          </w:p>
          <w:p w14:paraId="6AFAA109">
            <w:pPr>
              <w:ind w:firstLine="420" w:firstLineChars="200"/>
              <w:rPr>
                <w:rFonts w:hint="eastAsia" w:ascii="宋体" w:hAnsi="宋体" w:eastAsia="宋体" w:cs="宋体"/>
                <w:szCs w:val="21"/>
              </w:rPr>
            </w:pPr>
            <w:r>
              <w:rPr>
                <w:rFonts w:hint="eastAsia" w:ascii="宋体" w:hAnsi="宋体" w:eastAsia="宋体" w:cs="宋体"/>
                <w:szCs w:val="21"/>
              </w:rPr>
              <w:t>整合后的患者就诊信息丰富多样，就诊信息汇总给科研人员和临床医生提供患者诊疗病情整体概要性信息。</w:t>
            </w:r>
          </w:p>
          <w:p w14:paraId="60A63A58">
            <w:pPr>
              <w:rPr>
                <w:rFonts w:hint="eastAsia" w:ascii="宋体" w:hAnsi="宋体" w:eastAsia="宋体" w:cs="宋体"/>
                <w:szCs w:val="21"/>
              </w:rPr>
            </w:pPr>
            <w:bookmarkStart w:id="90" w:name="_Toc92899520"/>
            <w:bookmarkStart w:id="91" w:name="_Toc1174086155"/>
            <w:r>
              <w:rPr>
                <w:rFonts w:hint="eastAsia" w:ascii="宋体" w:hAnsi="宋体" w:eastAsia="宋体" w:cs="宋体"/>
                <w:szCs w:val="21"/>
              </w:rPr>
              <w:t>5.3就诊信息筛选</w:t>
            </w:r>
            <w:bookmarkEnd w:id="90"/>
            <w:bookmarkEnd w:id="91"/>
            <w:r>
              <w:rPr>
                <w:rFonts w:hint="eastAsia" w:ascii="宋体" w:hAnsi="宋体" w:eastAsia="宋体" w:cs="宋体"/>
                <w:szCs w:val="21"/>
              </w:rPr>
              <w:t>：</w:t>
            </w:r>
          </w:p>
          <w:p w14:paraId="79239F06">
            <w:pPr>
              <w:rPr>
                <w:rFonts w:hint="eastAsia" w:ascii="宋体" w:hAnsi="宋体" w:eastAsia="宋体" w:cs="宋体"/>
                <w:szCs w:val="21"/>
              </w:rPr>
            </w:pPr>
            <w:r>
              <w:rPr>
                <w:rFonts w:hint="eastAsia" w:ascii="宋体" w:hAnsi="宋体" w:eastAsia="宋体" w:cs="宋体"/>
                <w:szCs w:val="21"/>
              </w:rPr>
              <w:t xml:space="preserve">   支持快速筛选查看的功能。筛选的功能针对希望查看有特定板块内容的用户，比如，只想查看该患者的具体住院情况，或者是在化疗科的住院情况等等，支持多维度混合的临床场景的快速查询。用户只需要点击勾选想查看的某个类型统计或者是某几个相关类型统计，点击确定后，平台会自动进行筛选并给出符合用户要求的就诊数量和相关就诊具体信息的展示。平台也提供方便的筛选修改，选择清空按钮或者选择想要修改的统计项即可。</w:t>
            </w:r>
          </w:p>
          <w:p w14:paraId="6A5D6F5F">
            <w:pPr>
              <w:rPr>
                <w:rFonts w:hint="eastAsia" w:ascii="宋体" w:hAnsi="宋体" w:eastAsia="宋体" w:cs="宋体"/>
                <w:szCs w:val="21"/>
              </w:rPr>
            </w:pPr>
            <w:bookmarkStart w:id="92" w:name="_Toc1786258449"/>
            <w:bookmarkStart w:id="93" w:name="_Toc92899522"/>
            <w:r>
              <w:rPr>
                <w:rFonts w:hint="eastAsia" w:ascii="宋体" w:hAnsi="宋体" w:eastAsia="宋体" w:cs="宋体"/>
                <w:szCs w:val="21"/>
              </w:rPr>
              <w:t>5.4患者详情页（360视图）</w:t>
            </w:r>
            <w:bookmarkEnd w:id="92"/>
            <w:bookmarkEnd w:id="93"/>
          </w:p>
          <w:p w14:paraId="4F1F1DA0">
            <w:pPr>
              <w:ind w:firstLine="420" w:firstLineChars="200"/>
              <w:rPr>
                <w:rFonts w:hint="eastAsia" w:ascii="宋体" w:hAnsi="宋体" w:eastAsia="宋体" w:cs="宋体"/>
                <w:szCs w:val="21"/>
              </w:rPr>
            </w:pPr>
            <w:r>
              <w:rPr>
                <w:rFonts w:hint="eastAsia" w:ascii="宋体" w:hAnsi="宋体" w:eastAsia="宋体" w:cs="宋体"/>
                <w:szCs w:val="21"/>
              </w:rPr>
              <w:t>患者详情提供了在任何场景下的数据详情展现的能力，患者详情页包括病案信息，电子病历相关信息，费用信息，检验检查结果信息，病程信息，随访信息等已集成的数据详情，可选择查看任一指标的详情，查看历次就诊信息。从而让医生发现问题后可以深入细节，找到问题背后的原因。</w:t>
            </w:r>
          </w:p>
          <w:p w14:paraId="1195F2E2">
            <w:pPr>
              <w:ind w:firstLine="420" w:firstLineChars="200"/>
              <w:rPr>
                <w:rFonts w:hint="eastAsia" w:ascii="宋体" w:hAnsi="宋体" w:eastAsia="宋体" w:cs="宋体"/>
                <w:szCs w:val="21"/>
              </w:rPr>
            </w:pPr>
            <w:r>
              <w:rPr>
                <w:rFonts w:hint="eastAsia" w:ascii="宋体" w:hAnsi="宋体" w:eastAsia="宋体" w:cs="宋体"/>
                <w:szCs w:val="21"/>
              </w:rPr>
              <w:t>患者详情页需要具备以下特点：患者基本信息分为脱敏信息和隐私信息，保证患者私人信息安全性的同时也保留病患的沟通渠道。</w:t>
            </w:r>
          </w:p>
          <w:p w14:paraId="6EA1B841">
            <w:pPr>
              <w:ind w:firstLine="420" w:firstLineChars="200"/>
              <w:rPr>
                <w:rFonts w:hint="eastAsia" w:ascii="宋体" w:hAnsi="宋体" w:eastAsia="宋体" w:cs="宋体"/>
                <w:szCs w:val="21"/>
              </w:rPr>
            </w:pPr>
            <w:r>
              <w:rPr>
                <w:rFonts w:hint="eastAsia" w:ascii="宋体" w:hAnsi="宋体" w:eastAsia="宋体" w:cs="宋体"/>
                <w:szCs w:val="21"/>
              </w:rPr>
              <w:t>平台根据不同的病例信息类型提供特定的信息展示设计，比如，病案首页用横向的表格展示，诊断信息用序号将主要诊断排在首行，其余的诊断也将相关信息按序展示在表格中。</w:t>
            </w:r>
          </w:p>
          <w:p w14:paraId="76346FC5">
            <w:pPr>
              <w:rPr>
                <w:rFonts w:hint="eastAsia" w:ascii="宋体" w:hAnsi="宋体" w:eastAsia="宋体" w:cs="宋体"/>
                <w:szCs w:val="21"/>
              </w:rPr>
            </w:pPr>
            <w:bookmarkStart w:id="94" w:name="_Toc92899523"/>
            <w:bookmarkStart w:id="95" w:name="_Toc1971850930"/>
            <w:r>
              <w:rPr>
                <w:rFonts w:hint="eastAsia" w:ascii="宋体" w:hAnsi="宋体" w:eastAsia="宋体" w:cs="宋体"/>
                <w:szCs w:val="21"/>
              </w:rPr>
              <w:t>5.5患者时间轴</w:t>
            </w:r>
            <w:bookmarkEnd w:id="94"/>
            <w:bookmarkEnd w:id="95"/>
            <w:r>
              <w:rPr>
                <w:rFonts w:hint="eastAsia" w:ascii="宋体" w:hAnsi="宋体" w:eastAsia="宋体" w:cs="宋体"/>
                <w:szCs w:val="21"/>
              </w:rPr>
              <w:t>：</w:t>
            </w:r>
          </w:p>
          <w:p w14:paraId="7C39DE72">
            <w:pPr>
              <w:ind w:firstLine="420" w:firstLineChars="200"/>
              <w:rPr>
                <w:rFonts w:hint="eastAsia" w:ascii="宋体" w:hAnsi="宋体" w:eastAsia="宋体" w:cs="宋体"/>
                <w:szCs w:val="21"/>
              </w:rPr>
            </w:pPr>
            <w:r>
              <w:rPr>
                <w:rFonts w:hint="eastAsia" w:ascii="宋体" w:hAnsi="宋体" w:eastAsia="宋体" w:cs="宋体"/>
                <w:szCs w:val="21"/>
              </w:rPr>
              <w:t>患者时间轴以就诊时间罗列来展示患者的历次就诊信息，支持从早到晚和从晚到早的排序方式。时间轴卡片展示就诊类型、科室和就诊时间，能够快速的提供概要信息。</w:t>
            </w:r>
          </w:p>
          <w:p w14:paraId="2EBDEF33">
            <w:pPr>
              <w:ind w:firstLine="420" w:firstLineChars="200"/>
              <w:rPr>
                <w:rFonts w:hint="eastAsia" w:ascii="宋体" w:hAnsi="宋体" w:eastAsia="宋体" w:cs="宋体"/>
                <w:szCs w:val="21"/>
              </w:rPr>
            </w:pPr>
            <w:r>
              <w:rPr>
                <w:rFonts w:hint="eastAsia" w:ascii="宋体" w:hAnsi="宋体" w:eastAsia="宋体" w:cs="宋体"/>
                <w:szCs w:val="21"/>
              </w:rPr>
              <w:t>通过时间轴可以看到基于这个患者重点数据的全周期以时间顺序的展示，可以直观了解患者重点诊疗事件和结局，以及重点指标的时序进展情况。支持查看每个诊疗事件的详情。时间轴卡片展示就诊类型、就诊科室和就诊时间，能够快捷的提供就诊的概要信息。可以展示完整的该次就诊的全部诊疗信息。</w:t>
            </w:r>
          </w:p>
          <w:p w14:paraId="67651594">
            <w:pPr>
              <w:ind w:firstLine="420" w:firstLineChars="200"/>
              <w:rPr>
                <w:rFonts w:hint="eastAsia" w:ascii="宋体" w:hAnsi="宋体" w:eastAsia="宋体" w:cs="宋体"/>
                <w:szCs w:val="21"/>
              </w:rPr>
            </w:pPr>
            <w:r>
              <w:rPr>
                <w:rFonts w:hint="eastAsia" w:ascii="宋体" w:hAnsi="宋体" w:eastAsia="宋体" w:cs="宋体"/>
                <w:szCs w:val="21"/>
              </w:rPr>
              <w:t>系统从就诊类型、就诊时间、就诊科室三个维度对患者的就诊信息进行了统计描述，并支持用户进行筛选。</w:t>
            </w:r>
          </w:p>
          <w:p w14:paraId="3E61332E">
            <w:pPr>
              <w:rPr>
                <w:rFonts w:hint="eastAsia" w:ascii="宋体" w:hAnsi="宋体" w:eastAsia="宋体" w:cs="宋体"/>
                <w:szCs w:val="21"/>
              </w:rPr>
            </w:pPr>
            <w:bookmarkStart w:id="96" w:name="_Toc930940006"/>
            <w:bookmarkStart w:id="97" w:name="_Toc92899524"/>
            <w:r>
              <w:rPr>
                <w:rFonts w:hint="eastAsia" w:ascii="宋体" w:hAnsi="宋体" w:eastAsia="宋体" w:cs="宋体"/>
                <w:szCs w:val="21"/>
              </w:rPr>
              <w:t>5.6患者历次指标变化趋势图</w:t>
            </w:r>
            <w:bookmarkEnd w:id="96"/>
            <w:bookmarkEnd w:id="97"/>
            <w:r>
              <w:rPr>
                <w:rFonts w:hint="eastAsia" w:ascii="宋体" w:hAnsi="宋体" w:eastAsia="宋体" w:cs="宋体"/>
                <w:szCs w:val="21"/>
              </w:rPr>
              <w:t>：</w:t>
            </w:r>
          </w:p>
          <w:p w14:paraId="45B73FC3">
            <w:pPr>
              <w:ind w:firstLine="420" w:firstLineChars="200"/>
              <w:rPr>
                <w:rFonts w:hint="eastAsia" w:ascii="宋体" w:hAnsi="宋体" w:eastAsia="宋体" w:cs="宋体"/>
                <w:szCs w:val="21"/>
              </w:rPr>
            </w:pPr>
            <w:r>
              <w:rPr>
                <w:rFonts w:hint="eastAsia" w:ascii="宋体" w:hAnsi="宋体" w:eastAsia="宋体" w:cs="宋体"/>
                <w:szCs w:val="21"/>
              </w:rPr>
              <w:t>系统可以按时间轴将常见项目（如体温、血压、脉搏等）的数据，以图形化方式呈现给医生，直观的展示各项数据的波动情况，帮助医生快速判断患者病情，并且支持用图形化方式展示指标的变化趋势。</w:t>
            </w:r>
          </w:p>
          <w:p w14:paraId="74636D1C">
            <w:pPr>
              <w:rPr>
                <w:rFonts w:hint="eastAsia" w:ascii="宋体" w:hAnsi="宋体" w:eastAsia="宋体" w:cs="宋体"/>
                <w:szCs w:val="21"/>
              </w:rPr>
            </w:pPr>
            <w:r>
              <w:rPr>
                <w:rFonts w:hint="eastAsia" w:ascii="宋体" w:hAnsi="宋体" w:eastAsia="宋体" w:cs="宋体"/>
                <w:szCs w:val="21"/>
              </w:rPr>
              <w:t>用户可以直观的观察到指标并支持下载指标图形、查看该指标项的具体数值等功能。</w:t>
            </w:r>
          </w:p>
          <w:p w14:paraId="498C004D">
            <w:pPr>
              <w:rPr>
                <w:rFonts w:hint="eastAsia" w:ascii="宋体" w:hAnsi="宋体" w:eastAsia="宋体" w:cs="宋体"/>
                <w:szCs w:val="21"/>
              </w:rPr>
            </w:pPr>
            <w:r>
              <w:rPr>
                <w:rFonts w:hint="eastAsia" w:ascii="宋体" w:hAnsi="宋体" w:eastAsia="宋体" w:cs="宋体"/>
                <w:szCs w:val="21"/>
              </w:rPr>
              <w:t>6.最终用户需具备的部署条件：</w:t>
            </w:r>
          </w:p>
          <w:p w14:paraId="754C160F">
            <w:pPr>
              <w:rPr>
                <w:rFonts w:hint="eastAsia" w:ascii="宋体" w:hAnsi="宋体" w:eastAsia="宋体" w:cs="宋体"/>
                <w:szCs w:val="21"/>
              </w:rPr>
            </w:pPr>
            <w:r>
              <w:rPr>
                <w:rFonts w:hint="eastAsia" w:ascii="宋体" w:hAnsi="宋体" w:eastAsia="宋体" w:cs="宋体"/>
                <w:szCs w:val="21"/>
              </w:rPr>
              <w:t>6.1</w:t>
            </w:r>
            <w:r>
              <w:rPr>
                <w:rFonts w:hint="eastAsia" w:ascii="宋体" w:hAnsi="宋体" w:eastAsia="宋体" w:cs="宋体"/>
                <w:szCs w:val="21"/>
                <w:lang w:eastAsia="zh-Hans"/>
              </w:rPr>
              <w:t>准备</w:t>
            </w:r>
            <w:r>
              <w:rPr>
                <w:rFonts w:hint="eastAsia" w:ascii="宋体" w:hAnsi="宋体" w:eastAsia="宋体" w:cs="宋体"/>
                <w:szCs w:val="21"/>
              </w:rPr>
              <w:t>服务器硬件部署的机房及机架</w:t>
            </w:r>
            <w:r>
              <w:rPr>
                <w:rFonts w:hint="eastAsia" w:ascii="宋体" w:hAnsi="宋体" w:eastAsia="宋体" w:cs="宋体"/>
                <w:szCs w:val="21"/>
                <w:lang w:eastAsia="zh-Hans"/>
              </w:rPr>
              <w:t>环境</w:t>
            </w:r>
            <w:r>
              <w:rPr>
                <w:rFonts w:hint="eastAsia" w:ascii="宋体" w:hAnsi="宋体" w:eastAsia="宋体" w:cs="宋体"/>
                <w:szCs w:val="21"/>
              </w:rPr>
              <w:t>，并连接到医院内网，提供相关的网络接入授权如IP、防火墙配置等。</w:t>
            </w:r>
          </w:p>
          <w:p w14:paraId="364D77CF">
            <w:pPr>
              <w:rPr>
                <w:rFonts w:hint="eastAsia" w:ascii="宋体" w:hAnsi="宋体" w:eastAsia="宋体" w:cs="宋体"/>
                <w:szCs w:val="21"/>
              </w:rPr>
            </w:pPr>
            <w:r>
              <w:rPr>
                <w:rFonts w:hint="eastAsia" w:ascii="宋体" w:hAnsi="宋体" w:eastAsia="宋体" w:cs="宋体"/>
                <w:szCs w:val="21"/>
              </w:rPr>
              <w:t>6.2开通访问医院内网的VPN及堡垒机或其他访问工具所需的用户、权限等。</w:t>
            </w:r>
          </w:p>
          <w:p w14:paraId="00A067AC">
            <w:pPr>
              <w:rPr>
                <w:rFonts w:hint="eastAsia" w:ascii="宋体" w:hAnsi="宋体" w:eastAsia="宋体" w:cs="宋体"/>
                <w:szCs w:val="21"/>
              </w:rPr>
            </w:pPr>
            <w:r>
              <w:rPr>
                <w:rFonts w:hint="eastAsia" w:ascii="宋体" w:hAnsi="宋体" w:eastAsia="宋体" w:cs="宋体"/>
                <w:szCs w:val="21"/>
              </w:rPr>
              <w:t>6.3提供相关的业务系统数据库访问的连接方式、用户（只读）、密码、权限，包括不限于：HIS、电子病历、病案首页、RIS、LIS、超声（含超声心动）、心电图等业务系统所有表。</w:t>
            </w:r>
          </w:p>
          <w:p w14:paraId="7DD503E9">
            <w:pPr>
              <w:rPr>
                <w:rFonts w:hint="eastAsia" w:ascii="宋体" w:hAnsi="宋体" w:eastAsia="宋体" w:cs="宋体"/>
                <w:szCs w:val="21"/>
              </w:rPr>
            </w:pPr>
            <w:r>
              <w:rPr>
                <w:rFonts w:hint="eastAsia" w:ascii="宋体" w:hAnsi="宋体" w:eastAsia="宋体" w:cs="宋体"/>
                <w:szCs w:val="21"/>
              </w:rPr>
              <w:t>6.4协调信息中心及业务系统厂商按时配合完成相关的数据接入支持工作，提供数据库加解密算法、疑难字段解释等。</w:t>
            </w:r>
          </w:p>
          <w:p w14:paraId="257DC56B">
            <w:pPr>
              <w:rPr>
                <w:rFonts w:hint="eastAsia" w:ascii="宋体" w:hAnsi="宋体" w:eastAsia="宋体" w:cs="宋体"/>
                <w:szCs w:val="21"/>
              </w:rPr>
            </w:pPr>
            <w:r>
              <w:rPr>
                <w:rFonts w:hint="eastAsia" w:ascii="宋体" w:hAnsi="宋体" w:eastAsia="宋体" w:cs="宋体"/>
                <w:szCs w:val="21"/>
              </w:rPr>
              <w:t>6.5开放相关的数据质控所需的原始业务系统查看权限，用于解析后的数据与原始数据核对所用。</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4B2BA0EF">
            <w:pPr>
              <w:widowControl/>
              <w:shd w:val="clear" w:color="auto" w:fill="FFFFFF"/>
              <w:spacing w:line="360" w:lineRule="auto"/>
              <w:jc w:val="center"/>
              <w:rPr>
                <w:rFonts w:hint="eastAsia" w:ascii="宋体" w:hAnsi="宋体" w:eastAsia="宋体" w:cs="宋体"/>
                <w:szCs w:val="21"/>
              </w:rPr>
            </w:pPr>
            <w:r>
              <w:rPr>
                <w:rFonts w:hint="eastAsia" w:ascii="宋体" w:hAnsi="宋体" w:eastAsia="宋体" w:cs="宋体"/>
                <w:szCs w:val="21"/>
              </w:rPr>
              <w:t>150.00</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38FDFE6F">
            <w:pPr>
              <w:widowControl/>
              <w:shd w:val="clear" w:color="auto" w:fill="FFFFFF"/>
              <w:spacing w:line="360" w:lineRule="auto"/>
              <w:jc w:val="center"/>
              <w:rPr>
                <w:rFonts w:ascii="宋体" w:hAnsi="宋体" w:eastAsia="宋体" w:cs="宋体"/>
                <w:szCs w:val="21"/>
              </w:rPr>
            </w:pPr>
            <w:r>
              <w:rPr>
                <w:rFonts w:hint="eastAsia" w:ascii="宋体" w:hAnsi="宋体" w:eastAsia="宋体" w:cs="宋体"/>
                <w:szCs w:val="21"/>
              </w:rPr>
              <w:t>工业</w:t>
            </w:r>
          </w:p>
        </w:tc>
      </w:tr>
      <w:tr w14:paraId="40B22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8" w:hRule="atLeast"/>
          <w:jc w:val="center"/>
        </w:trPr>
        <w:tc>
          <w:tcPr>
            <w:tcW w:w="428" w:type="dxa"/>
            <w:vMerge w:val="continue"/>
            <w:tcBorders>
              <w:left w:val="single" w:color="auto" w:sz="4" w:space="0"/>
              <w:bottom w:val="single" w:color="auto" w:sz="4" w:space="0"/>
              <w:right w:val="single" w:color="auto" w:sz="4" w:space="0"/>
            </w:tcBorders>
            <w:noWrap w:val="0"/>
            <w:vAlign w:val="center"/>
          </w:tcPr>
          <w:p w14:paraId="683E7B58">
            <w:pPr>
              <w:widowControl/>
              <w:shd w:val="clear" w:color="auto" w:fill="FFFFFF"/>
              <w:spacing w:line="360" w:lineRule="auto"/>
              <w:ind w:firstLine="420" w:firstLineChars="200"/>
              <w:rPr>
                <w:rFonts w:hint="eastAsia" w:ascii="宋体" w:hAnsi="宋体" w:eastAsia="宋体" w:cs="宋体"/>
                <w:szCs w:val="21"/>
              </w:rPr>
            </w:pPr>
          </w:p>
        </w:tc>
        <w:tc>
          <w:tcPr>
            <w:tcW w:w="453" w:type="dxa"/>
            <w:tcBorders>
              <w:top w:val="single" w:color="auto" w:sz="4" w:space="0"/>
              <w:left w:val="single" w:color="auto" w:sz="4" w:space="0"/>
              <w:bottom w:val="single" w:color="auto" w:sz="4" w:space="0"/>
              <w:right w:val="single" w:color="auto" w:sz="4" w:space="0"/>
            </w:tcBorders>
            <w:noWrap w:val="0"/>
            <w:vAlign w:val="center"/>
          </w:tcPr>
          <w:p w14:paraId="58927B8B">
            <w:pPr>
              <w:widowControl/>
              <w:shd w:val="clear" w:color="auto" w:fill="FFFFFF"/>
              <w:spacing w:line="360" w:lineRule="auto"/>
              <w:jc w:val="center"/>
              <w:rPr>
                <w:rFonts w:ascii="宋体" w:hAnsi="宋体" w:eastAsia="宋体" w:cs="宋体"/>
                <w:szCs w:val="21"/>
              </w:rPr>
            </w:pPr>
            <w:r>
              <w:rPr>
                <w:rFonts w:hint="eastAsia" w:ascii="宋体" w:hAnsi="宋体" w:eastAsia="宋体" w:cs="宋体"/>
                <w:szCs w:val="21"/>
              </w:rPr>
              <w:t>6</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696FFD2D">
            <w:pPr>
              <w:widowControl/>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国家级远程专家诊疗中心</w:t>
            </w:r>
          </w:p>
        </w:tc>
        <w:tc>
          <w:tcPr>
            <w:tcW w:w="473" w:type="dxa"/>
            <w:tcBorders>
              <w:top w:val="single" w:color="auto" w:sz="4" w:space="0"/>
              <w:left w:val="single" w:color="auto" w:sz="4" w:space="0"/>
              <w:bottom w:val="single" w:color="auto" w:sz="4" w:space="0"/>
              <w:right w:val="single" w:color="auto" w:sz="4" w:space="0"/>
            </w:tcBorders>
            <w:noWrap w:val="0"/>
            <w:vAlign w:val="center"/>
          </w:tcPr>
          <w:p w14:paraId="418C65A7">
            <w:pPr>
              <w:widowControl/>
              <w:jc w:val="center"/>
              <w:textAlignment w:val="center"/>
              <w:rPr>
                <w:rFonts w:hint="eastAsia" w:ascii="宋体" w:hAnsi="宋体" w:eastAsia="宋体" w:cs="宋体"/>
                <w:szCs w:val="21"/>
              </w:rPr>
            </w:pPr>
            <w:r>
              <w:rPr>
                <w:rFonts w:hint="eastAsia" w:ascii="宋体" w:hAnsi="宋体" w:eastAsia="宋体" w:cs="宋体"/>
                <w:szCs w:val="21"/>
              </w:rPr>
              <w:t>套</w:t>
            </w:r>
          </w:p>
        </w:tc>
        <w:tc>
          <w:tcPr>
            <w:tcW w:w="455" w:type="dxa"/>
            <w:tcBorders>
              <w:top w:val="single" w:color="auto" w:sz="4" w:space="0"/>
              <w:left w:val="single" w:color="auto" w:sz="4" w:space="0"/>
              <w:bottom w:val="single" w:color="auto" w:sz="4" w:space="0"/>
              <w:right w:val="single" w:color="auto" w:sz="4" w:space="0"/>
            </w:tcBorders>
            <w:noWrap w:val="0"/>
            <w:vAlign w:val="center"/>
          </w:tcPr>
          <w:p w14:paraId="3A1C148C">
            <w:pPr>
              <w:widowControl/>
              <w:shd w:val="clear" w:color="auto" w:fill="FFFFFF"/>
              <w:spacing w:line="360" w:lineRule="auto"/>
              <w:jc w:val="center"/>
              <w:rPr>
                <w:rFonts w:ascii="宋体" w:hAnsi="宋体" w:eastAsia="宋体" w:cs="宋体"/>
                <w:szCs w:val="21"/>
              </w:rPr>
            </w:pPr>
            <w:r>
              <w:rPr>
                <w:rFonts w:hint="eastAsia" w:ascii="宋体" w:hAnsi="宋体" w:eastAsia="宋体" w:cs="宋体"/>
                <w:szCs w:val="21"/>
              </w:rPr>
              <w:t>1</w:t>
            </w:r>
          </w:p>
        </w:tc>
        <w:tc>
          <w:tcPr>
            <w:tcW w:w="865" w:type="dxa"/>
            <w:tcBorders>
              <w:top w:val="single" w:color="auto" w:sz="4" w:space="0"/>
              <w:left w:val="single" w:color="auto" w:sz="4" w:space="0"/>
              <w:bottom w:val="single" w:color="auto" w:sz="4" w:space="0"/>
              <w:right w:val="single" w:color="auto" w:sz="4" w:space="0"/>
            </w:tcBorders>
            <w:noWrap w:val="0"/>
            <w:vAlign w:val="center"/>
          </w:tcPr>
          <w:p w14:paraId="026AA143">
            <w:pPr>
              <w:widowControl/>
              <w:shd w:val="clear" w:color="auto" w:fill="FFFFFF"/>
              <w:spacing w:line="360" w:lineRule="auto"/>
              <w:jc w:val="center"/>
              <w:rPr>
                <w:rFonts w:ascii="宋体" w:hAnsi="宋体" w:eastAsia="宋体" w:cs="宋体"/>
                <w:szCs w:val="21"/>
              </w:rPr>
            </w:pPr>
            <w:r>
              <w:rPr>
                <w:rFonts w:hint="eastAsia" w:ascii="宋体" w:hAnsi="宋体" w:eastAsia="宋体" w:cs="宋体"/>
                <w:szCs w:val="21"/>
              </w:rPr>
              <w:t>300.00</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6864488B">
            <w:pPr>
              <w:widowControl/>
              <w:shd w:val="clear" w:color="auto" w:fill="FFFFFF"/>
              <w:spacing w:line="360" w:lineRule="auto"/>
              <w:jc w:val="center"/>
              <w:rPr>
                <w:rFonts w:hint="eastAsia" w:ascii="宋体" w:hAnsi="宋体" w:eastAsia="宋体" w:cs="宋体"/>
                <w:szCs w:val="21"/>
              </w:rPr>
            </w:pPr>
            <w:r>
              <w:rPr>
                <w:rFonts w:hint="eastAsia" w:ascii="宋体" w:hAnsi="宋体" w:eastAsia="宋体" w:cs="宋体"/>
                <w:szCs w:val="21"/>
              </w:rPr>
              <w:t>300.00</w:t>
            </w:r>
          </w:p>
        </w:tc>
        <w:tc>
          <w:tcPr>
            <w:tcW w:w="9132" w:type="dxa"/>
            <w:tcBorders>
              <w:top w:val="single" w:color="auto" w:sz="4" w:space="0"/>
              <w:left w:val="single" w:color="auto" w:sz="4" w:space="0"/>
              <w:bottom w:val="single" w:color="auto" w:sz="4" w:space="0"/>
              <w:right w:val="single" w:color="auto" w:sz="4" w:space="0"/>
            </w:tcBorders>
            <w:noWrap w:val="0"/>
            <w:vAlign w:val="center"/>
          </w:tcPr>
          <w:p w14:paraId="4538E997">
            <w:pPr>
              <w:rPr>
                <w:rFonts w:hint="eastAsia" w:ascii="宋体" w:hAnsi="宋体" w:eastAsia="宋体" w:cs="宋体"/>
                <w:szCs w:val="21"/>
              </w:rPr>
            </w:pPr>
            <w:r>
              <w:rPr>
                <w:rFonts w:hint="eastAsia" w:ascii="宋体" w:hAnsi="宋体" w:eastAsia="宋体" w:cs="宋体"/>
                <w:szCs w:val="21"/>
              </w:rPr>
              <w:t>一、项目需求清单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3366"/>
              <w:gridCol w:w="3366"/>
              <w:gridCol w:w="636"/>
              <w:gridCol w:w="636"/>
            </w:tblGrid>
            <w:tr w14:paraId="63A7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12FF4199">
                  <w:pPr>
                    <w:jc w:val="center"/>
                    <w:rPr>
                      <w:rFonts w:hint="eastAsia" w:ascii="宋体" w:hAnsi="宋体" w:eastAsia="宋体" w:cs="宋体"/>
                      <w:szCs w:val="21"/>
                    </w:rPr>
                  </w:pPr>
                  <w:r>
                    <w:rPr>
                      <w:rFonts w:hint="eastAsia" w:ascii="宋体" w:hAnsi="宋体" w:eastAsia="宋体" w:cs="宋体"/>
                      <w:szCs w:val="21"/>
                    </w:rPr>
                    <w:t>序号</w:t>
                  </w:r>
                </w:p>
              </w:tc>
              <w:tc>
                <w:tcPr>
                  <w:tcW w:w="0" w:type="auto"/>
                  <w:noWrap w:val="0"/>
                  <w:vAlign w:val="center"/>
                </w:tcPr>
                <w:p w14:paraId="58725EA5">
                  <w:pPr>
                    <w:jc w:val="center"/>
                    <w:rPr>
                      <w:rFonts w:hint="eastAsia" w:ascii="宋体" w:hAnsi="宋体" w:eastAsia="宋体" w:cs="宋体"/>
                      <w:szCs w:val="21"/>
                    </w:rPr>
                  </w:pPr>
                  <w:r>
                    <w:rPr>
                      <w:rFonts w:hint="eastAsia" w:ascii="宋体" w:hAnsi="宋体" w:eastAsia="宋体" w:cs="宋体"/>
                      <w:szCs w:val="21"/>
                    </w:rPr>
                    <w:t>系统</w:t>
                  </w:r>
                </w:p>
              </w:tc>
              <w:tc>
                <w:tcPr>
                  <w:tcW w:w="0" w:type="auto"/>
                  <w:noWrap w:val="0"/>
                  <w:vAlign w:val="center"/>
                </w:tcPr>
                <w:p w14:paraId="558D7994">
                  <w:pPr>
                    <w:jc w:val="center"/>
                    <w:rPr>
                      <w:rFonts w:hint="eastAsia" w:ascii="宋体" w:hAnsi="宋体" w:eastAsia="宋体" w:cs="宋体"/>
                      <w:szCs w:val="21"/>
                    </w:rPr>
                  </w:pPr>
                  <w:r>
                    <w:rPr>
                      <w:rFonts w:hint="eastAsia" w:ascii="宋体" w:hAnsi="宋体" w:eastAsia="宋体" w:cs="宋体"/>
                      <w:szCs w:val="21"/>
                    </w:rPr>
                    <w:t>规格</w:t>
                  </w:r>
                </w:p>
              </w:tc>
              <w:tc>
                <w:tcPr>
                  <w:tcW w:w="0" w:type="auto"/>
                  <w:noWrap w:val="0"/>
                  <w:vAlign w:val="center"/>
                </w:tcPr>
                <w:p w14:paraId="1A8FA342">
                  <w:pPr>
                    <w:jc w:val="center"/>
                    <w:rPr>
                      <w:rFonts w:hint="eastAsia" w:ascii="宋体" w:hAnsi="宋体" w:eastAsia="宋体" w:cs="宋体"/>
                      <w:szCs w:val="21"/>
                    </w:rPr>
                  </w:pPr>
                  <w:r>
                    <w:rPr>
                      <w:rFonts w:hint="eastAsia" w:ascii="宋体" w:hAnsi="宋体" w:eastAsia="宋体" w:cs="宋体"/>
                      <w:szCs w:val="21"/>
                    </w:rPr>
                    <w:t>单位</w:t>
                  </w:r>
                </w:p>
              </w:tc>
              <w:tc>
                <w:tcPr>
                  <w:tcW w:w="0" w:type="auto"/>
                  <w:noWrap w:val="0"/>
                  <w:vAlign w:val="center"/>
                </w:tcPr>
                <w:p w14:paraId="580CD6FF">
                  <w:pPr>
                    <w:jc w:val="center"/>
                    <w:rPr>
                      <w:rFonts w:hint="eastAsia" w:ascii="宋体" w:hAnsi="宋体" w:eastAsia="宋体" w:cs="宋体"/>
                      <w:szCs w:val="21"/>
                    </w:rPr>
                  </w:pPr>
                  <w:r>
                    <w:rPr>
                      <w:rFonts w:hint="eastAsia" w:ascii="宋体" w:hAnsi="宋体" w:eastAsia="宋体" w:cs="宋体"/>
                      <w:szCs w:val="21"/>
                    </w:rPr>
                    <w:t>数量</w:t>
                  </w:r>
                </w:p>
              </w:tc>
            </w:tr>
            <w:tr w14:paraId="6C118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noWrap w:val="0"/>
                  <w:vAlign w:val="center"/>
                </w:tcPr>
                <w:p w14:paraId="654449BA">
                  <w:pPr>
                    <w:jc w:val="center"/>
                    <w:rPr>
                      <w:rFonts w:hint="eastAsia" w:ascii="宋体" w:hAnsi="宋体" w:eastAsia="宋体" w:cs="宋体"/>
                      <w:szCs w:val="21"/>
                    </w:rPr>
                  </w:pPr>
                  <w:r>
                    <w:rPr>
                      <w:rFonts w:hint="eastAsia" w:ascii="宋体" w:hAnsi="宋体" w:eastAsia="宋体" w:cs="宋体"/>
                      <w:szCs w:val="21"/>
                    </w:rPr>
                    <w:t>1</w:t>
                  </w:r>
                </w:p>
              </w:tc>
              <w:tc>
                <w:tcPr>
                  <w:tcW w:w="0" w:type="auto"/>
                  <w:vMerge w:val="restart"/>
                  <w:noWrap w:val="0"/>
                  <w:vAlign w:val="center"/>
                </w:tcPr>
                <w:p w14:paraId="11D92EAB">
                  <w:pPr>
                    <w:jc w:val="center"/>
                    <w:rPr>
                      <w:rFonts w:hint="eastAsia" w:ascii="宋体" w:hAnsi="宋体" w:eastAsia="宋体" w:cs="宋体"/>
                      <w:szCs w:val="21"/>
                    </w:rPr>
                  </w:pPr>
                  <w:r>
                    <w:rPr>
                      <w:rFonts w:hint="eastAsia" w:ascii="宋体" w:hAnsi="宋体" w:eastAsia="宋体" w:cs="宋体"/>
                      <w:kern w:val="0"/>
                      <w:szCs w:val="21"/>
                    </w:rPr>
                    <w:t>国家级远程专家诊疗中心门诊系统</w:t>
                  </w:r>
                </w:p>
              </w:tc>
              <w:tc>
                <w:tcPr>
                  <w:tcW w:w="0" w:type="auto"/>
                  <w:noWrap w:val="0"/>
                  <w:vAlign w:val="center"/>
                </w:tcPr>
                <w:p w14:paraId="11684564">
                  <w:pPr>
                    <w:jc w:val="center"/>
                    <w:rPr>
                      <w:rFonts w:hint="eastAsia" w:ascii="宋体" w:hAnsi="宋体" w:eastAsia="宋体" w:cs="宋体"/>
                      <w:szCs w:val="21"/>
                    </w:rPr>
                  </w:pPr>
                  <w:r>
                    <w:rPr>
                      <w:rFonts w:hint="eastAsia" w:ascii="宋体" w:hAnsi="宋体" w:eastAsia="宋体" w:cs="宋体"/>
                      <w:szCs w:val="21"/>
                    </w:rPr>
                    <w:t>远程门诊协同系统软件</w:t>
                  </w:r>
                </w:p>
              </w:tc>
              <w:tc>
                <w:tcPr>
                  <w:tcW w:w="0" w:type="auto"/>
                  <w:noWrap w:val="0"/>
                  <w:vAlign w:val="center"/>
                </w:tcPr>
                <w:p w14:paraId="1EC77BD6">
                  <w:pPr>
                    <w:jc w:val="center"/>
                    <w:rPr>
                      <w:rFonts w:hint="eastAsia" w:ascii="宋体" w:hAnsi="宋体" w:eastAsia="宋体" w:cs="宋体"/>
                      <w:szCs w:val="21"/>
                    </w:rPr>
                  </w:pPr>
                  <w:r>
                    <w:rPr>
                      <w:rFonts w:hint="eastAsia" w:ascii="宋体" w:hAnsi="宋体" w:eastAsia="宋体" w:cs="宋体"/>
                      <w:szCs w:val="21"/>
                    </w:rPr>
                    <w:t>套</w:t>
                  </w:r>
                </w:p>
              </w:tc>
              <w:tc>
                <w:tcPr>
                  <w:tcW w:w="0" w:type="auto"/>
                  <w:noWrap w:val="0"/>
                  <w:vAlign w:val="center"/>
                </w:tcPr>
                <w:p w14:paraId="07C79D41">
                  <w:pPr>
                    <w:jc w:val="center"/>
                    <w:rPr>
                      <w:rFonts w:hint="eastAsia" w:ascii="宋体" w:hAnsi="宋体" w:eastAsia="宋体" w:cs="宋体"/>
                      <w:szCs w:val="21"/>
                    </w:rPr>
                  </w:pPr>
                  <w:r>
                    <w:rPr>
                      <w:rFonts w:hint="eastAsia" w:ascii="宋体" w:hAnsi="宋体" w:eastAsia="宋体" w:cs="宋体"/>
                      <w:szCs w:val="21"/>
                    </w:rPr>
                    <w:t>1</w:t>
                  </w:r>
                </w:p>
              </w:tc>
            </w:tr>
            <w:tr w14:paraId="40C1A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noWrap w:val="0"/>
                  <w:vAlign w:val="center"/>
                </w:tcPr>
                <w:p w14:paraId="794BE471">
                  <w:pPr>
                    <w:jc w:val="center"/>
                    <w:rPr>
                      <w:rFonts w:hint="eastAsia" w:ascii="宋体" w:hAnsi="宋体" w:eastAsia="宋体" w:cs="宋体"/>
                      <w:szCs w:val="21"/>
                    </w:rPr>
                  </w:pPr>
                </w:p>
              </w:tc>
              <w:tc>
                <w:tcPr>
                  <w:tcW w:w="0" w:type="auto"/>
                  <w:vMerge w:val="continue"/>
                  <w:noWrap w:val="0"/>
                  <w:vAlign w:val="center"/>
                </w:tcPr>
                <w:p w14:paraId="15C95CA6">
                  <w:pPr>
                    <w:jc w:val="center"/>
                    <w:rPr>
                      <w:rFonts w:hint="eastAsia" w:ascii="宋体" w:hAnsi="宋体" w:eastAsia="宋体" w:cs="宋体"/>
                      <w:szCs w:val="21"/>
                    </w:rPr>
                  </w:pPr>
                </w:p>
              </w:tc>
              <w:tc>
                <w:tcPr>
                  <w:tcW w:w="0" w:type="auto"/>
                  <w:noWrap w:val="0"/>
                  <w:vAlign w:val="center"/>
                </w:tcPr>
                <w:p w14:paraId="46CEABF0">
                  <w:pPr>
                    <w:jc w:val="center"/>
                    <w:rPr>
                      <w:rFonts w:hint="eastAsia" w:ascii="宋体" w:hAnsi="宋体" w:eastAsia="宋体" w:cs="宋体"/>
                      <w:szCs w:val="21"/>
                    </w:rPr>
                  </w:pPr>
                  <w:r>
                    <w:rPr>
                      <w:rFonts w:hint="eastAsia" w:ascii="宋体" w:hAnsi="宋体" w:eastAsia="宋体" w:cs="宋体"/>
                      <w:kern w:val="0"/>
                      <w:szCs w:val="21"/>
                    </w:rPr>
                    <w:t>国家级远程专家诊疗中心门诊系统</w:t>
                  </w:r>
                </w:p>
              </w:tc>
              <w:tc>
                <w:tcPr>
                  <w:tcW w:w="0" w:type="auto"/>
                  <w:noWrap w:val="0"/>
                  <w:vAlign w:val="center"/>
                </w:tcPr>
                <w:p w14:paraId="10DA7641">
                  <w:pPr>
                    <w:jc w:val="center"/>
                    <w:rPr>
                      <w:rFonts w:hint="eastAsia" w:ascii="宋体" w:hAnsi="宋体" w:eastAsia="宋体" w:cs="宋体"/>
                      <w:szCs w:val="21"/>
                    </w:rPr>
                  </w:pPr>
                  <w:r>
                    <w:rPr>
                      <w:rFonts w:hint="eastAsia" w:ascii="宋体" w:hAnsi="宋体" w:eastAsia="宋体" w:cs="宋体"/>
                      <w:szCs w:val="21"/>
                    </w:rPr>
                    <w:t>套</w:t>
                  </w:r>
                </w:p>
              </w:tc>
              <w:tc>
                <w:tcPr>
                  <w:tcW w:w="0" w:type="auto"/>
                  <w:noWrap w:val="0"/>
                  <w:vAlign w:val="center"/>
                </w:tcPr>
                <w:p w14:paraId="17C78780">
                  <w:pPr>
                    <w:jc w:val="center"/>
                    <w:rPr>
                      <w:rFonts w:hint="eastAsia" w:ascii="宋体" w:hAnsi="宋体" w:eastAsia="宋体" w:cs="宋体"/>
                      <w:szCs w:val="21"/>
                    </w:rPr>
                  </w:pPr>
                  <w:r>
                    <w:rPr>
                      <w:rFonts w:hint="eastAsia" w:ascii="宋体" w:hAnsi="宋体" w:eastAsia="宋体" w:cs="宋体"/>
                      <w:szCs w:val="21"/>
                    </w:rPr>
                    <w:t>1</w:t>
                  </w:r>
                </w:p>
              </w:tc>
            </w:tr>
          </w:tbl>
          <w:p w14:paraId="0B010650">
            <w:pPr>
              <w:rPr>
                <w:rFonts w:hint="eastAsia" w:ascii="宋体" w:hAnsi="宋体" w:eastAsia="宋体" w:cs="宋体"/>
                <w:szCs w:val="21"/>
              </w:rPr>
            </w:pPr>
            <w:r>
              <w:rPr>
                <w:rFonts w:hint="eastAsia" w:ascii="宋体" w:hAnsi="宋体" w:eastAsia="宋体" w:cs="宋体"/>
                <w:szCs w:val="21"/>
              </w:rPr>
              <w:t>二、技术服务要求</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684"/>
              <w:gridCol w:w="7029"/>
            </w:tblGrid>
            <w:tr w14:paraId="53E1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14:paraId="3A44EBE8">
                  <w:pPr>
                    <w:jc w:val="center"/>
                    <w:rPr>
                      <w:rFonts w:hint="eastAsia" w:ascii="宋体" w:hAnsi="宋体" w:eastAsia="宋体" w:cs="宋体"/>
                      <w:kern w:val="0"/>
                      <w:szCs w:val="21"/>
                    </w:rPr>
                  </w:pPr>
                  <w:r>
                    <w:rPr>
                      <w:rFonts w:hint="eastAsia" w:ascii="宋体" w:hAnsi="宋体" w:eastAsia="宋体" w:cs="宋体"/>
                      <w:kern w:val="0"/>
                      <w:szCs w:val="21"/>
                    </w:rPr>
                    <w:t>服务名称</w:t>
                  </w:r>
                </w:p>
              </w:tc>
              <w:tc>
                <w:tcPr>
                  <w:tcW w:w="684" w:type="dxa"/>
                  <w:noWrap w:val="0"/>
                  <w:vAlign w:val="center"/>
                </w:tcPr>
                <w:p w14:paraId="28C6A2A4">
                  <w:pPr>
                    <w:jc w:val="center"/>
                    <w:rPr>
                      <w:rFonts w:hint="eastAsia" w:ascii="宋体" w:hAnsi="宋体" w:eastAsia="宋体" w:cs="宋体"/>
                      <w:kern w:val="0"/>
                      <w:szCs w:val="21"/>
                    </w:rPr>
                  </w:pPr>
                  <w:r>
                    <w:rPr>
                      <w:rFonts w:hint="eastAsia" w:ascii="宋体" w:hAnsi="宋体" w:eastAsia="宋体" w:cs="宋体"/>
                      <w:kern w:val="0"/>
                      <w:szCs w:val="21"/>
                    </w:rPr>
                    <w:t>服务项</w:t>
                  </w:r>
                </w:p>
              </w:tc>
              <w:tc>
                <w:tcPr>
                  <w:tcW w:w="7029" w:type="dxa"/>
                  <w:noWrap w:val="0"/>
                  <w:vAlign w:val="top"/>
                </w:tcPr>
                <w:p w14:paraId="5189AA70">
                  <w:pPr>
                    <w:jc w:val="center"/>
                    <w:rPr>
                      <w:rFonts w:hint="eastAsia" w:ascii="宋体" w:hAnsi="宋体" w:eastAsia="宋体" w:cs="宋体"/>
                      <w:kern w:val="0"/>
                      <w:szCs w:val="21"/>
                    </w:rPr>
                  </w:pPr>
                  <w:r>
                    <w:rPr>
                      <w:rFonts w:hint="eastAsia" w:ascii="宋体" w:hAnsi="宋体" w:eastAsia="宋体" w:cs="宋体"/>
                      <w:kern w:val="0"/>
                      <w:szCs w:val="21"/>
                    </w:rPr>
                    <w:t>技术参数</w:t>
                  </w:r>
                </w:p>
              </w:tc>
            </w:tr>
            <w:tr w14:paraId="5DEF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gridSpan w:val="3"/>
                  <w:noWrap w:val="0"/>
                  <w:vAlign w:val="center"/>
                </w:tcPr>
                <w:p w14:paraId="0CEA29C3">
                  <w:pPr>
                    <w:rPr>
                      <w:rFonts w:hint="eastAsia" w:ascii="宋体" w:hAnsi="宋体" w:eastAsia="宋体" w:cs="宋体"/>
                      <w:kern w:val="0"/>
                      <w:szCs w:val="21"/>
                    </w:rPr>
                  </w:pPr>
                  <w:r>
                    <w:rPr>
                      <w:rFonts w:hint="eastAsia" w:ascii="宋体" w:hAnsi="宋体" w:eastAsia="宋体" w:cs="宋体"/>
                      <w:kern w:val="0"/>
                      <w:szCs w:val="21"/>
                    </w:rPr>
                    <w:t>（一）</w:t>
                  </w:r>
                  <w:r>
                    <w:rPr>
                      <w:rFonts w:hint="eastAsia" w:ascii="宋体" w:hAnsi="宋体" w:eastAsia="宋体" w:cs="宋体"/>
                      <w:szCs w:val="21"/>
                    </w:rPr>
                    <w:t>远程门诊协同系统软件</w:t>
                  </w:r>
                </w:p>
              </w:tc>
            </w:tr>
            <w:tr w14:paraId="1EEDE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noWrap w:val="0"/>
                  <w:vAlign w:val="center"/>
                </w:tcPr>
                <w:p w14:paraId="6566D4B5">
                  <w:pPr>
                    <w:jc w:val="center"/>
                    <w:rPr>
                      <w:rFonts w:hint="eastAsia" w:ascii="宋体" w:hAnsi="宋体" w:eastAsia="宋体" w:cs="宋体"/>
                      <w:kern w:val="0"/>
                      <w:szCs w:val="21"/>
                    </w:rPr>
                  </w:pPr>
                  <w:r>
                    <w:rPr>
                      <w:rFonts w:hint="eastAsia" w:ascii="宋体" w:hAnsi="宋体" w:eastAsia="宋体" w:cs="宋体"/>
                      <w:szCs w:val="21"/>
                    </w:rPr>
                    <w:t>远程门诊协同系统软件</w:t>
                  </w:r>
                </w:p>
              </w:tc>
              <w:tc>
                <w:tcPr>
                  <w:tcW w:w="684" w:type="dxa"/>
                  <w:noWrap w:val="0"/>
                  <w:vAlign w:val="center"/>
                </w:tcPr>
                <w:p w14:paraId="086F07F8">
                  <w:pPr>
                    <w:jc w:val="center"/>
                    <w:rPr>
                      <w:rFonts w:hint="eastAsia" w:ascii="宋体" w:hAnsi="宋体" w:eastAsia="宋体" w:cs="宋体"/>
                      <w:kern w:val="0"/>
                      <w:szCs w:val="21"/>
                    </w:rPr>
                  </w:pPr>
                  <w:r>
                    <w:rPr>
                      <w:rFonts w:hint="eastAsia" w:ascii="宋体" w:hAnsi="宋体" w:eastAsia="宋体" w:cs="宋体"/>
                      <w:kern w:val="0"/>
                      <w:szCs w:val="21"/>
                    </w:rPr>
                    <w:t>业务</w:t>
                  </w:r>
                </w:p>
                <w:p w14:paraId="2E237DC4">
                  <w:pPr>
                    <w:jc w:val="center"/>
                    <w:rPr>
                      <w:rFonts w:hint="eastAsia" w:ascii="宋体" w:hAnsi="宋体" w:eastAsia="宋体" w:cs="宋体"/>
                      <w:kern w:val="0"/>
                      <w:szCs w:val="21"/>
                    </w:rPr>
                  </w:pPr>
                  <w:r>
                    <w:rPr>
                      <w:rFonts w:hint="eastAsia" w:ascii="宋体" w:hAnsi="宋体" w:eastAsia="宋体" w:cs="宋体"/>
                      <w:kern w:val="0"/>
                      <w:szCs w:val="21"/>
                    </w:rPr>
                    <w:t>功能</w:t>
                  </w:r>
                </w:p>
              </w:tc>
              <w:tc>
                <w:tcPr>
                  <w:tcW w:w="7029" w:type="dxa"/>
                  <w:noWrap w:val="0"/>
                  <w:vAlign w:val="top"/>
                </w:tcPr>
                <w:p w14:paraId="34BD1F64">
                  <w:pPr>
                    <w:ind w:left="420" w:hanging="420"/>
                    <w:rPr>
                      <w:rFonts w:hint="eastAsia" w:ascii="宋体" w:hAnsi="宋体" w:eastAsia="宋体" w:cs="宋体"/>
                      <w:szCs w:val="21"/>
                    </w:rPr>
                  </w:pPr>
                  <w:r>
                    <w:rPr>
                      <w:rFonts w:hint="eastAsia" w:ascii="宋体" w:hAnsi="宋体" w:eastAsia="宋体" w:cs="宋体"/>
                      <w:szCs w:val="21"/>
                    </w:rPr>
                    <w:t>1.远程门诊协同系统软件需支持远程门会诊、远程教学培训。</w:t>
                  </w:r>
                </w:p>
                <w:p w14:paraId="7B9027AC">
                  <w:pPr>
                    <w:rPr>
                      <w:rFonts w:hint="eastAsia" w:ascii="宋体" w:hAnsi="宋体" w:eastAsia="宋体" w:cs="宋体"/>
                      <w:szCs w:val="21"/>
                    </w:rPr>
                  </w:pPr>
                  <w:r>
                    <w:rPr>
                      <w:rFonts w:hint="eastAsia" w:ascii="宋体" w:hAnsi="宋体" w:eastAsia="宋体" w:cs="宋体"/>
                      <w:szCs w:val="21"/>
                    </w:rPr>
                    <w:t>2.支持排班式专家门诊，支持受邀方机构周期性排定在线门诊排班表，邀请方根据排班时间预约门诊，支持机构、学科、出诊医生、出诊时间查询，并根据排班情况进行在线预约。</w:t>
                  </w:r>
                </w:p>
                <w:p w14:paraId="6353F3CD">
                  <w:pPr>
                    <w:rPr>
                      <w:rFonts w:hint="eastAsia" w:ascii="宋体" w:hAnsi="宋体" w:eastAsia="宋体" w:cs="宋体"/>
                      <w:szCs w:val="21"/>
                    </w:rPr>
                  </w:pPr>
                  <w:r>
                    <w:rPr>
                      <w:rFonts w:hint="eastAsia" w:ascii="宋体" w:hAnsi="宋体" w:eastAsia="宋体" w:cs="宋体"/>
                      <w:szCs w:val="21"/>
                    </w:rPr>
                    <w:t>3.支持灵活排班上午、下午或者指定时间段进行排班。</w:t>
                  </w:r>
                </w:p>
                <w:p w14:paraId="4B1C3321">
                  <w:pPr>
                    <w:rPr>
                      <w:rFonts w:hint="eastAsia" w:ascii="宋体" w:hAnsi="宋体" w:eastAsia="宋体" w:cs="宋体"/>
                      <w:szCs w:val="21"/>
                    </w:rPr>
                  </w:pPr>
                  <w:r>
                    <w:rPr>
                      <w:rFonts w:hint="eastAsia" w:ascii="宋体" w:hAnsi="宋体" w:eastAsia="宋体" w:cs="宋体"/>
                      <w:szCs w:val="21"/>
                    </w:rPr>
                    <w:t>4.支持灵活就诊叫号、支持查看侯诊、过号、挂起和已完成。</w:t>
                  </w:r>
                </w:p>
                <w:p w14:paraId="2ECB4F89">
                  <w:pPr>
                    <w:rPr>
                      <w:rFonts w:hint="eastAsia" w:ascii="宋体" w:hAnsi="宋体" w:eastAsia="宋体" w:cs="宋体"/>
                      <w:szCs w:val="21"/>
                    </w:rPr>
                  </w:pPr>
                  <w:r>
                    <w:rPr>
                      <w:rFonts w:hint="eastAsia" w:ascii="宋体" w:hAnsi="宋体" w:eastAsia="宋体" w:cs="宋体"/>
                      <w:szCs w:val="21"/>
                    </w:rPr>
                    <w:t>5.支持受邀方进入门诊后，进行暂停门诊、结束门诊等操作。</w:t>
                  </w:r>
                </w:p>
                <w:p w14:paraId="5A70C287">
                  <w:pPr>
                    <w:rPr>
                      <w:rFonts w:hint="eastAsia" w:ascii="宋体" w:hAnsi="宋体" w:eastAsia="宋体" w:cs="宋体"/>
                      <w:szCs w:val="21"/>
                    </w:rPr>
                  </w:pPr>
                  <w:r>
                    <w:rPr>
                      <w:rFonts w:hint="eastAsia" w:ascii="宋体" w:hAnsi="宋体" w:eastAsia="宋体" w:cs="宋体"/>
                      <w:szCs w:val="21"/>
                    </w:rPr>
                    <w:t>6.</w:t>
                  </w:r>
                  <w:r>
                    <w:rPr>
                      <w:rFonts w:hint="eastAsia" w:ascii="宋体" w:hAnsi="宋体" w:eastAsia="宋体" w:cs="宋体"/>
                      <w:kern w:val="0"/>
                      <w:szCs w:val="21"/>
                    </w:rPr>
                    <w:t>支持调度式多方会诊，支持邀请方选择单个机构，单个科室，点名/非点名专家预约服务，也支持邀请方选择多个机构、多个科室、多位专家进行疑难病例多方联合会诊预约服务。</w:t>
                  </w:r>
                </w:p>
                <w:p w14:paraId="5D0ECD31">
                  <w:pPr>
                    <w:rPr>
                      <w:rFonts w:hint="eastAsia" w:ascii="宋体" w:hAnsi="宋体" w:eastAsia="宋体" w:cs="宋体"/>
                      <w:kern w:val="0"/>
                      <w:szCs w:val="21"/>
                    </w:rPr>
                  </w:pPr>
                  <w:r>
                    <w:rPr>
                      <w:rFonts w:hint="eastAsia" w:ascii="宋体" w:hAnsi="宋体" w:eastAsia="宋体" w:cs="宋体"/>
                      <w:kern w:val="0"/>
                      <w:szCs w:val="21"/>
                    </w:rPr>
                    <w:t>7.</w:t>
                  </w:r>
                  <w:r>
                    <w:rPr>
                      <w:rFonts w:hint="eastAsia" w:ascii="宋体" w:hAnsi="宋体" w:eastAsia="宋体" w:cs="宋体"/>
                      <w:szCs w:val="21"/>
                    </w:rPr>
                    <w:t>支持受邀方与邀请方之间，开展远程教学讲座、互动授课、病例教学等互动示教培训服务。支持门诊直播和门诊点播教学课程管理，内容发布。</w:t>
                  </w:r>
                </w:p>
              </w:tc>
            </w:tr>
            <w:tr w14:paraId="0C3C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gridSpan w:val="3"/>
                  <w:noWrap w:val="0"/>
                  <w:vAlign w:val="center"/>
                </w:tcPr>
                <w:p w14:paraId="44D353B9">
                  <w:pPr>
                    <w:rPr>
                      <w:rFonts w:hint="eastAsia" w:ascii="宋体" w:hAnsi="宋体" w:eastAsia="宋体" w:cs="宋体"/>
                      <w:kern w:val="0"/>
                      <w:szCs w:val="21"/>
                    </w:rPr>
                  </w:pPr>
                  <w:r>
                    <w:rPr>
                      <w:rFonts w:hint="eastAsia" w:ascii="宋体" w:hAnsi="宋体" w:eastAsia="宋体" w:cs="宋体"/>
                      <w:kern w:val="0"/>
                      <w:szCs w:val="21"/>
                    </w:rPr>
                    <w:t>（二）国家级远程专家诊疗中心门诊系统</w:t>
                  </w:r>
                </w:p>
              </w:tc>
            </w:tr>
            <w:tr w14:paraId="458B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restart"/>
                  <w:noWrap w:val="0"/>
                  <w:vAlign w:val="center"/>
                </w:tcPr>
                <w:p w14:paraId="32AAAB10">
                  <w:pPr>
                    <w:jc w:val="center"/>
                    <w:rPr>
                      <w:rFonts w:hint="eastAsia" w:ascii="宋体" w:hAnsi="宋体" w:eastAsia="宋体" w:cs="宋体"/>
                      <w:kern w:val="0"/>
                      <w:szCs w:val="21"/>
                    </w:rPr>
                  </w:pPr>
                  <w:r>
                    <w:rPr>
                      <w:rFonts w:hint="eastAsia" w:ascii="宋体" w:hAnsi="宋体" w:eastAsia="宋体" w:cs="宋体"/>
                      <w:kern w:val="0"/>
                      <w:szCs w:val="21"/>
                    </w:rPr>
                    <w:t>国家级远程专家诊疗中心门诊系统</w:t>
                  </w:r>
                </w:p>
              </w:tc>
              <w:tc>
                <w:tcPr>
                  <w:tcW w:w="684" w:type="dxa"/>
                  <w:vMerge w:val="restart"/>
                  <w:noWrap w:val="0"/>
                  <w:vAlign w:val="center"/>
                </w:tcPr>
                <w:p w14:paraId="3FAFECE4">
                  <w:pPr>
                    <w:jc w:val="center"/>
                    <w:rPr>
                      <w:rFonts w:hint="eastAsia" w:ascii="宋体" w:hAnsi="宋体" w:eastAsia="宋体" w:cs="宋体"/>
                      <w:kern w:val="0"/>
                      <w:szCs w:val="21"/>
                    </w:rPr>
                  </w:pPr>
                  <w:r>
                    <w:rPr>
                      <w:rFonts w:hint="eastAsia" w:ascii="宋体" w:hAnsi="宋体" w:eastAsia="宋体" w:cs="宋体"/>
                      <w:kern w:val="0"/>
                      <w:szCs w:val="21"/>
                    </w:rPr>
                    <w:t>终端规格</w:t>
                  </w:r>
                </w:p>
              </w:tc>
              <w:tc>
                <w:tcPr>
                  <w:tcW w:w="7029" w:type="dxa"/>
                  <w:noWrap w:val="0"/>
                  <w:vAlign w:val="top"/>
                </w:tcPr>
                <w:p w14:paraId="57CE63F1">
                  <w:pPr>
                    <w:rPr>
                      <w:rFonts w:hint="eastAsia" w:ascii="宋体" w:hAnsi="宋体" w:eastAsia="宋体" w:cs="宋体"/>
                      <w:kern w:val="0"/>
                      <w:szCs w:val="21"/>
                    </w:rPr>
                  </w:pPr>
                  <w:r>
                    <w:rPr>
                      <w:rFonts w:hint="eastAsia" w:ascii="宋体" w:hAnsi="宋体" w:eastAsia="宋体" w:cs="宋体"/>
                      <w:kern w:val="0"/>
                      <w:szCs w:val="21"/>
                    </w:rPr>
                    <w:t>终端要求：</w:t>
                  </w:r>
                </w:p>
                <w:p w14:paraId="6FC83561">
                  <w:pPr>
                    <w:ind w:left="420" w:hanging="420"/>
                    <w:rPr>
                      <w:rFonts w:hint="eastAsia" w:ascii="宋体" w:hAnsi="宋体" w:eastAsia="宋体" w:cs="宋体"/>
                      <w:kern w:val="0"/>
                      <w:szCs w:val="21"/>
                    </w:rPr>
                  </w:pPr>
                  <w:r>
                    <w:rPr>
                      <w:rFonts w:hint="eastAsia" w:ascii="宋体" w:hAnsi="宋体" w:eastAsia="宋体" w:cs="宋体"/>
                      <w:kern w:val="0"/>
                      <w:szCs w:val="21"/>
                    </w:rPr>
                    <w:t>1.远程控制接口≥1个。</w:t>
                  </w:r>
                </w:p>
                <w:p w14:paraId="4CF48009">
                  <w:pPr>
                    <w:ind w:left="420" w:hanging="420"/>
                    <w:rPr>
                      <w:rFonts w:hint="eastAsia" w:ascii="宋体" w:hAnsi="宋体" w:eastAsia="宋体" w:cs="宋体"/>
                      <w:kern w:val="0"/>
                      <w:szCs w:val="21"/>
                    </w:rPr>
                  </w:pPr>
                  <w:r>
                    <w:rPr>
                      <w:rFonts w:hint="eastAsia" w:ascii="宋体" w:hAnsi="宋体" w:eastAsia="宋体" w:cs="宋体"/>
                      <w:kern w:val="0"/>
                      <w:szCs w:val="21"/>
                    </w:rPr>
                    <w:t>2.视频输入≥2路，视频输出≥2路。</w:t>
                  </w:r>
                </w:p>
                <w:p w14:paraId="6CC8E54E">
                  <w:pPr>
                    <w:ind w:left="420" w:hanging="420"/>
                    <w:rPr>
                      <w:rFonts w:hint="eastAsia" w:ascii="宋体" w:hAnsi="宋体" w:eastAsia="宋体" w:cs="宋体"/>
                      <w:kern w:val="0"/>
                      <w:szCs w:val="21"/>
                    </w:rPr>
                  </w:pPr>
                  <w:r>
                    <w:rPr>
                      <w:rFonts w:hint="eastAsia" w:ascii="宋体" w:hAnsi="宋体" w:eastAsia="宋体" w:cs="宋体"/>
                      <w:kern w:val="0"/>
                      <w:szCs w:val="21"/>
                    </w:rPr>
                    <w:t>3.网络接入：5G、4G、有线光纤接入。</w:t>
                  </w:r>
                </w:p>
                <w:p w14:paraId="4F7CF859">
                  <w:pPr>
                    <w:rPr>
                      <w:rFonts w:hint="eastAsia" w:ascii="宋体" w:hAnsi="宋体" w:eastAsia="宋体" w:cs="宋体"/>
                      <w:kern w:val="0"/>
                      <w:szCs w:val="21"/>
                    </w:rPr>
                  </w:pPr>
                  <w:r>
                    <w:rPr>
                      <w:rFonts w:hint="eastAsia" w:ascii="宋体" w:hAnsi="宋体" w:eastAsia="宋体" w:cs="宋体"/>
                      <w:kern w:val="0"/>
                      <w:szCs w:val="21"/>
                    </w:rPr>
                    <w:t>4.终端视讯软件支持多方高清实时视频通讯，支持视频录制存储回看。</w:t>
                  </w:r>
                </w:p>
                <w:p w14:paraId="540A3E0F">
                  <w:pPr>
                    <w:rPr>
                      <w:rFonts w:hint="eastAsia" w:ascii="宋体" w:hAnsi="宋体" w:eastAsia="宋体" w:cs="宋体"/>
                      <w:kern w:val="0"/>
                      <w:szCs w:val="21"/>
                    </w:rPr>
                  </w:pPr>
                  <w:r>
                    <w:rPr>
                      <w:rFonts w:hint="eastAsia" w:ascii="宋体" w:hAnsi="宋体" w:eastAsia="宋体" w:cs="宋体"/>
                      <w:kern w:val="0"/>
                      <w:szCs w:val="21"/>
                    </w:rPr>
                    <w:t>5.支持视频门诊过程中，双方可调阅访问患者病历系统信息，包括患者病历、影像、检验、检查等信息，无需在医疗设备和工作站上额外安装软件，双方可同步对医疗设备和工作站进行远程控制。</w:t>
                  </w:r>
                </w:p>
                <w:p w14:paraId="59ADD41D">
                  <w:pPr>
                    <w:rPr>
                      <w:rFonts w:hint="eastAsia" w:ascii="宋体" w:hAnsi="宋体" w:eastAsia="宋体" w:cs="宋体"/>
                      <w:kern w:val="0"/>
                      <w:szCs w:val="21"/>
                    </w:rPr>
                  </w:pPr>
                  <w:r>
                    <w:rPr>
                      <w:rFonts w:hint="eastAsia" w:ascii="宋体" w:hAnsi="宋体" w:eastAsia="宋体" w:cs="宋体"/>
                      <w:kern w:val="0"/>
                      <w:szCs w:val="21"/>
                    </w:rPr>
                    <w:t>6.支持视频门诊过程中，双方基于病历数据视频、患者视频画面，同步协同标记，进行多方标注，支持文字标注、支持鼠标标记、支持画线、箭头、图形、马赛克、支持插入图标标记、支持图标放大、缩小、拖动、旋转等、支持擦除、全部清除功能。</w:t>
                  </w:r>
                </w:p>
                <w:p w14:paraId="54DD6E19">
                  <w:pPr>
                    <w:rPr>
                      <w:rFonts w:hint="eastAsia" w:ascii="宋体" w:hAnsi="宋体" w:eastAsia="宋体" w:cs="宋体"/>
                      <w:kern w:val="0"/>
                      <w:szCs w:val="21"/>
                    </w:rPr>
                  </w:pPr>
                  <w:r>
                    <w:rPr>
                      <w:rFonts w:hint="eastAsia" w:ascii="宋体" w:hAnsi="宋体" w:eastAsia="宋体" w:cs="宋体"/>
                      <w:kern w:val="0"/>
                      <w:szCs w:val="21"/>
                    </w:rPr>
                    <w:t>7.支持视频门诊过程中，远程摄像头控制，通过预设位查看患者查体特写、全景、病历、X光胶片特写、全景等，可以远程控制放大缩小、对焦、上下左右调节。</w:t>
                  </w:r>
                </w:p>
                <w:p w14:paraId="517CE7C7">
                  <w:pPr>
                    <w:rPr>
                      <w:rFonts w:hint="eastAsia" w:ascii="宋体" w:hAnsi="宋体" w:eastAsia="宋体" w:cs="宋体"/>
                      <w:kern w:val="0"/>
                      <w:szCs w:val="21"/>
                    </w:rPr>
                  </w:pPr>
                  <w:r>
                    <w:rPr>
                      <w:rFonts w:hint="eastAsia" w:ascii="宋体" w:hAnsi="宋体" w:eastAsia="宋体" w:cs="宋体"/>
                      <w:kern w:val="0"/>
                      <w:szCs w:val="21"/>
                    </w:rPr>
                    <w:t>8.支持视频多流传输，支持同一个终端同时发送二路人像和一路数据，每路均支持1080P。</w:t>
                  </w:r>
                </w:p>
                <w:p w14:paraId="7A246797">
                  <w:pPr>
                    <w:rPr>
                      <w:rFonts w:hint="eastAsia" w:ascii="宋体" w:hAnsi="宋体" w:eastAsia="宋体" w:cs="宋体"/>
                      <w:kern w:val="0"/>
                      <w:szCs w:val="21"/>
                    </w:rPr>
                  </w:pPr>
                  <w:r>
                    <w:rPr>
                      <w:rFonts w:hint="eastAsia" w:ascii="宋体" w:hAnsi="宋体" w:eastAsia="宋体" w:cs="宋体"/>
                      <w:kern w:val="0"/>
                      <w:szCs w:val="21"/>
                    </w:rPr>
                    <w:t>9.数据画面支持2路及以上视频信号同时采集和混屏编码，分辨率至少支持1080P，支持多路医学影像视频信号混屏组合，支持组合画面远程切换。</w:t>
                  </w:r>
                </w:p>
              </w:tc>
            </w:tr>
            <w:tr w14:paraId="47506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noWrap w:val="0"/>
                  <w:vAlign w:val="center"/>
                </w:tcPr>
                <w:p w14:paraId="09A3142B">
                  <w:pPr>
                    <w:jc w:val="center"/>
                    <w:rPr>
                      <w:rFonts w:hint="eastAsia" w:ascii="宋体" w:hAnsi="宋体" w:eastAsia="宋体" w:cs="宋体"/>
                      <w:kern w:val="0"/>
                      <w:szCs w:val="21"/>
                    </w:rPr>
                  </w:pPr>
                </w:p>
              </w:tc>
              <w:tc>
                <w:tcPr>
                  <w:tcW w:w="684" w:type="dxa"/>
                  <w:vMerge w:val="continue"/>
                  <w:noWrap w:val="0"/>
                  <w:vAlign w:val="center"/>
                </w:tcPr>
                <w:p w14:paraId="21430836">
                  <w:pPr>
                    <w:jc w:val="center"/>
                    <w:rPr>
                      <w:rFonts w:hint="eastAsia" w:ascii="宋体" w:hAnsi="宋体" w:eastAsia="宋体" w:cs="宋体"/>
                      <w:kern w:val="0"/>
                      <w:szCs w:val="21"/>
                    </w:rPr>
                  </w:pPr>
                </w:p>
              </w:tc>
              <w:tc>
                <w:tcPr>
                  <w:tcW w:w="7029" w:type="dxa"/>
                  <w:noWrap w:val="0"/>
                  <w:vAlign w:val="top"/>
                </w:tcPr>
                <w:p w14:paraId="0921984C">
                  <w:pPr>
                    <w:rPr>
                      <w:rFonts w:hint="eastAsia" w:ascii="宋体" w:hAnsi="宋体" w:eastAsia="宋体" w:cs="宋体"/>
                      <w:kern w:val="0"/>
                      <w:szCs w:val="21"/>
                    </w:rPr>
                  </w:pPr>
                  <w:r>
                    <w:rPr>
                      <w:rFonts w:hint="eastAsia" w:ascii="宋体" w:hAnsi="宋体" w:eastAsia="宋体" w:cs="宋体"/>
                      <w:kern w:val="0"/>
                      <w:szCs w:val="21"/>
                    </w:rPr>
                    <w:t>高清门诊特写摄像头要求：</w:t>
                  </w:r>
                </w:p>
                <w:p w14:paraId="3F21861D">
                  <w:pPr>
                    <w:rPr>
                      <w:rFonts w:hint="eastAsia" w:ascii="宋体" w:hAnsi="宋体" w:eastAsia="宋体" w:cs="宋体"/>
                      <w:kern w:val="0"/>
                      <w:szCs w:val="21"/>
                    </w:rPr>
                  </w:pPr>
                  <w:r>
                    <w:rPr>
                      <w:rFonts w:hint="eastAsia" w:ascii="宋体" w:hAnsi="宋体" w:eastAsia="宋体" w:cs="宋体"/>
                      <w:kern w:val="0"/>
                      <w:szCs w:val="21"/>
                    </w:rPr>
                    <w:t>1.像素≥350万(16：9)。</w:t>
                  </w:r>
                </w:p>
                <w:p w14:paraId="3C7A66F2">
                  <w:pPr>
                    <w:rPr>
                      <w:rFonts w:hint="eastAsia" w:ascii="宋体" w:hAnsi="宋体" w:eastAsia="宋体" w:cs="宋体"/>
                      <w:kern w:val="0"/>
                      <w:szCs w:val="21"/>
                    </w:rPr>
                  </w:pPr>
                  <w:r>
                    <w:rPr>
                      <w:rFonts w:hint="eastAsia" w:ascii="宋体" w:hAnsi="宋体" w:eastAsia="宋体" w:cs="宋体"/>
                      <w:kern w:val="0"/>
                      <w:szCs w:val="21"/>
                    </w:rPr>
                    <w:t>2.1080p/60及以上。</w:t>
                  </w:r>
                </w:p>
                <w:p w14:paraId="5E13A868">
                  <w:pPr>
                    <w:rPr>
                      <w:rFonts w:hint="eastAsia" w:ascii="宋体" w:hAnsi="宋体" w:eastAsia="宋体" w:cs="宋体"/>
                      <w:kern w:val="0"/>
                      <w:szCs w:val="21"/>
                    </w:rPr>
                  </w:pPr>
                  <w:r>
                    <w:rPr>
                      <w:rFonts w:hint="eastAsia" w:ascii="宋体" w:hAnsi="宋体" w:eastAsia="宋体" w:cs="宋体"/>
                      <w:kern w:val="0"/>
                      <w:szCs w:val="21"/>
                    </w:rPr>
                    <w:t>3.镜头：不低于10 倍光学变焦。</w:t>
                  </w:r>
                </w:p>
              </w:tc>
            </w:tr>
            <w:tr w14:paraId="26297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noWrap w:val="0"/>
                  <w:vAlign w:val="center"/>
                </w:tcPr>
                <w:p w14:paraId="6D16EF1F">
                  <w:pPr>
                    <w:jc w:val="center"/>
                    <w:rPr>
                      <w:rFonts w:hint="eastAsia" w:ascii="宋体" w:hAnsi="宋体" w:eastAsia="宋体" w:cs="宋体"/>
                      <w:kern w:val="0"/>
                      <w:szCs w:val="21"/>
                    </w:rPr>
                  </w:pPr>
                </w:p>
              </w:tc>
              <w:tc>
                <w:tcPr>
                  <w:tcW w:w="684" w:type="dxa"/>
                  <w:vMerge w:val="continue"/>
                  <w:noWrap w:val="0"/>
                  <w:vAlign w:val="center"/>
                </w:tcPr>
                <w:p w14:paraId="25B737BE">
                  <w:pPr>
                    <w:jc w:val="center"/>
                    <w:rPr>
                      <w:rFonts w:hint="eastAsia" w:ascii="宋体" w:hAnsi="宋体" w:eastAsia="宋体" w:cs="宋体"/>
                      <w:kern w:val="0"/>
                      <w:szCs w:val="21"/>
                    </w:rPr>
                  </w:pPr>
                </w:p>
              </w:tc>
              <w:tc>
                <w:tcPr>
                  <w:tcW w:w="7029" w:type="dxa"/>
                  <w:noWrap w:val="0"/>
                  <w:vAlign w:val="top"/>
                </w:tcPr>
                <w:p w14:paraId="587A093C">
                  <w:pPr>
                    <w:rPr>
                      <w:rFonts w:hint="eastAsia" w:ascii="宋体" w:hAnsi="宋体" w:eastAsia="宋体" w:cs="宋体"/>
                      <w:kern w:val="0"/>
                      <w:szCs w:val="21"/>
                    </w:rPr>
                  </w:pPr>
                  <w:r>
                    <w:rPr>
                      <w:rFonts w:hint="eastAsia" w:ascii="宋体" w:hAnsi="宋体" w:eastAsia="宋体" w:cs="宋体"/>
                      <w:kern w:val="0"/>
                      <w:szCs w:val="21"/>
                    </w:rPr>
                    <w:t>全景摄像头要求：</w:t>
                  </w:r>
                </w:p>
                <w:p w14:paraId="22C55F67">
                  <w:pPr>
                    <w:rPr>
                      <w:rFonts w:hint="eastAsia" w:ascii="宋体" w:hAnsi="宋体" w:eastAsia="宋体" w:cs="宋体"/>
                      <w:kern w:val="0"/>
                      <w:szCs w:val="21"/>
                    </w:rPr>
                  </w:pPr>
                  <w:r>
                    <w:rPr>
                      <w:rFonts w:hint="eastAsia" w:ascii="宋体" w:hAnsi="宋体" w:eastAsia="宋体" w:cs="宋体"/>
                      <w:kern w:val="0"/>
                      <w:szCs w:val="21"/>
                    </w:rPr>
                    <w:t>1.USB接口：USB-A。</w:t>
                  </w:r>
                </w:p>
                <w:p w14:paraId="19C8DC90">
                  <w:pPr>
                    <w:rPr>
                      <w:rFonts w:hint="eastAsia" w:ascii="宋体" w:hAnsi="宋体" w:eastAsia="宋体" w:cs="宋体"/>
                      <w:kern w:val="0"/>
                      <w:szCs w:val="21"/>
                    </w:rPr>
                  </w:pPr>
                  <w:r>
                    <w:rPr>
                      <w:rFonts w:hint="eastAsia" w:ascii="宋体" w:hAnsi="宋体" w:eastAsia="宋体" w:cs="宋体"/>
                      <w:kern w:val="0"/>
                      <w:szCs w:val="21"/>
                    </w:rPr>
                    <w:t>2.分辨率：不低于1080P 30fps。</w:t>
                  </w:r>
                </w:p>
              </w:tc>
            </w:tr>
            <w:tr w14:paraId="1B22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noWrap w:val="0"/>
                  <w:vAlign w:val="center"/>
                </w:tcPr>
                <w:p w14:paraId="3596C26D">
                  <w:pPr>
                    <w:jc w:val="center"/>
                    <w:rPr>
                      <w:rFonts w:hint="eastAsia" w:ascii="宋体" w:hAnsi="宋体" w:eastAsia="宋体" w:cs="宋体"/>
                      <w:kern w:val="0"/>
                      <w:szCs w:val="21"/>
                    </w:rPr>
                  </w:pPr>
                </w:p>
              </w:tc>
              <w:tc>
                <w:tcPr>
                  <w:tcW w:w="684" w:type="dxa"/>
                  <w:vMerge w:val="continue"/>
                  <w:noWrap w:val="0"/>
                  <w:vAlign w:val="center"/>
                </w:tcPr>
                <w:p w14:paraId="124E4FB4">
                  <w:pPr>
                    <w:jc w:val="center"/>
                    <w:rPr>
                      <w:rFonts w:hint="eastAsia" w:ascii="宋体" w:hAnsi="宋体" w:eastAsia="宋体" w:cs="宋体"/>
                      <w:kern w:val="0"/>
                      <w:szCs w:val="21"/>
                    </w:rPr>
                  </w:pPr>
                </w:p>
              </w:tc>
              <w:tc>
                <w:tcPr>
                  <w:tcW w:w="7029" w:type="dxa"/>
                  <w:noWrap w:val="0"/>
                  <w:vAlign w:val="top"/>
                </w:tcPr>
                <w:p w14:paraId="3EB266FD">
                  <w:pPr>
                    <w:rPr>
                      <w:rFonts w:hint="eastAsia" w:ascii="宋体" w:hAnsi="宋体" w:eastAsia="宋体" w:cs="宋体"/>
                      <w:kern w:val="0"/>
                      <w:szCs w:val="21"/>
                    </w:rPr>
                  </w:pPr>
                  <w:r>
                    <w:rPr>
                      <w:rFonts w:hint="eastAsia" w:ascii="宋体" w:hAnsi="宋体" w:eastAsia="宋体" w:cs="宋体"/>
                      <w:kern w:val="0"/>
                      <w:szCs w:val="21"/>
                    </w:rPr>
                    <w:t>全向麦克风要求：</w:t>
                  </w:r>
                </w:p>
                <w:p w14:paraId="589974B1">
                  <w:pPr>
                    <w:rPr>
                      <w:rFonts w:hint="eastAsia" w:ascii="宋体" w:hAnsi="宋体" w:eastAsia="宋体" w:cs="宋体"/>
                      <w:kern w:val="0"/>
                      <w:szCs w:val="21"/>
                    </w:rPr>
                  </w:pPr>
                  <w:r>
                    <w:rPr>
                      <w:rFonts w:hint="eastAsia" w:ascii="宋体" w:hAnsi="宋体" w:eastAsia="宋体" w:cs="宋体"/>
                      <w:kern w:val="0"/>
                      <w:szCs w:val="21"/>
                    </w:rPr>
                    <w:t>1.360度麦克风可拾取来自任何角度的声音。</w:t>
                  </w:r>
                </w:p>
                <w:p w14:paraId="2E3901E3">
                  <w:pPr>
                    <w:rPr>
                      <w:rFonts w:hint="eastAsia" w:ascii="宋体" w:hAnsi="宋体" w:eastAsia="宋体" w:cs="宋体"/>
                      <w:kern w:val="0"/>
                      <w:szCs w:val="21"/>
                    </w:rPr>
                  </w:pPr>
                  <w:r>
                    <w:rPr>
                      <w:rFonts w:hint="eastAsia" w:ascii="宋体" w:hAnsi="宋体" w:eastAsia="宋体" w:cs="宋体"/>
                      <w:kern w:val="0"/>
                      <w:szCs w:val="21"/>
                    </w:rPr>
                    <w:t>2.连接：USB 2.0 和 Bluetooth。</w:t>
                  </w:r>
                </w:p>
                <w:p w14:paraId="2B4B8267">
                  <w:pPr>
                    <w:rPr>
                      <w:rFonts w:hint="eastAsia" w:ascii="宋体" w:hAnsi="宋体" w:eastAsia="宋体" w:cs="宋体"/>
                      <w:kern w:val="0"/>
                      <w:szCs w:val="21"/>
                    </w:rPr>
                  </w:pPr>
                  <w:r>
                    <w:rPr>
                      <w:rFonts w:hint="eastAsia" w:ascii="宋体" w:hAnsi="宋体" w:eastAsia="宋体" w:cs="宋体"/>
                      <w:kern w:val="0"/>
                      <w:szCs w:val="21"/>
                    </w:rPr>
                    <w:t>3.通话时间：通话时间不低于4小时。</w:t>
                  </w:r>
                </w:p>
              </w:tc>
            </w:tr>
            <w:tr w14:paraId="5CE8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noWrap w:val="0"/>
                  <w:vAlign w:val="center"/>
                </w:tcPr>
                <w:p w14:paraId="5FC6A6C6">
                  <w:pPr>
                    <w:jc w:val="center"/>
                    <w:rPr>
                      <w:rFonts w:hint="eastAsia" w:ascii="宋体" w:hAnsi="宋体" w:eastAsia="宋体" w:cs="宋体"/>
                      <w:kern w:val="0"/>
                      <w:szCs w:val="21"/>
                    </w:rPr>
                  </w:pPr>
                </w:p>
              </w:tc>
              <w:tc>
                <w:tcPr>
                  <w:tcW w:w="684" w:type="dxa"/>
                  <w:vMerge w:val="continue"/>
                  <w:noWrap w:val="0"/>
                  <w:vAlign w:val="center"/>
                </w:tcPr>
                <w:p w14:paraId="3A5184AD">
                  <w:pPr>
                    <w:jc w:val="center"/>
                    <w:rPr>
                      <w:rFonts w:hint="eastAsia" w:ascii="宋体" w:hAnsi="宋体" w:eastAsia="宋体" w:cs="宋体"/>
                      <w:kern w:val="0"/>
                      <w:szCs w:val="21"/>
                    </w:rPr>
                  </w:pPr>
                </w:p>
              </w:tc>
              <w:tc>
                <w:tcPr>
                  <w:tcW w:w="7029" w:type="dxa"/>
                  <w:noWrap w:val="0"/>
                  <w:vAlign w:val="top"/>
                </w:tcPr>
                <w:p w14:paraId="5A04145A">
                  <w:pPr>
                    <w:rPr>
                      <w:rFonts w:hint="eastAsia" w:ascii="宋体" w:hAnsi="宋体" w:eastAsia="宋体" w:cs="宋体"/>
                      <w:kern w:val="0"/>
                      <w:szCs w:val="21"/>
                    </w:rPr>
                  </w:pPr>
                  <w:r>
                    <w:rPr>
                      <w:rFonts w:hint="eastAsia" w:ascii="宋体" w:hAnsi="宋体" w:eastAsia="宋体" w:cs="宋体"/>
                      <w:kern w:val="0"/>
                      <w:szCs w:val="21"/>
                    </w:rPr>
                    <w:t>显示设备要求：</w:t>
                  </w:r>
                </w:p>
                <w:p w14:paraId="751921A4">
                  <w:pPr>
                    <w:rPr>
                      <w:rFonts w:hint="eastAsia" w:ascii="宋体" w:hAnsi="宋体" w:eastAsia="宋体" w:cs="宋体"/>
                      <w:kern w:val="0"/>
                      <w:szCs w:val="21"/>
                    </w:rPr>
                  </w:pPr>
                  <w:r>
                    <w:rPr>
                      <w:rFonts w:hint="eastAsia" w:ascii="宋体" w:hAnsi="宋体" w:eastAsia="宋体" w:cs="宋体"/>
                      <w:kern w:val="0"/>
                      <w:szCs w:val="21"/>
                    </w:rPr>
                    <w:t>1.配置≥1台不低于65英寸4K</w:t>
                  </w:r>
                  <w:r>
                    <w:rPr>
                      <w:rFonts w:hint="eastAsia" w:ascii="宋体" w:hAnsi="宋体" w:eastAsia="宋体" w:cs="宋体"/>
                      <w:kern w:val="0"/>
                      <w:szCs w:val="21"/>
                      <w:lang w:val="en-US" w:eastAsia="zh-CN"/>
                    </w:rPr>
                    <w:t>屏幕</w:t>
                  </w:r>
                  <w:r>
                    <w:rPr>
                      <w:rFonts w:hint="eastAsia" w:ascii="宋体" w:hAnsi="宋体" w:eastAsia="宋体" w:cs="宋体"/>
                      <w:kern w:val="0"/>
                      <w:szCs w:val="21"/>
                    </w:rPr>
                    <w:t>。</w:t>
                  </w:r>
                </w:p>
                <w:p w14:paraId="0A40D774">
                  <w:pPr>
                    <w:rPr>
                      <w:rFonts w:hint="eastAsia" w:ascii="宋体" w:hAnsi="宋体" w:eastAsia="宋体" w:cs="宋体"/>
                      <w:kern w:val="0"/>
                      <w:szCs w:val="21"/>
                    </w:rPr>
                  </w:pPr>
                  <w:r>
                    <w:rPr>
                      <w:rFonts w:hint="eastAsia" w:ascii="宋体" w:hAnsi="宋体" w:eastAsia="宋体" w:cs="宋体"/>
                      <w:kern w:val="0"/>
                      <w:szCs w:val="21"/>
                    </w:rPr>
                    <w:t>2.HDMI输入接口≥1。</w:t>
                  </w:r>
                </w:p>
              </w:tc>
            </w:tr>
            <w:tr w14:paraId="47687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vMerge w:val="continue"/>
                  <w:noWrap w:val="0"/>
                  <w:vAlign w:val="center"/>
                </w:tcPr>
                <w:p w14:paraId="5BD77D13">
                  <w:pPr>
                    <w:jc w:val="center"/>
                    <w:rPr>
                      <w:rFonts w:hint="eastAsia" w:ascii="宋体" w:hAnsi="宋体" w:eastAsia="宋体" w:cs="宋体"/>
                      <w:kern w:val="0"/>
                      <w:szCs w:val="21"/>
                    </w:rPr>
                  </w:pPr>
                </w:p>
              </w:tc>
              <w:tc>
                <w:tcPr>
                  <w:tcW w:w="684" w:type="dxa"/>
                  <w:vMerge w:val="continue"/>
                  <w:noWrap w:val="0"/>
                  <w:vAlign w:val="center"/>
                </w:tcPr>
                <w:p w14:paraId="73241877">
                  <w:pPr>
                    <w:jc w:val="center"/>
                    <w:rPr>
                      <w:rFonts w:hint="eastAsia" w:ascii="宋体" w:hAnsi="宋体" w:eastAsia="宋体" w:cs="宋体"/>
                      <w:kern w:val="0"/>
                      <w:szCs w:val="21"/>
                    </w:rPr>
                  </w:pPr>
                </w:p>
              </w:tc>
              <w:tc>
                <w:tcPr>
                  <w:tcW w:w="7029" w:type="dxa"/>
                  <w:noWrap w:val="0"/>
                  <w:vAlign w:val="top"/>
                </w:tcPr>
                <w:p w14:paraId="1ED6A87B">
                  <w:pPr>
                    <w:rPr>
                      <w:rFonts w:hint="eastAsia" w:ascii="宋体" w:hAnsi="宋体" w:eastAsia="宋体" w:cs="宋体"/>
                      <w:kern w:val="0"/>
                      <w:szCs w:val="21"/>
                    </w:rPr>
                  </w:pPr>
                  <w:r>
                    <w:rPr>
                      <w:rFonts w:hint="eastAsia" w:ascii="宋体" w:hAnsi="宋体" w:eastAsia="宋体" w:cs="宋体"/>
                      <w:kern w:val="0"/>
                      <w:szCs w:val="21"/>
                      <w:lang w:val="en-US" w:eastAsia="zh-CN"/>
                    </w:rPr>
                    <w:t>配备输出</w:t>
                  </w:r>
                  <w:r>
                    <w:rPr>
                      <w:rFonts w:hint="eastAsia" w:ascii="宋体" w:hAnsi="宋体" w:eastAsia="宋体" w:cs="宋体"/>
                      <w:kern w:val="0"/>
                      <w:szCs w:val="21"/>
                    </w:rPr>
                    <w:t>设备</w:t>
                  </w:r>
                  <w:r>
                    <w:rPr>
                      <w:rFonts w:hint="eastAsia" w:ascii="宋体" w:hAnsi="宋体" w:eastAsia="宋体" w:cs="宋体"/>
                      <w:kern w:val="0"/>
                      <w:szCs w:val="21"/>
                      <w:lang w:eastAsia="zh-CN"/>
                    </w:rPr>
                    <w:t>，</w:t>
                  </w:r>
                  <w:r>
                    <w:rPr>
                      <w:rFonts w:hint="eastAsia" w:ascii="宋体" w:hAnsi="宋体" w:eastAsia="宋体" w:cs="宋体"/>
                      <w:kern w:val="0"/>
                      <w:szCs w:val="21"/>
                    </w:rPr>
                    <w:t>支持多种打印格式。</w:t>
                  </w:r>
                </w:p>
              </w:tc>
            </w:tr>
          </w:tbl>
          <w:p w14:paraId="580A2E05">
            <w:pPr>
              <w:widowControl/>
              <w:jc w:val="left"/>
              <w:textAlignment w:val="center"/>
              <w:rPr>
                <w:rFonts w:hint="eastAsia" w:ascii="宋体" w:hAnsi="宋体" w:eastAsia="宋体" w:cs="宋体"/>
                <w:szCs w:val="21"/>
              </w:rPr>
            </w:pPr>
            <w:r>
              <w:rPr>
                <w:rFonts w:hint="eastAsia" w:ascii="宋体" w:hAnsi="宋体" w:eastAsia="宋体" w:cs="宋体"/>
                <w:szCs w:val="21"/>
              </w:rPr>
              <w:t>三、提供远程专家义诊服务：每天提供不少于100个三甲医院远程门诊号源，每周五天（节假日及特殊假日除外）。</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60B0B83D">
            <w:pPr>
              <w:widowControl/>
              <w:shd w:val="clear" w:color="auto" w:fill="FFFFFF"/>
              <w:spacing w:line="360" w:lineRule="auto"/>
              <w:jc w:val="center"/>
              <w:rPr>
                <w:rFonts w:hint="eastAsia" w:ascii="宋体" w:hAnsi="宋体" w:eastAsia="宋体" w:cs="宋体"/>
                <w:szCs w:val="21"/>
              </w:rPr>
            </w:pPr>
            <w:r>
              <w:rPr>
                <w:rFonts w:hint="eastAsia" w:ascii="宋体" w:hAnsi="宋体" w:eastAsia="宋体" w:cs="宋体"/>
                <w:szCs w:val="21"/>
              </w:rPr>
              <w:t>300.00</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3FA71EF1">
            <w:pPr>
              <w:widowControl/>
              <w:shd w:val="clear" w:color="auto" w:fill="FFFFFF"/>
              <w:spacing w:line="360" w:lineRule="auto"/>
              <w:jc w:val="center"/>
              <w:rPr>
                <w:rFonts w:ascii="宋体" w:hAnsi="宋体" w:eastAsia="宋体" w:cs="宋体"/>
                <w:szCs w:val="21"/>
              </w:rPr>
            </w:pPr>
            <w:r>
              <w:rPr>
                <w:rFonts w:hint="eastAsia" w:ascii="宋体" w:hAnsi="宋体" w:eastAsia="宋体" w:cs="宋体"/>
                <w:szCs w:val="21"/>
              </w:rPr>
              <w:t>工业</w:t>
            </w:r>
          </w:p>
        </w:tc>
      </w:tr>
      <w:tr w14:paraId="63971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 w:hRule="atLeast"/>
          <w:jc w:val="center"/>
        </w:trPr>
        <w:tc>
          <w:tcPr>
            <w:tcW w:w="428" w:type="dxa"/>
            <w:vMerge w:val="continue"/>
            <w:tcBorders>
              <w:left w:val="single" w:color="auto" w:sz="4" w:space="0"/>
              <w:bottom w:val="single" w:color="auto" w:sz="4" w:space="0"/>
              <w:right w:val="single" w:color="auto" w:sz="4" w:space="0"/>
            </w:tcBorders>
            <w:noWrap w:val="0"/>
            <w:vAlign w:val="center"/>
          </w:tcPr>
          <w:p w14:paraId="020D3AB8">
            <w:pPr>
              <w:widowControl/>
              <w:shd w:val="clear" w:color="auto" w:fill="FFFFFF"/>
              <w:spacing w:line="360" w:lineRule="auto"/>
              <w:ind w:firstLine="420" w:firstLineChars="200"/>
              <w:rPr>
                <w:rFonts w:hint="eastAsia" w:ascii="宋体" w:hAnsi="宋体" w:eastAsia="宋体" w:cs="宋体"/>
                <w:szCs w:val="21"/>
              </w:rPr>
            </w:pPr>
          </w:p>
        </w:tc>
        <w:tc>
          <w:tcPr>
            <w:tcW w:w="453" w:type="dxa"/>
            <w:tcBorders>
              <w:top w:val="single" w:color="auto" w:sz="4" w:space="0"/>
              <w:left w:val="single" w:color="auto" w:sz="4" w:space="0"/>
              <w:bottom w:val="single" w:color="auto" w:sz="4" w:space="0"/>
              <w:right w:val="single" w:color="auto" w:sz="4" w:space="0"/>
            </w:tcBorders>
            <w:noWrap w:val="0"/>
            <w:vAlign w:val="center"/>
          </w:tcPr>
          <w:p w14:paraId="3B7767A3">
            <w:pPr>
              <w:widowControl/>
              <w:shd w:val="clear" w:color="auto" w:fill="FFFFFF"/>
              <w:spacing w:line="360" w:lineRule="auto"/>
              <w:jc w:val="center"/>
              <w:rPr>
                <w:rFonts w:ascii="宋体" w:hAnsi="宋体" w:eastAsia="宋体" w:cs="宋体"/>
                <w:szCs w:val="21"/>
              </w:rPr>
            </w:pPr>
            <w:r>
              <w:rPr>
                <w:rFonts w:hint="eastAsia" w:ascii="宋体" w:hAnsi="宋体" w:eastAsia="宋体" w:cs="宋体"/>
                <w:szCs w:val="21"/>
              </w:rPr>
              <w:t>7</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268D141C">
            <w:pPr>
              <w:widowControl/>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精准复杂冠脉介入手术指导系统（含科室指导）</w:t>
            </w:r>
          </w:p>
        </w:tc>
        <w:tc>
          <w:tcPr>
            <w:tcW w:w="473" w:type="dxa"/>
            <w:tcBorders>
              <w:top w:val="single" w:color="auto" w:sz="4" w:space="0"/>
              <w:left w:val="single" w:color="auto" w:sz="4" w:space="0"/>
              <w:bottom w:val="single" w:color="auto" w:sz="4" w:space="0"/>
              <w:right w:val="single" w:color="auto" w:sz="4" w:space="0"/>
            </w:tcBorders>
            <w:noWrap w:val="0"/>
            <w:vAlign w:val="center"/>
          </w:tcPr>
          <w:p w14:paraId="02C750C7">
            <w:pPr>
              <w:widowControl/>
              <w:jc w:val="center"/>
              <w:textAlignment w:val="center"/>
              <w:rPr>
                <w:rFonts w:hint="eastAsia" w:ascii="宋体" w:hAnsi="宋体" w:eastAsia="宋体" w:cs="宋体"/>
                <w:szCs w:val="21"/>
              </w:rPr>
            </w:pPr>
            <w:r>
              <w:rPr>
                <w:rFonts w:hint="eastAsia" w:ascii="宋体" w:hAnsi="宋体" w:eastAsia="宋体" w:cs="宋体"/>
                <w:szCs w:val="21"/>
              </w:rPr>
              <w:t>套</w:t>
            </w:r>
          </w:p>
        </w:tc>
        <w:tc>
          <w:tcPr>
            <w:tcW w:w="455" w:type="dxa"/>
            <w:tcBorders>
              <w:top w:val="single" w:color="auto" w:sz="4" w:space="0"/>
              <w:left w:val="single" w:color="auto" w:sz="4" w:space="0"/>
              <w:bottom w:val="single" w:color="auto" w:sz="4" w:space="0"/>
              <w:right w:val="single" w:color="auto" w:sz="4" w:space="0"/>
            </w:tcBorders>
            <w:noWrap w:val="0"/>
            <w:vAlign w:val="center"/>
          </w:tcPr>
          <w:p w14:paraId="74DE001B">
            <w:pPr>
              <w:widowControl/>
              <w:shd w:val="clear" w:color="auto" w:fill="FFFFFF"/>
              <w:spacing w:line="360" w:lineRule="auto"/>
              <w:jc w:val="center"/>
              <w:rPr>
                <w:rFonts w:ascii="宋体" w:hAnsi="宋体" w:eastAsia="宋体" w:cs="宋体"/>
                <w:szCs w:val="21"/>
              </w:rPr>
            </w:pPr>
            <w:r>
              <w:rPr>
                <w:rFonts w:hint="eastAsia" w:ascii="宋体" w:hAnsi="宋体" w:eastAsia="宋体" w:cs="宋体"/>
                <w:szCs w:val="21"/>
              </w:rPr>
              <w:t>1</w:t>
            </w:r>
          </w:p>
        </w:tc>
        <w:tc>
          <w:tcPr>
            <w:tcW w:w="865" w:type="dxa"/>
            <w:tcBorders>
              <w:top w:val="single" w:color="auto" w:sz="4" w:space="0"/>
              <w:left w:val="single" w:color="auto" w:sz="4" w:space="0"/>
              <w:bottom w:val="single" w:color="auto" w:sz="4" w:space="0"/>
              <w:right w:val="single" w:color="auto" w:sz="4" w:space="0"/>
            </w:tcBorders>
            <w:noWrap w:val="0"/>
            <w:vAlign w:val="center"/>
          </w:tcPr>
          <w:p w14:paraId="19AAE07C">
            <w:pPr>
              <w:widowControl/>
              <w:shd w:val="clear" w:color="auto" w:fill="FFFFFF"/>
              <w:spacing w:line="360" w:lineRule="auto"/>
              <w:jc w:val="center"/>
              <w:rPr>
                <w:rFonts w:ascii="宋体" w:hAnsi="宋体" w:eastAsia="宋体" w:cs="宋体"/>
                <w:szCs w:val="21"/>
              </w:rPr>
            </w:pPr>
            <w:r>
              <w:rPr>
                <w:rFonts w:hint="eastAsia" w:ascii="宋体" w:hAnsi="宋体" w:eastAsia="宋体" w:cs="宋体"/>
                <w:szCs w:val="21"/>
              </w:rPr>
              <w:t>280.00</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75CF8EB9">
            <w:pPr>
              <w:widowControl/>
              <w:shd w:val="clear" w:color="auto" w:fill="FFFFFF"/>
              <w:spacing w:line="360" w:lineRule="auto"/>
              <w:jc w:val="center"/>
              <w:rPr>
                <w:rFonts w:hint="eastAsia" w:ascii="宋体" w:hAnsi="宋体" w:eastAsia="宋体" w:cs="宋体"/>
                <w:szCs w:val="21"/>
              </w:rPr>
            </w:pPr>
            <w:r>
              <w:rPr>
                <w:rFonts w:hint="eastAsia" w:ascii="宋体" w:hAnsi="宋体" w:eastAsia="宋体" w:cs="宋体"/>
                <w:szCs w:val="21"/>
              </w:rPr>
              <w:t>280.00</w:t>
            </w:r>
          </w:p>
        </w:tc>
        <w:tc>
          <w:tcPr>
            <w:tcW w:w="9132" w:type="dxa"/>
            <w:tcBorders>
              <w:top w:val="single" w:color="auto" w:sz="4" w:space="0"/>
              <w:left w:val="single" w:color="auto" w:sz="4" w:space="0"/>
              <w:bottom w:val="single" w:color="auto" w:sz="4" w:space="0"/>
              <w:right w:val="single" w:color="auto" w:sz="4" w:space="0"/>
            </w:tcBorders>
            <w:noWrap w:val="0"/>
            <w:vAlign w:val="center"/>
          </w:tcPr>
          <w:p w14:paraId="43A8D43E">
            <w:pPr>
              <w:rPr>
                <w:rFonts w:hint="eastAsia" w:ascii="宋体" w:hAnsi="宋体" w:eastAsia="宋体" w:cs="宋体"/>
                <w:szCs w:val="21"/>
              </w:rPr>
            </w:pPr>
            <w:r>
              <w:rPr>
                <w:rFonts w:hint="eastAsia" w:ascii="宋体" w:hAnsi="宋体" w:eastAsia="宋体" w:cs="宋体"/>
                <w:szCs w:val="21"/>
                <w:lang w:bidi="ar"/>
              </w:rPr>
              <w:t>一、项目需求清单：</w:t>
            </w:r>
          </w:p>
          <w:p w14:paraId="3B5D416D">
            <w:pPr>
              <w:rPr>
                <w:rFonts w:hint="eastAsia" w:ascii="宋体" w:hAnsi="宋体" w:eastAsia="宋体" w:cs="宋体"/>
                <w:szCs w:val="21"/>
              </w:rPr>
            </w:pPr>
            <w:r>
              <w:rPr>
                <w:rFonts w:hint="eastAsia" w:ascii="宋体" w:hAnsi="宋体" w:eastAsia="宋体" w:cs="宋体"/>
                <w:szCs w:val="21"/>
                <w:lang w:bidi="ar"/>
              </w:rPr>
              <w:t>1.数字化手术录存及标签管理服务</w:t>
            </w:r>
            <w:r>
              <w:rPr>
                <w:rFonts w:hint="eastAsia" w:ascii="宋体" w:hAnsi="宋体" w:eastAsia="宋体" w:cs="宋体"/>
                <w:szCs w:val="21"/>
                <w:lang w:bidi="ar"/>
              </w:rPr>
              <w:tab/>
            </w:r>
            <w:r>
              <w:rPr>
                <w:rFonts w:hint="eastAsia" w:ascii="宋体" w:hAnsi="宋体" w:eastAsia="宋体" w:cs="宋体"/>
                <w:szCs w:val="21"/>
                <w:lang w:bidi="ar"/>
              </w:rPr>
              <w:t>1套</w:t>
            </w:r>
          </w:p>
          <w:p w14:paraId="22F62906">
            <w:pPr>
              <w:rPr>
                <w:rFonts w:hint="eastAsia" w:ascii="宋体" w:hAnsi="宋体" w:eastAsia="宋体" w:cs="宋体"/>
                <w:szCs w:val="21"/>
              </w:rPr>
            </w:pPr>
            <w:r>
              <w:rPr>
                <w:rFonts w:hint="eastAsia" w:ascii="宋体" w:hAnsi="宋体" w:eastAsia="宋体" w:cs="宋体"/>
                <w:szCs w:val="21"/>
                <w:lang w:bidi="ar"/>
              </w:rPr>
              <w:t>2.数字化手术远程协同服务</w:t>
            </w:r>
            <w:r>
              <w:rPr>
                <w:rFonts w:hint="eastAsia" w:ascii="宋体" w:hAnsi="宋体" w:eastAsia="宋体" w:cs="宋体"/>
                <w:szCs w:val="21"/>
                <w:lang w:bidi="ar"/>
              </w:rPr>
              <w:tab/>
            </w:r>
            <w:r>
              <w:rPr>
                <w:rFonts w:hint="eastAsia" w:ascii="宋体" w:hAnsi="宋体" w:eastAsia="宋体" w:cs="宋体"/>
                <w:szCs w:val="21"/>
                <w:lang w:bidi="ar"/>
              </w:rPr>
              <w:t xml:space="preserve">    1套</w:t>
            </w:r>
          </w:p>
          <w:p w14:paraId="5FC3BCF6">
            <w:pPr>
              <w:rPr>
                <w:rFonts w:hint="eastAsia" w:ascii="宋体" w:hAnsi="宋体" w:eastAsia="宋体" w:cs="宋体"/>
                <w:szCs w:val="21"/>
              </w:rPr>
            </w:pPr>
            <w:r>
              <w:rPr>
                <w:rFonts w:hint="eastAsia" w:ascii="宋体" w:hAnsi="宋体" w:eastAsia="宋体" w:cs="宋体"/>
                <w:szCs w:val="21"/>
                <w:lang w:bidi="ar"/>
              </w:rPr>
              <w:t>3.数字化手术远程质控指导服务</w:t>
            </w:r>
            <w:r>
              <w:rPr>
                <w:rFonts w:hint="eastAsia" w:ascii="宋体" w:hAnsi="宋体" w:eastAsia="宋体" w:cs="宋体"/>
                <w:szCs w:val="21"/>
                <w:lang w:bidi="ar"/>
              </w:rPr>
              <w:tab/>
            </w:r>
            <w:r>
              <w:rPr>
                <w:rFonts w:hint="eastAsia" w:ascii="宋体" w:hAnsi="宋体" w:eastAsia="宋体" w:cs="宋体"/>
                <w:szCs w:val="21"/>
                <w:lang w:bidi="ar"/>
              </w:rPr>
              <w:t>1套</w:t>
            </w:r>
          </w:p>
          <w:p w14:paraId="2D7CC268">
            <w:pPr>
              <w:rPr>
                <w:rFonts w:hint="eastAsia" w:ascii="宋体" w:hAnsi="宋体" w:eastAsia="宋体" w:cs="宋体"/>
                <w:szCs w:val="21"/>
              </w:rPr>
            </w:pPr>
            <w:r>
              <w:rPr>
                <w:rFonts w:hint="eastAsia" w:ascii="宋体" w:hAnsi="宋体" w:eastAsia="宋体" w:cs="宋体"/>
                <w:szCs w:val="21"/>
                <w:lang w:bidi="ar"/>
              </w:rPr>
              <w:t>4.多通道术中质控指导机器人系统</w:t>
            </w:r>
            <w:r>
              <w:rPr>
                <w:rFonts w:hint="eastAsia" w:ascii="宋体" w:hAnsi="宋体" w:eastAsia="宋体" w:cs="宋体"/>
                <w:szCs w:val="21"/>
                <w:lang w:bidi="ar"/>
              </w:rPr>
              <w:tab/>
            </w:r>
            <w:r>
              <w:rPr>
                <w:rFonts w:hint="eastAsia" w:ascii="宋体" w:hAnsi="宋体" w:eastAsia="宋体" w:cs="宋体"/>
                <w:szCs w:val="21"/>
                <w:lang w:bidi="ar"/>
              </w:rPr>
              <w:t>1套</w:t>
            </w:r>
          </w:p>
          <w:p w14:paraId="3C35D7EB">
            <w:pPr>
              <w:rPr>
                <w:rFonts w:hint="eastAsia" w:ascii="宋体" w:hAnsi="宋体" w:eastAsia="宋体" w:cs="宋体"/>
                <w:szCs w:val="21"/>
              </w:rPr>
            </w:pPr>
            <w:r>
              <w:rPr>
                <w:rFonts w:hint="eastAsia" w:ascii="宋体" w:hAnsi="宋体" w:eastAsia="宋体" w:cs="宋体"/>
                <w:szCs w:val="21"/>
                <w:lang w:bidi="ar"/>
              </w:rPr>
              <w:t>5.质控中心远程协同与回溯系统</w:t>
            </w:r>
            <w:r>
              <w:rPr>
                <w:rFonts w:hint="eastAsia" w:ascii="宋体" w:hAnsi="宋体" w:eastAsia="宋体" w:cs="宋体"/>
                <w:szCs w:val="21"/>
                <w:lang w:bidi="ar"/>
              </w:rPr>
              <w:tab/>
            </w:r>
            <w:r>
              <w:rPr>
                <w:rFonts w:hint="eastAsia" w:ascii="宋体" w:hAnsi="宋体" w:eastAsia="宋体" w:cs="宋体"/>
                <w:szCs w:val="21"/>
                <w:lang w:bidi="ar"/>
              </w:rPr>
              <w:t>1套</w:t>
            </w:r>
          </w:p>
          <w:p w14:paraId="2474DE34">
            <w:pPr>
              <w:rPr>
                <w:rFonts w:hint="eastAsia" w:ascii="宋体" w:hAnsi="宋体" w:eastAsia="宋体" w:cs="宋体"/>
                <w:szCs w:val="21"/>
              </w:rPr>
            </w:pPr>
            <w:r>
              <w:rPr>
                <w:rFonts w:hint="eastAsia" w:ascii="宋体" w:hAnsi="宋体" w:eastAsia="宋体" w:cs="宋体"/>
                <w:szCs w:val="21"/>
                <w:lang w:bidi="ar"/>
              </w:rPr>
              <w:t>6.数字化手术科室指导系统</w:t>
            </w:r>
            <w:r>
              <w:rPr>
                <w:rFonts w:hint="eastAsia" w:ascii="宋体" w:hAnsi="宋体" w:eastAsia="宋体" w:cs="宋体"/>
                <w:szCs w:val="21"/>
                <w:lang w:bidi="ar"/>
              </w:rPr>
              <w:tab/>
            </w:r>
            <w:r>
              <w:rPr>
                <w:rFonts w:hint="eastAsia" w:ascii="宋体" w:hAnsi="宋体" w:eastAsia="宋体" w:cs="宋体"/>
                <w:szCs w:val="21"/>
                <w:lang w:bidi="ar"/>
              </w:rPr>
              <w:t xml:space="preserve">    1套</w:t>
            </w:r>
          </w:p>
          <w:p w14:paraId="52CF8FB1">
            <w:pPr>
              <w:rPr>
                <w:rFonts w:hint="eastAsia" w:ascii="宋体" w:hAnsi="宋体" w:eastAsia="宋体" w:cs="宋体"/>
                <w:szCs w:val="21"/>
              </w:rPr>
            </w:pPr>
            <w:r>
              <w:rPr>
                <w:rFonts w:hint="eastAsia" w:ascii="宋体" w:hAnsi="宋体" w:eastAsia="宋体" w:cs="宋体"/>
                <w:szCs w:val="21"/>
                <w:lang w:bidi="ar"/>
              </w:rPr>
              <w:t>7.移动视讯客户端               10套</w:t>
            </w:r>
          </w:p>
          <w:p w14:paraId="371A8608">
            <w:pPr>
              <w:rPr>
                <w:rFonts w:hint="eastAsia" w:ascii="宋体" w:hAnsi="宋体" w:eastAsia="宋体" w:cs="宋体"/>
                <w:szCs w:val="21"/>
              </w:rPr>
            </w:pPr>
            <w:r>
              <w:rPr>
                <w:rFonts w:hint="eastAsia" w:ascii="宋体" w:hAnsi="宋体" w:eastAsia="宋体" w:cs="宋体"/>
                <w:szCs w:val="21"/>
                <w:lang w:bidi="ar"/>
              </w:rPr>
              <w:t>二、技术服务要求</w:t>
            </w:r>
          </w:p>
          <w:p w14:paraId="678FF046">
            <w:pPr>
              <w:rPr>
                <w:rFonts w:hint="eastAsia" w:ascii="宋体" w:hAnsi="宋体" w:eastAsia="宋体" w:cs="宋体"/>
                <w:szCs w:val="21"/>
              </w:rPr>
            </w:pPr>
            <w:r>
              <w:rPr>
                <w:rFonts w:hint="eastAsia" w:ascii="宋体" w:hAnsi="宋体" w:eastAsia="宋体" w:cs="宋体"/>
                <w:szCs w:val="21"/>
                <w:lang w:bidi="ar"/>
              </w:rPr>
              <w:t>（一）数字化手术录存及标签管理服务：</w:t>
            </w:r>
          </w:p>
          <w:p w14:paraId="1541CD2D">
            <w:pPr>
              <w:rPr>
                <w:rFonts w:hint="eastAsia" w:ascii="宋体" w:hAnsi="宋体" w:eastAsia="宋体" w:cs="宋体"/>
                <w:szCs w:val="21"/>
              </w:rPr>
            </w:pPr>
            <w:r>
              <w:rPr>
                <w:rFonts w:hint="eastAsia" w:ascii="宋体" w:hAnsi="宋体" w:eastAsia="宋体" w:cs="宋体"/>
                <w:szCs w:val="21"/>
                <w:lang w:bidi="ar"/>
              </w:rPr>
              <w:t>1.支持机构创建、编辑和删除。</w:t>
            </w:r>
          </w:p>
          <w:p w14:paraId="4BF902AA">
            <w:pPr>
              <w:rPr>
                <w:rFonts w:hint="eastAsia" w:ascii="宋体" w:hAnsi="宋体" w:eastAsia="宋体" w:cs="宋体"/>
                <w:szCs w:val="21"/>
              </w:rPr>
            </w:pPr>
            <w:r>
              <w:rPr>
                <w:rFonts w:hint="eastAsia" w:ascii="宋体" w:hAnsi="宋体" w:eastAsia="宋体" w:cs="宋体"/>
                <w:szCs w:val="21"/>
                <w:lang w:bidi="ar"/>
              </w:rPr>
              <w:t xml:space="preserve">2.支持多级科室创建、编辑和删除。 </w:t>
            </w:r>
          </w:p>
          <w:p w14:paraId="365AE341">
            <w:pPr>
              <w:rPr>
                <w:rFonts w:hint="eastAsia" w:ascii="宋体" w:hAnsi="宋体" w:eastAsia="宋体" w:cs="宋体"/>
                <w:szCs w:val="21"/>
              </w:rPr>
            </w:pPr>
            <w:r>
              <w:rPr>
                <w:rFonts w:hint="eastAsia" w:ascii="宋体" w:hAnsi="宋体" w:eastAsia="宋体" w:cs="宋体"/>
                <w:szCs w:val="21"/>
                <w:lang w:bidi="ar"/>
              </w:rPr>
              <w:t>3.支持建立角色库并对角色分配相关的权限。</w:t>
            </w:r>
          </w:p>
          <w:p w14:paraId="1246F63E">
            <w:pPr>
              <w:rPr>
                <w:rFonts w:hint="eastAsia" w:ascii="宋体" w:hAnsi="宋体" w:eastAsia="宋体" w:cs="宋体"/>
                <w:szCs w:val="21"/>
              </w:rPr>
            </w:pPr>
            <w:r>
              <w:rPr>
                <w:rFonts w:hint="eastAsia" w:ascii="宋体" w:hAnsi="宋体" w:eastAsia="宋体" w:cs="宋体"/>
                <w:szCs w:val="21"/>
                <w:lang w:bidi="ar"/>
              </w:rPr>
              <w:t>4.支持账号的创建及角色关联，支持设置用户名、密码、联系方式等作为账号基本信息，并可为账号配置相应的角色。</w:t>
            </w:r>
          </w:p>
          <w:p w14:paraId="5E01F596">
            <w:pPr>
              <w:rPr>
                <w:rFonts w:hint="eastAsia" w:ascii="宋体" w:hAnsi="宋体" w:eastAsia="宋体" w:cs="宋体"/>
                <w:szCs w:val="21"/>
              </w:rPr>
            </w:pPr>
            <w:r>
              <w:rPr>
                <w:rFonts w:hint="eastAsia" w:ascii="宋体" w:hAnsi="宋体" w:eastAsia="宋体" w:cs="宋体"/>
                <w:szCs w:val="21"/>
                <w:lang w:bidi="ar"/>
              </w:rPr>
              <w:t>5.支持手术室管理，包括创建、编辑、删除及分配所属科室。</w:t>
            </w:r>
          </w:p>
          <w:p w14:paraId="3F35A3AF">
            <w:pPr>
              <w:rPr>
                <w:rFonts w:hint="eastAsia" w:ascii="宋体" w:hAnsi="宋体" w:eastAsia="宋体" w:cs="宋体"/>
                <w:szCs w:val="21"/>
              </w:rPr>
            </w:pPr>
            <w:r>
              <w:rPr>
                <w:rFonts w:hint="eastAsia" w:ascii="宋体" w:hAnsi="宋体" w:eastAsia="宋体" w:cs="宋体"/>
                <w:szCs w:val="21"/>
                <w:lang w:bidi="ar"/>
              </w:rPr>
              <w:t>6.支持手术室设备设备绑定，支持通过设备SN号识别绑定指定手术室，支持显示设备的在线状态。</w:t>
            </w:r>
          </w:p>
          <w:p w14:paraId="386DBE65">
            <w:pPr>
              <w:rPr>
                <w:rFonts w:hint="eastAsia" w:ascii="宋体" w:hAnsi="宋体" w:eastAsia="宋体" w:cs="宋体"/>
                <w:szCs w:val="21"/>
              </w:rPr>
            </w:pPr>
            <w:r>
              <w:rPr>
                <w:rFonts w:hint="eastAsia" w:ascii="宋体" w:hAnsi="宋体" w:eastAsia="宋体" w:cs="宋体"/>
                <w:szCs w:val="21"/>
                <w:lang w:bidi="ar"/>
              </w:rPr>
              <w:t>7.支持手术室流地址配置，支持对手术室流地址进行创建、配置，支持设置必须录制的视频流。</w:t>
            </w:r>
          </w:p>
          <w:p w14:paraId="7FC3E940">
            <w:pPr>
              <w:rPr>
                <w:rFonts w:hint="eastAsia" w:ascii="宋体" w:hAnsi="宋体" w:eastAsia="宋体" w:cs="宋体"/>
                <w:szCs w:val="21"/>
              </w:rPr>
            </w:pPr>
            <w:r>
              <w:rPr>
                <w:rFonts w:hint="eastAsia" w:ascii="宋体" w:hAnsi="宋体" w:eastAsia="宋体" w:cs="宋体"/>
                <w:szCs w:val="21"/>
                <w:lang w:bidi="ar"/>
              </w:rPr>
              <w:t>8.支持对重要信号源视频的录制进行权限管理，客户端无法暂停或关闭录制。</w:t>
            </w:r>
          </w:p>
          <w:p w14:paraId="7F7CEA94">
            <w:pPr>
              <w:rPr>
                <w:rFonts w:hint="eastAsia" w:ascii="宋体" w:hAnsi="宋体" w:eastAsia="宋体" w:cs="宋体"/>
                <w:szCs w:val="21"/>
              </w:rPr>
            </w:pPr>
            <w:r>
              <w:rPr>
                <w:rFonts w:hint="eastAsia" w:ascii="宋体" w:hAnsi="宋体" w:eastAsia="宋体" w:cs="宋体"/>
                <w:szCs w:val="21"/>
                <w:lang w:bidi="ar"/>
              </w:rPr>
              <w:t>9.支持单手术室不低于4路手术视频信号源同时发布。</w:t>
            </w:r>
          </w:p>
          <w:p w14:paraId="7A29E64F">
            <w:pPr>
              <w:rPr>
                <w:rFonts w:hint="eastAsia" w:ascii="宋体" w:hAnsi="宋体" w:eastAsia="宋体" w:cs="宋体"/>
                <w:szCs w:val="21"/>
              </w:rPr>
            </w:pPr>
            <w:r>
              <w:rPr>
                <w:rFonts w:hint="eastAsia" w:ascii="宋体" w:hAnsi="宋体" w:eastAsia="宋体" w:cs="宋体"/>
                <w:szCs w:val="21"/>
                <w:lang w:bidi="ar"/>
              </w:rPr>
              <w:t>10.支持手动维护手术计划，包括手动添加、编辑、删除等操作，手术计划信息包括不限于手术编号、术间、台次、手术类型、申请科室、患者信息（病案号、性别、年龄、术前诊断等）、手术信息（手术名称/术式、患者体位、麻醉方式、是否体外循环等）、手术进程（入室时间、离室时间、麻醉过程时间、手术过程时间等）、手术人员信息（手术医生（术者）、一助、二助、导管室技师、手术室技师、巡回护士）等。</w:t>
            </w:r>
          </w:p>
          <w:p w14:paraId="49C13537">
            <w:pPr>
              <w:rPr>
                <w:rFonts w:hint="eastAsia" w:ascii="宋体" w:hAnsi="宋体" w:eastAsia="宋体" w:cs="宋体"/>
                <w:szCs w:val="21"/>
              </w:rPr>
            </w:pPr>
            <w:r>
              <w:rPr>
                <w:rFonts w:hint="eastAsia" w:ascii="宋体" w:hAnsi="宋体" w:eastAsia="宋体" w:cs="宋体"/>
                <w:szCs w:val="21"/>
                <w:lang w:bidi="ar"/>
              </w:rPr>
              <w:t>11.支持对所有手术记录进行管理，支持通过患者信息、医护信息、手术室信息以及手术时间等多个维度进行过滤和检索。</w:t>
            </w:r>
          </w:p>
          <w:p w14:paraId="5A9B7DE8">
            <w:pPr>
              <w:rPr>
                <w:rFonts w:hint="eastAsia" w:ascii="宋体" w:hAnsi="宋体" w:eastAsia="宋体" w:cs="宋体"/>
                <w:szCs w:val="21"/>
              </w:rPr>
            </w:pPr>
            <w:r>
              <w:rPr>
                <w:rFonts w:hint="eastAsia" w:ascii="宋体" w:hAnsi="宋体" w:eastAsia="宋体" w:cs="宋体"/>
                <w:szCs w:val="21"/>
                <w:lang w:bidi="ar"/>
              </w:rPr>
              <w:t>12.支持对标签的统一管理，对系统中的所有标签进行创建、编辑、删除、搜索。</w:t>
            </w:r>
          </w:p>
          <w:p w14:paraId="6E866D03">
            <w:pPr>
              <w:rPr>
                <w:rFonts w:hint="eastAsia" w:ascii="宋体" w:hAnsi="宋体" w:eastAsia="宋体" w:cs="宋体"/>
                <w:szCs w:val="21"/>
              </w:rPr>
            </w:pPr>
            <w:r>
              <w:rPr>
                <w:rFonts w:hint="eastAsia" w:ascii="宋体" w:hAnsi="宋体" w:eastAsia="宋体" w:cs="宋体"/>
                <w:szCs w:val="21"/>
                <w:lang w:bidi="ar"/>
              </w:rPr>
              <w:t>13.支持标准化标签库，需涵盖手术过程、手术术式、手术麻醉等标签，需提供预置不少于10套标准化手术术式标签。</w:t>
            </w:r>
          </w:p>
          <w:p w14:paraId="67DF4B8F">
            <w:pPr>
              <w:rPr>
                <w:rFonts w:hint="eastAsia" w:ascii="宋体" w:hAnsi="宋体" w:eastAsia="宋体" w:cs="宋体"/>
                <w:szCs w:val="21"/>
              </w:rPr>
            </w:pPr>
            <w:r>
              <w:rPr>
                <w:rFonts w:hint="eastAsia" w:ascii="宋体" w:hAnsi="宋体" w:eastAsia="宋体" w:cs="宋体"/>
                <w:szCs w:val="21"/>
                <w:lang w:bidi="ar"/>
              </w:rPr>
              <w:t>（二）数字化手术远程协同服务系统：</w:t>
            </w:r>
          </w:p>
          <w:p w14:paraId="19BD61EC">
            <w:pPr>
              <w:rPr>
                <w:rFonts w:hint="eastAsia" w:ascii="宋体" w:hAnsi="宋体" w:eastAsia="宋体" w:cs="宋体"/>
                <w:szCs w:val="21"/>
              </w:rPr>
            </w:pPr>
            <w:r>
              <w:rPr>
                <w:rFonts w:hint="eastAsia" w:ascii="宋体" w:hAnsi="宋体" w:eastAsia="宋体" w:cs="宋体"/>
                <w:szCs w:val="21"/>
                <w:lang w:bidi="ar"/>
              </w:rPr>
              <w:t>1.支持提供远程手术指导和远程手术示教功能。</w:t>
            </w:r>
          </w:p>
          <w:p w14:paraId="4B716B57">
            <w:pPr>
              <w:rPr>
                <w:rFonts w:hint="eastAsia" w:ascii="宋体" w:hAnsi="宋体" w:eastAsia="宋体" w:cs="宋体"/>
                <w:szCs w:val="21"/>
              </w:rPr>
            </w:pPr>
            <w:r>
              <w:rPr>
                <w:rFonts w:hint="eastAsia" w:ascii="宋体" w:hAnsi="宋体" w:eastAsia="宋体" w:cs="宋体"/>
                <w:szCs w:val="21"/>
                <w:lang w:bidi="ar"/>
              </w:rPr>
              <w:t>2.支持手术指导申请单的填写、提交、修改以及查询等功能。</w:t>
            </w:r>
          </w:p>
          <w:p w14:paraId="6B92DFDC">
            <w:pPr>
              <w:rPr>
                <w:rFonts w:hint="eastAsia" w:ascii="宋体" w:hAnsi="宋体" w:eastAsia="宋体" w:cs="宋体"/>
                <w:szCs w:val="21"/>
              </w:rPr>
            </w:pPr>
            <w:r>
              <w:rPr>
                <w:rFonts w:hint="eastAsia" w:ascii="宋体" w:hAnsi="宋体" w:eastAsia="宋体" w:cs="宋体"/>
                <w:szCs w:val="21"/>
                <w:lang w:bidi="ar"/>
              </w:rPr>
              <w:t>3.支持根据情况对手术指导专家和手术指导时间进行重新分配和修改，并支持手术指导记录的查询。</w:t>
            </w:r>
          </w:p>
          <w:p w14:paraId="5F61CF4A">
            <w:pPr>
              <w:rPr>
                <w:rFonts w:hint="eastAsia" w:ascii="宋体" w:hAnsi="宋体" w:eastAsia="宋体" w:cs="宋体"/>
                <w:szCs w:val="21"/>
              </w:rPr>
            </w:pPr>
            <w:r>
              <w:rPr>
                <w:rFonts w:hint="eastAsia" w:ascii="宋体" w:hAnsi="宋体" w:eastAsia="宋体" w:cs="宋体"/>
                <w:szCs w:val="21"/>
                <w:lang w:bidi="ar"/>
              </w:rPr>
              <w:t>4.支持对术野、手术室全景、手术影像等画面进行组合呈现。</w:t>
            </w:r>
          </w:p>
          <w:p w14:paraId="335C6490">
            <w:pPr>
              <w:rPr>
                <w:rFonts w:hint="eastAsia" w:ascii="宋体" w:hAnsi="宋体" w:eastAsia="宋体" w:cs="宋体"/>
                <w:szCs w:val="21"/>
              </w:rPr>
            </w:pPr>
            <w:r>
              <w:rPr>
                <w:rFonts w:hint="eastAsia" w:ascii="宋体" w:hAnsi="宋体" w:eastAsia="宋体" w:cs="宋体"/>
                <w:szCs w:val="21"/>
                <w:lang w:bidi="ar"/>
              </w:rPr>
              <w:t>5.支持多人多机音视频交互病情讨论及屏幕共享功能。</w:t>
            </w:r>
          </w:p>
          <w:p w14:paraId="3D999A2F">
            <w:pPr>
              <w:rPr>
                <w:rFonts w:hint="eastAsia" w:ascii="宋体" w:hAnsi="宋体" w:eastAsia="宋体" w:cs="宋体"/>
                <w:szCs w:val="21"/>
              </w:rPr>
            </w:pPr>
            <w:r>
              <w:rPr>
                <w:rFonts w:hint="eastAsia" w:ascii="宋体" w:hAnsi="宋体" w:eastAsia="宋体" w:cs="宋体"/>
                <w:szCs w:val="21"/>
                <w:lang w:bidi="ar"/>
              </w:rPr>
              <w:t>6.支持远程对混屏画面中任意一路画面进行双击全屏放大，放大后画面清晰度≥1080P。</w:t>
            </w:r>
          </w:p>
          <w:p w14:paraId="66753165">
            <w:pPr>
              <w:rPr>
                <w:rFonts w:hint="eastAsia" w:ascii="宋体" w:hAnsi="宋体" w:eastAsia="宋体" w:cs="宋体"/>
                <w:szCs w:val="21"/>
              </w:rPr>
            </w:pPr>
            <w:r>
              <w:rPr>
                <w:rFonts w:hint="eastAsia" w:ascii="宋体" w:hAnsi="宋体" w:eastAsia="宋体" w:cs="宋体"/>
                <w:szCs w:val="21"/>
                <w:lang w:bidi="ar"/>
              </w:rPr>
              <w:t>7.支持≥1路人像,以及支持≥2路1080P数据共享画面同时传输。</w:t>
            </w:r>
          </w:p>
          <w:p w14:paraId="70180C43">
            <w:pPr>
              <w:rPr>
                <w:rFonts w:hint="eastAsia" w:ascii="宋体" w:hAnsi="宋体" w:eastAsia="宋体" w:cs="宋体"/>
                <w:szCs w:val="21"/>
              </w:rPr>
            </w:pPr>
            <w:r>
              <w:rPr>
                <w:rFonts w:hint="eastAsia" w:ascii="宋体" w:hAnsi="宋体" w:eastAsia="宋体" w:cs="宋体"/>
                <w:szCs w:val="21"/>
                <w:lang w:bidi="ar"/>
              </w:rPr>
              <w:t>8.支持在多方视频协同过程中，多方同时对数据源画面进行标注。不同的标注者将显示不同的标注颜色，且支持对标注线条的粗细、颜色，文字标注的大小、颜色进行自定义设置。此外，还支持图形标注，并提供一键清除标注的功能。</w:t>
            </w:r>
          </w:p>
          <w:p w14:paraId="4186F766">
            <w:pPr>
              <w:rPr>
                <w:rFonts w:hint="eastAsia" w:ascii="宋体" w:hAnsi="宋体" w:eastAsia="宋体" w:cs="宋体"/>
                <w:szCs w:val="21"/>
              </w:rPr>
            </w:pPr>
            <w:r>
              <w:rPr>
                <w:rFonts w:hint="eastAsia" w:ascii="宋体" w:hAnsi="宋体" w:eastAsia="宋体" w:cs="宋体"/>
                <w:szCs w:val="21"/>
                <w:lang w:bidi="ar"/>
              </w:rPr>
              <w:t>（三）数字化手术远程质控指导服务：</w:t>
            </w:r>
          </w:p>
          <w:p w14:paraId="308B4DBC">
            <w:pPr>
              <w:rPr>
                <w:rFonts w:hint="eastAsia" w:ascii="宋体" w:hAnsi="宋体" w:eastAsia="宋体" w:cs="宋体"/>
                <w:szCs w:val="21"/>
              </w:rPr>
            </w:pPr>
            <w:r>
              <w:rPr>
                <w:rFonts w:hint="eastAsia" w:ascii="宋体" w:hAnsi="宋体" w:eastAsia="宋体" w:cs="宋体"/>
                <w:szCs w:val="21"/>
                <w:lang w:bidi="ar"/>
              </w:rPr>
              <w:t xml:space="preserve">1.支持为质控主机分配所属科室，支持为质控主机分配术间。   </w:t>
            </w:r>
          </w:p>
          <w:p w14:paraId="39F74325">
            <w:pPr>
              <w:rPr>
                <w:rFonts w:hint="eastAsia" w:ascii="宋体" w:hAnsi="宋体" w:eastAsia="宋体" w:cs="宋体"/>
                <w:szCs w:val="21"/>
              </w:rPr>
            </w:pPr>
            <w:r>
              <w:rPr>
                <w:rFonts w:hint="eastAsia" w:ascii="宋体" w:hAnsi="宋体" w:eastAsia="宋体" w:cs="宋体"/>
                <w:szCs w:val="21"/>
                <w:lang w:bidi="ar"/>
              </w:rPr>
              <w:t>2.支持多质控中心对同一手术室实时质控指导服务。</w:t>
            </w:r>
          </w:p>
          <w:p w14:paraId="1A6D0292">
            <w:pPr>
              <w:rPr>
                <w:rFonts w:hint="eastAsia" w:ascii="宋体" w:hAnsi="宋体" w:eastAsia="宋体" w:cs="宋体"/>
                <w:szCs w:val="21"/>
              </w:rPr>
            </w:pPr>
            <w:r>
              <w:rPr>
                <w:rFonts w:hint="eastAsia" w:ascii="宋体" w:hAnsi="宋体" w:eastAsia="宋体" w:cs="宋体"/>
                <w:szCs w:val="21"/>
                <w:lang w:bidi="ar"/>
              </w:rPr>
              <w:t xml:space="preserve">★3.支持单质控中心对至少9间以上手术室同时质控指导。 </w:t>
            </w:r>
          </w:p>
          <w:p w14:paraId="615A0E71">
            <w:pPr>
              <w:rPr>
                <w:rFonts w:hint="eastAsia" w:ascii="宋体" w:hAnsi="宋体" w:eastAsia="宋体" w:cs="宋体"/>
                <w:szCs w:val="21"/>
              </w:rPr>
            </w:pPr>
            <w:r>
              <w:rPr>
                <w:rFonts w:hint="eastAsia" w:ascii="宋体" w:hAnsi="宋体" w:eastAsia="宋体" w:cs="宋体"/>
                <w:szCs w:val="21"/>
                <w:lang w:bidi="ar"/>
              </w:rPr>
              <w:t>4.支持累计统计专家端发起次数和互动时长，术间发起次数和互动时长。</w:t>
            </w:r>
          </w:p>
          <w:p w14:paraId="0A8E3CC4">
            <w:pPr>
              <w:rPr>
                <w:rFonts w:hint="eastAsia" w:ascii="宋体" w:hAnsi="宋体" w:eastAsia="宋体" w:cs="宋体"/>
                <w:szCs w:val="21"/>
              </w:rPr>
            </w:pPr>
            <w:r>
              <w:rPr>
                <w:rFonts w:hint="eastAsia" w:ascii="宋体" w:hAnsi="宋体" w:eastAsia="宋体" w:cs="宋体"/>
                <w:szCs w:val="21"/>
                <w:lang w:bidi="ar"/>
              </w:rPr>
              <w:t xml:space="preserve">5.支持对所有质控指导记录导出。 </w:t>
            </w:r>
          </w:p>
          <w:p w14:paraId="5D8CF05E">
            <w:pPr>
              <w:rPr>
                <w:rFonts w:hint="eastAsia" w:ascii="宋体" w:hAnsi="宋体" w:eastAsia="宋体" w:cs="宋体"/>
                <w:szCs w:val="21"/>
              </w:rPr>
            </w:pPr>
            <w:r>
              <w:rPr>
                <w:rFonts w:hint="eastAsia" w:ascii="宋体" w:hAnsi="宋体" w:eastAsia="宋体" w:cs="宋体"/>
                <w:szCs w:val="21"/>
                <w:lang w:bidi="ar"/>
              </w:rPr>
              <w:t xml:space="preserve">6.支持统计喊话场次和喊话时长。 </w:t>
            </w:r>
          </w:p>
          <w:p w14:paraId="1798996D">
            <w:pPr>
              <w:rPr>
                <w:rFonts w:hint="eastAsia" w:ascii="宋体" w:hAnsi="宋体" w:eastAsia="宋体" w:cs="宋体"/>
                <w:szCs w:val="21"/>
              </w:rPr>
            </w:pPr>
            <w:r>
              <w:rPr>
                <w:rFonts w:hint="eastAsia" w:ascii="宋体" w:hAnsi="宋体" w:eastAsia="宋体" w:cs="宋体"/>
                <w:szCs w:val="21"/>
                <w:lang w:bidi="ar"/>
              </w:rPr>
              <w:t xml:space="preserve">7.支持喊话记录列表数据导出。 </w:t>
            </w:r>
          </w:p>
          <w:p w14:paraId="7282D9A1">
            <w:pPr>
              <w:rPr>
                <w:rFonts w:hint="eastAsia" w:ascii="宋体" w:hAnsi="宋体" w:eastAsia="宋体" w:cs="宋体"/>
                <w:szCs w:val="21"/>
              </w:rPr>
            </w:pPr>
            <w:r>
              <w:rPr>
                <w:rFonts w:hint="eastAsia" w:ascii="宋体" w:hAnsi="宋体" w:eastAsia="宋体" w:cs="宋体"/>
                <w:szCs w:val="21"/>
                <w:lang w:bidi="ar"/>
              </w:rPr>
              <w:t>8.支持将互动连线统计记录导出。</w:t>
            </w:r>
          </w:p>
          <w:p w14:paraId="22302F32">
            <w:pPr>
              <w:rPr>
                <w:rFonts w:hint="eastAsia" w:ascii="宋体" w:hAnsi="宋体" w:eastAsia="宋体" w:cs="宋体"/>
                <w:szCs w:val="21"/>
              </w:rPr>
            </w:pPr>
            <w:r>
              <w:rPr>
                <w:rFonts w:hint="eastAsia" w:ascii="宋体" w:hAnsi="宋体" w:eastAsia="宋体" w:cs="宋体"/>
                <w:szCs w:val="21"/>
                <w:lang w:bidi="ar"/>
              </w:rPr>
              <w:t>9.支持网络丢包补偿技术，通过采用自适应传输技术以及FEC算法，音视频通话无障碍、整体清晰流畅。</w:t>
            </w:r>
          </w:p>
          <w:p w14:paraId="7BE6981E">
            <w:pPr>
              <w:rPr>
                <w:rFonts w:hint="eastAsia" w:ascii="宋体" w:hAnsi="宋体" w:eastAsia="宋体" w:cs="宋体"/>
                <w:szCs w:val="21"/>
              </w:rPr>
            </w:pPr>
            <w:r>
              <w:rPr>
                <w:rFonts w:hint="eastAsia" w:ascii="宋体" w:hAnsi="宋体" w:eastAsia="宋体" w:cs="宋体"/>
                <w:szCs w:val="21"/>
                <w:lang w:bidi="ar"/>
              </w:rPr>
              <w:t>10.支持SVC分层编码和传输。</w:t>
            </w:r>
          </w:p>
          <w:p w14:paraId="6BB49E0C">
            <w:pPr>
              <w:rPr>
                <w:rFonts w:hint="eastAsia" w:ascii="宋体" w:hAnsi="宋体" w:eastAsia="宋体" w:cs="宋体"/>
                <w:szCs w:val="21"/>
              </w:rPr>
            </w:pPr>
            <w:r>
              <w:rPr>
                <w:rFonts w:hint="eastAsia" w:ascii="宋体" w:hAnsi="宋体" w:eastAsia="宋体" w:cs="宋体"/>
                <w:szCs w:val="21"/>
                <w:lang w:bidi="ar"/>
              </w:rPr>
              <w:t>（四）多通道术中质控指导机器人系统：</w:t>
            </w:r>
          </w:p>
          <w:p w14:paraId="22770568">
            <w:pPr>
              <w:rPr>
                <w:rFonts w:hint="eastAsia" w:ascii="宋体" w:hAnsi="宋体" w:eastAsia="宋体" w:cs="宋体"/>
                <w:szCs w:val="21"/>
              </w:rPr>
            </w:pPr>
            <w:r>
              <w:rPr>
                <w:rFonts w:hint="eastAsia" w:ascii="宋体" w:hAnsi="宋体" w:eastAsia="宋体" w:cs="宋体"/>
                <w:szCs w:val="21"/>
                <w:lang w:bidi="ar"/>
              </w:rPr>
              <w:t>（1）质控机器人终端要求：</w:t>
            </w:r>
          </w:p>
          <w:p w14:paraId="588E404B">
            <w:pPr>
              <w:rPr>
                <w:rFonts w:hint="eastAsia" w:ascii="宋体" w:hAnsi="宋体" w:eastAsia="宋体" w:cs="宋体"/>
                <w:szCs w:val="21"/>
              </w:rPr>
            </w:pPr>
            <w:r>
              <w:rPr>
                <w:rFonts w:hint="eastAsia" w:ascii="宋体" w:hAnsi="宋体" w:eastAsia="宋体" w:cs="宋体"/>
                <w:szCs w:val="21"/>
                <w:lang w:bidi="ar"/>
              </w:rPr>
              <w:t>1.一体化机器人设计，整体可移动。</w:t>
            </w:r>
          </w:p>
          <w:p w14:paraId="500EFEA5">
            <w:pPr>
              <w:rPr>
                <w:rFonts w:hint="eastAsia" w:ascii="宋体" w:hAnsi="宋体" w:eastAsia="宋体" w:cs="宋体"/>
                <w:szCs w:val="21"/>
              </w:rPr>
            </w:pPr>
            <w:r>
              <w:rPr>
                <w:rFonts w:hint="eastAsia" w:ascii="宋体" w:hAnsi="宋体" w:eastAsia="宋体" w:cs="宋体"/>
                <w:szCs w:val="21"/>
                <w:lang w:bidi="ar"/>
              </w:rPr>
              <w:t>2.机械臂支持一键展开、一键收拢功能。</w:t>
            </w:r>
          </w:p>
          <w:p w14:paraId="18C16539">
            <w:pPr>
              <w:rPr>
                <w:rFonts w:hint="eastAsia" w:ascii="宋体" w:hAnsi="宋体" w:eastAsia="宋体" w:cs="宋体"/>
                <w:szCs w:val="21"/>
              </w:rPr>
            </w:pPr>
            <w:r>
              <w:rPr>
                <w:rFonts w:hint="eastAsia" w:ascii="宋体" w:hAnsi="宋体" w:eastAsia="宋体" w:cs="宋体"/>
                <w:szCs w:val="21"/>
                <w:lang w:bidi="ar"/>
              </w:rPr>
              <w:t>3.机械臂支持运动过程中的碰撞检测、自主避障，具备升降调节功能，摆动角度需支持可调。支持自转角度角度调节，自转转动速度范围0-180°/s。定位精度需在±0.3°以内。</w:t>
            </w:r>
          </w:p>
          <w:p w14:paraId="22AB51B5">
            <w:pPr>
              <w:rPr>
                <w:rFonts w:hint="eastAsia" w:ascii="宋体" w:hAnsi="宋体" w:eastAsia="宋体" w:cs="宋体"/>
                <w:szCs w:val="21"/>
              </w:rPr>
            </w:pPr>
            <w:r>
              <w:rPr>
                <w:rFonts w:hint="eastAsia" w:ascii="宋体" w:hAnsi="宋体" w:eastAsia="宋体" w:cs="宋体"/>
                <w:szCs w:val="21"/>
                <w:lang w:bidi="ar"/>
              </w:rPr>
              <w:t>4.支持云台调节模块，支持对侧倾角调节、侧倾角转动速度、俯仰角调节、俯仰角转动速度。</w:t>
            </w:r>
          </w:p>
          <w:p w14:paraId="2D121376">
            <w:pPr>
              <w:rPr>
                <w:rFonts w:hint="eastAsia" w:ascii="宋体" w:hAnsi="宋体" w:eastAsia="宋体" w:cs="宋体"/>
                <w:szCs w:val="21"/>
              </w:rPr>
            </w:pPr>
            <w:r>
              <w:rPr>
                <w:rFonts w:hint="eastAsia" w:ascii="宋体" w:hAnsi="宋体" w:eastAsia="宋体" w:cs="宋体"/>
                <w:szCs w:val="21"/>
                <w:lang w:bidi="ar"/>
              </w:rPr>
              <w:t>5.需采用触摸屏作为交互控制屏，触摸屏不小于19英寸。</w:t>
            </w:r>
          </w:p>
          <w:p w14:paraId="292FCD0E">
            <w:pPr>
              <w:rPr>
                <w:rFonts w:hint="eastAsia" w:ascii="宋体" w:hAnsi="宋体" w:eastAsia="宋体" w:cs="宋体"/>
                <w:szCs w:val="21"/>
              </w:rPr>
            </w:pPr>
            <w:r>
              <w:rPr>
                <w:rFonts w:hint="eastAsia" w:ascii="宋体" w:hAnsi="宋体" w:eastAsia="宋体" w:cs="宋体"/>
                <w:szCs w:val="21"/>
                <w:lang w:bidi="ar"/>
              </w:rPr>
              <w:t>6.支持术野高清视频采集模块，视频采集高度、范围需支持调节。采用光学变焦不低于20倍，数字变焦不低于10倍。具备无影灯光照条件自适应功能。</w:t>
            </w:r>
          </w:p>
          <w:p w14:paraId="4125E96B">
            <w:pPr>
              <w:rPr>
                <w:rFonts w:hint="eastAsia" w:ascii="宋体" w:hAnsi="宋体" w:eastAsia="宋体" w:cs="宋体"/>
                <w:szCs w:val="21"/>
              </w:rPr>
            </w:pPr>
            <w:r>
              <w:rPr>
                <w:rFonts w:hint="eastAsia" w:ascii="宋体" w:hAnsi="宋体" w:eastAsia="宋体" w:cs="宋体"/>
                <w:szCs w:val="21"/>
                <w:lang w:bidi="ar"/>
              </w:rPr>
              <w:t>7.支持全景高清视频采集模块，具备背光补偿、强光抑制、3D降噪、透雾及区域曝光功能，支持设置图像饱和度、亮度、对比度。支持光学变倍及焦距调节，支持水平转动及垂直摆动。</w:t>
            </w:r>
          </w:p>
          <w:p w14:paraId="020D5529">
            <w:pPr>
              <w:rPr>
                <w:rFonts w:hint="eastAsia" w:ascii="宋体" w:hAnsi="宋体" w:eastAsia="宋体" w:cs="宋体"/>
                <w:szCs w:val="21"/>
              </w:rPr>
            </w:pPr>
            <w:r>
              <w:rPr>
                <w:rFonts w:hint="eastAsia" w:ascii="宋体" w:hAnsi="宋体" w:eastAsia="宋体" w:cs="宋体"/>
                <w:szCs w:val="21"/>
                <w:lang w:bidi="ar"/>
              </w:rPr>
              <w:t>8.支持手动控制，支持对机械臂、云台、摄像头等进行手动调节、控制，对采集画面参数、焦点焦距、质量进行调节。</w:t>
            </w:r>
          </w:p>
          <w:p w14:paraId="738172EE">
            <w:pPr>
              <w:rPr>
                <w:rFonts w:hint="eastAsia" w:ascii="宋体" w:hAnsi="宋体" w:eastAsia="宋体" w:cs="宋体"/>
                <w:szCs w:val="21"/>
              </w:rPr>
            </w:pPr>
            <w:r>
              <w:rPr>
                <w:rFonts w:hint="eastAsia" w:ascii="宋体" w:hAnsi="宋体" w:eastAsia="宋体" w:cs="宋体"/>
                <w:szCs w:val="21"/>
                <w:lang w:bidi="ar"/>
              </w:rPr>
              <w:t>9.支持视觉靶标，并支持可与靶标进行无线数据传输，获得靶标姿态信息。</w:t>
            </w:r>
          </w:p>
          <w:p w14:paraId="2D9DBEF9">
            <w:pPr>
              <w:rPr>
                <w:rFonts w:hint="eastAsia" w:ascii="宋体" w:hAnsi="宋体" w:eastAsia="宋体" w:cs="宋体"/>
                <w:szCs w:val="21"/>
              </w:rPr>
            </w:pPr>
            <w:r>
              <w:rPr>
                <w:rFonts w:hint="eastAsia" w:ascii="宋体" w:hAnsi="宋体" w:eastAsia="宋体" w:cs="宋体"/>
                <w:szCs w:val="21"/>
                <w:lang w:bidi="ar"/>
              </w:rPr>
              <w:t>10.支持视觉靶标追踪及避障，遮挡规避以及靶标追踪相机视场范围。</w:t>
            </w:r>
          </w:p>
          <w:p w14:paraId="29D75E3A">
            <w:pPr>
              <w:rPr>
                <w:rFonts w:hint="eastAsia" w:ascii="宋体" w:hAnsi="宋体" w:eastAsia="宋体" w:cs="宋体"/>
                <w:szCs w:val="21"/>
              </w:rPr>
            </w:pPr>
            <w:r>
              <w:rPr>
                <w:rFonts w:hint="eastAsia" w:ascii="宋体" w:hAnsi="宋体" w:eastAsia="宋体" w:cs="宋体"/>
                <w:szCs w:val="21"/>
                <w:lang w:bidi="ar"/>
              </w:rPr>
              <w:t>（2）术中质控指导终端要求：</w:t>
            </w:r>
          </w:p>
          <w:p w14:paraId="5839B10E">
            <w:pPr>
              <w:rPr>
                <w:rFonts w:hint="eastAsia" w:ascii="宋体" w:hAnsi="宋体" w:eastAsia="宋体" w:cs="宋体"/>
                <w:szCs w:val="21"/>
              </w:rPr>
            </w:pPr>
            <w:r>
              <w:rPr>
                <w:rFonts w:hint="eastAsia" w:ascii="宋体" w:hAnsi="宋体" w:eastAsia="宋体" w:cs="宋体"/>
                <w:szCs w:val="21"/>
                <w:lang w:bidi="ar"/>
              </w:rPr>
              <w:t>1.支持视频输入输出接口，视频采集接口如HMDI/SDI接口均不少于2组。</w:t>
            </w:r>
          </w:p>
          <w:p w14:paraId="462AEA12">
            <w:pPr>
              <w:rPr>
                <w:rFonts w:hint="eastAsia" w:ascii="宋体" w:hAnsi="宋体" w:eastAsia="宋体" w:cs="宋体"/>
                <w:szCs w:val="21"/>
              </w:rPr>
            </w:pPr>
            <w:r>
              <w:rPr>
                <w:rFonts w:hint="eastAsia" w:ascii="宋体" w:hAnsi="宋体" w:eastAsia="宋体" w:cs="宋体"/>
                <w:szCs w:val="21"/>
                <w:lang w:bidi="ar"/>
              </w:rPr>
              <w:t>2.支持仿真控制接口不少于2组。</w:t>
            </w:r>
          </w:p>
          <w:p w14:paraId="7BEEF8AE">
            <w:pPr>
              <w:rPr>
                <w:rFonts w:hint="eastAsia" w:ascii="宋体" w:hAnsi="宋体" w:eastAsia="宋体" w:cs="宋体"/>
                <w:szCs w:val="21"/>
              </w:rPr>
            </w:pPr>
            <w:r>
              <w:rPr>
                <w:rFonts w:hint="eastAsia" w:ascii="宋体" w:hAnsi="宋体" w:eastAsia="宋体" w:cs="宋体"/>
                <w:szCs w:val="21"/>
                <w:lang w:bidi="ar"/>
              </w:rPr>
              <w:t>3.终端软件支持多方高清实时视频通讯。</w:t>
            </w:r>
          </w:p>
          <w:p w14:paraId="6EC79567">
            <w:pPr>
              <w:rPr>
                <w:rFonts w:hint="eastAsia" w:ascii="宋体" w:hAnsi="宋体" w:eastAsia="宋体" w:cs="宋体"/>
                <w:szCs w:val="21"/>
              </w:rPr>
            </w:pPr>
            <w:r>
              <w:rPr>
                <w:rFonts w:hint="eastAsia" w:ascii="宋体" w:hAnsi="宋体" w:eastAsia="宋体" w:cs="宋体"/>
                <w:szCs w:val="21"/>
                <w:lang w:bidi="ar"/>
              </w:rPr>
              <w:t>4.支持多端互动，支持质控中心、移动客户端同时加入手术室，实现手术质控、多方协同、远程指导。</w:t>
            </w:r>
          </w:p>
          <w:p w14:paraId="720A4395">
            <w:pPr>
              <w:rPr>
                <w:rFonts w:hint="eastAsia" w:ascii="宋体" w:hAnsi="宋体" w:eastAsia="宋体" w:cs="宋体"/>
                <w:szCs w:val="21"/>
              </w:rPr>
            </w:pPr>
            <w:r>
              <w:rPr>
                <w:rFonts w:hint="eastAsia" w:ascii="宋体" w:hAnsi="宋体" w:eastAsia="宋体" w:cs="宋体"/>
                <w:szCs w:val="21"/>
                <w:lang w:bidi="ar"/>
              </w:rPr>
              <w:t>5.数据画面支持4路及以上视频信号同时采集和混屏编码，分辨率不低于1080P，支持多路医学影像视频信号混屏组合，支持组合画面远程切换。</w:t>
            </w:r>
          </w:p>
          <w:p w14:paraId="7BE3CB1B">
            <w:pPr>
              <w:rPr>
                <w:rFonts w:hint="eastAsia" w:ascii="宋体" w:hAnsi="宋体" w:eastAsia="宋体" w:cs="宋体"/>
                <w:szCs w:val="21"/>
              </w:rPr>
            </w:pPr>
            <w:r>
              <w:rPr>
                <w:rFonts w:hint="eastAsia" w:ascii="宋体" w:hAnsi="宋体" w:eastAsia="宋体" w:cs="宋体"/>
                <w:szCs w:val="21"/>
                <w:lang w:bidi="ar"/>
              </w:rPr>
              <w:t>6.支持基于手术视频进行协同标记，支持在手术画面上进行画线、置入图标，支持多方同时设置不同颜色，进行同步协同操作，支持文字标注、支持鼠标标记、支持画线、箭头、图形、马赛克、支持插入图标标记、支持图标放大、缩小、拖动、旋转等、支持擦除、全部清除功能等。</w:t>
            </w:r>
          </w:p>
          <w:p w14:paraId="3FEA2ABA">
            <w:pPr>
              <w:rPr>
                <w:rFonts w:hint="eastAsia" w:ascii="宋体" w:hAnsi="宋体" w:eastAsia="宋体" w:cs="宋体"/>
                <w:szCs w:val="21"/>
              </w:rPr>
            </w:pPr>
            <w:r>
              <w:rPr>
                <w:rFonts w:hint="eastAsia" w:ascii="宋体" w:hAnsi="宋体" w:eastAsia="宋体" w:cs="宋体"/>
                <w:szCs w:val="21"/>
                <w:lang w:bidi="ar"/>
              </w:rPr>
              <w:t>★7.支持远程控制，以满足无需在手术设备和医疗工作站上额外安装软硬件，即可以对手术设备和医疗工作站进行远程控制的需求。</w:t>
            </w:r>
          </w:p>
          <w:p w14:paraId="43260D5A">
            <w:pPr>
              <w:rPr>
                <w:rFonts w:hint="eastAsia" w:ascii="宋体" w:hAnsi="宋体" w:eastAsia="宋体" w:cs="宋体"/>
                <w:szCs w:val="21"/>
              </w:rPr>
            </w:pPr>
            <w:r>
              <w:rPr>
                <w:rFonts w:hint="eastAsia" w:ascii="宋体" w:hAnsi="宋体" w:eastAsia="宋体" w:cs="宋体"/>
                <w:szCs w:val="21"/>
                <w:lang w:bidi="ar"/>
              </w:rPr>
              <w:t>8.支持配备全向麦，支持USB、蓝牙连接，满足360°拾音。</w:t>
            </w:r>
          </w:p>
          <w:p w14:paraId="464FFAC3">
            <w:pPr>
              <w:rPr>
                <w:rFonts w:hint="eastAsia" w:ascii="宋体" w:hAnsi="宋体" w:eastAsia="宋体" w:cs="宋体"/>
                <w:szCs w:val="21"/>
              </w:rPr>
            </w:pPr>
            <w:r>
              <w:rPr>
                <w:rFonts w:hint="eastAsia" w:ascii="宋体" w:hAnsi="宋体" w:eastAsia="宋体" w:cs="宋体"/>
                <w:szCs w:val="21"/>
                <w:lang w:bidi="ar"/>
              </w:rPr>
              <w:t>9.支持配备无线耳麦，支持蓝牙4.0 采用耳勾式佩戴方式。</w:t>
            </w:r>
          </w:p>
          <w:p w14:paraId="240939D7">
            <w:pPr>
              <w:rPr>
                <w:rFonts w:hint="eastAsia" w:ascii="宋体" w:hAnsi="宋体" w:eastAsia="宋体" w:cs="宋体"/>
                <w:szCs w:val="21"/>
              </w:rPr>
            </w:pPr>
            <w:r>
              <w:rPr>
                <w:rFonts w:hint="eastAsia" w:ascii="宋体" w:hAnsi="宋体" w:eastAsia="宋体" w:cs="宋体"/>
                <w:szCs w:val="21"/>
                <w:lang w:bidi="ar"/>
              </w:rPr>
              <w:t>10.支持配备标准键盘鼠标。</w:t>
            </w:r>
          </w:p>
          <w:p w14:paraId="51865F74">
            <w:pPr>
              <w:rPr>
                <w:rFonts w:hint="eastAsia" w:ascii="宋体" w:hAnsi="宋体" w:eastAsia="宋体" w:cs="宋体"/>
                <w:szCs w:val="21"/>
              </w:rPr>
            </w:pPr>
            <w:r>
              <w:rPr>
                <w:rFonts w:hint="eastAsia" w:ascii="宋体" w:hAnsi="宋体" w:eastAsia="宋体" w:cs="宋体"/>
                <w:szCs w:val="21"/>
                <w:lang w:bidi="ar"/>
              </w:rPr>
              <w:t>11.支持配备显示器，不小于27英寸，支持HDMI，分辨率不低于1920*1080。</w:t>
            </w:r>
          </w:p>
          <w:p w14:paraId="22E15B49">
            <w:pPr>
              <w:rPr>
                <w:rFonts w:hint="eastAsia" w:ascii="宋体" w:hAnsi="宋体" w:eastAsia="宋体" w:cs="宋体"/>
                <w:szCs w:val="21"/>
              </w:rPr>
            </w:pPr>
            <w:r>
              <w:rPr>
                <w:rFonts w:hint="eastAsia" w:ascii="宋体" w:hAnsi="宋体" w:eastAsia="宋体" w:cs="宋体"/>
                <w:szCs w:val="21"/>
                <w:lang w:bidi="ar"/>
              </w:rPr>
              <w:t>（3）多通道采编终端要求</w:t>
            </w:r>
          </w:p>
          <w:p w14:paraId="0E63F38E">
            <w:pPr>
              <w:rPr>
                <w:rFonts w:hint="eastAsia" w:ascii="宋体" w:hAnsi="宋体" w:eastAsia="宋体" w:cs="宋体"/>
                <w:szCs w:val="21"/>
              </w:rPr>
            </w:pPr>
            <w:r>
              <w:rPr>
                <w:rFonts w:hint="eastAsia" w:ascii="宋体" w:hAnsi="宋体" w:eastAsia="宋体" w:cs="宋体"/>
                <w:szCs w:val="21"/>
                <w:lang w:bidi="ar"/>
              </w:rPr>
              <w:t>1.支持配备不低于12英寸屏幕尺寸的平板设备。</w:t>
            </w:r>
          </w:p>
          <w:p w14:paraId="3165293D">
            <w:pPr>
              <w:rPr>
                <w:rFonts w:hint="eastAsia" w:ascii="宋体" w:hAnsi="宋体" w:eastAsia="宋体" w:cs="宋体"/>
                <w:szCs w:val="21"/>
              </w:rPr>
            </w:pPr>
            <w:r>
              <w:rPr>
                <w:rFonts w:hint="eastAsia" w:ascii="宋体" w:hAnsi="宋体" w:eastAsia="宋体" w:cs="宋体"/>
                <w:szCs w:val="21"/>
                <w:lang w:bidi="ar"/>
              </w:rPr>
              <w:t>2.支持配备多通道采集设备，支持不少于4路手术设备的采集，需同时支持网络推流和拉流功能。</w:t>
            </w:r>
          </w:p>
          <w:p w14:paraId="673F97C3">
            <w:pPr>
              <w:rPr>
                <w:rFonts w:hint="eastAsia" w:ascii="宋体" w:hAnsi="宋体" w:eastAsia="宋体" w:cs="宋体"/>
                <w:szCs w:val="21"/>
              </w:rPr>
            </w:pPr>
            <w:r>
              <w:rPr>
                <w:rFonts w:hint="eastAsia" w:ascii="宋体" w:hAnsi="宋体" w:eastAsia="宋体" w:cs="宋体"/>
                <w:szCs w:val="21"/>
                <w:lang w:bidi="ar"/>
              </w:rPr>
              <w:t>3.支持视频流按照时间标记对齐。</w:t>
            </w:r>
          </w:p>
          <w:p w14:paraId="1D5AEE79">
            <w:pPr>
              <w:rPr>
                <w:rFonts w:hint="eastAsia" w:ascii="宋体" w:hAnsi="宋体" w:eastAsia="宋体" w:cs="宋体"/>
                <w:szCs w:val="21"/>
              </w:rPr>
            </w:pPr>
            <w:r>
              <w:rPr>
                <w:rFonts w:hint="eastAsia" w:ascii="宋体" w:hAnsi="宋体" w:eastAsia="宋体" w:cs="宋体"/>
                <w:szCs w:val="21"/>
                <w:lang w:bidi="ar"/>
              </w:rPr>
              <w:t>4.支持独立录制存储，对每路视频流进行单独录制和存储。</w:t>
            </w:r>
          </w:p>
          <w:p w14:paraId="1DC16059">
            <w:pPr>
              <w:rPr>
                <w:rFonts w:hint="eastAsia" w:ascii="宋体" w:hAnsi="宋体" w:eastAsia="宋体" w:cs="宋体"/>
                <w:szCs w:val="21"/>
              </w:rPr>
            </w:pPr>
            <w:r>
              <w:rPr>
                <w:rFonts w:hint="eastAsia" w:ascii="宋体" w:hAnsi="宋体" w:eastAsia="宋体" w:cs="宋体"/>
                <w:szCs w:val="21"/>
                <w:lang w:bidi="ar"/>
              </w:rPr>
              <w:t>5.支持对接术野、全景及常见介入手术、外科手术相关医疗设备。</w:t>
            </w:r>
          </w:p>
          <w:p w14:paraId="60E64361">
            <w:pPr>
              <w:rPr>
                <w:rFonts w:hint="eastAsia" w:ascii="宋体" w:hAnsi="宋体" w:eastAsia="宋体" w:cs="宋体"/>
                <w:szCs w:val="21"/>
              </w:rPr>
            </w:pPr>
            <w:r>
              <w:rPr>
                <w:rFonts w:hint="eastAsia" w:ascii="宋体" w:hAnsi="宋体" w:eastAsia="宋体" w:cs="宋体"/>
                <w:szCs w:val="21"/>
                <w:lang w:bidi="ar"/>
              </w:rPr>
              <w:t xml:space="preserve">★6.支持移动化录制管理，录制管理客户端需支持平板设备部署，并提供相应的客户端软件及平板设备。 </w:t>
            </w:r>
          </w:p>
          <w:p w14:paraId="3CA17E5C">
            <w:pPr>
              <w:rPr>
                <w:rFonts w:hint="eastAsia" w:ascii="宋体" w:hAnsi="宋体" w:eastAsia="宋体" w:cs="宋体"/>
                <w:szCs w:val="21"/>
              </w:rPr>
            </w:pPr>
            <w:r>
              <w:rPr>
                <w:rFonts w:hint="eastAsia" w:ascii="宋体" w:hAnsi="宋体" w:eastAsia="宋体" w:cs="宋体"/>
                <w:szCs w:val="21"/>
                <w:lang w:bidi="ar"/>
              </w:rPr>
              <w:t xml:space="preserve">7.支持通过客户端实时预览录制中的所有画面。 </w:t>
            </w:r>
          </w:p>
          <w:p w14:paraId="14EBDCDB">
            <w:pPr>
              <w:rPr>
                <w:rFonts w:hint="eastAsia" w:ascii="宋体" w:hAnsi="宋体" w:eastAsia="宋体" w:cs="宋体"/>
                <w:szCs w:val="21"/>
              </w:rPr>
            </w:pPr>
            <w:r>
              <w:rPr>
                <w:rFonts w:hint="eastAsia" w:ascii="宋体" w:hAnsi="宋体" w:eastAsia="宋体" w:cs="宋体"/>
                <w:szCs w:val="21"/>
                <w:lang w:bidi="ar"/>
              </w:rPr>
              <w:t>8.支持根据不同的手术类型选择开启或关闭各设备信号的录制。</w:t>
            </w:r>
          </w:p>
          <w:p w14:paraId="04AAE0EC">
            <w:pPr>
              <w:rPr>
                <w:rFonts w:hint="eastAsia" w:ascii="宋体" w:hAnsi="宋体" w:eastAsia="宋体" w:cs="宋体"/>
                <w:szCs w:val="21"/>
              </w:rPr>
            </w:pPr>
            <w:r>
              <w:rPr>
                <w:rFonts w:hint="eastAsia" w:ascii="宋体" w:hAnsi="宋体" w:eastAsia="宋体" w:cs="宋体"/>
                <w:szCs w:val="21"/>
                <w:lang w:bidi="ar"/>
              </w:rPr>
              <w:t xml:space="preserve">9.支持时移回放功能，支持在录制的过程中对任一路信号源进行时移操作，并跳转到已录制的任意时间点回放画面。 </w:t>
            </w:r>
          </w:p>
          <w:p w14:paraId="279BF812">
            <w:pPr>
              <w:rPr>
                <w:rFonts w:hint="eastAsia" w:ascii="宋体" w:hAnsi="宋体" w:eastAsia="宋体" w:cs="宋体"/>
                <w:szCs w:val="21"/>
              </w:rPr>
            </w:pPr>
            <w:r>
              <w:rPr>
                <w:rFonts w:hint="eastAsia" w:ascii="宋体" w:hAnsi="宋体" w:eastAsia="宋体" w:cs="宋体"/>
                <w:szCs w:val="21"/>
                <w:lang w:bidi="ar"/>
              </w:rPr>
              <w:t>10.支持查看手术信息，包括但不限于手术室名称、术者信息、患者信息、手术计划等，以及详细手术计划信息，如手术编号、术间、台次、手术类型、申请科室、患者信息、手术信息、手术进程、手术人员信息等。</w:t>
            </w:r>
          </w:p>
          <w:p w14:paraId="44D9EF41">
            <w:pPr>
              <w:rPr>
                <w:rFonts w:hint="eastAsia" w:ascii="宋体" w:hAnsi="宋体" w:eastAsia="宋体" w:cs="宋体"/>
                <w:szCs w:val="21"/>
              </w:rPr>
            </w:pPr>
            <w:r>
              <w:rPr>
                <w:rFonts w:hint="eastAsia" w:ascii="宋体" w:hAnsi="宋体" w:eastAsia="宋体" w:cs="宋体"/>
                <w:szCs w:val="21"/>
                <w:lang w:bidi="ar"/>
              </w:rPr>
              <w:t>11.支持录制中添加标签，录制过程中支持对任一时间节点画面进行标签标注。</w:t>
            </w:r>
          </w:p>
          <w:p w14:paraId="15B37E89">
            <w:pPr>
              <w:rPr>
                <w:rFonts w:hint="eastAsia" w:ascii="宋体" w:hAnsi="宋体" w:eastAsia="宋体" w:cs="宋体"/>
                <w:szCs w:val="21"/>
              </w:rPr>
            </w:pPr>
            <w:r>
              <w:rPr>
                <w:rFonts w:hint="eastAsia" w:ascii="宋体" w:hAnsi="宋体" w:eastAsia="宋体" w:cs="宋体"/>
                <w:szCs w:val="21"/>
                <w:lang w:bidi="ar"/>
              </w:rPr>
              <w:t>12.支持标准化标签库，需涵盖手术过程、手术术式、手术麻醉等标签。</w:t>
            </w:r>
          </w:p>
          <w:p w14:paraId="7E96143B">
            <w:pPr>
              <w:rPr>
                <w:rFonts w:hint="eastAsia" w:ascii="宋体" w:hAnsi="宋体" w:eastAsia="宋体" w:cs="宋体"/>
                <w:szCs w:val="21"/>
              </w:rPr>
            </w:pPr>
            <w:r>
              <w:rPr>
                <w:rFonts w:hint="eastAsia" w:ascii="宋体" w:hAnsi="宋体" w:eastAsia="宋体" w:cs="宋体"/>
                <w:szCs w:val="21"/>
                <w:lang w:bidi="ar"/>
              </w:rPr>
              <w:t>13.支持标签自定义功能，支持用户添加自定义标签，并对已添加的标签进行编辑和删除操作。</w:t>
            </w:r>
          </w:p>
          <w:p w14:paraId="1F984481">
            <w:pPr>
              <w:rPr>
                <w:rFonts w:hint="eastAsia" w:ascii="宋体" w:hAnsi="宋体" w:eastAsia="宋体" w:cs="宋体"/>
                <w:szCs w:val="21"/>
              </w:rPr>
            </w:pPr>
            <w:r>
              <w:rPr>
                <w:rFonts w:hint="eastAsia" w:ascii="宋体" w:hAnsi="宋体" w:eastAsia="宋体" w:cs="宋体"/>
                <w:szCs w:val="21"/>
                <w:lang w:bidi="ar"/>
              </w:rPr>
              <w:t>14.支持标签与时间轴刻度关联，提供带有刻度的时间轴，相关联的标签按照标记时间展示在相应的时间点刻度上。</w:t>
            </w:r>
          </w:p>
          <w:p w14:paraId="61AF8B22">
            <w:pPr>
              <w:rPr>
                <w:rFonts w:hint="eastAsia" w:ascii="宋体" w:hAnsi="宋体" w:eastAsia="宋体" w:cs="宋体"/>
                <w:szCs w:val="21"/>
              </w:rPr>
            </w:pPr>
            <w:r>
              <w:rPr>
                <w:rFonts w:hint="eastAsia" w:ascii="宋体" w:hAnsi="宋体" w:eastAsia="宋体" w:cs="宋体"/>
                <w:szCs w:val="21"/>
                <w:lang w:bidi="ar"/>
              </w:rPr>
              <w:t>（五）质控中心远程协同与回溯系统</w:t>
            </w:r>
          </w:p>
          <w:p w14:paraId="31102047">
            <w:pPr>
              <w:rPr>
                <w:rFonts w:hint="eastAsia" w:ascii="宋体" w:hAnsi="宋体" w:eastAsia="宋体" w:cs="宋体"/>
                <w:szCs w:val="21"/>
              </w:rPr>
            </w:pPr>
            <w:r>
              <w:rPr>
                <w:rFonts w:hint="eastAsia" w:ascii="宋体" w:hAnsi="宋体" w:eastAsia="宋体" w:cs="宋体"/>
                <w:szCs w:val="21"/>
                <w:lang w:bidi="ar"/>
              </w:rPr>
              <w:t>（1）远程质控协同终端要求</w:t>
            </w:r>
          </w:p>
          <w:p w14:paraId="413BD1C9">
            <w:pPr>
              <w:rPr>
                <w:rFonts w:hint="eastAsia" w:ascii="宋体" w:hAnsi="宋体" w:eastAsia="宋体" w:cs="宋体"/>
                <w:szCs w:val="21"/>
              </w:rPr>
            </w:pPr>
            <w:r>
              <w:rPr>
                <w:rFonts w:hint="eastAsia" w:ascii="宋体" w:hAnsi="宋体" w:eastAsia="宋体" w:cs="宋体"/>
                <w:szCs w:val="21"/>
                <w:lang w:bidi="ar"/>
              </w:rPr>
              <w:t>1.支持配备屏幕尺寸不低于65英寸的4K屏幕，并具备HDMI输入接口。</w:t>
            </w:r>
          </w:p>
          <w:p w14:paraId="503D216D">
            <w:pPr>
              <w:rPr>
                <w:rFonts w:hint="eastAsia" w:ascii="宋体" w:hAnsi="宋体" w:eastAsia="宋体" w:cs="宋体"/>
                <w:szCs w:val="21"/>
              </w:rPr>
            </w:pPr>
            <w:r>
              <w:rPr>
                <w:rFonts w:hint="eastAsia" w:ascii="宋体" w:hAnsi="宋体" w:eastAsia="宋体" w:cs="宋体"/>
                <w:szCs w:val="21"/>
                <w:lang w:bidi="ar"/>
              </w:rPr>
              <w:t>2.支持视频输入输出接口，且视频采集接口（HDMI/SDI）不少于2组。</w:t>
            </w:r>
          </w:p>
          <w:p w14:paraId="09B87131">
            <w:pPr>
              <w:rPr>
                <w:rFonts w:hint="eastAsia" w:ascii="宋体" w:hAnsi="宋体" w:eastAsia="宋体" w:cs="宋体"/>
                <w:szCs w:val="21"/>
              </w:rPr>
            </w:pPr>
            <w:r>
              <w:rPr>
                <w:rFonts w:hint="eastAsia" w:ascii="宋体" w:hAnsi="宋体" w:eastAsia="宋体" w:cs="宋体"/>
                <w:szCs w:val="21"/>
                <w:lang w:bidi="ar"/>
              </w:rPr>
              <w:t>3.支持仿真控制接口，且接口数量不少于1组。</w:t>
            </w:r>
          </w:p>
          <w:p w14:paraId="2987BAC8">
            <w:pPr>
              <w:rPr>
                <w:rFonts w:hint="eastAsia" w:ascii="宋体" w:hAnsi="宋体" w:eastAsia="宋体" w:cs="宋体"/>
                <w:szCs w:val="21"/>
              </w:rPr>
            </w:pPr>
            <w:r>
              <w:rPr>
                <w:rFonts w:hint="eastAsia" w:ascii="宋体" w:hAnsi="宋体" w:eastAsia="宋体" w:cs="宋体"/>
                <w:szCs w:val="21"/>
                <w:lang w:bidi="ar"/>
              </w:rPr>
              <w:t>4.支持配备全景摄像头，其分辨率不低于1080P，帧率不低于30fps。</w:t>
            </w:r>
          </w:p>
          <w:p w14:paraId="1443AC0C">
            <w:pPr>
              <w:rPr>
                <w:rFonts w:hint="eastAsia" w:ascii="宋体" w:hAnsi="宋体" w:eastAsia="宋体" w:cs="宋体"/>
                <w:szCs w:val="21"/>
              </w:rPr>
            </w:pPr>
            <w:r>
              <w:rPr>
                <w:rFonts w:hint="eastAsia" w:ascii="宋体" w:hAnsi="宋体" w:eastAsia="宋体" w:cs="宋体"/>
                <w:szCs w:val="21"/>
                <w:lang w:bidi="ar"/>
              </w:rPr>
              <w:t>5.支持配备全向麦克风，360度拾音，支持USB 和 蓝牙连接。</w:t>
            </w:r>
          </w:p>
          <w:p w14:paraId="6BE6F40F">
            <w:pPr>
              <w:rPr>
                <w:rFonts w:hint="eastAsia" w:ascii="宋体" w:hAnsi="宋体" w:eastAsia="宋体" w:cs="宋体"/>
                <w:szCs w:val="21"/>
              </w:rPr>
            </w:pPr>
            <w:r>
              <w:rPr>
                <w:rFonts w:hint="eastAsia" w:ascii="宋体" w:hAnsi="宋体" w:eastAsia="宋体" w:cs="宋体"/>
                <w:szCs w:val="21"/>
                <w:lang w:bidi="ar"/>
              </w:rPr>
              <w:t>6.支持实时展示手术室的视频画面。</w:t>
            </w:r>
          </w:p>
          <w:p w14:paraId="799F2C31">
            <w:pPr>
              <w:rPr>
                <w:rFonts w:hint="eastAsia" w:ascii="宋体" w:hAnsi="宋体" w:eastAsia="宋体" w:cs="宋体"/>
                <w:szCs w:val="21"/>
              </w:rPr>
            </w:pPr>
            <w:r>
              <w:rPr>
                <w:rFonts w:hint="eastAsia" w:ascii="宋体" w:hAnsi="宋体" w:eastAsia="宋体" w:cs="宋体"/>
                <w:szCs w:val="21"/>
                <w:lang w:bidi="ar"/>
              </w:rPr>
              <w:t>7.支持手术室从质控状态快速切换至互动状态，进行音视频互动指导。</w:t>
            </w:r>
          </w:p>
          <w:p w14:paraId="3C438D6F">
            <w:pPr>
              <w:rPr>
                <w:rFonts w:hint="eastAsia" w:ascii="宋体" w:hAnsi="宋体" w:eastAsia="宋体" w:cs="宋体"/>
                <w:szCs w:val="21"/>
              </w:rPr>
            </w:pPr>
            <w:r>
              <w:rPr>
                <w:rFonts w:hint="eastAsia" w:ascii="宋体" w:hAnsi="宋体" w:eastAsia="宋体" w:cs="宋体"/>
                <w:szCs w:val="21"/>
                <w:lang w:bidi="ar"/>
              </w:rPr>
              <w:t>8.支持接听手术室的呼叫，实现快速手术指导。</w:t>
            </w:r>
          </w:p>
          <w:p w14:paraId="009D96D6">
            <w:pPr>
              <w:rPr>
                <w:rFonts w:hint="eastAsia" w:ascii="宋体" w:hAnsi="宋体" w:eastAsia="宋体" w:cs="宋体"/>
                <w:szCs w:val="21"/>
              </w:rPr>
            </w:pPr>
            <w:r>
              <w:rPr>
                <w:rFonts w:hint="eastAsia" w:ascii="宋体" w:hAnsi="宋体" w:eastAsia="宋体" w:cs="宋体"/>
                <w:szCs w:val="21"/>
                <w:lang w:bidi="ar"/>
              </w:rPr>
              <w:t>9.支持至少对9间以上手术室同时进行质控指导的能力扩展。</w:t>
            </w:r>
          </w:p>
          <w:p w14:paraId="2DA94364">
            <w:pPr>
              <w:rPr>
                <w:rFonts w:hint="eastAsia" w:ascii="宋体" w:hAnsi="宋体" w:eastAsia="宋体" w:cs="宋体"/>
                <w:szCs w:val="21"/>
              </w:rPr>
            </w:pPr>
            <w:r>
              <w:rPr>
                <w:rFonts w:hint="eastAsia" w:ascii="宋体" w:hAnsi="宋体" w:eastAsia="宋体" w:cs="宋体"/>
                <w:szCs w:val="21"/>
                <w:lang w:bidi="ar"/>
              </w:rPr>
              <w:t>10.支持选择手术室组合画面或全屏展示模式。</w:t>
            </w:r>
          </w:p>
          <w:p w14:paraId="6E333A54">
            <w:pPr>
              <w:rPr>
                <w:rFonts w:hint="eastAsia" w:ascii="宋体" w:hAnsi="宋体" w:eastAsia="宋体" w:cs="宋体"/>
                <w:szCs w:val="21"/>
              </w:rPr>
            </w:pPr>
            <w:r>
              <w:rPr>
                <w:rFonts w:hint="eastAsia" w:ascii="宋体" w:hAnsi="宋体" w:eastAsia="宋体" w:cs="宋体"/>
                <w:szCs w:val="21"/>
                <w:lang w:bidi="ar"/>
              </w:rPr>
              <w:t>11.支持语音喊话功能，质控端能够直接对指定的手术室进行语音喊话，实现实时的语音指导或沟通，无需手术室内的医护人员接听操作。</w:t>
            </w:r>
          </w:p>
          <w:p w14:paraId="5329391A">
            <w:pPr>
              <w:rPr>
                <w:rFonts w:hint="eastAsia" w:ascii="宋体" w:hAnsi="宋体" w:eastAsia="宋体" w:cs="宋体"/>
                <w:szCs w:val="21"/>
              </w:rPr>
            </w:pPr>
            <w:r>
              <w:rPr>
                <w:rFonts w:hint="eastAsia" w:ascii="宋体" w:hAnsi="宋体" w:eastAsia="宋体" w:cs="宋体"/>
                <w:szCs w:val="21"/>
                <w:lang w:bidi="ar"/>
              </w:rPr>
              <w:t>12.支持画面标注功能，支持多方视频协同过程中，多方同时对数据源画面标注，不同的标注者显示不同的标注颜色。</w:t>
            </w:r>
          </w:p>
          <w:p w14:paraId="173F4D29">
            <w:pPr>
              <w:rPr>
                <w:rFonts w:hint="eastAsia" w:ascii="宋体" w:hAnsi="宋体" w:eastAsia="宋体" w:cs="宋体"/>
                <w:szCs w:val="21"/>
              </w:rPr>
            </w:pPr>
            <w:r>
              <w:rPr>
                <w:rFonts w:hint="eastAsia" w:ascii="宋体" w:hAnsi="宋体" w:eastAsia="宋体" w:cs="宋体"/>
                <w:szCs w:val="21"/>
                <w:lang w:bidi="ar"/>
              </w:rPr>
              <w:t>（2）手术回溯终端要求</w:t>
            </w:r>
          </w:p>
          <w:p w14:paraId="539F4067">
            <w:pPr>
              <w:rPr>
                <w:rFonts w:hint="eastAsia" w:ascii="宋体" w:hAnsi="宋体" w:eastAsia="宋体" w:cs="宋体"/>
                <w:szCs w:val="21"/>
              </w:rPr>
            </w:pPr>
            <w:r>
              <w:rPr>
                <w:rFonts w:hint="eastAsia" w:ascii="宋体" w:hAnsi="宋体" w:eastAsia="宋体" w:cs="宋体"/>
                <w:szCs w:val="21"/>
                <w:lang w:bidi="ar"/>
              </w:rPr>
              <w:t>1.配置要求：CPU主频不低于2.0GHz，CPU核数不少于4核8线程，内存（GB）不少于16GB，系统盘（GB）不少于100GB。</w:t>
            </w:r>
          </w:p>
          <w:p w14:paraId="778456AB">
            <w:pPr>
              <w:rPr>
                <w:rFonts w:hint="eastAsia" w:ascii="宋体" w:hAnsi="宋体" w:eastAsia="宋体" w:cs="宋体"/>
                <w:szCs w:val="21"/>
              </w:rPr>
            </w:pPr>
            <w:r>
              <w:rPr>
                <w:rFonts w:hint="eastAsia" w:ascii="宋体" w:hAnsi="宋体" w:eastAsia="宋体" w:cs="宋体"/>
                <w:szCs w:val="21"/>
                <w:lang w:bidi="ar"/>
              </w:rPr>
              <w:t>2.支持对手术记录进行多维度检索、组合条件筛选、模糊搜索查询。支持通过手术记录播放回溯回放操作。</w:t>
            </w:r>
          </w:p>
          <w:p w14:paraId="04D37F2E">
            <w:pPr>
              <w:rPr>
                <w:rFonts w:hint="eastAsia" w:ascii="宋体" w:hAnsi="宋体" w:eastAsia="宋体" w:cs="宋体"/>
                <w:szCs w:val="21"/>
              </w:rPr>
            </w:pPr>
            <w:r>
              <w:rPr>
                <w:rFonts w:hint="eastAsia" w:ascii="宋体" w:hAnsi="宋体" w:eastAsia="宋体" w:cs="宋体"/>
                <w:szCs w:val="21"/>
                <w:lang w:bidi="ar"/>
              </w:rPr>
              <w:t>3.支持对回放控制操作，如播放/暂停，拖动时间轴跳转等。</w:t>
            </w:r>
          </w:p>
          <w:p w14:paraId="32786DBB">
            <w:pPr>
              <w:rPr>
                <w:rFonts w:hint="eastAsia" w:ascii="宋体" w:hAnsi="宋体" w:eastAsia="宋体" w:cs="宋体"/>
                <w:szCs w:val="21"/>
              </w:rPr>
            </w:pPr>
            <w:r>
              <w:rPr>
                <w:rFonts w:hint="eastAsia" w:ascii="宋体" w:hAnsi="宋体" w:eastAsia="宋体" w:cs="宋体"/>
                <w:szCs w:val="21"/>
                <w:lang w:bidi="ar"/>
              </w:rPr>
              <w:t>4.支持倍速播放，不限于0.5倍速、1倍速、1.5倍速、2倍速。</w:t>
            </w:r>
          </w:p>
          <w:p w14:paraId="31A0DB19">
            <w:pPr>
              <w:rPr>
                <w:rFonts w:hint="eastAsia" w:ascii="宋体" w:hAnsi="宋体" w:eastAsia="宋体" w:cs="宋体"/>
                <w:szCs w:val="21"/>
              </w:rPr>
            </w:pPr>
            <w:r>
              <w:rPr>
                <w:rFonts w:hint="eastAsia" w:ascii="宋体" w:hAnsi="宋体" w:eastAsia="宋体" w:cs="宋体"/>
                <w:szCs w:val="21"/>
                <w:lang w:bidi="ar"/>
              </w:rPr>
              <w:t>5.支持多个视频流在播放时保持时间同步。</w:t>
            </w:r>
          </w:p>
          <w:p w14:paraId="5372D8D8">
            <w:pPr>
              <w:rPr>
                <w:rFonts w:hint="eastAsia" w:ascii="宋体" w:hAnsi="宋体" w:eastAsia="宋体" w:cs="宋体"/>
                <w:szCs w:val="21"/>
              </w:rPr>
            </w:pPr>
            <w:r>
              <w:rPr>
                <w:rFonts w:hint="eastAsia" w:ascii="宋体" w:hAnsi="宋体" w:eastAsia="宋体" w:cs="宋体"/>
                <w:szCs w:val="21"/>
                <w:lang w:bidi="ar"/>
              </w:rPr>
              <w:t>6.支持多个视频流之间高清画面切换，在回放过程中，可以切换任一路视频窗口作为主画面显示。</w:t>
            </w:r>
          </w:p>
          <w:p w14:paraId="65C6ED3E">
            <w:pPr>
              <w:rPr>
                <w:rFonts w:hint="eastAsia" w:ascii="宋体" w:hAnsi="宋体" w:eastAsia="宋体" w:cs="宋体"/>
                <w:szCs w:val="21"/>
              </w:rPr>
            </w:pPr>
            <w:r>
              <w:rPr>
                <w:rFonts w:hint="eastAsia" w:ascii="宋体" w:hAnsi="宋体" w:eastAsia="宋体" w:cs="宋体"/>
                <w:szCs w:val="21"/>
                <w:lang w:bidi="ar"/>
              </w:rPr>
              <w:t>★7.支持回放过程中添加标签，手术回放过程中可对任一时间节点进行标签标注，支持将标签按照标记时间展示在相应的时间点刻度上。</w:t>
            </w:r>
          </w:p>
          <w:p w14:paraId="586BAB21">
            <w:pPr>
              <w:rPr>
                <w:rFonts w:hint="eastAsia" w:ascii="宋体" w:hAnsi="宋体" w:eastAsia="宋体" w:cs="宋体"/>
                <w:szCs w:val="21"/>
              </w:rPr>
            </w:pPr>
            <w:r>
              <w:rPr>
                <w:rFonts w:hint="eastAsia" w:ascii="宋体" w:hAnsi="宋体" w:eastAsia="宋体" w:cs="宋体"/>
                <w:szCs w:val="21"/>
                <w:lang w:bidi="ar"/>
              </w:rPr>
              <w:t>8.支持标准化标签库，需涵盖手术过程、手术术式、手术麻醉等标签。</w:t>
            </w:r>
          </w:p>
          <w:p w14:paraId="0C39DA68">
            <w:pPr>
              <w:rPr>
                <w:rFonts w:hint="eastAsia" w:ascii="宋体" w:hAnsi="宋体" w:eastAsia="宋体" w:cs="宋体"/>
                <w:szCs w:val="21"/>
              </w:rPr>
            </w:pPr>
            <w:r>
              <w:rPr>
                <w:rFonts w:hint="eastAsia" w:ascii="宋体" w:hAnsi="宋体" w:eastAsia="宋体" w:cs="宋体"/>
                <w:szCs w:val="21"/>
                <w:lang w:bidi="ar"/>
              </w:rPr>
              <w:t>9.支持标签自定义，支持用户添加自定义标签，并支持对已添加的标签进行编辑、删除操作。</w:t>
            </w:r>
          </w:p>
          <w:p w14:paraId="26FF9006">
            <w:pPr>
              <w:rPr>
                <w:rFonts w:hint="eastAsia" w:ascii="宋体" w:hAnsi="宋体" w:eastAsia="宋体" w:cs="宋体"/>
                <w:szCs w:val="21"/>
              </w:rPr>
            </w:pPr>
            <w:r>
              <w:rPr>
                <w:rFonts w:hint="eastAsia" w:ascii="宋体" w:hAnsi="宋体" w:eastAsia="宋体" w:cs="宋体"/>
                <w:szCs w:val="21"/>
                <w:lang w:bidi="ar"/>
              </w:rPr>
              <w:t>10.支持视频下载功能。</w:t>
            </w:r>
          </w:p>
          <w:p w14:paraId="273A0B1D">
            <w:pPr>
              <w:rPr>
                <w:rFonts w:hint="eastAsia" w:ascii="宋体" w:hAnsi="宋体" w:eastAsia="宋体" w:cs="宋体"/>
                <w:szCs w:val="21"/>
              </w:rPr>
            </w:pPr>
            <w:r>
              <w:rPr>
                <w:rFonts w:hint="eastAsia" w:ascii="宋体" w:hAnsi="宋体" w:eastAsia="宋体" w:cs="宋体"/>
                <w:szCs w:val="21"/>
                <w:lang w:bidi="ar"/>
              </w:rPr>
              <w:t>（六）数字化手术科室指导系统</w:t>
            </w:r>
          </w:p>
          <w:p w14:paraId="0A90EE05">
            <w:pPr>
              <w:rPr>
                <w:rFonts w:hint="eastAsia" w:ascii="宋体" w:hAnsi="宋体" w:eastAsia="宋体" w:cs="宋体"/>
                <w:szCs w:val="21"/>
              </w:rPr>
            </w:pPr>
            <w:r>
              <w:rPr>
                <w:rFonts w:hint="eastAsia" w:ascii="宋体" w:hAnsi="宋体" w:eastAsia="宋体" w:cs="宋体"/>
                <w:szCs w:val="21"/>
                <w:lang w:bidi="ar"/>
              </w:rPr>
              <w:t>（1）终端规格要求：</w:t>
            </w:r>
          </w:p>
          <w:p w14:paraId="5A5EA782">
            <w:pPr>
              <w:rPr>
                <w:rFonts w:hint="eastAsia" w:ascii="宋体" w:hAnsi="宋体" w:eastAsia="宋体" w:cs="宋体"/>
                <w:szCs w:val="21"/>
              </w:rPr>
            </w:pPr>
            <w:r>
              <w:rPr>
                <w:rFonts w:hint="eastAsia" w:ascii="宋体" w:hAnsi="宋体" w:eastAsia="宋体" w:cs="宋体"/>
                <w:szCs w:val="21"/>
                <w:lang w:bidi="ar"/>
              </w:rPr>
              <w:t>1.CPU≥四核心。</w:t>
            </w:r>
          </w:p>
          <w:p w14:paraId="07D2ED5C">
            <w:pPr>
              <w:rPr>
                <w:rFonts w:hint="eastAsia" w:ascii="宋体" w:hAnsi="宋体" w:eastAsia="宋体" w:cs="宋体"/>
                <w:szCs w:val="21"/>
              </w:rPr>
            </w:pPr>
            <w:r>
              <w:rPr>
                <w:rFonts w:hint="eastAsia" w:ascii="宋体" w:hAnsi="宋体" w:eastAsia="宋体" w:cs="宋体"/>
                <w:szCs w:val="21"/>
                <w:lang w:bidi="ar"/>
              </w:rPr>
              <w:t>2.输入：支持1080p。</w:t>
            </w:r>
          </w:p>
          <w:p w14:paraId="105167A3">
            <w:pPr>
              <w:rPr>
                <w:rFonts w:hint="eastAsia" w:ascii="宋体" w:hAnsi="宋体" w:eastAsia="宋体" w:cs="宋体"/>
                <w:szCs w:val="21"/>
              </w:rPr>
            </w:pPr>
            <w:r>
              <w:rPr>
                <w:rFonts w:hint="eastAsia" w:ascii="宋体" w:hAnsi="宋体" w:eastAsia="宋体" w:cs="宋体"/>
                <w:szCs w:val="21"/>
                <w:lang w:bidi="ar"/>
              </w:rPr>
              <w:t>3.传感器≥207万有效像素, 1/2.8英寸CMOS。</w:t>
            </w:r>
          </w:p>
          <w:p w14:paraId="767D6EBF">
            <w:pPr>
              <w:rPr>
                <w:rFonts w:hint="eastAsia" w:ascii="宋体" w:hAnsi="宋体" w:eastAsia="宋体" w:cs="宋体"/>
                <w:szCs w:val="21"/>
              </w:rPr>
            </w:pPr>
            <w:r>
              <w:rPr>
                <w:rFonts w:hint="eastAsia" w:ascii="宋体" w:hAnsi="宋体" w:eastAsia="宋体" w:cs="宋体"/>
                <w:szCs w:val="21"/>
                <w:lang w:bidi="ar"/>
              </w:rPr>
              <w:t>4.镜头≥10倍光学变焦。</w:t>
            </w:r>
          </w:p>
          <w:p w14:paraId="75CC6F4C">
            <w:pPr>
              <w:rPr>
                <w:rFonts w:hint="eastAsia" w:ascii="宋体" w:hAnsi="宋体" w:eastAsia="宋体" w:cs="宋体"/>
                <w:szCs w:val="21"/>
              </w:rPr>
            </w:pPr>
            <w:r>
              <w:rPr>
                <w:rFonts w:hint="eastAsia" w:ascii="宋体" w:hAnsi="宋体" w:eastAsia="宋体" w:cs="宋体"/>
                <w:szCs w:val="21"/>
                <w:lang w:bidi="ar"/>
              </w:rPr>
              <w:t>5.视频编码：支持H.264。</w:t>
            </w:r>
          </w:p>
          <w:p w14:paraId="635B99C8">
            <w:pPr>
              <w:rPr>
                <w:rFonts w:hint="eastAsia" w:ascii="宋体" w:hAnsi="宋体" w:eastAsia="宋体" w:cs="宋体"/>
                <w:szCs w:val="21"/>
              </w:rPr>
            </w:pPr>
            <w:r>
              <w:rPr>
                <w:rFonts w:hint="eastAsia" w:ascii="宋体" w:hAnsi="宋体" w:eastAsia="宋体" w:cs="宋体"/>
                <w:szCs w:val="21"/>
                <w:lang w:bidi="ar"/>
              </w:rPr>
              <w:t>6.视频输入：支持HDMI接口。</w:t>
            </w:r>
          </w:p>
          <w:p w14:paraId="3FD4AA0C">
            <w:pPr>
              <w:rPr>
                <w:rFonts w:hint="eastAsia" w:ascii="宋体" w:hAnsi="宋体" w:eastAsia="宋体" w:cs="宋体"/>
                <w:szCs w:val="21"/>
              </w:rPr>
            </w:pPr>
            <w:r>
              <w:rPr>
                <w:rFonts w:hint="eastAsia" w:ascii="宋体" w:hAnsi="宋体" w:eastAsia="宋体" w:cs="宋体"/>
                <w:szCs w:val="21"/>
                <w:lang w:bidi="ar"/>
              </w:rPr>
              <w:t>7.视频输出：支持HDMI接口。</w:t>
            </w:r>
          </w:p>
          <w:p w14:paraId="4FC2D785">
            <w:pPr>
              <w:rPr>
                <w:rFonts w:hint="eastAsia" w:ascii="宋体" w:hAnsi="宋体" w:eastAsia="宋体" w:cs="宋体"/>
                <w:szCs w:val="21"/>
              </w:rPr>
            </w:pPr>
            <w:r>
              <w:rPr>
                <w:rFonts w:hint="eastAsia" w:ascii="宋体" w:hAnsi="宋体" w:eastAsia="宋体" w:cs="宋体"/>
                <w:szCs w:val="21"/>
                <w:lang w:bidi="ar"/>
              </w:rPr>
              <w:t>8.采用一体化医疗主机，支持仰俯左右调节，支持通过HDMI采集医疗设备，将数据画面共享至查房指导的视频画面中。</w:t>
            </w:r>
          </w:p>
          <w:p w14:paraId="494483DF">
            <w:pPr>
              <w:rPr>
                <w:rFonts w:hint="eastAsia" w:ascii="宋体" w:hAnsi="宋体" w:eastAsia="宋体" w:cs="宋体"/>
                <w:szCs w:val="21"/>
              </w:rPr>
            </w:pPr>
            <w:r>
              <w:rPr>
                <w:rFonts w:hint="eastAsia" w:ascii="宋体" w:hAnsi="宋体" w:eastAsia="宋体" w:cs="宋体"/>
                <w:szCs w:val="21"/>
                <w:lang w:bidi="ar"/>
              </w:rPr>
              <w:t>9.支持演讲者模式和画中画两种显示模式，支持查看数据画面的标注内容。</w:t>
            </w:r>
          </w:p>
          <w:p w14:paraId="2B123071">
            <w:pPr>
              <w:rPr>
                <w:rFonts w:hint="eastAsia" w:ascii="宋体" w:hAnsi="宋体" w:eastAsia="宋体" w:cs="宋体"/>
                <w:szCs w:val="21"/>
              </w:rPr>
            </w:pPr>
            <w:r>
              <w:rPr>
                <w:rFonts w:hint="eastAsia" w:ascii="宋体" w:hAnsi="宋体" w:eastAsia="宋体" w:cs="宋体"/>
                <w:szCs w:val="21"/>
                <w:lang w:bidi="ar"/>
              </w:rPr>
              <w:t xml:space="preserve">（2）显示器要求： </w:t>
            </w:r>
          </w:p>
          <w:p w14:paraId="0EFFFB56">
            <w:pPr>
              <w:rPr>
                <w:rFonts w:hint="eastAsia" w:ascii="宋体" w:hAnsi="宋体" w:eastAsia="宋体" w:cs="宋体"/>
                <w:szCs w:val="21"/>
              </w:rPr>
            </w:pPr>
            <w:r>
              <w:rPr>
                <w:rFonts w:hint="eastAsia" w:ascii="宋体" w:hAnsi="宋体" w:eastAsia="宋体" w:cs="宋体"/>
                <w:szCs w:val="21"/>
                <w:lang w:bidi="ar"/>
              </w:rPr>
              <w:t xml:space="preserve">1.屏幕尺寸≥15.6英寸（支持壁挂）。 </w:t>
            </w:r>
          </w:p>
          <w:p w14:paraId="1BA85EAD">
            <w:pPr>
              <w:rPr>
                <w:rFonts w:hint="eastAsia" w:ascii="宋体" w:hAnsi="宋体" w:eastAsia="宋体" w:cs="宋体"/>
                <w:szCs w:val="21"/>
              </w:rPr>
            </w:pPr>
            <w:r>
              <w:rPr>
                <w:rFonts w:hint="eastAsia" w:ascii="宋体" w:hAnsi="宋体" w:eastAsia="宋体" w:cs="宋体"/>
                <w:szCs w:val="21"/>
                <w:lang w:bidi="ar"/>
              </w:rPr>
              <w:t xml:space="preserve">2.分辨率：支持1920*1080。 </w:t>
            </w:r>
          </w:p>
          <w:p w14:paraId="369F7188">
            <w:pPr>
              <w:rPr>
                <w:rFonts w:hint="eastAsia" w:ascii="宋体" w:hAnsi="宋体" w:eastAsia="宋体" w:cs="宋体"/>
                <w:szCs w:val="21"/>
              </w:rPr>
            </w:pPr>
            <w:r>
              <w:rPr>
                <w:rFonts w:hint="eastAsia" w:ascii="宋体" w:hAnsi="宋体" w:eastAsia="宋体" w:cs="宋体"/>
                <w:szCs w:val="21"/>
                <w:lang w:bidi="ar"/>
              </w:rPr>
              <w:t xml:space="preserve">3.屏幕比例：支持16：9。 </w:t>
            </w:r>
          </w:p>
          <w:p w14:paraId="6D3C2736">
            <w:pPr>
              <w:rPr>
                <w:rFonts w:hint="eastAsia" w:ascii="宋体" w:hAnsi="宋体" w:eastAsia="宋体" w:cs="宋体"/>
                <w:szCs w:val="21"/>
              </w:rPr>
            </w:pPr>
            <w:r>
              <w:rPr>
                <w:rFonts w:hint="eastAsia" w:ascii="宋体" w:hAnsi="宋体" w:eastAsia="宋体" w:cs="宋体"/>
                <w:szCs w:val="21"/>
                <w:lang w:bidi="ar"/>
              </w:rPr>
              <w:t xml:space="preserve">4.接口：支持HDMI。 </w:t>
            </w:r>
          </w:p>
          <w:p w14:paraId="7B9C623C">
            <w:pPr>
              <w:rPr>
                <w:rFonts w:hint="eastAsia" w:ascii="宋体" w:hAnsi="宋体" w:eastAsia="宋体" w:cs="宋体"/>
                <w:szCs w:val="21"/>
              </w:rPr>
            </w:pPr>
            <w:r>
              <w:rPr>
                <w:rFonts w:hint="eastAsia" w:ascii="宋体" w:hAnsi="宋体" w:eastAsia="宋体" w:cs="宋体"/>
                <w:szCs w:val="21"/>
                <w:lang w:bidi="ar"/>
              </w:rPr>
              <w:t xml:space="preserve">（3）全向麦克风要求： </w:t>
            </w:r>
          </w:p>
          <w:p w14:paraId="21656787">
            <w:pPr>
              <w:rPr>
                <w:rFonts w:hint="eastAsia" w:ascii="宋体" w:hAnsi="宋体" w:eastAsia="宋体" w:cs="宋体"/>
                <w:szCs w:val="21"/>
              </w:rPr>
            </w:pPr>
            <w:r>
              <w:rPr>
                <w:rFonts w:hint="eastAsia" w:ascii="宋体" w:hAnsi="宋体" w:eastAsia="宋体" w:cs="宋体"/>
                <w:szCs w:val="21"/>
                <w:lang w:bidi="ar"/>
              </w:rPr>
              <w:t xml:space="preserve">1.360度麦克风可拾取来自任何角度的声音。 </w:t>
            </w:r>
          </w:p>
          <w:p w14:paraId="77E69448">
            <w:pPr>
              <w:rPr>
                <w:rFonts w:hint="eastAsia" w:ascii="宋体" w:hAnsi="宋体" w:eastAsia="宋体" w:cs="宋体"/>
                <w:szCs w:val="21"/>
              </w:rPr>
            </w:pPr>
            <w:r>
              <w:rPr>
                <w:rFonts w:hint="eastAsia" w:ascii="宋体" w:hAnsi="宋体" w:eastAsia="宋体" w:cs="宋体"/>
                <w:szCs w:val="21"/>
                <w:lang w:bidi="ar"/>
              </w:rPr>
              <w:t xml:space="preserve">2.连接：USB 2.0 和 Bluetooth等。 </w:t>
            </w:r>
          </w:p>
          <w:p w14:paraId="6542D7B5">
            <w:pPr>
              <w:rPr>
                <w:rFonts w:hint="eastAsia" w:ascii="宋体" w:hAnsi="宋体" w:eastAsia="宋体" w:cs="宋体"/>
                <w:szCs w:val="21"/>
              </w:rPr>
            </w:pPr>
            <w:r>
              <w:rPr>
                <w:rFonts w:hint="eastAsia" w:ascii="宋体" w:hAnsi="宋体" w:eastAsia="宋体" w:cs="宋体"/>
                <w:szCs w:val="21"/>
                <w:lang w:bidi="ar"/>
              </w:rPr>
              <w:t xml:space="preserve">3.通话时间：通话时间不低于4小时。 </w:t>
            </w:r>
          </w:p>
          <w:p w14:paraId="58B03801">
            <w:pPr>
              <w:rPr>
                <w:rFonts w:hint="eastAsia" w:ascii="宋体" w:hAnsi="宋体" w:eastAsia="宋体" w:cs="宋体"/>
                <w:szCs w:val="21"/>
              </w:rPr>
            </w:pPr>
            <w:r>
              <w:rPr>
                <w:rFonts w:hint="eastAsia" w:ascii="宋体" w:hAnsi="宋体" w:eastAsia="宋体" w:cs="宋体"/>
                <w:szCs w:val="21"/>
                <w:lang w:bidi="ar"/>
              </w:rPr>
              <w:t xml:space="preserve">（4）网络终端要求： </w:t>
            </w:r>
          </w:p>
          <w:p w14:paraId="7E88E85E">
            <w:pPr>
              <w:rPr>
                <w:rFonts w:hint="eastAsia" w:ascii="宋体" w:hAnsi="宋体" w:eastAsia="宋体" w:cs="宋体"/>
                <w:szCs w:val="21"/>
              </w:rPr>
            </w:pPr>
            <w:r>
              <w:rPr>
                <w:rFonts w:hint="eastAsia" w:ascii="宋体" w:hAnsi="宋体" w:eastAsia="宋体" w:cs="宋体"/>
                <w:szCs w:val="21"/>
                <w:lang w:bidi="ar"/>
              </w:rPr>
              <w:t xml:space="preserve">1.支持5G/4G全网通。 </w:t>
            </w:r>
          </w:p>
          <w:p w14:paraId="6646050E">
            <w:pPr>
              <w:rPr>
                <w:rFonts w:hint="eastAsia" w:ascii="宋体" w:hAnsi="宋体" w:eastAsia="宋体" w:cs="宋体"/>
                <w:szCs w:val="21"/>
              </w:rPr>
            </w:pPr>
            <w:r>
              <w:rPr>
                <w:rFonts w:hint="eastAsia" w:ascii="宋体" w:hAnsi="宋体" w:eastAsia="宋体" w:cs="宋体"/>
                <w:szCs w:val="21"/>
                <w:lang w:bidi="ar"/>
              </w:rPr>
              <w:t xml:space="preserve">2.支持SA+NSA独立组网。 </w:t>
            </w:r>
          </w:p>
          <w:p w14:paraId="7182FDD4">
            <w:pPr>
              <w:rPr>
                <w:rFonts w:hint="eastAsia" w:ascii="宋体" w:hAnsi="宋体" w:eastAsia="宋体" w:cs="宋体"/>
                <w:szCs w:val="21"/>
              </w:rPr>
            </w:pPr>
            <w:r>
              <w:rPr>
                <w:rFonts w:hint="eastAsia" w:ascii="宋体" w:hAnsi="宋体" w:eastAsia="宋体" w:cs="宋体"/>
                <w:szCs w:val="21"/>
                <w:lang w:bidi="ar"/>
              </w:rPr>
              <w:t>3.具备千兆网口。</w:t>
            </w:r>
          </w:p>
          <w:p w14:paraId="3D2E17CE">
            <w:pPr>
              <w:rPr>
                <w:rFonts w:hint="eastAsia" w:ascii="宋体" w:hAnsi="宋体" w:eastAsia="宋体" w:cs="宋体"/>
                <w:szCs w:val="21"/>
              </w:rPr>
            </w:pPr>
            <w:r>
              <w:rPr>
                <w:rFonts w:hint="eastAsia" w:ascii="宋体" w:hAnsi="宋体" w:eastAsia="宋体" w:cs="宋体"/>
                <w:szCs w:val="21"/>
                <w:lang w:bidi="ar"/>
              </w:rPr>
              <w:t>（七）移动视讯客户端</w:t>
            </w:r>
          </w:p>
          <w:p w14:paraId="48AECD96">
            <w:pPr>
              <w:rPr>
                <w:rFonts w:hint="eastAsia" w:ascii="宋体" w:hAnsi="宋体" w:eastAsia="宋体" w:cs="宋体"/>
                <w:szCs w:val="21"/>
              </w:rPr>
            </w:pPr>
            <w:r>
              <w:rPr>
                <w:rFonts w:hint="eastAsia" w:ascii="宋体" w:hAnsi="宋体" w:eastAsia="宋体" w:cs="宋体"/>
                <w:szCs w:val="21"/>
                <w:lang w:bidi="ar"/>
              </w:rPr>
              <w:t xml:space="preserve">1.支持通过手机移动端进行实时的质控指导。 </w:t>
            </w:r>
          </w:p>
          <w:p w14:paraId="454E6D63">
            <w:pPr>
              <w:rPr>
                <w:rFonts w:hint="eastAsia" w:ascii="宋体" w:hAnsi="宋体" w:eastAsia="宋体" w:cs="宋体"/>
                <w:szCs w:val="21"/>
              </w:rPr>
            </w:pPr>
            <w:r>
              <w:rPr>
                <w:rFonts w:hint="eastAsia" w:ascii="宋体" w:hAnsi="宋体" w:eastAsia="宋体" w:cs="宋体"/>
                <w:szCs w:val="21"/>
                <w:lang w:bidi="ar"/>
              </w:rPr>
              <w:t xml:space="preserve">2.支持对手术室进行喊话，进行语音指导。 </w:t>
            </w:r>
          </w:p>
          <w:p w14:paraId="312081C7">
            <w:pPr>
              <w:rPr>
                <w:rFonts w:hint="eastAsia" w:ascii="宋体" w:hAnsi="宋体" w:eastAsia="宋体" w:cs="宋体"/>
                <w:szCs w:val="21"/>
              </w:rPr>
            </w:pPr>
            <w:r>
              <w:rPr>
                <w:rFonts w:hint="eastAsia" w:ascii="宋体" w:hAnsi="宋体" w:eastAsia="宋体" w:cs="宋体"/>
                <w:szCs w:val="21"/>
                <w:lang w:bidi="ar"/>
              </w:rPr>
              <w:t xml:space="preserve">3.支持手术室从质控状态快速切换至互动状态，进行音视频互动指导。 </w:t>
            </w:r>
          </w:p>
          <w:p w14:paraId="5AACBAC6">
            <w:pPr>
              <w:rPr>
                <w:rFonts w:hint="eastAsia" w:ascii="宋体" w:hAnsi="宋体" w:eastAsia="宋体" w:cs="宋体"/>
                <w:szCs w:val="21"/>
              </w:rPr>
            </w:pPr>
            <w:r>
              <w:rPr>
                <w:rFonts w:hint="eastAsia" w:ascii="宋体" w:hAnsi="宋体" w:eastAsia="宋体" w:cs="宋体"/>
                <w:szCs w:val="21"/>
                <w:lang w:bidi="ar"/>
              </w:rPr>
              <w:t xml:space="preserve">4.支持通过手机加入视频会诊，并支持多方会诊功能。 </w:t>
            </w:r>
          </w:p>
          <w:p w14:paraId="4D3882C0">
            <w:pPr>
              <w:rPr>
                <w:rFonts w:hint="eastAsia" w:ascii="宋体" w:hAnsi="宋体" w:eastAsia="宋体" w:cs="宋体"/>
                <w:szCs w:val="21"/>
              </w:rPr>
            </w:pPr>
            <w:r>
              <w:rPr>
                <w:rFonts w:hint="eastAsia" w:ascii="宋体" w:hAnsi="宋体" w:eastAsia="宋体" w:cs="宋体"/>
                <w:szCs w:val="21"/>
                <w:lang w:bidi="ar"/>
              </w:rPr>
              <w:t xml:space="preserve">5.支持查看手术室设备多路视频组合画面。 </w:t>
            </w:r>
          </w:p>
          <w:p w14:paraId="082FCFB4">
            <w:pPr>
              <w:rPr>
                <w:rFonts w:hint="eastAsia" w:ascii="宋体" w:hAnsi="宋体" w:eastAsia="宋体" w:cs="宋体"/>
                <w:szCs w:val="21"/>
              </w:rPr>
            </w:pPr>
            <w:r>
              <w:rPr>
                <w:rFonts w:hint="eastAsia" w:ascii="宋体" w:hAnsi="宋体" w:eastAsia="宋体" w:cs="宋体"/>
                <w:szCs w:val="21"/>
                <w:lang w:bidi="ar"/>
              </w:rPr>
              <w:t>6.支持查看当前手术室列表，列表支持显示手术室状态及当前手术信息。</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64DE106E">
            <w:pPr>
              <w:widowControl/>
              <w:shd w:val="clear" w:color="auto" w:fill="FFFFFF"/>
              <w:spacing w:line="360" w:lineRule="auto"/>
              <w:jc w:val="center"/>
              <w:rPr>
                <w:rFonts w:hint="eastAsia" w:ascii="宋体" w:hAnsi="宋体" w:eastAsia="宋体" w:cs="宋体"/>
                <w:szCs w:val="21"/>
              </w:rPr>
            </w:pPr>
            <w:r>
              <w:rPr>
                <w:rFonts w:hint="eastAsia" w:ascii="宋体" w:hAnsi="宋体" w:eastAsia="宋体" w:cs="宋体"/>
                <w:szCs w:val="21"/>
              </w:rPr>
              <w:t>280.00</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07BB7EC6">
            <w:pPr>
              <w:widowControl/>
              <w:shd w:val="clear" w:color="auto" w:fill="FFFFFF"/>
              <w:spacing w:line="360" w:lineRule="auto"/>
              <w:jc w:val="center"/>
              <w:rPr>
                <w:rFonts w:ascii="宋体" w:hAnsi="宋体" w:eastAsia="宋体" w:cs="宋体"/>
                <w:szCs w:val="21"/>
              </w:rPr>
            </w:pPr>
            <w:r>
              <w:rPr>
                <w:rFonts w:hint="eastAsia" w:ascii="宋体" w:hAnsi="宋体" w:eastAsia="宋体" w:cs="宋体"/>
                <w:szCs w:val="21"/>
              </w:rPr>
              <w:t>工业</w:t>
            </w:r>
          </w:p>
        </w:tc>
      </w:tr>
      <w:tr w14:paraId="2F8A7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 w:hRule="atLeast"/>
          <w:jc w:val="center"/>
        </w:trPr>
        <w:tc>
          <w:tcPr>
            <w:tcW w:w="428" w:type="dxa"/>
            <w:vMerge w:val="continue"/>
            <w:tcBorders>
              <w:left w:val="single" w:color="auto" w:sz="4" w:space="0"/>
              <w:bottom w:val="single" w:color="auto" w:sz="4" w:space="0"/>
              <w:right w:val="single" w:color="auto" w:sz="4" w:space="0"/>
            </w:tcBorders>
            <w:noWrap w:val="0"/>
            <w:vAlign w:val="center"/>
          </w:tcPr>
          <w:p w14:paraId="39F4D803">
            <w:pPr>
              <w:widowControl/>
              <w:shd w:val="clear" w:color="auto" w:fill="FFFFFF"/>
              <w:spacing w:line="360" w:lineRule="auto"/>
              <w:ind w:firstLine="420" w:firstLineChars="200"/>
              <w:rPr>
                <w:rFonts w:hint="eastAsia" w:ascii="宋体" w:hAnsi="宋体" w:eastAsia="宋体" w:cs="宋体"/>
                <w:szCs w:val="21"/>
              </w:rPr>
            </w:pPr>
          </w:p>
        </w:tc>
        <w:tc>
          <w:tcPr>
            <w:tcW w:w="453" w:type="dxa"/>
            <w:tcBorders>
              <w:top w:val="single" w:color="auto" w:sz="4" w:space="0"/>
              <w:left w:val="single" w:color="auto" w:sz="4" w:space="0"/>
              <w:bottom w:val="single" w:color="auto" w:sz="4" w:space="0"/>
              <w:right w:val="single" w:color="auto" w:sz="4" w:space="0"/>
            </w:tcBorders>
            <w:noWrap w:val="0"/>
            <w:vAlign w:val="center"/>
          </w:tcPr>
          <w:p w14:paraId="248AAB28">
            <w:pPr>
              <w:widowControl/>
              <w:shd w:val="clear" w:color="auto" w:fill="FFFFFF"/>
              <w:spacing w:line="360" w:lineRule="auto"/>
              <w:jc w:val="center"/>
              <w:rPr>
                <w:rFonts w:ascii="宋体" w:hAnsi="宋体" w:eastAsia="宋体" w:cs="宋体"/>
                <w:szCs w:val="21"/>
              </w:rPr>
            </w:pPr>
            <w:r>
              <w:rPr>
                <w:rFonts w:hint="eastAsia" w:ascii="宋体" w:hAnsi="宋体" w:eastAsia="宋体" w:cs="宋体"/>
                <w:szCs w:val="21"/>
              </w:rPr>
              <w:t>8</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4D71F4E6">
            <w:pPr>
              <w:widowControl/>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无创冠脉血流储备分数测定</w:t>
            </w:r>
          </w:p>
        </w:tc>
        <w:tc>
          <w:tcPr>
            <w:tcW w:w="473" w:type="dxa"/>
            <w:tcBorders>
              <w:top w:val="single" w:color="auto" w:sz="4" w:space="0"/>
              <w:left w:val="single" w:color="auto" w:sz="4" w:space="0"/>
              <w:bottom w:val="single" w:color="auto" w:sz="4" w:space="0"/>
              <w:right w:val="single" w:color="auto" w:sz="4" w:space="0"/>
            </w:tcBorders>
            <w:noWrap w:val="0"/>
            <w:vAlign w:val="center"/>
          </w:tcPr>
          <w:p w14:paraId="3E8CC8DC">
            <w:pPr>
              <w:widowControl/>
              <w:jc w:val="center"/>
              <w:textAlignment w:val="center"/>
              <w:rPr>
                <w:rFonts w:hint="eastAsia" w:ascii="宋体" w:hAnsi="宋体" w:eastAsia="宋体" w:cs="宋体"/>
                <w:szCs w:val="21"/>
              </w:rPr>
            </w:pPr>
            <w:r>
              <w:rPr>
                <w:rFonts w:hint="eastAsia" w:ascii="宋体" w:hAnsi="宋体" w:eastAsia="宋体" w:cs="宋体"/>
                <w:szCs w:val="21"/>
              </w:rPr>
              <w:t>套</w:t>
            </w:r>
          </w:p>
        </w:tc>
        <w:tc>
          <w:tcPr>
            <w:tcW w:w="455" w:type="dxa"/>
            <w:tcBorders>
              <w:top w:val="single" w:color="auto" w:sz="4" w:space="0"/>
              <w:left w:val="single" w:color="auto" w:sz="4" w:space="0"/>
              <w:bottom w:val="single" w:color="auto" w:sz="4" w:space="0"/>
              <w:right w:val="single" w:color="auto" w:sz="4" w:space="0"/>
            </w:tcBorders>
            <w:noWrap w:val="0"/>
            <w:vAlign w:val="center"/>
          </w:tcPr>
          <w:p w14:paraId="25C4B29E">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865" w:type="dxa"/>
            <w:tcBorders>
              <w:top w:val="single" w:color="auto" w:sz="4" w:space="0"/>
              <w:left w:val="single" w:color="auto" w:sz="4" w:space="0"/>
              <w:bottom w:val="single" w:color="auto" w:sz="4" w:space="0"/>
              <w:right w:val="single" w:color="auto" w:sz="4" w:space="0"/>
            </w:tcBorders>
            <w:noWrap w:val="0"/>
            <w:vAlign w:val="center"/>
          </w:tcPr>
          <w:p w14:paraId="0CDB9BF5">
            <w:pPr>
              <w:widowControl/>
              <w:jc w:val="center"/>
              <w:textAlignment w:val="center"/>
              <w:rPr>
                <w:rFonts w:ascii="宋体" w:hAnsi="宋体" w:eastAsia="宋体" w:cs="宋体"/>
                <w:szCs w:val="21"/>
              </w:rPr>
            </w:pPr>
            <w:r>
              <w:rPr>
                <w:rFonts w:hint="eastAsia" w:ascii="宋体" w:hAnsi="宋体" w:eastAsia="宋体" w:cs="宋体"/>
                <w:szCs w:val="21"/>
              </w:rPr>
              <w:t>450.00</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0DFD69F4">
            <w:pPr>
              <w:widowControl/>
              <w:jc w:val="center"/>
              <w:textAlignment w:val="center"/>
              <w:rPr>
                <w:rFonts w:hint="eastAsia" w:ascii="宋体" w:hAnsi="宋体" w:eastAsia="宋体" w:cs="宋体"/>
                <w:szCs w:val="21"/>
              </w:rPr>
            </w:pPr>
            <w:r>
              <w:rPr>
                <w:rFonts w:hint="eastAsia" w:ascii="宋体" w:hAnsi="宋体" w:eastAsia="宋体" w:cs="宋体"/>
                <w:szCs w:val="21"/>
              </w:rPr>
              <w:t>450.00</w:t>
            </w:r>
          </w:p>
        </w:tc>
        <w:tc>
          <w:tcPr>
            <w:tcW w:w="9132" w:type="dxa"/>
            <w:tcBorders>
              <w:top w:val="single" w:color="auto" w:sz="4" w:space="0"/>
              <w:left w:val="single" w:color="auto" w:sz="4" w:space="0"/>
              <w:bottom w:val="single" w:color="auto" w:sz="4" w:space="0"/>
              <w:right w:val="single" w:color="auto" w:sz="4" w:space="0"/>
            </w:tcBorders>
            <w:noWrap w:val="0"/>
            <w:vAlign w:val="center"/>
          </w:tcPr>
          <w:p w14:paraId="3BD9CBE6">
            <w:pPr>
              <w:widowControl/>
              <w:jc w:val="left"/>
              <w:textAlignment w:val="center"/>
              <w:rPr>
                <w:rFonts w:hint="eastAsia" w:ascii="宋体" w:hAnsi="宋体" w:eastAsia="宋体" w:cs="宋体"/>
                <w:szCs w:val="21"/>
              </w:rPr>
            </w:pPr>
            <w:r>
              <w:rPr>
                <w:rFonts w:hint="eastAsia" w:ascii="宋体" w:hAnsi="宋体" w:eastAsia="宋体" w:cs="宋体"/>
                <w:szCs w:val="21"/>
              </w:rPr>
              <w:t>1.硬件要求：</w:t>
            </w:r>
          </w:p>
          <w:p w14:paraId="147B16D1">
            <w:pPr>
              <w:widowControl/>
              <w:jc w:val="left"/>
              <w:textAlignment w:val="center"/>
              <w:rPr>
                <w:rFonts w:hint="eastAsia" w:ascii="宋体" w:hAnsi="宋体" w:eastAsia="宋体" w:cs="宋体"/>
                <w:szCs w:val="21"/>
              </w:rPr>
            </w:pPr>
            <w:r>
              <w:rPr>
                <w:rFonts w:hint="eastAsia" w:ascii="宋体" w:hAnsi="宋体" w:eastAsia="宋体" w:cs="宋体"/>
                <w:szCs w:val="21"/>
              </w:rPr>
              <w:t>1.1 内存：≥16G内存。</w:t>
            </w:r>
          </w:p>
          <w:p w14:paraId="60F36C3E">
            <w:pPr>
              <w:widowControl/>
              <w:jc w:val="left"/>
              <w:textAlignment w:val="center"/>
              <w:rPr>
                <w:rFonts w:hint="eastAsia" w:ascii="宋体" w:hAnsi="宋体" w:eastAsia="宋体" w:cs="宋体"/>
                <w:szCs w:val="21"/>
              </w:rPr>
            </w:pPr>
            <w:r>
              <w:rPr>
                <w:rFonts w:hint="eastAsia" w:ascii="宋体" w:hAnsi="宋体" w:eastAsia="宋体" w:cs="宋体"/>
                <w:szCs w:val="21"/>
              </w:rPr>
              <w:t>1.2 固态硬盘：≥256G NVMe Class 40。</w:t>
            </w:r>
          </w:p>
          <w:p w14:paraId="79962007">
            <w:pPr>
              <w:widowControl/>
              <w:jc w:val="left"/>
              <w:textAlignment w:val="center"/>
              <w:rPr>
                <w:rFonts w:hint="eastAsia" w:ascii="宋体" w:hAnsi="宋体" w:eastAsia="宋体" w:cs="宋体"/>
                <w:szCs w:val="21"/>
              </w:rPr>
            </w:pPr>
            <w:r>
              <w:rPr>
                <w:rFonts w:hint="eastAsia" w:ascii="宋体" w:hAnsi="宋体" w:eastAsia="宋体" w:cs="宋体"/>
                <w:szCs w:val="21"/>
              </w:rPr>
              <w:t>1.3 机械硬盘：≥2T。</w:t>
            </w:r>
          </w:p>
          <w:p w14:paraId="3BD936AD">
            <w:pPr>
              <w:widowControl/>
              <w:jc w:val="left"/>
              <w:textAlignment w:val="center"/>
              <w:rPr>
                <w:rFonts w:hint="eastAsia" w:ascii="宋体" w:hAnsi="宋体" w:eastAsia="宋体" w:cs="宋体"/>
                <w:szCs w:val="21"/>
              </w:rPr>
            </w:pPr>
            <w:r>
              <w:rPr>
                <w:rFonts w:hint="eastAsia" w:ascii="宋体" w:hAnsi="宋体" w:eastAsia="宋体" w:cs="宋体"/>
                <w:szCs w:val="21"/>
              </w:rPr>
              <w:t>1.4 光驱：DVD-RW。</w:t>
            </w:r>
          </w:p>
          <w:p w14:paraId="0A3D5977">
            <w:pPr>
              <w:widowControl/>
              <w:jc w:val="left"/>
              <w:textAlignment w:val="center"/>
              <w:rPr>
                <w:rFonts w:hint="eastAsia" w:ascii="宋体" w:hAnsi="宋体" w:eastAsia="宋体" w:cs="宋体"/>
                <w:szCs w:val="21"/>
              </w:rPr>
            </w:pPr>
            <w:r>
              <w:rPr>
                <w:rFonts w:hint="eastAsia" w:ascii="宋体" w:hAnsi="宋体" w:eastAsia="宋体" w:cs="宋体"/>
                <w:szCs w:val="21"/>
              </w:rPr>
              <w:t>1.5 操作系统：定制化操作系统。</w:t>
            </w:r>
          </w:p>
          <w:p w14:paraId="60C83087">
            <w:pPr>
              <w:widowControl/>
              <w:jc w:val="left"/>
              <w:textAlignment w:val="center"/>
              <w:rPr>
                <w:rFonts w:hint="eastAsia" w:ascii="宋体" w:hAnsi="宋体" w:eastAsia="宋体" w:cs="宋体"/>
                <w:szCs w:val="21"/>
              </w:rPr>
            </w:pPr>
            <w:r>
              <w:rPr>
                <w:rFonts w:hint="eastAsia" w:ascii="宋体" w:hAnsi="宋体" w:eastAsia="宋体" w:cs="宋体"/>
                <w:szCs w:val="21"/>
              </w:rPr>
              <w:t>2.软件功能及技术参数要求：</w:t>
            </w:r>
          </w:p>
          <w:p w14:paraId="29F8C1D1">
            <w:pPr>
              <w:widowControl/>
              <w:jc w:val="left"/>
              <w:textAlignment w:val="center"/>
              <w:rPr>
                <w:rFonts w:hint="eastAsia" w:ascii="宋体" w:hAnsi="宋体" w:eastAsia="宋体" w:cs="宋体"/>
                <w:szCs w:val="21"/>
              </w:rPr>
            </w:pPr>
            <w:r>
              <w:rPr>
                <w:rFonts w:hint="eastAsia" w:ascii="宋体" w:hAnsi="宋体" w:eastAsia="宋体" w:cs="宋体"/>
                <w:szCs w:val="21"/>
              </w:rPr>
              <w:t>2.1 采用人工智能技术进行冠脉三维重建及FFR计算，集合人工智能、医学影像、生物医学工程等相关学科的关键技术，不断吸取行业内多位专家、多年经验，而且随着临床应用数据不断积累，特殊病变的准确性不断提高。</w:t>
            </w:r>
          </w:p>
          <w:p w14:paraId="1243BD17">
            <w:pPr>
              <w:widowControl/>
              <w:jc w:val="left"/>
              <w:textAlignment w:val="center"/>
              <w:rPr>
                <w:rFonts w:hint="eastAsia" w:ascii="宋体" w:hAnsi="宋体" w:eastAsia="宋体" w:cs="宋体"/>
                <w:szCs w:val="21"/>
              </w:rPr>
            </w:pPr>
            <w:r>
              <w:rPr>
                <w:rFonts w:hint="eastAsia" w:ascii="宋体" w:hAnsi="宋体" w:eastAsia="宋体" w:cs="宋体"/>
                <w:szCs w:val="21"/>
              </w:rPr>
              <w:t>2.2 分割精准度：分割算法Dice系数大于0.9，血管直径误差小于0.2mm。</w:t>
            </w:r>
          </w:p>
          <w:p w14:paraId="6FCC5859">
            <w:pPr>
              <w:widowControl/>
              <w:jc w:val="left"/>
              <w:textAlignment w:val="center"/>
              <w:rPr>
                <w:rFonts w:hint="eastAsia" w:ascii="宋体" w:hAnsi="宋体" w:eastAsia="宋体" w:cs="宋体"/>
                <w:szCs w:val="21"/>
              </w:rPr>
            </w:pPr>
            <w:r>
              <w:rPr>
                <w:rFonts w:hint="eastAsia" w:ascii="宋体" w:hAnsi="宋体" w:eastAsia="宋体" w:cs="宋体"/>
                <w:szCs w:val="21"/>
              </w:rPr>
              <w:t>2.3 冠脉分割效率：冠脉分割时间小于60s。</w:t>
            </w:r>
          </w:p>
          <w:p w14:paraId="3BE6B60B">
            <w:pPr>
              <w:widowControl/>
              <w:jc w:val="left"/>
              <w:textAlignment w:val="center"/>
              <w:rPr>
                <w:rFonts w:hint="eastAsia" w:ascii="宋体" w:hAnsi="宋体" w:eastAsia="宋体" w:cs="宋体"/>
                <w:szCs w:val="21"/>
              </w:rPr>
            </w:pPr>
            <w:r>
              <w:rPr>
                <w:rFonts w:hint="eastAsia" w:ascii="宋体" w:hAnsi="宋体" w:eastAsia="宋体" w:cs="宋体"/>
                <w:szCs w:val="21"/>
              </w:rPr>
              <w:t>2.4 冠状动脉LM、LAD、LCX和RCA 主支解剖识别AUC＞95%，D、OM、R-PLB主要侧支识别ACU＞92%。</w:t>
            </w:r>
          </w:p>
          <w:p w14:paraId="09200173">
            <w:pPr>
              <w:widowControl/>
              <w:jc w:val="left"/>
              <w:textAlignment w:val="center"/>
              <w:rPr>
                <w:rFonts w:hint="eastAsia" w:ascii="宋体" w:hAnsi="宋体" w:eastAsia="宋体" w:cs="宋体"/>
                <w:szCs w:val="21"/>
              </w:rPr>
            </w:pPr>
            <w:r>
              <w:rPr>
                <w:rFonts w:hint="eastAsia" w:ascii="宋体" w:hAnsi="宋体" w:eastAsia="宋体" w:cs="宋体"/>
                <w:szCs w:val="21"/>
              </w:rPr>
              <w:t>2.5 CT-FFR曲线趋势：计算的FFR曲线符合FFR导丝测量曲线趋势。</w:t>
            </w:r>
          </w:p>
          <w:p w14:paraId="2E3CEBA9">
            <w:pPr>
              <w:widowControl/>
              <w:jc w:val="left"/>
              <w:textAlignment w:val="center"/>
              <w:rPr>
                <w:rFonts w:hint="eastAsia" w:ascii="宋体" w:hAnsi="宋体" w:eastAsia="宋体" w:cs="宋体"/>
                <w:szCs w:val="21"/>
              </w:rPr>
            </w:pPr>
            <w:r>
              <w:rPr>
                <w:rFonts w:hint="eastAsia" w:ascii="宋体" w:hAnsi="宋体" w:eastAsia="宋体" w:cs="宋体"/>
                <w:szCs w:val="21"/>
              </w:rPr>
              <w:t>2.6临床试验规模：要求前瞻性+回顾性全国多中心≥8，前瞻性+回顾性＞400例。</w:t>
            </w:r>
          </w:p>
          <w:p w14:paraId="3AA97912">
            <w:pPr>
              <w:widowControl/>
              <w:jc w:val="left"/>
              <w:textAlignment w:val="center"/>
              <w:rPr>
                <w:rFonts w:hint="eastAsia" w:ascii="宋体" w:hAnsi="宋体" w:eastAsia="宋体" w:cs="宋体"/>
                <w:szCs w:val="21"/>
              </w:rPr>
            </w:pPr>
            <w:r>
              <w:rPr>
                <w:rFonts w:hint="eastAsia" w:ascii="宋体" w:hAnsi="宋体" w:eastAsia="宋体" w:cs="宋体"/>
                <w:szCs w:val="21"/>
              </w:rPr>
              <w:t>2.7 临床试验准确率要求：前瞻性≥88%，回顾性≥90%。</w:t>
            </w:r>
          </w:p>
          <w:p w14:paraId="1890C8AF">
            <w:pPr>
              <w:widowControl/>
              <w:jc w:val="left"/>
              <w:textAlignment w:val="center"/>
              <w:rPr>
                <w:rFonts w:hint="eastAsia" w:ascii="宋体" w:hAnsi="宋体" w:eastAsia="宋体" w:cs="宋体"/>
                <w:szCs w:val="21"/>
              </w:rPr>
            </w:pPr>
            <w:r>
              <w:rPr>
                <w:rFonts w:hint="eastAsia" w:ascii="宋体" w:hAnsi="宋体" w:eastAsia="宋体" w:cs="宋体"/>
                <w:szCs w:val="21"/>
              </w:rPr>
              <w:t>2.8 临床试验敏感度要求：前瞻性≥94%，回顾性≥94%。</w:t>
            </w:r>
          </w:p>
          <w:p w14:paraId="000188CC">
            <w:pPr>
              <w:widowControl/>
              <w:jc w:val="left"/>
              <w:textAlignment w:val="center"/>
              <w:rPr>
                <w:rFonts w:hint="eastAsia" w:ascii="宋体" w:hAnsi="宋体" w:eastAsia="宋体" w:cs="宋体"/>
                <w:szCs w:val="21"/>
              </w:rPr>
            </w:pPr>
            <w:r>
              <w:rPr>
                <w:rFonts w:hint="eastAsia" w:ascii="宋体" w:hAnsi="宋体" w:eastAsia="宋体" w:cs="宋体"/>
                <w:szCs w:val="21"/>
              </w:rPr>
              <w:t>2.9 临床试验特异性要求：前瞻性≥80%，回顾性≥85%。</w:t>
            </w:r>
          </w:p>
          <w:p w14:paraId="20A40944">
            <w:pPr>
              <w:widowControl/>
              <w:jc w:val="left"/>
              <w:textAlignment w:val="center"/>
              <w:rPr>
                <w:rFonts w:hint="eastAsia" w:ascii="宋体" w:hAnsi="宋体" w:eastAsia="宋体" w:cs="宋体"/>
                <w:szCs w:val="21"/>
              </w:rPr>
            </w:pPr>
            <w:r>
              <w:rPr>
                <w:rFonts w:hint="eastAsia" w:ascii="宋体" w:hAnsi="宋体" w:eastAsia="宋体" w:cs="宋体"/>
                <w:szCs w:val="21"/>
              </w:rPr>
              <w:t>2.10 计算结果不受单心动周期或多心动周期数据重建来源差异而产生功能分析偏差。</w:t>
            </w:r>
          </w:p>
          <w:p w14:paraId="0DAEC44C">
            <w:pPr>
              <w:widowControl/>
              <w:jc w:val="left"/>
              <w:textAlignment w:val="center"/>
              <w:rPr>
                <w:rFonts w:hint="eastAsia" w:ascii="宋体" w:hAnsi="宋体" w:eastAsia="宋体" w:cs="宋体"/>
                <w:szCs w:val="21"/>
              </w:rPr>
            </w:pPr>
            <w:r>
              <w:rPr>
                <w:rFonts w:hint="eastAsia" w:ascii="宋体" w:hAnsi="宋体" w:eastAsia="宋体" w:cs="宋体"/>
                <w:szCs w:val="21"/>
              </w:rPr>
              <w:t>2.11图像上传功能：支持从光盘、移动存储介质、本地存储介质导入 DICOM 图像；支持批量导入；对于不适合处理的图像，支持重新导入；支持自动脱敏；支持自动命名。</w:t>
            </w:r>
          </w:p>
          <w:p w14:paraId="0FD5AF7F">
            <w:pPr>
              <w:widowControl/>
              <w:jc w:val="left"/>
              <w:textAlignment w:val="center"/>
              <w:rPr>
                <w:rFonts w:hint="eastAsia" w:ascii="宋体" w:hAnsi="宋体" w:eastAsia="宋体" w:cs="宋体"/>
                <w:szCs w:val="21"/>
              </w:rPr>
            </w:pPr>
            <w:r>
              <w:rPr>
                <w:rFonts w:hint="eastAsia" w:ascii="宋体" w:hAnsi="宋体" w:eastAsia="宋体" w:cs="宋体"/>
                <w:szCs w:val="21"/>
              </w:rPr>
              <w:t>2.12 分析结果查看功能：支持在三维色码图上查看血流储备分数（FFR）并提示靶血管任意位置FFR值及血管直径。</w:t>
            </w:r>
          </w:p>
          <w:p w14:paraId="6D002A78">
            <w:pPr>
              <w:widowControl/>
              <w:jc w:val="left"/>
              <w:textAlignment w:val="center"/>
              <w:rPr>
                <w:rFonts w:hint="eastAsia" w:ascii="宋体" w:hAnsi="宋体" w:eastAsia="宋体" w:cs="宋体"/>
                <w:szCs w:val="21"/>
              </w:rPr>
            </w:pPr>
            <w:r>
              <w:rPr>
                <w:rFonts w:hint="eastAsia" w:ascii="宋体" w:hAnsi="宋体" w:eastAsia="宋体" w:cs="宋体"/>
                <w:szCs w:val="21"/>
              </w:rPr>
              <w:t>2.13 支持分析报告提供三大血管（LAD/LCX/RCA）测定位置曲面重建图像，提供完成冠脉树2D平铺图。</w:t>
            </w:r>
          </w:p>
          <w:p w14:paraId="7E367505">
            <w:pPr>
              <w:widowControl/>
              <w:jc w:val="left"/>
              <w:textAlignment w:val="center"/>
              <w:rPr>
                <w:rFonts w:hint="eastAsia" w:ascii="宋体" w:hAnsi="宋体" w:eastAsia="宋体" w:cs="宋体"/>
                <w:szCs w:val="21"/>
              </w:rPr>
            </w:pPr>
            <w:r>
              <w:rPr>
                <w:rFonts w:hint="eastAsia" w:ascii="宋体" w:hAnsi="宋体" w:eastAsia="宋体" w:cs="宋体"/>
                <w:szCs w:val="21"/>
              </w:rPr>
              <w:t>2.14 支持提供冠脉主支各点位FFR值数据表单，支持生成基于人工智能技术的冠脉主支FFR曲线图。</w:t>
            </w:r>
          </w:p>
          <w:p w14:paraId="63521C94">
            <w:pPr>
              <w:widowControl/>
              <w:jc w:val="left"/>
              <w:textAlignment w:val="center"/>
              <w:rPr>
                <w:rFonts w:hint="eastAsia" w:ascii="宋体" w:hAnsi="宋体" w:eastAsia="宋体" w:cs="宋体"/>
                <w:szCs w:val="21"/>
              </w:rPr>
            </w:pPr>
            <w:r>
              <w:rPr>
                <w:rFonts w:hint="eastAsia" w:ascii="宋体" w:hAnsi="宋体" w:eastAsia="宋体" w:cs="宋体"/>
                <w:szCs w:val="21"/>
              </w:rPr>
              <w:t>2.15 医院端软件调阅数据不受限制，可调阅所有病人CT-FFR资料。</w:t>
            </w:r>
          </w:p>
          <w:p w14:paraId="0F84AE70">
            <w:pPr>
              <w:widowControl/>
              <w:jc w:val="left"/>
              <w:textAlignment w:val="center"/>
              <w:rPr>
                <w:rFonts w:hint="eastAsia" w:ascii="宋体" w:hAnsi="宋体" w:eastAsia="宋体" w:cs="宋体"/>
                <w:szCs w:val="21"/>
              </w:rPr>
            </w:pPr>
            <w:r>
              <w:rPr>
                <w:rFonts w:hint="eastAsia" w:ascii="宋体" w:hAnsi="宋体" w:eastAsia="宋体" w:cs="宋体"/>
                <w:szCs w:val="21"/>
              </w:rPr>
              <w:t>2.16 支持各种异常病例的处理。</w:t>
            </w:r>
          </w:p>
          <w:p w14:paraId="7354DDAF">
            <w:pPr>
              <w:widowControl/>
              <w:jc w:val="left"/>
              <w:textAlignment w:val="center"/>
              <w:rPr>
                <w:rFonts w:hint="eastAsia" w:ascii="宋体" w:hAnsi="宋体" w:eastAsia="宋体" w:cs="宋体"/>
                <w:szCs w:val="21"/>
              </w:rPr>
            </w:pPr>
            <w:r>
              <w:rPr>
                <w:rFonts w:hint="eastAsia" w:ascii="宋体" w:hAnsi="宋体" w:eastAsia="宋体" w:cs="宋体"/>
                <w:szCs w:val="21"/>
              </w:rPr>
              <w:t>3.服务要求：</w:t>
            </w:r>
          </w:p>
          <w:p w14:paraId="29905E42">
            <w:pPr>
              <w:widowControl/>
              <w:jc w:val="left"/>
              <w:textAlignment w:val="center"/>
              <w:rPr>
                <w:rFonts w:hint="eastAsia" w:ascii="宋体" w:hAnsi="宋体" w:eastAsia="宋体" w:cs="宋体"/>
                <w:szCs w:val="21"/>
              </w:rPr>
            </w:pPr>
            <w:r>
              <w:rPr>
                <w:rFonts w:hint="eastAsia" w:ascii="宋体" w:hAnsi="宋体" w:eastAsia="宋体" w:cs="宋体"/>
                <w:szCs w:val="21"/>
              </w:rPr>
              <w:t>3.1 采用浏览器/服务器架构（B/S架构），支持多终端同时登录，便于多位医生使用系统。</w:t>
            </w:r>
          </w:p>
          <w:p w14:paraId="6B7E13D4">
            <w:pPr>
              <w:widowControl/>
              <w:jc w:val="left"/>
              <w:textAlignment w:val="center"/>
              <w:rPr>
                <w:rFonts w:hint="eastAsia" w:ascii="宋体" w:hAnsi="宋体" w:eastAsia="宋体" w:cs="宋体"/>
                <w:szCs w:val="21"/>
              </w:rPr>
            </w:pPr>
            <w:r>
              <w:rPr>
                <w:rFonts w:hint="eastAsia" w:ascii="宋体" w:hAnsi="宋体" w:eastAsia="宋体" w:cs="宋体"/>
                <w:szCs w:val="21"/>
              </w:rPr>
              <w:t>3.2 支持多终端登录，可实现全科室、全院级部署使用。</w:t>
            </w:r>
          </w:p>
          <w:p w14:paraId="21D08220">
            <w:pPr>
              <w:widowControl/>
              <w:jc w:val="left"/>
              <w:textAlignment w:val="center"/>
              <w:rPr>
                <w:rFonts w:hint="eastAsia" w:ascii="宋体" w:hAnsi="宋体" w:eastAsia="宋体" w:cs="宋体"/>
                <w:szCs w:val="21"/>
              </w:rPr>
            </w:pPr>
            <w:r>
              <w:rPr>
                <w:rFonts w:hint="eastAsia" w:ascii="宋体" w:hAnsi="宋体" w:eastAsia="宋体" w:cs="宋体"/>
                <w:szCs w:val="21"/>
              </w:rPr>
              <w:t>3.3 支持市面所有CT设备品牌的影像数据，性能表现无差异。</w:t>
            </w:r>
          </w:p>
          <w:p w14:paraId="7AB49DF8">
            <w:pPr>
              <w:widowControl/>
              <w:jc w:val="left"/>
              <w:textAlignment w:val="center"/>
              <w:rPr>
                <w:rFonts w:hint="eastAsia" w:ascii="宋体" w:hAnsi="宋体" w:eastAsia="宋体" w:cs="宋体"/>
                <w:szCs w:val="21"/>
              </w:rPr>
            </w:pPr>
            <w:r>
              <w:rPr>
                <w:rFonts w:hint="eastAsia" w:ascii="宋体" w:hAnsi="宋体" w:eastAsia="宋体" w:cs="宋体"/>
                <w:szCs w:val="21"/>
              </w:rPr>
              <w:t>3.4 数据传输的工作站可接入医院的PACS系统。</w:t>
            </w:r>
          </w:p>
          <w:p w14:paraId="3B5548DD">
            <w:pPr>
              <w:widowControl/>
              <w:jc w:val="left"/>
              <w:textAlignment w:val="center"/>
              <w:rPr>
                <w:rFonts w:hint="eastAsia" w:ascii="宋体" w:hAnsi="宋体" w:eastAsia="宋体" w:cs="宋体"/>
                <w:szCs w:val="21"/>
              </w:rPr>
            </w:pPr>
            <w:r>
              <w:rPr>
                <w:rFonts w:hint="eastAsia" w:ascii="宋体" w:hAnsi="宋体" w:eastAsia="宋体" w:cs="宋体"/>
                <w:szCs w:val="21"/>
              </w:rPr>
              <w:t>3.5 服务基本流程：从招标人系统获取CTA影像-智能精准建模-生理参数量化-计算FFR-生成彩色码图-出具初步检测结果并返还给招标人系统。</w:t>
            </w:r>
          </w:p>
          <w:p w14:paraId="663F3ADC">
            <w:pPr>
              <w:widowControl/>
              <w:jc w:val="left"/>
              <w:textAlignment w:val="center"/>
              <w:rPr>
                <w:rFonts w:hint="eastAsia" w:ascii="宋体" w:hAnsi="宋体" w:eastAsia="宋体" w:cs="宋体"/>
                <w:szCs w:val="21"/>
              </w:rPr>
            </w:pPr>
            <w:r>
              <w:rPr>
                <w:rFonts w:hint="eastAsia" w:ascii="宋体" w:hAnsi="宋体" w:eastAsia="宋体" w:cs="宋体"/>
                <w:szCs w:val="21"/>
              </w:rPr>
              <w:t>3.6 处理速度快，5～10分钟即可完成计算。</w:t>
            </w:r>
          </w:p>
          <w:p w14:paraId="4A0BA17D">
            <w:pPr>
              <w:widowControl/>
              <w:jc w:val="left"/>
              <w:textAlignment w:val="center"/>
              <w:rPr>
                <w:rFonts w:hint="eastAsia" w:ascii="宋体" w:hAnsi="宋体" w:eastAsia="宋体" w:cs="宋体"/>
                <w:szCs w:val="21"/>
              </w:rPr>
            </w:pPr>
            <w:r>
              <w:rPr>
                <w:rFonts w:hint="eastAsia" w:ascii="宋体" w:hAnsi="宋体" w:eastAsia="宋体" w:cs="宋体"/>
                <w:szCs w:val="21"/>
              </w:rPr>
              <w:t>3.7 保证≤2小时内返还冠脉血流储备分数分析报告。</w:t>
            </w:r>
          </w:p>
          <w:p w14:paraId="2EADF5BF">
            <w:pPr>
              <w:widowControl/>
              <w:jc w:val="left"/>
              <w:textAlignment w:val="center"/>
              <w:rPr>
                <w:rFonts w:hint="eastAsia" w:ascii="宋体" w:hAnsi="宋体" w:eastAsia="宋体" w:cs="宋体"/>
                <w:szCs w:val="21"/>
              </w:rPr>
            </w:pPr>
            <w:r>
              <w:rPr>
                <w:rFonts w:hint="eastAsia" w:ascii="宋体" w:hAnsi="宋体" w:eastAsia="宋体" w:cs="宋体"/>
                <w:szCs w:val="21"/>
              </w:rPr>
              <w:t>3.8 具备完善的信息安全方案。</w:t>
            </w:r>
          </w:p>
          <w:p w14:paraId="58B01793">
            <w:pPr>
              <w:widowControl/>
              <w:jc w:val="left"/>
              <w:textAlignment w:val="center"/>
              <w:rPr>
                <w:rFonts w:hint="eastAsia" w:ascii="宋体" w:hAnsi="宋体" w:eastAsia="宋体" w:cs="宋体"/>
                <w:szCs w:val="21"/>
              </w:rPr>
            </w:pPr>
            <w:r>
              <w:rPr>
                <w:rFonts w:hint="eastAsia" w:ascii="宋体" w:hAnsi="宋体" w:eastAsia="宋体" w:cs="宋体"/>
                <w:szCs w:val="21"/>
              </w:rPr>
              <w:t>4.科研类服务产品功能及技术参数</w:t>
            </w:r>
          </w:p>
          <w:p w14:paraId="44A7DB8D">
            <w:pPr>
              <w:widowControl/>
              <w:jc w:val="left"/>
              <w:textAlignment w:val="center"/>
              <w:rPr>
                <w:rFonts w:hint="eastAsia" w:ascii="宋体" w:hAnsi="宋体" w:eastAsia="宋体" w:cs="宋体"/>
                <w:szCs w:val="21"/>
              </w:rPr>
            </w:pPr>
            <w:r>
              <w:rPr>
                <w:rFonts w:hint="eastAsia" w:ascii="宋体" w:hAnsi="宋体" w:eastAsia="宋体" w:cs="宋体"/>
                <w:szCs w:val="21"/>
              </w:rPr>
              <w:t>4.1 斑块分析研究</w:t>
            </w:r>
          </w:p>
          <w:p w14:paraId="37C6E292">
            <w:pPr>
              <w:widowControl/>
              <w:jc w:val="left"/>
              <w:textAlignment w:val="center"/>
              <w:rPr>
                <w:rFonts w:hint="eastAsia" w:ascii="宋体" w:hAnsi="宋体" w:eastAsia="宋体" w:cs="宋体"/>
                <w:szCs w:val="21"/>
              </w:rPr>
            </w:pPr>
            <w:r>
              <w:rPr>
                <w:rFonts w:hint="eastAsia" w:ascii="宋体" w:hAnsi="宋体" w:eastAsia="宋体" w:cs="宋体"/>
                <w:szCs w:val="21"/>
              </w:rPr>
              <w:t>4.1.1斑块检测：支持通过深度学习算法识各类型斑块，支持在CPR、轴位图、SPR及血管内腔X截面图上标记显示；</w:t>
            </w:r>
          </w:p>
          <w:p w14:paraId="3A6A1684">
            <w:pPr>
              <w:widowControl/>
              <w:jc w:val="left"/>
              <w:textAlignment w:val="center"/>
              <w:rPr>
                <w:rFonts w:hint="eastAsia" w:ascii="宋体" w:hAnsi="宋体" w:eastAsia="宋体" w:cs="宋体"/>
                <w:szCs w:val="21"/>
              </w:rPr>
            </w:pPr>
            <w:r>
              <w:rPr>
                <w:rFonts w:hint="eastAsia" w:ascii="宋体" w:hAnsi="宋体" w:eastAsia="宋体" w:cs="宋体"/>
                <w:szCs w:val="21"/>
              </w:rPr>
              <w:t>4.1.2斑块成分：支持基于CT阈值法的斑块成分分类研究，包括坏死斑块、纤维脂质斑块、纤维斑块、致密钙化斑块。支持密度直方分布显示各斑块成分量化分布信息；</w:t>
            </w:r>
          </w:p>
          <w:p w14:paraId="4C4DF750">
            <w:pPr>
              <w:widowControl/>
              <w:jc w:val="left"/>
              <w:textAlignment w:val="center"/>
              <w:rPr>
                <w:rFonts w:hint="eastAsia" w:ascii="宋体" w:hAnsi="宋体" w:eastAsia="宋体" w:cs="宋体"/>
                <w:szCs w:val="21"/>
              </w:rPr>
            </w:pPr>
            <w:r>
              <w:rPr>
                <w:rFonts w:hint="eastAsia" w:ascii="宋体" w:hAnsi="宋体" w:eastAsia="宋体" w:cs="宋体"/>
                <w:szCs w:val="21"/>
              </w:rPr>
              <w:t>4.1.3斑块高危征象识别：支持基于CTA影像斑块高危识别研究，高危征象包括点状钙化、餐巾环征、低密度影、正性重构；</w:t>
            </w:r>
          </w:p>
          <w:p w14:paraId="56F91E6D">
            <w:pPr>
              <w:widowControl/>
              <w:jc w:val="left"/>
              <w:textAlignment w:val="center"/>
              <w:rPr>
                <w:rFonts w:hint="eastAsia" w:ascii="宋体" w:hAnsi="宋体" w:eastAsia="宋体" w:cs="宋体"/>
                <w:szCs w:val="21"/>
              </w:rPr>
            </w:pPr>
            <w:r>
              <w:rPr>
                <w:rFonts w:hint="eastAsia" w:ascii="宋体" w:hAnsi="宋体" w:eastAsia="宋体" w:cs="宋体"/>
                <w:szCs w:val="21"/>
              </w:rPr>
              <w:t>4.1.4斑块体积量化：支持不同成分构成的斑块体积分析研究。</w:t>
            </w:r>
          </w:p>
          <w:p w14:paraId="66D6ED47">
            <w:pPr>
              <w:widowControl/>
              <w:jc w:val="left"/>
              <w:textAlignment w:val="center"/>
              <w:rPr>
                <w:rFonts w:hint="eastAsia" w:ascii="宋体" w:hAnsi="宋体" w:eastAsia="宋体" w:cs="宋体"/>
                <w:szCs w:val="21"/>
              </w:rPr>
            </w:pPr>
            <w:r>
              <w:rPr>
                <w:rFonts w:hint="eastAsia" w:ascii="宋体" w:hAnsi="宋体" w:eastAsia="宋体" w:cs="宋体"/>
                <w:szCs w:val="21"/>
              </w:rPr>
              <w:t>4.2 冠脉周围脂肪衰减指数（FAI）评估，三大主支的冠周脂肪指数FAI值评估；</w:t>
            </w:r>
          </w:p>
          <w:p w14:paraId="2E624D16">
            <w:pPr>
              <w:widowControl/>
              <w:jc w:val="left"/>
              <w:textAlignment w:val="center"/>
              <w:rPr>
                <w:rFonts w:hint="eastAsia" w:ascii="宋体" w:hAnsi="宋体" w:eastAsia="宋体" w:cs="宋体"/>
                <w:szCs w:val="21"/>
              </w:rPr>
            </w:pPr>
            <w:r>
              <w:rPr>
                <w:rFonts w:hint="eastAsia" w:ascii="宋体" w:hAnsi="宋体" w:eastAsia="宋体" w:cs="宋体"/>
                <w:szCs w:val="21"/>
              </w:rPr>
              <w:t>4.2.2支持基于CT值阈值的FAI直方图量化分布展示。</w:t>
            </w:r>
          </w:p>
          <w:p w14:paraId="3D1B5A54">
            <w:pPr>
              <w:widowControl/>
              <w:jc w:val="left"/>
              <w:textAlignment w:val="center"/>
              <w:rPr>
                <w:rFonts w:hint="eastAsia" w:ascii="宋体" w:hAnsi="宋体" w:eastAsia="宋体" w:cs="宋体"/>
                <w:szCs w:val="21"/>
              </w:rPr>
            </w:pPr>
            <w:r>
              <w:rPr>
                <w:rFonts w:hint="eastAsia" w:ascii="宋体" w:hAnsi="宋体" w:eastAsia="宋体" w:cs="宋体"/>
                <w:szCs w:val="21"/>
              </w:rPr>
              <w:t>4.2.2支持用户自定义编辑测量长度范围、外扩直径范围的FAI测量研究。</w:t>
            </w:r>
          </w:p>
          <w:p w14:paraId="71FB5C64">
            <w:pPr>
              <w:widowControl/>
              <w:jc w:val="left"/>
              <w:textAlignment w:val="center"/>
              <w:rPr>
                <w:rFonts w:hint="eastAsia" w:ascii="宋体" w:hAnsi="宋体" w:eastAsia="宋体" w:cs="宋体"/>
                <w:szCs w:val="21"/>
              </w:rPr>
            </w:pPr>
            <w:r>
              <w:rPr>
                <w:rFonts w:hint="eastAsia" w:ascii="宋体" w:hAnsi="宋体" w:eastAsia="宋体" w:cs="宋体"/>
                <w:szCs w:val="21"/>
              </w:rPr>
              <w:t>4.3 冠脉CTA斑块及狭窄量化随访，三大主支的斑块、狭窄量化随访，支持两次数据的冠脉斑块和狭窄量化随访研究。</w:t>
            </w:r>
          </w:p>
          <w:p w14:paraId="5D0987F9">
            <w:pPr>
              <w:widowControl/>
              <w:jc w:val="left"/>
              <w:textAlignment w:val="center"/>
              <w:rPr>
                <w:rFonts w:hint="eastAsia" w:ascii="宋体" w:hAnsi="宋体" w:eastAsia="宋体" w:cs="宋体"/>
                <w:szCs w:val="21"/>
              </w:rPr>
            </w:pPr>
            <w:r>
              <w:rPr>
                <w:rFonts w:hint="eastAsia" w:ascii="宋体" w:hAnsi="宋体" w:eastAsia="宋体" w:cs="宋体"/>
                <w:szCs w:val="21"/>
              </w:rPr>
              <w:t>4.3.1支持量化表格展示两期的斑块体积、狭窄数量的量化信息和变化趋势。</w:t>
            </w:r>
          </w:p>
          <w:p w14:paraId="3B6160A3">
            <w:pPr>
              <w:widowControl/>
              <w:jc w:val="left"/>
              <w:textAlignment w:val="center"/>
              <w:rPr>
                <w:rFonts w:hint="eastAsia" w:ascii="宋体" w:hAnsi="宋体" w:eastAsia="宋体" w:cs="宋体"/>
                <w:szCs w:val="21"/>
              </w:rPr>
            </w:pPr>
            <w:r>
              <w:rPr>
                <w:rFonts w:hint="eastAsia" w:ascii="宋体" w:hAnsi="宋体" w:eastAsia="宋体" w:cs="宋体"/>
                <w:szCs w:val="21"/>
              </w:rPr>
              <w:t>4.3.2支持直方图展示两期的斑块体积、 狭窄数量的变化趋势。</w:t>
            </w:r>
          </w:p>
          <w:p w14:paraId="2D717ACF">
            <w:pPr>
              <w:widowControl/>
              <w:jc w:val="left"/>
              <w:textAlignment w:val="center"/>
              <w:rPr>
                <w:rFonts w:hint="eastAsia" w:ascii="宋体" w:hAnsi="宋体" w:eastAsia="宋体" w:cs="宋体"/>
                <w:szCs w:val="21"/>
              </w:rPr>
            </w:pPr>
            <w:r>
              <w:rPr>
                <w:rFonts w:hint="eastAsia" w:ascii="宋体" w:hAnsi="宋体" w:eastAsia="宋体" w:cs="宋体"/>
                <w:szCs w:val="21"/>
              </w:rPr>
              <w:t>4.3.3支持单支血管SPR图像的斑块量化信息对比展示。</w:t>
            </w:r>
          </w:p>
          <w:p w14:paraId="2BD9D8B5">
            <w:pPr>
              <w:widowControl/>
              <w:jc w:val="left"/>
              <w:textAlignment w:val="center"/>
              <w:rPr>
                <w:rFonts w:hint="eastAsia" w:ascii="宋体" w:hAnsi="宋体" w:eastAsia="宋体" w:cs="宋体"/>
                <w:szCs w:val="21"/>
              </w:rPr>
            </w:pPr>
            <w:r>
              <w:rPr>
                <w:rFonts w:hint="eastAsia" w:ascii="宋体" w:hAnsi="宋体" w:eastAsia="宋体" w:cs="宋体"/>
                <w:szCs w:val="21"/>
              </w:rPr>
              <w:t>5.提供≥3年的技术支持。</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3D65C23E">
            <w:pPr>
              <w:widowControl/>
              <w:shd w:val="clear" w:color="auto" w:fill="FFFFFF"/>
              <w:spacing w:line="360" w:lineRule="auto"/>
              <w:jc w:val="center"/>
              <w:rPr>
                <w:rFonts w:hint="eastAsia" w:ascii="宋体" w:hAnsi="宋体" w:eastAsia="宋体" w:cs="宋体"/>
                <w:szCs w:val="21"/>
              </w:rPr>
            </w:pPr>
            <w:r>
              <w:rPr>
                <w:rFonts w:hint="eastAsia" w:ascii="宋体" w:hAnsi="宋体" w:eastAsia="宋体" w:cs="宋体"/>
                <w:szCs w:val="21"/>
              </w:rPr>
              <w:t>450.00</w:t>
            </w:r>
          </w:p>
        </w:tc>
        <w:tc>
          <w:tcPr>
            <w:tcW w:w="1018" w:type="dxa"/>
            <w:tcBorders>
              <w:top w:val="single" w:color="auto" w:sz="4" w:space="0"/>
              <w:left w:val="single" w:color="auto" w:sz="4" w:space="0"/>
              <w:bottom w:val="single" w:color="auto" w:sz="4" w:space="0"/>
              <w:right w:val="single" w:color="auto" w:sz="4" w:space="0"/>
            </w:tcBorders>
            <w:noWrap w:val="0"/>
            <w:vAlign w:val="center"/>
          </w:tcPr>
          <w:p w14:paraId="27DC047C">
            <w:pPr>
              <w:widowControl/>
              <w:shd w:val="clear" w:color="auto" w:fill="FFFFFF"/>
              <w:spacing w:line="360" w:lineRule="auto"/>
              <w:jc w:val="center"/>
              <w:rPr>
                <w:rFonts w:hint="eastAsia" w:ascii="宋体" w:hAnsi="宋体" w:eastAsia="宋体" w:cs="宋体"/>
                <w:szCs w:val="21"/>
              </w:rPr>
            </w:pPr>
            <w:r>
              <w:rPr>
                <w:rFonts w:hint="eastAsia" w:ascii="宋体" w:hAnsi="宋体" w:eastAsia="宋体" w:cs="宋体"/>
                <w:szCs w:val="21"/>
              </w:rPr>
              <w:t>工业</w:t>
            </w:r>
          </w:p>
        </w:tc>
      </w:tr>
      <w:tr w14:paraId="75157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14:paraId="5510638F">
            <w:pPr>
              <w:spacing w:before="60" w:after="60" w:line="460" w:lineRule="exact"/>
              <w:rPr>
                <w:rFonts w:hint="eastAsia" w:ascii="宋体" w:hAnsi="宋体" w:eastAsia="宋体" w:cs="宋体"/>
                <w:b/>
                <w:bCs/>
                <w:szCs w:val="21"/>
              </w:rPr>
            </w:pPr>
            <w:r>
              <w:rPr>
                <w:rFonts w:hint="eastAsia" w:ascii="宋体" w:hAnsi="宋体" w:eastAsia="宋体" w:cs="宋体"/>
                <w:szCs w:val="21"/>
              </w:rPr>
              <w:t>商务条款</w:t>
            </w:r>
          </w:p>
        </w:tc>
        <w:tc>
          <w:tcPr>
            <w:tcW w:w="15098" w:type="dxa"/>
            <w:gridSpan w:val="9"/>
            <w:tcBorders>
              <w:top w:val="single" w:color="auto" w:sz="4" w:space="0"/>
              <w:left w:val="single" w:color="auto" w:sz="4" w:space="0"/>
              <w:bottom w:val="single" w:color="auto" w:sz="4" w:space="0"/>
              <w:right w:val="single" w:color="auto" w:sz="4" w:space="0"/>
            </w:tcBorders>
            <w:noWrap w:val="0"/>
            <w:vAlign w:val="top"/>
          </w:tcPr>
          <w:p w14:paraId="4D2ED995">
            <w:pPr>
              <w:widowControl/>
              <w:shd w:val="clear" w:color="auto" w:fill="FFFFFF"/>
              <w:spacing w:line="360" w:lineRule="auto"/>
              <w:rPr>
                <w:rFonts w:hint="eastAsia" w:ascii="宋体" w:hAnsi="宋体" w:eastAsia="宋体" w:cs="宋体"/>
                <w:szCs w:val="24"/>
              </w:rPr>
            </w:pPr>
            <w:r>
              <w:rPr>
                <w:rFonts w:hint="eastAsia" w:ascii="宋体" w:hAnsi="宋体" w:eastAsia="宋体" w:cs="宋体"/>
                <w:szCs w:val="24"/>
              </w:rPr>
              <w:t>▲一、合同签订期：自中标通知书发出之日起25个日历日内。</w:t>
            </w:r>
          </w:p>
          <w:p w14:paraId="0C3F7912">
            <w:pPr>
              <w:widowControl/>
              <w:shd w:val="clear" w:color="auto" w:fill="FFFFFF"/>
              <w:spacing w:line="360" w:lineRule="auto"/>
              <w:rPr>
                <w:rFonts w:hint="eastAsia" w:ascii="宋体" w:hAnsi="宋体" w:eastAsia="宋体" w:cs="宋体"/>
                <w:szCs w:val="24"/>
              </w:rPr>
            </w:pPr>
            <w:r>
              <w:rPr>
                <w:rFonts w:hint="eastAsia" w:ascii="宋体" w:hAnsi="宋体" w:eastAsia="宋体" w:cs="宋体"/>
                <w:szCs w:val="24"/>
              </w:rPr>
              <w:t>▲二、交货期：合同签订后180天内。</w:t>
            </w:r>
          </w:p>
          <w:p w14:paraId="0F4EF5C0">
            <w:pPr>
              <w:widowControl/>
              <w:shd w:val="clear" w:color="auto" w:fill="FFFFFF"/>
              <w:spacing w:line="360" w:lineRule="auto"/>
              <w:rPr>
                <w:rFonts w:hint="eastAsia" w:ascii="宋体" w:hAnsi="宋体" w:eastAsia="宋体" w:cs="宋体"/>
                <w:szCs w:val="24"/>
                <w:lang w:eastAsia="zh-CN"/>
              </w:rPr>
            </w:pPr>
            <w:r>
              <w:rPr>
                <w:rFonts w:hint="eastAsia" w:ascii="宋体" w:hAnsi="宋体" w:eastAsia="宋体" w:cs="宋体"/>
                <w:szCs w:val="24"/>
              </w:rPr>
              <w:t>三、</w:t>
            </w:r>
            <w:bookmarkStart w:id="489" w:name="_GoBack"/>
            <w:r>
              <w:rPr>
                <w:rFonts w:hint="eastAsia" w:ascii="宋体" w:hAnsi="宋体" w:cs="宋体"/>
                <w:szCs w:val="24"/>
                <w:lang w:val="en-US" w:eastAsia="zh-CN"/>
              </w:rPr>
              <w:t>交货</w:t>
            </w:r>
            <w:r>
              <w:rPr>
                <w:rFonts w:hint="eastAsia" w:ascii="宋体" w:hAnsi="宋体" w:eastAsia="宋体" w:cs="宋体"/>
                <w:szCs w:val="24"/>
              </w:rPr>
              <w:t>地点</w:t>
            </w:r>
            <w:bookmarkEnd w:id="489"/>
            <w:r>
              <w:rPr>
                <w:rFonts w:hint="eastAsia" w:ascii="宋体" w:hAnsi="宋体" w:eastAsia="宋体" w:cs="宋体"/>
                <w:szCs w:val="24"/>
              </w:rPr>
              <w:t>：采购人指定地点</w:t>
            </w:r>
            <w:r>
              <w:rPr>
                <w:rFonts w:hint="eastAsia" w:ascii="宋体" w:hAnsi="宋体" w:cs="宋体"/>
                <w:szCs w:val="24"/>
                <w:lang w:eastAsia="zh-CN"/>
              </w:rPr>
              <w:t>。</w:t>
            </w:r>
          </w:p>
          <w:p w14:paraId="5FEB6D2E">
            <w:pPr>
              <w:widowControl/>
              <w:shd w:val="clear" w:color="auto" w:fill="FFFFFF"/>
              <w:spacing w:line="360" w:lineRule="auto"/>
              <w:rPr>
                <w:rFonts w:hint="eastAsia" w:ascii="宋体" w:hAnsi="宋体" w:eastAsia="宋体" w:cs="宋体"/>
                <w:szCs w:val="24"/>
              </w:rPr>
            </w:pPr>
            <w:r>
              <w:rPr>
                <w:rFonts w:hint="eastAsia" w:ascii="宋体" w:hAnsi="宋体" w:eastAsia="宋体" w:cs="宋体"/>
                <w:szCs w:val="24"/>
              </w:rPr>
              <w:t>四、验收标准、规范：</w:t>
            </w:r>
          </w:p>
          <w:p w14:paraId="088EB404">
            <w:pPr>
              <w:widowControl/>
              <w:shd w:val="clear" w:color="auto" w:fill="FFFFFF"/>
              <w:spacing w:line="380" w:lineRule="exact"/>
              <w:ind w:firstLine="420" w:firstLineChars="200"/>
              <w:rPr>
                <w:rFonts w:hint="eastAsia" w:ascii="宋体" w:hAnsi="宋体" w:eastAsia="宋体" w:cs="宋体"/>
                <w:szCs w:val="21"/>
              </w:rPr>
            </w:pPr>
            <w:r>
              <w:rPr>
                <w:rFonts w:hint="eastAsia" w:ascii="宋体" w:hAnsi="宋体" w:eastAsia="宋体" w:cs="宋体"/>
                <w:szCs w:val="21"/>
              </w:rPr>
              <w:t>1.产品到达现场后，中标人应在采购人单位人员在场情况下当面开箱，共同清点、检查外观，作出开箱记录，双方签字确认。中标人应保证货物在送达采购人指定地点时完好无损，如有缺漏、损坏，由中标人负责调换、补齐或赔偿。</w:t>
            </w:r>
          </w:p>
          <w:p w14:paraId="0FF52E5F">
            <w:pPr>
              <w:widowControl/>
              <w:shd w:val="clear" w:color="auto" w:fill="FFFFFF"/>
              <w:spacing w:line="380" w:lineRule="exact"/>
              <w:ind w:firstLine="420" w:firstLineChars="200"/>
              <w:rPr>
                <w:rFonts w:hint="eastAsia" w:ascii="宋体" w:hAnsi="宋体" w:eastAsia="宋体" w:cs="宋体"/>
                <w:szCs w:val="21"/>
              </w:rPr>
            </w:pPr>
            <w:r>
              <w:rPr>
                <w:rFonts w:hint="eastAsia" w:ascii="宋体" w:hAnsi="宋体" w:eastAsia="宋体" w:cs="宋体"/>
                <w:szCs w:val="21"/>
              </w:rPr>
              <w:t>2.验收合格条件如下：</w:t>
            </w:r>
          </w:p>
          <w:p w14:paraId="7E43FCBA">
            <w:pPr>
              <w:widowControl/>
              <w:shd w:val="clear" w:color="auto" w:fill="FFFFFF"/>
              <w:spacing w:line="380" w:lineRule="exact"/>
              <w:ind w:firstLine="420" w:firstLineChars="200"/>
              <w:rPr>
                <w:rFonts w:hint="eastAsia" w:ascii="宋体" w:hAnsi="宋体" w:eastAsia="宋体" w:cs="宋体"/>
                <w:szCs w:val="21"/>
              </w:rPr>
            </w:pPr>
            <w:r>
              <w:rPr>
                <w:rFonts w:hint="eastAsia" w:ascii="宋体" w:hAnsi="宋体" w:eastAsia="宋体" w:cs="宋体"/>
                <w:szCs w:val="21"/>
              </w:rPr>
              <w:t>2.1货物或服务技术参数与采购合同一致，性能或指标达到规定的标准。</w:t>
            </w:r>
          </w:p>
          <w:p w14:paraId="7A737C50">
            <w:pPr>
              <w:widowControl/>
              <w:shd w:val="clear" w:color="auto" w:fill="FFFFFF"/>
              <w:spacing w:line="380" w:lineRule="exact"/>
              <w:ind w:firstLine="420" w:firstLineChars="200"/>
              <w:rPr>
                <w:rFonts w:hint="eastAsia" w:ascii="宋体" w:hAnsi="宋体" w:eastAsia="宋体" w:cs="宋体"/>
                <w:szCs w:val="21"/>
              </w:rPr>
            </w:pPr>
            <w:r>
              <w:rPr>
                <w:rFonts w:hint="eastAsia" w:ascii="宋体" w:hAnsi="宋体" w:eastAsia="宋体" w:cs="宋体"/>
                <w:szCs w:val="21"/>
              </w:rPr>
              <w:t>2.2技术或资料、装箱单、中文操作手册、合格证等资料齐全。</w:t>
            </w:r>
          </w:p>
          <w:p w14:paraId="2252DF38">
            <w:pPr>
              <w:widowControl/>
              <w:shd w:val="clear" w:color="auto" w:fill="FFFFFF"/>
              <w:spacing w:line="380" w:lineRule="exact"/>
              <w:ind w:firstLine="420" w:firstLineChars="200"/>
              <w:rPr>
                <w:rFonts w:hint="eastAsia" w:ascii="宋体" w:hAnsi="宋体" w:eastAsia="宋体" w:cs="宋体"/>
                <w:szCs w:val="21"/>
              </w:rPr>
            </w:pPr>
            <w:r>
              <w:rPr>
                <w:rFonts w:hint="eastAsia" w:ascii="宋体" w:hAnsi="宋体" w:eastAsia="宋体" w:cs="宋体"/>
                <w:szCs w:val="21"/>
              </w:rPr>
              <w:t>2.3在测试或试运行期间所出现的问题得到解决，并运行或工作正常。</w:t>
            </w:r>
          </w:p>
          <w:p w14:paraId="0E8369CD">
            <w:pPr>
              <w:widowControl/>
              <w:shd w:val="clear" w:color="auto" w:fill="FFFFFF"/>
              <w:spacing w:line="380" w:lineRule="exact"/>
              <w:ind w:firstLine="420" w:firstLineChars="200"/>
              <w:rPr>
                <w:rFonts w:hint="eastAsia" w:ascii="宋体" w:hAnsi="宋体" w:eastAsia="宋体" w:cs="宋体"/>
                <w:szCs w:val="21"/>
              </w:rPr>
            </w:pPr>
            <w:r>
              <w:rPr>
                <w:rFonts w:hint="eastAsia" w:ascii="宋体" w:hAnsi="宋体" w:eastAsia="宋体" w:cs="宋体"/>
                <w:szCs w:val="21"/>
              </w:rPr>
              <w:t>2.4在规定时间内完成交货及验收，并经采购人确认。</w:t>
            </w:r>
          </w:p>
          <w:p w14:paraId="1A640AA3">
            <w:pPr>
              <w:widowControl/>
              <w:shd w:val="clear" w:color="auto" w:fill="FFFFFF"/>
              <w:spacing w:line="380" w:lineRule="exact"/>
              <w:ind w:firstLine="420" w:firstLineChars="200"/>
              <w:rPr>
                <w:rFonts w:hint="eastAsia" w:ascii="宋体" w:hAnsi="宋体" w:eastAsia="宋体" w:cs="宋体"/>
                <w:szCs w:val="21"/>
              </w:rPr>
            </w:pPr>
            <w:r>
              <w:rPr>
                <w:rFonts w:hint="eastAsia" w:ascii="宋体" w:hAnsi="宋体" w:eastAsia="宋体" w:cs="宋体"/>
                <w:szCs w:val="21"/>
              </w:rPr>
              <w:t>3.产品或服务在安装调试并试运行符合要求后，才作为最终验收。</w:t>
            </w:r>
          </w:p>
          <w:p w14:paraId="4C1E87E0">
            <w:pPr>
              <w:widowControl/>
              <w:shd w:val="clear" w:color="auto" w:fill="FFFFFF"/>
              <w:spacing w:line="380" w:lineRule="exact"/>
              <w:ind w:firstLine="420" w:firstLineChars="200"/>
              <w:rPr>
                <w:rFonts w:hint="eastAsia" w:ascii="宋体" w:hAnsi="宋体" w:eastAsia="宋体" w:cs="宋体"/>
                <w:szCs w:val="21"/>
              </w:rPr>
            </w:pPr>
            <w:r>
              <w:rPr>
                <w:rFonts w:hint="eastAsia" w:ascii="宋体" w:hAnsi="宋体" w:eastAsia="宋体" w:cs="宋体"/>
                <w:szCs w:val="21"/>
              </w:rPr>
              <w:t>4. 中标人提供的货物或服务未达到采购文件规定要求，且对采购人造成损失的，由中标人承担一切责任，并赔偿所造成的损失。</w:t>
            </w:r>
          </w:p>
          <w:p w14:paraId="5D5F7854">
            <w:pPr>
              <w:widowControl/>
              <w:shd w:val="clear" w:color="auto" w:fill="FFFFFF"/>
              <w:spacing w:line="380" w:lineRule="exact"/>
              <w:ind w:firstLine="420" w:firstLineChars="200"/>
              <w:rPr>
                <w:rFonts w:hint="eastAsia" w:ascii="宋体" w:hAnsi="宋体" w:eastAsia="宋体" w:cs="宋体"/>
                <w:szCs w:val="21"/>
              </w:rPr>
            </w:pPr>
            <w:r>
              <w:rPr>
                <w:rFonts w:hint="eastAsia" w:ascii="宋体" w:hAnsi="宋体" w:eastAsia="宋体" w:cs="宋体"/>
                <w:szCs w:val="21"/>
              </w:rPr>
              <w:t>5.采购人需要制造商对中标人交付的产品或服务（包括质量、参数等）进行确认的，制造商应予以配合并出具书面意见，相关配合事项由</w:t>
            </w:r>
            <w:r>
              <w:rPr>
                <w:rFonts w:hint="eastAsia" w:ascii="宋体" w:hAnsi="宋体" w:eastAsia="宋体" w:cs="宋体"/>
                <w:bCs/>
                <w:szCs w:val="21"/>
              </w:rPr>
              <w:t>中标</w:t>
            </w:r>
            <w:r>
              <w:rPr>
                <w:rFonts w:hint="eastAsia" w:ascii="宋体" w:hAnsi="宋体" w:eastAsia="宋体" w:cs="宋体"/>
                <w:szCs w:val="21"/>
              </w:rPr>
              <w:t>人与制造商协调。</w:t>
            </w:r>
          </w:p>
          <w:p w14:paraId="7F042AA3">
            <w:pPr>
              <w:widowControl/>
              <w:shd w:val="clear" w:color="auto" w:fill="FFFFFF"/>
              <w:spacing w:line="380" w:lineRule="exact"/>
              <w:ind w:firstLine="420" w:firstLineChars="200"/>
              <w:rPr>
                <w:rFonts w:hint="eastAsia" w:ascii="宋体" w:hAnsi="宋体" w:eastAsia="宋体" w:cs="宋体"/>
                <w:szCs w:val="21"/>
              </w:rPr>
            </w:pPr>
            <w:r>
              <w:rPr>
                <w:rFonts w:hint="eastAsia" w:ascii="宋体" w:hAnsi="宋体" w:eastAsia="宋体" w:cs="宋体"/>
                <w:szCs w:val="21"/>
              </w:rPr>
              <w:t>6.产品包装材料归采购人所有。</w:t>
            </w:r>
          </w:p>
          <w:p w14:paraId="70016F26">
            <w:pPr>
              <w:widowControl/>
              <w:shd w:val="clear" w:color="auto" w:fill="FFFFFF"/>
              <w:spacing w:line="380" w:lineRule="exact"/>
              <w:ind w:firstLine="420" w:firstLineChars="200"/>
              <w:rPr>
                <w:rFonts w:hint="eastAsia" w:ascii="宋体" w:hAnsi="宋体" w:eastAsia="宋体" w:cs="宋体"/>
                <w:szCs w:val="21"/>
              </w:rPr>
            </w:pPr>
            <w:r>
              <w:rPr>
                <w:rFonts w:hint="eastAsia" w:ascii="宋体" w:hAnsi="宋体" w:eastAsia="宋体" w:cs="宋体"/>
                <w:szCs w:val="21"/>
              </w:rPr>
              <w:t>7.大型或者复杂的政府采购项目，采购人应当邀请具有相关资质的检测机构参加验收工作。</w:t>
            </w:r>
          </w:p>
          <w:p w14:paraId="4FF721E4">
            <w:pPr>
              <w:widowControl/>
              <w:shd w:val="clear" w:color="auto" w:fill="FFFFFF"/>
              <w:spacing w:line="380" w:lineRule="exact"/>
              <w:ind w:firstLine="420" w:firstLineChars="200"/>
              <w:rPr>
                <w:rFonts w:hint="eastAsia" w:ascii="宋体" w:hAnsi="宋体" w:eastAsia="宋体" w:cs="宋体"/>
                <w:bCs/>
                <w:szCs w:val="21"/>
                <w:u w:val="single"/>
              </w:rPr>
            </w:pPr>
            <w:r>
              <w:rPr>
                <w:rFonts w:hint="eastAsia" w:ascii="宋体" w:hAnsi="宋体" w:eastAsia="宋体" w:cs="宋体"/>
                <w:szCs w:val="21"/>
              </w:rPr>
              <w:t>8.其他验收要求按《拟签订的合同文本》执行，未尽事宜按照《关于印发广西壮族自治区政府采购项目履约验收管理办法的通知》[桂财采〔2015〕22号]以及《财政部关于进一步加强政府采购需求和履约验收管理的指导意见》[财库〔2016〕205号]规定执行。</w:t>
            </w:r>
          </w:p>
          <w:p w14:paraId="18CD0D91">
            <w:pPr>
              <w:widowControl/>
              <w:shd w:val="clear" w:color="auto" w:fill="FFFFFF"/>
              <w:spacing w:line="360" w:lineRule="auto"/>
              <w:rPr>
                <w:rFonts w:hint="eastAsia" w:ascii="宋体" w:hAnsi="宋体" w:eastAsia="宋体" w:cs="宋体"/>
                <w:szCs w:val="24"/>
              </w:rPr>
            </w:pPr>
            <w:r>
              <w:rPr>
                <w:rFonts w:hint="eastAsia" w:ascii="宋体" w:hAnsi="宋体" w:eastAsia="宋体" w:cs="宋体"/>
                <w:szCs w:val="24"/>
              </w:rPr>
              <w:t>▲ 五、售后服务要求：</w:t>
            </w:r>
          </w:p>
          <w:p w14:paraId="0F2C02F8">
            <w:pPr>
              <w:widowControl/>
              <w:shd w:val="clear" w:color="auto" w:fill="FFFFFF"/>
              <w:spacing w:line="380" w:lineRule="exact"/>
              <w:ind w:firstLine="420" w:firstLineChars="200"/>
              <w:rPr>
                <w:rFonts w:hint="eastAsia" w:ascii="宋体" w:hAnsi="宋体" w:eastAsia="宋体" w:cs="宋体"/>
                <w:szCs w:val="21"/>
              </w:rPr>
            </w:pPr>
            <w:r>
              <w:rPr>
                <w:rFonts w:hint="eastAsia" w:ascii="宋体" w:hAnsi="宋体" w:eastAsia="宋体" w:cs="宋体"/>
                <w:szCs w:val="21"/>
              </w:rPr>
              <w:t>1.货物保修期至少</w:t>
            </w:r>
            <w:r>
              <w:rPr>
                <w:rFonts w:hint="eastAsia" w:ascii="宋体" w:hAnsi="宋体" w:eastAsia="宋体" w:cs="宋体"/>
                <w:szCs w:val="21"/>
                <w:u w:val="single"/>
              </w:rPr>
              <w:t xml:space="preserve"> 1</w:t>
            </w:r>
            <w:r>
              <w:rPr>
                <w:rFonts w:hint="eastAsia" w:ascii="宋体" w:hAnsi="宋体" w:eastAsia="宋体" w:cs="宋体"/>
                <w:szCs w:val="21"/>
              </w:rPr>
              <w:t>年（自交付并验收合格之日起计）。</w:t>
            </w:r>
          </w:p>
          <w:p w14:paraId="73500124">
            <w:pPr>
              <w:widowControl/>
              <w:shd w:val="clear" w:color="auto" w:fill="FFFFFF"/>
              <w:spacing w:line="380" w:lineRule="exact"/>
              <w:ind w:firstLine="420" w:firstLineChars="200"/>
              <w:rPr>
                <w:rFonts w:hint="eastAsia" w:ascii="宋体" w:hAnsi="宋体" w:eastAsia="宋体" w:cs="宋体"/>
                <w:szCs w:val="21"/>
                <w:u w:val="single"/>
              </w:rPr>
            </w:pPr>
            <w:r>
              <w:rPr>
                <w:rFonts w:hint="eastAsia" w:ascii="宋体" w:hAnsi="宋体" w:eastAsia="宋体" w:cs="宋体"/>
                <w:szCs w:val="21"/>
              </w:rPr>
              <w:t>2.售后服务要求：提供操作及维护培训，直至使用采购人员正常操作设备的各种功能。主要内容应为设备的基本结构、性能、主要部件的构造及原理，日常使用操作、保养与管理，常见故障的排除，紧急情况的处理等，能达到熟练使用设备及进行日常维护的水平。培训的费用含在竞标报价中。</w:t>
            </w:r>
          </w:p>
          <w:p w14:paraId="66793DEC">
            <w:pPr>
              <w:widowControl/>
              <w:shd w:val="clear" w:color="auto" w:fill="FFFFFF"/>
              <w:spacing w:line="380" w:lineRule="exact"/>
              <w:ind w:firstLine="420" w:firstLineChars="200"/>
              <w:rPr>
                <w:rFonts w:hint="eastAsia" w:ascii="宋体" w:hAnsi="宋体" w:eastAsia="宋体" w:cs="宋体"/>
                <w:szCs w:val="21"/>
              </w:rPr>
            </w:pPr>
            <w:r>
              <w:rPr>
                <w:rFonts w:hint="eastAsia" w:ascii="宋体" w:hAnsi="宋体" w:eastAsia="宋体" w:cs="宋体"/>
                <w:szCs w:val="21"/>
              </w:rPr>
              <w:t>3.备品备件要求：需具有零配件库存，以保证及时的零配件供应。</w:t>
            </w:r>
          </w:p>
          <w:p w14:paraId="5D939377">
            <w:pPr>
              <w:widowControl/>
              <w:shd w:val="clear" w:color="auto" w:fill="FFFFFF"/>
              <w:spacing w:line="380" w:lineRule="exact"/>
              <w:ind w:firstLine="420" w:firstLineChars="200"/>
              <w:rPr>
                <w:rFonts w:hint="eastAsia" w:ascii="宋体" w:hAnsi="宋体" w:eastAsia="宋体" w:cs="宋体"/>
                <w:szCs w:val="21"/>
              </w:rPr>
            </w:pPr>
            <w:r>
              <w:rPr>
                <w:rFonts w:hint="eastAsia" w:ascii="宋体" w:hAnsi="宋体" w:eastAsia="宋体" w:cs="宋体"/>
                <w:szCs w:val="21"/>
              </w:rPr>
              <w:t>4.其他：</w:t>
            </w:r>
          </w:p>
          <w:p w14:paraId="25D74C61">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采购人在中华人民共和国境内使用成交人提供的产品及服务时免受第三方提出的侵犯其专利权或其它知识产权的起诉。如果第三方提出侵权指控，成交人应承担由此而引起的一切法律责任和费用。</w:t>
            </w:r>
          </w:p>
          <w:p w14:paraId="29D9A3D6">
            <w:pPr>
              <w:spacing w:line="360" w:lineRule="auto"/>
              <w:rPr>
                <w:rFonts w:hint="eastAsia" w:ascii="宋体" w:hAnsi="宋体" w:eastAsia="宋体" w:cs="宋体"/>
                <w:szCs w:val="24"/>
              </w:rPr>
            </w:pPr>
            <w:r>
              <w:rPr>
                <w:rFonts w:hint="eastAsia" w:ascii="宋体" w:hAnsi="宋体" w:eastAsia="宋体" w:cs="宋体"/>
                <w:szCs w:val="24"/>
              </w:rPr>
              <w:t>六、其他要求：</w:t>
            </w:r>
          </w:p>
          <w:p w14:paraId="47BB113C">
            <w:pPr>
              <w:widowControl/>
              <w:shd w:val="clear" w:color="auto" w:fill="FFFFFF"/>
              <w:spacing w:line="360" w:lineRule="auto"/>
              <w:ind w:firstLine="420" w:firstLineChars="200"/>
              <w:rPr>
                <w:rFonts w:hint="eastAsia" w:ascii="宋体" w:hAnsi="宋体" w:eastAsia="宋体" w:cs="宋体"/>
                <w:szCs w:val="24"/>
              </w:rPr>
            </w:pPr>
            <w:r>
              <w:rPr>
                <w:rFonts w:hint="eastAsia" w:ascii="宋体" w:hAnsi="宋体" w:eastAsia="宋体" w:cs="宋体"/>
                <w:szCs w:val="24"/>
              </w:rPr>
              <w:t>1.报价必须含以下部分，包括：</w:t>
            </w:r>
          </w:p>
          <w:p w14:paraId="147AC8A6">
            <w:pPr>
              <w:widowControl/>
              <w:shd w:val="clear" w:color="auto" w:fill="FFFFFF"/>
              <w:spacing w:line="360" w:lineRule="auto"/>
              <w:ind w:firstLine="420" w:firstLineChars="200"/>
              <w:rPr>
                <w:rFonts w:hint="eastAsia" w:ascii="宋体" w:hAnsi="宋体" w:eastAsia="宋体" w:cs="宋体"/>
                <w:szCs w:val="24"/>
              </w:rPr>
            </w:pPr>
            <w:r>
              <w:rPr>
                <w:rFonts w:hint="eastAsia" w:ascii="宋体" w:hAnsi="宋体" w:eastAsia="宋体" w:cs="宋体"/>
                <w:szCs w:val="24"/>
              </w:rPr>
              <w:t>包括货物及服务采购、标准附件、备品备件、专用工具、软件提供、辅料、耗材、运输、保管、设计、开发、施工、安装、调试、验收、培训等各种费用和售后服务、税金及咨询服务等费用全部包含。</w:t>
            </w:r>
          </w:p>
          <w:p w14:paraId="13380DBA">
            <w:pPr>
              <w:widowControl/>
              <w:shd w:val="clear" w:color="auto" w:fill="FFFFFF"/>
              <w:spacing w:line="360" w:lineRule="auto"/>
              <w:ind w:firstLine="420" w:firstLineChars="200"/>
              <w:rPr>
                <w:rFonts w:hint="eastAsia" w:ascii="宋体" w:hAnsi="宋体" w:eastAsia="宋体" w:cs="宋体"/>
                <w:szCs w:val="24"/>
              </w:rPr>
            </w:pPr>
            <w:r>
              <w:rPr>
                <w:rFonts w:hint="eastAsia" w:ascii="宋体" w:hAnsi="宋体" w:eastAsia="宋体" w:cs="宋体"/>
                <w:szCs w:val="24"/>
              </w:rPr>
              <w:t>▲2.付款方式：</w:t>
            </w:r>
          </w:p>
          <w:p w14:paraId="1B3A5C3A">
            <w:pPr>
              <w:widowControl/>
              <w:shd w:val="clear" w:color="auto" w:fill="FFFFFF"/>
              <w:spacing w:line="360" w:lineRule="auto"/>
              <w:ind w:firstLine="420" w:firstLineChars="200"/>
              <w:rPr>
                <w:rFonts w:hint="eastAsia" w:ascii="宋体" w:hAnsi="宋体" w:eastAsia="宋体" w:cs="宋体"/>
                <w:szCs w:val="21"/>
              </w:rPr>
            </w:pPr>
            <w:r>
              <w:rPr>
                <w:rFonts w:hint="eastAsia" w:ascii="宋体" w:hAnsi="宋体" w:cs="宋体"/>
                <w:szCs w:val="21"/>
                <w:lang w:val="en-US" w:eastAsia="zh-CN"/>
              </w:rPr>
              <w:t>采购人和中标人</w:t>
            </w:r>
            <w:r>
              <w:rPr>
                <w:rFonts w:hint="eastAsia" w:ascii="宋体" w:hAnsi="宋体" w:eastAsia="宋体" w:cs="宋体"/>
                <w:szCs w:val="21"/>
              </w:rPr>
              <w:t>双方签订合同后5个工作日内，</w:t>
            </w:r>
            <w:r>
              <w:rPr>
                <w:rFonts w:hint="eastAsia" w:ascii="宋体" w:hAnsi="宋体" w:cs="宋体"/>
                <w:szCs w:val="21"/>
                <w:lang w:val="en-US" w:eastAsia="zh-CN"/>
              </w:rPr>
              <w:t>采购人</w:t>
            </w:r>
            <w:r>
              <w:rPr>
                <w:rFonts w:hint="eastAsia" w:ascii="宋体" w:hAnsi="宋体" w:eastAsia="宋体" w:cs="宋体"/>
                <w:szCs w:val="21"/>
              </w:rPr>
              <w:t>向</w:t>
            </w:r>
            <w:r>
              <w:rPr>
                <w:rFonts w:hint="eastAsia" w:ascii="宋体" w:hAnsi="宋体" w:cs="宋体"/>
                <w:szCs w:val="21"/>
                <w:lang w:val="en-US" w:eastAsia="zh-CN"/>
              </w:rPr>
              <w:t>中标人</w:t>
            </w:r>
            <w:r>
              <w:rPr>
                <w:rFonts w:hint="eastAsia" w:ascii="宋体" w:hAnsi="宋体" w:eastAsia="宋体" w:cs="宋体"/>
                <w:szCs w:val="21"/>
              </w:rPr>
              <w:t>一次性支付合同总金额100%的货款。</w:t>
            </w:r>
          </w:p>
          <w:p w14:paraId="63860297">
            <w:pPr>
              <w:widowControl/>
              <w:shd w:val="clear" w:color="auto" w:fill="FFFFFF"/>
              <w:spacing w:line="360" w:lineRule="auto"/>
              <w:ind w:firstLine="420" w:firstLineChars="200"/>
              <w:rPr>
                <w:rFonts w:hint="eastAsia" w:ascii="宋体" w:hAnsi="宋体" w:eastAsia="宋体" w:cs="宋体"/>
                <w:szCs w:val="24"/>
              </w:rPr>
            </w:pPr>
            <w:r>
              <w:rPr>
                <w:rFonts w:hint="eastAsia" w:ascii="宋体" w:hAnsi="宋体" w:eastAsia="宋体" w:cs="宋体"/>
                <w:szCs w:val="21"/>
              </w:rPr>
              <w:t>3.如国家对投标产品实行经营备案管理制度的，在经营相应货物时，应当备案。合同签订前需向采购人提供按《医疗器械经营监督管理办法》（国家食品药品监督管理总局第8号令）医疗器械分类管理要求具有第二类医疗器械经营备案凭证。</w:t>
            </w:r>
          </w:p>
        </w:tc>
      </w:tr>
      <w:tr w14:paraId="43F24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14:paraId="3F4920EA">
            <w:pPr>
              <w:spacing w:before="60" w:after="60" w:line="460" w:lineRule="exact"/>
              <w:rPr>
                <w:rFonts w:hint="eastAsia" w:ascii="宋体" w:hAnsi="宋体" w:eastAsia="宋体" w:cs="宋体"/>
                <w:szCs w:val="21"/>
              </w:rPr>
            </w:pPr>
            <w:r>
              <w:rPr>
                <w:rFonts w:hint="eastAsia" w:ascii="宋体" w:hAnsi="宋体" w:eastAsia="宋体" w:cs="宋体"/>
                <w:szCs w:val="21"/>
              </w:rPr>
              <w:t>其他说明</w:t>
            </w:r>
          </w:p>
        </w:tc>
        <w:tc>
          <w:tcPr>
            <w:tcW w:w="15098" w:type="dxa"/>
            <w:gridSpan w:val="9"/>
            <w:tcBorders>
              <w:top w:val="single" w:color="auto" w:sz="4" w:space="0"/>
              <w:left w:val="single" w:color="auto" w:sz="4" w:space="0"/>
              <w:bottom w:val="single" w:color="auto" w:sz="4" w:space="0"/>
              <w:right w:val="single" w:color="auto" w:sz="4" w:space="0"/>
            </w:tcBorders>
            <w:noWrap w:val="0"/>
            <w:vAlign w:val="center"/>
          </w:tcPr>
          <w:p w14:paraId="069DE43F">
            <w:pPr>
              <w:widowControl/>
              <w:shd w:val="clear" w:color="auto" w:fill="FFFFFF"/>
              <w:rPr>
                <w:rFonts w:hint="eastAsia" w:ascii="宋体" w:hAnsi="宋体" w:eastAsia="宋体" w:cs="宋体"/>
                <w:szCs w:val="21"/>
              </w:rPr>
            </w:pPr>
            <w:r>
              <w:rPr>
                <w:rFonts w:hint="eastAsia" w:ascii="宋体" w:hAnsi="宋体" w:eastAsia="宋体" w:cs="宋体"/>
                <w:szCs w:val="21"/>
              </w:rPr>
              <w:t>一、产品说明</w:t>
            </w:r>
          </w:p>
          <w:p w14:paraId="71DE93CC">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本项目货物不接受进口产品（即通过中国海关报关验放进入中国境内且产自关境外的产品）参与投标，如有进口产品参与投标的作无效标处理。</w:t>
            </w:r>
          </w:p>
          <w:p w14:paraId="52F5E629">
            <w:pPr>
              <w:widowControl/>
              <w:shd w:val="clear" w:color="auto" w:fill="FFFFFF"/>
              <w:spacing w:line="360" w:lineRule="auto"/>
              <w:rPr>
                <w:rFonts w:hint="eastAsia" w:ascii="宋体" w:hAnsi="宋体" w:eastAsia="宋体" w:cs="宋体"/>
                <w:b/>
                <w:bCs/>
                <w:szCs w:val="21"/>
              </w:rPr>
            </w:pPr>
            <w:r>
              <w:rPr>
                <w:rFonts w:hint="eastAsia" w:ascii="宋体" w:hAnsi="宋体" w:eastAsia="宋体" w:cs="宋体"/>
                <w:szCs w:val="21"/>
              </w:rPr>
              <w:t>二、</w:t>
            </w:r>
            <w:r>
              <w:rPr>
                <w:rFonts w:hint="eastAsia" w:ascii="宋体" w:hAnsi="宋体" w:eastAsia="宋体" w:cs="宋体"/>
                <w:b/>
                <w:bCs/>
                <w:szCs w:val="21"/>
              </w:rPr>
              <w:t>核心产品为第</w:t>
            </w:r>
            <w:r>
              <w:rPr>
                <w:rFonts w:hint="eastAsia" w:ascii="宋体" w:hAnsi="宋体" w:cs="宋体"/>
                <w:b/>
                <w:bCs/>
                <w:szCs w:val="21"/>
                <w:lang w:val="en-US" w:eastAsia="zh-CN"/>
              </w:rPr>
              <w:t>4</w:t>
            </w:r>
            <w:r>
              <w:rPr>
                <w:rFonts w:hint="eastAsia" w:ascii="宋体" w:hAnsi="宋体" w:eastAsia="宋体" w:cs="宋体"/>
                <w:b/>
                <w:bCs/>
                <w:szCs w:val="21"/>
              </w:rPr>
              <w:t>项</w:t>
            </w:r>
            <w:r>
              <w:rPr>
                <w:rFonts w:hint="eastAsia" w:ascii="宋体" w:hAnsi="宋体" w:cs="宋体"/>
                <w:b/>
                <w:bCs/>
                <w:szCs w:val="21"/>
                <w:lang w:val="en-US" w:eastAsia="zh-CN"/>
              </w:rPr>
              <w:t>血管内超声系统</w:t>
            </w:r>
            <w:r>
              <w:rPr>
                <w:rFonts w:hint="eastAsia" w:ascii="宋体" w:hAnsi="宋体" w:eastAsia="宋体" w:cs="宋体"/>
                <w:szCs w:val="21"/>
              </w:rPr>
              <w:t>。</w:t>
            </w:r>
          </w:p>
          <w:p w14:paraId="67EC258D">
            <w:pPr>
              <w:widowControl/>
              <w:shd w:val="clear" w:color="auto" w:fill="FFFFFF"/>
              <w:spacing w:line="360" w:lineRule="auto"/>
              <w:ind w:firstLine="420" w:firstLineChars="200"/>
              <w:rPr>
                <w:rFonts w:hint="eastAsia" w:ascii="宋体" w:hAnsi="宋体" w:eastAsia="宋体" w:cs="宋体"/>
                <w:szCs w:val="21"/>
              </w:rPr>
            </w:pPr>
            <w:r>
              <w:rPr>
                <w:rFonts w:hint="eastAsia" w:ascii="宋体" w:hAnsi="宋体" w:eastAsia="宋体" w:cs="宋体"/>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7EDF246">
            <w:pPr>
              <w:spacing w:before="60" w:after="60" w:line="460" w:lineRule="exact"/>
              <w:rPr>
                <w:rFonts w:hint="eastAsia" w:ascii="宋体" w:hAnsi="宋体" w:eastAsia="宋体" w:cs="宋体"/>
                <w:b/>
                <w:bCs/>
                <w:szCs w:val="21"/>
              </w:rPr>
            </w:pPr>
            <w:r>
              <w:rPr>
                <w:rFonts w:hint="eastAsia" w:ascii="宋体" w:hAnsi="宋体" w:eastAsia="宋体" w:cs="宋体"/>
                <w:b/>
                <w:bCs/>
                <w:szCs w:val="21"/>
              </w:rPr>
              <w:t>三、其他要求</w:t>
            </w:r>
          </w:p>
          <w:p w14:paraId="681193A8">
            <w:pPr>
              <w:widowControl w:val="0"/>
              <w:spacing w:before="60" w:after="60" w:line="46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包装和运输要求：根据《财政部等三部门联合印发商品包装和快递包装政府采购需求标准（试行）》财办库【2020】123号文规定，若投标产品使用塑料、纸质、木质等包装材料时应满足《商品包装政府采购需求标准（试行）》要求，若投标产品需要快递包装，快递封装材料应满足《快递包装政府采购需求标准（试行）》要求。</w:t>
            </w:r>
          </w:p>
          <w:p w14:paraId="16B27F11">
            <w:pPr>
              <w:widowControl w:val="0"/>
              <w:spacing w:before="60" w:after="60" w:line="46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产品必须是全新、完整、未使用过的产品；设备到货后，供货商和购买方应在现场进行清点；清点过程中如果发现因包装或运输不当引起的仪器外观或内部的损坏，供货商应负责更换；若发现错发/漏发情况，供货商应负责更换和补发。</w:t>
            </w:r>
          </w:p>
          <w:p w14:paraId="344F6498">
            <w:pPr>
              <w:widowControl w:val="0"/>
              <w:spacing w:before="60" w:after="60" w:line="46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3.中标人提供的货物及服务不满足招标文件要求验收不合格的，采购人有权解除合同并追究中标人的法律责任。</w:t>
            </w:r>
          </w:p>
          <w:p w14:paraId="1FACF7B0">
            <w:pPr>
              <w:widowControl w:val="0"/>
              <w:spacing w:before="60" w:after="60" w:line="46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szCs w:val="24"/>
              </w:rPr>
              <w:t>▲</w:t>
            </w:r>
            <w:r>
              <w:rPr>
                <w:rFonts w:hint="eastAsia" w:ascii="宋体" w:hAnsi="宋体" w:eastAsia="宋体" w:cs="宋体"/>
                <w:kern w:val="2"/>
                <w:sz w:val="21"/>
                <w:szCs w:val="21"/>
                <w:lang w:val="en-US" w:eastAsia="zh-CN" w:bidi="ar-SA"/>
              </w:rPr>
              <w:t>4.投标产品如为第一类医疗器械产品的，投标文件中须提供该医疗器械产品备案凭证及信息表，投标产品属第二、三类医疗器械产品的，投标文件中须按《医疗器械注册管理办法》（国家食品药品监督管理总局令第 4 号）提供该设备有效的医疗器械注册证扫描件加盖投标人单位公章。</w:t>
            </w:r>
          </w:p>
          <w:p w14:paraId="4ED28EB8">
            <w:pPr>
              <w:widowControl w:val="0"/>
              <w:spacing w:before="60" w:after="60" w:line="460" w:lineRule="exact"/>
              <w:ind w:firstLine="420" w:firstLineChars="200"/>
              <w:jc w:val="both"/>
              <w:rPr>
                <w:rFonts w:hint="eastAsia" w:ascii="宋体" w:hAnsi="宋体" w:eastAsia="宋体" w:cs="宋体"/>
                <w:b/>
                <w:bCs/>
                <w:kern w:val="0"/>
                <w:sz w:val="21"/>
                <w:szCs w:val="21"/>
                <w:lang w:val="en-US" w:eastAsia="zh-CN" w:bidi="ar"/>
              </w:rPr>
            </w:pPr>
            <w:r>
              <w:rPr>
                <w:rFonts w:hint="eastAsia" w:ascii="宋体" w:hAnsi="宋体" w:cs="宋体"/>
                <w:kern w:val="0"/>
                <w:sz w:val="21"/>
                <w:szCs w:val="21"/>
                <w:lang w:val="en-US" w:eastAsia="zh-CN" w:bidi="ar"/>
              </w:rPr>
              <w:t>5.</w:t>
            </w:r>
            <w:r>
              <w:rPr>
                <w:rFonts w:hint="eastAsia" w:ascii="宋体" w:hAnsi="宋体" w:eastAsia="宋体" w:cs="宋体"/>
                <w:kern w:val="0"/>
                <w:sz w:val="21"/>
                <w:szCs w:val="21"/>
                <w:lang w:val="en-US" w:eastAsia="zh-CN" w:bidi="ar"/>
              </w:rPr>
              <w:t>本项目不得分包、转包。</w:t>
            </w:r>
          </w:p>
        </w:tc>
      </w:tr>
    </w:tbl>
    <w:p w14:paraId="5D1B5BF6">
      <w:pPr>
        <w:pBdr>
          <w:bottom w:val="single" w:color="auto" w:sz="6" w:space="1"/>
        </w:pBdr>
        <w:tabs>
          <w:tab w:val="center" w:pos="4153"/>
          <w:tab w:val="right" w:pos="8306"/>
        </w:tabs>
        <w:adjustRightInd/>
        <w:snapToGrid w:val="0"/>
        <w:jc w:val="both"/>
        <w:rPr>
          <w:color w:val="auto"/>
          <w:sz w:val="18"/>
          <w:szCs w:val="18"/>
          <w:highlight w:val="none"/>
        </w:rPr>
        <w:sectPr>
          <w:pgSz w:w="16838" w:h="11906" w:orient="landscape"/>
          <w:pgMar w:top="1418" w:right="1247" w:bottom="849" w:left="1247" w:header="851" w:footer="992" w:gutter="0"/>
          <w:pgBorders>
            <w:top w:val="none" w:sz="0" w:space="0"/>
            <w:left w:val="none" w:sz="0" w:space="0"/>
            <w:bottom w:val="none" w:sz="0" w:space="0"/>
            <w:right w:val="none" w:sz="0" w:space="0"/>
          </w:pgBorders>
          <w:cols w:space="720" w:num="1"/>
          <w:titlePg/>
          <w:docGrid w:type="lines" w:linePitch="312" w:charSpace="0"/>
        </w:sectPr>
      </w:pPr>
    </w:p>
    <w:p w14:paraId="533FD465">
      <w:pPr>
        <w:spacing w:line="360" w:lineRule="auto"/>
        <w:jc w:val="center"/>
        <w:outlineLvl w:val="0"/>
        <w:rPr>
          <w:rFonts w:ascii="宋体" w:hAnsi="宋体" w:cs="宋体"/>
          <w:b/>
          <w:color w:val="auto"/>
          <w:sz w:val="36"/>
          <w:szCs w:val="36"/>
          <w:highlight w:val="none"/>
        </w:rPr>
      </w:pPr>
      <w:bookmarkStart w:id="98" w:name="_Toc176185122"/>
      <w:bookmarkStart w:id="99" w:name="_Toc176343851"/>
      <w:r>
        <w:rPr>
          <w:rFonts w:hint="eastAsia" w:ascii="宋体" w:hAnsi="宋体" w:cs="宋体"/>
          <w:b/>
          <w:color w:val="auto"/>
          <w:sz w:val="36"/>
          <w:szCs w:val="36"/>
          <w:highlight w:val="none"/>
          <w:lang w:val="en-US" w:eastAsia="zh-CN"/>
        </w:rPr>
        <w:t>第</w:t>
      </w:r>
      <w:r>
        <w:rPr>
          <w:rFonts w:hint="eastAsia" w:ascii="宋体" w:hAnsi="宋体" w:cs="宋体"/>
          <w:b/>
          <w:color w:val="auto"/>
          <w:sz w:val="36"/>
          <w:szCs w:val="36"/>
          <w:highlight w:val="none"/>
        </w:rPr>
        <w:t xml:space="preserve">四部分  </w:t>
      </w:r>
      <w:bookmarkStart w:id="100" w:name="_Toc184314443"/>
      <w:bookmarkEnd w:id="100"/>
      <w:bookmarkStart w:id="101" w:name="_Toc184308065"/>
      <w:bookmarkEnd w:id="101"/>
      <w:bookmarkStart w:id="102" w:name="_Toc184312121"/>
      <w:bookmarkEnd w:id="102"/>
      <w:bookmarkStart w:id="103" w:name="_Toc184312094"/>
      <w:bookmarkEnd w:id="103"/>
      <w:bookmarkStart w:id="104" w:name="_Toc184312134"/>
      <w:bookmarkEnd w:id="104"/>
      <w:bookmarkStart w:id="105" w:name="_Toc184314413"/>
      <w:bookmarkEnd w:id="105"/>
      <w:bookmarkStart w:id="106" w:name="_Toc184310314"/>
      <w:bookmarkEnd w:id="106"/>
      <w:bookmarkStart w:id="107" w:name="_Toc184314449"/>
      <w:bookmarkEnd w:id="107"/>
      <w:bookmarkStart w:id="108" w:name="_Toc184314410"/>
      <w:bookmarkEnd w:id="108"/>
      <w:bookmarkStart w:id="109" w:name="_Toc184312101"/>
      <w:bookmarkEnd w:id="109"/>
      <w:bookmarkStart w:id="110" w:name="_Toc184310341"/>
      <w:bookmarkEnd w:id="110"/>
      <w:bookmarkStart w:id="111" w:name="_Toc184312073"/>
      <w:bookmarkEnd w:id="111"/>
      <w:bookmarkStart w:id="112" w:name="_Toc184308059"/>
      <w:bookmarkEnd w:id="112"/>
      <w:bookmarkStart w:id="113" w:name="_Toc184312080"/>
      <w:bookmarkEnd w:id="113"/>
      <w:bookmarkStart w:id="114" w:name="_Toc184310339"/>
      <w:bookmarkEnd w:id="114"/>
      <w:bookmarkStart w:id="115" w:name="_Toc184312099"/>
      <w:bookmarkEnd w:id="115"/>
      <w:bookmarkStart w:id="116" w:name="_Toc184312067"/>
      <w:bookmarkEnd w:id="116"/>
      <w:bookmarkStart w:id="117" w:name="_Toc184313239"/>
      <w:bookmarkEnd w:id="117"/>
      <w:bookmarkStart w:id="118" w:name="_Toc184314428"/>
      <w:bookmarkEnd w:id="118"/>
      <w:bookmarkStart w:id="119" w:name="_Toc184308079"/>
      <w:bookmarkEnd w:id="119"/>
      <w:bookmarkStart w:id="120" w:name="_Toc184314433"/>
      <w:bookmarkEnd w:id="120"/>
      <w:bookmarkStart w:id="121" w:name="_Toc184313259"/>
      <w:bookmarkEnd w:id="121"/>
      <w:bookmarkStart w:id="122" w:name="_Toc184314472"/>
      <w:bookmarkEnd w:id="122"/>
      <w:bookmarkStart w:id="123" w:name="_Toc184314431"/>
      <w:bookmarkEnd w:id="123"/>
      <w:bookmarkStart w:id="124" w:name="_Toc184314414"/>
      <w:bookmarkEnd w:id="124"/>
      <w:bookmarkStart w:id="125" w:name="_Toc184310328"/>
      <w:bookmarkEnd w:id="125"/>
      <w:bookmarkStart w:id="126" w:name="_Toc184308087"/>
      <w:bookmarkEnd w:id="126"/>
      <w:bookmarkStart w:id="127" w:name="_Toc184314473"/>
      <w:bookmarkEnd w:id="127"/>
      <w:bookmarkStart w:id="128" w:name="_Toc184308066"/>
      <w:bookmarkEnd w:id="128"/>
      <w:bookmarkStart w:id="129" w:name="_Toc184308094"/>
      <w:bookmarkEnd w:id="129"/>
      <w:bookmarkStart w:id="130" w:name="_Toc184310284"/>
      <w:bookmarkEnd w:id="130"/>
      <w:bookmarkStart w:id="131" w:name="_Toc184314411"/>
      <w:bookmarkEnd w:id="131"/>
      <w:bookmarkStart w:id="132" w:name="_Toc184308096"/>
      <w:bookmarkEnd w:id="132"/>
      <w:bookmarkStart w:id="133" w:name="_Toc184312139"/>
      <w:bookmarkEnd w:id="133"/>
      <w:bookmarkStart w:id="134" w:name="_Toc184308071"/>
      <w:bookmarkEnd w:id="134"/>
      <w:bookmarkStart w:id="135" w:name="_Toc184308050"/>
      <w:bookmarkEnd w:id="135"/>
      <w:bookmarkStart w:id="136" w:name="_Toc184310323"/>
      <w:bookmarkEnd w:id="136"/>
      <w:bookmarkStart w:id="137" w:name="_Toc184308042"/>
      <w:bookmarkEnd w:id="137"/>
      <w:bookmarkStart w:id="138" w:name="_Toc184312089"/>
      <w:bookmarkEnd w:id="138"/>
      <w:bookmarkStart w:id="139" w:name="_Toc184312138"/>
      <w:bookmarkEnd w:id="139"/>
      <w:bookmarkStart w:id="140" w:name="_Toc184308086"/>
      <w:bookmarkEnd w:id="140"/>
      <w:bookmarkStart w:id="141" w:name="_Toc184314432"/>
      <w:bookmarkEnd w:id="141"/>
      <w:bookmarkStart w:id="142" w:name="_Toc184310303"/>
      <w:bookmarkEnd w:id="142"/>
      <w:bookmarkStart w:id="143" w:name="_Toc184312085"/>
      <w:bookmarkEnd w:id="143"/>
      <w:bookmarkStart w:id="144" w:name="_Toc184314415"/>
      <w:bookmarkEnd w:id="144"/>
      <w:bookmarkStart w:id="145" w:name="_Toc184310293"/>
      <w:bookmarkEnd w:id="145"/>
      <w:bookmarkStart w:id="146" w:name="_Toc184310306"/>
      <w:bookmarkEnd w:id="146"/>
      <w:bookmarkStart w:id="147" w:name="_Toc184312102"/>
      <w:bookmarkEnd w:id="147"/>
      <w:bookmarkStart w:id="148" w:name="_Toc184314461"/>
      <w:bookmarkEnd w:id="148"/>
      <w:bookmarkStart w:id="149" w:name="_Toc184310301"/>
      <w:bookmarkEnd w:id="149"/>
      <w:bookmarkStart w:id="150" w:name="_Toc184308091"/>
      <w:bookmarkEnd w:id="150"/>
      <w:bookmarkStart w:id="151" w:name="_Toc184308108"/>
      <w:bookmarkEnd w:id="151"/>
      <w:bookmarkStart w:id="152" w:name="_Toc184313284"/>
      <w:bookmarkEnd w:id="152"/>
      <w:bookmarkStart w:id="153" w:name="_Toc184308044"/>
      <w:bookmarkEnd w:id="153"/>
      <w:bookmarkStart w:id="154" w:name="_Toc184312120"/>
      <w:bookmarkEnd w:id="154"/>
      <w:bookmarkStart w:id="155" w:name="_Toc184308106"/>
      <w:bookmarkEnd w:id="155"/>
      <w:bookmarkStart w:id="156" w:name="_Toc184314458"/>
      <w:bookmarkEnd w:id="156"/>
      <w:bookmarkStart w:id="157" w:name="_Toc184313306"/>
      <w:bookmarkEnd w:id="157"/>
      <w:bookmarkStart w:id="158" w:name="_Toc184310289"/>
      <w:bookmarkEnd w:id="158"/>
      <w:bookmarkStart w:id="159" w:name="_Toc184308045"/>
      <w:bookmarkEnd w:id="159"/>
      <w:bookmarkStart w:id="160" w:name="_Toc184314442"/>
      <w:bookmarkEnd w:id="160"/>
      <w:bookmarkStart w:id="161" w:name="_Toc184314447"/>
      <w:bookmarkEnd w:id="161"/>
      <w:bookmarkStart w:id="162" w:name="_Toc184308100"/>
      <w:bookmarkEnd w:id="162"/>
      <w:bookmarkStart w:id="163" w:name="_Toc184314418"/>
      <w:bookmarkEnd w:id="163"/>
      <w:bookmarkStart w:id="164" w:name="_Toc184310319"/>
      <w:bookmarkEnd w:id="164"/>
      <w:bookmarkStart w:id="165" w:name="_Toc184314457"/>
      <w:bookmarkEnd w:id="165"/>
      <w:bookmarkStart w:id="166" w:name="_Toc184313272"/>
      <w:bookmarkEnd w:id="166"/>
      <w:bookmarkStart w:id="167" w:name="_Toc184314420"/>
      <w:bookmarkEnd w:id="167"/>
      <w:bookmarkStart w:id="168" w:name="_Toc184314450"/>
      <w:bookmarkEnd w:id="168"/>
      <w:bookmarkStart w:id="169" w:name="_Toc184314444"/>
      <w:bookmarkEnd w:id="169"/>
      <w:bookmarkStart w:id="170" w:name="_Toc184313282"/>
      <w:bookmarkEnd w:id="170"/>
      <w:bookmarkStart w:id="171" w:name="_Toc184312077"/>
      <w:bookmarkEnd w:id="171"/>
      <w:bookmarkStart w:id="172" w:name="_Toc184310311"/>
      <w:bookmarkEnd w:id="172"/>
      <w:bookmarkStart w:id="173" w:name="_Toc184310285"/>
      <w:bookmarkEnd w:id="173"/>
      <w:bookmarkStart w:id="174" w:name="_Toc184313246"/>
      <w:bookmarkEnd w:id="174"/>
      <w:bookmarkStart w:id="175" w:name="_Toc184313277"/>
      <w:bookmarkEnd w:id="175"/>
      <w:bookmarkStart w:id="176" w:name="_Toc184310283"/>
      <w:bookmarkEnd w:id="176"/>
      <w:bookmarkStart w:id="177" w:name="_Toc184310331"/>
      <w:bookmarkEnd w:id="177"/>
      <w:bookmarkStart w:id="178" w:name="_Toc184310272"/>
      <w:bookmarkEnd w:id="178"/>
      <w:bookmarkStart w:id="179" w:name="_Toc184310342"/>
      <w:bookmarkEnd w:id="179"/>
      <w:bookmarkStart w:id="180" w:name="_Toc184308062"/>
      <w:bookmarkEnd w:id="180"/>
      <w:bookmarkStart w:id="181" w:name="_Toc184312071"/>
      <w:bookmarkEnd w:id="181"/>
      <w:bookmarkStart w:id="182" w:name="_Toc184314445"/>
      <w:bookmarkEnd w:id="182"/>
      <w:bookmarkStart w:id="183" w:name="_Toc184314412"/>
      <w:bookmarkEnd w:id="183"/>
      <w:bookmarkStart w:id="184" w:name="_Toc184312129"/>
      <w:bookmarkEnd w:id="184"/>
      <w:bookmarkStart w:id="185" w:name="_Toc184313244"/>
      <w:bookmarkEnd w:id="185"/>
      <w:bookmarkStart w:id="186" w:name="_Toc184310274"/>
      <w:bookmarkEnd w:id="186"/>
      <w:bookmarkStart w:id="187" w:name="_Toc184312075"/>
      <w:bookmarkEnd w:id="187"/>
      <w:bookmarkStart w:id="188" w:name="_Toc184314434"/>
      <w:bookmarkEnd w:id="188"/>
      <w:bookmarkStart w:id="189" w:name="_Toc184312082"/>
      <w:bookmarkEnd w:id="189"/>
      <w:bookmarkStart w:id="190" w:name="_Toc184312084"/>
      <w:bookmarkEnd w:id="190"/>
      <w:bookmarkStart w:id="191" w:name="_Toc184314466"/>
      <w:bookmarkEnd w:id="191"/>
      <w:bookmarkStart w:id="192" w:name="_Toc184308081"/>
      <w:bookmarkEnd w:id="192"/>
      <w:bookmarkStart w:id="193" w:name="_Toc184313238"/>
      <w:bookmarkEnd w:id="193"/>
      <w:bookmarkStart w:id="194" w:name="_Toc184314453"/>
      <w:bookmarkEnd w:id="194"/>
      <w:bookmarkStart w:id="195" w:name="_Toc184308105"/>
      <w:bookmarkEnd w:id="195"/>
      <w:bookmarkStart w:id="196" w:name="_Toc184313257"/>
      <w:bookmarkEnd w:id="196"/>
      <w:bookmarkStart w:id="197" w:name="_Toc184314482"/>
      <w:bookmarkEnd w:id="197"/>
      <w:bookmarkStart w:id="198" w:name="_Toc184313273"/>
      <w:bookmarkEnd w:id="198"/>
      <w:bookmarkStart w:id="199" w:name="_Toc184310273"/>
      <w:bookmarkEnd w:id="199"/>
      <w:bookmarkStart w:id="200" w:name="_Toc184310279"/>
      <w:bookmarkEnd w:id="200"/>
      <w:bookmarkStart w:id="201" w:name="_Toc184308083"/>
      <w:bookmarkEnd w:id="201"/>
      <w:bookmarkStart w:id="202" w:name="_Toc184310278"/>
      <w:bookmarkEnd w:id="202"/>
      <w:bookmarkStart w:id="203" w:name="_Toc184310326"/>
      <w:bookmarkEnd w:id="203"/>
      <w:bookmarkStart w:id="204" w:name="_Toc184312097"/>
      <w:bookmarkEnd w:id="204"/>
      <w:bookmarkStart w:id="205" w:name="_Toc184314439"/>
      <w:bookmarkEnd w:id="205"/>
      <w:bookmarkStart w:id="206" w:name="_Toc184314476"/>
      <w:bookmarkEnd w:id="206"/>
      <w:bookmarkStart w:id="207" w:name="_Toc184314480"/>
      <w:bookmarkEnd w:id="207"/>
      <w:bookmarkStart w:id="208" w:name="_Toc184310322"/>
      <w:bookmarkEnd w:id="208"/>
      <w:bookmarkStart w:id="209" w:name="_Toc184313295"/>
      <w:bookmarkEnd w:id="209"/>
      <w:bookmarkStart w:id="210" w:name="_Toc184310291"/>
      <w:bookmarkEnd w:id="210"/>
      <w:bookmarkStart w:id="211" w:name="_Toc184310333"/>
      <w:bookmarkEnd w:id="211"/>
      <w:bookmarkStart w:id="212" w:name="_Toc184310335"/>
      <w:bookmarkEnd w:id="212"/>
      <w:bookmarkStart w:id="213" w:name="_Toc184314438"/>
      <w:bookmarkEnd w:id="213"/>
      <w:bookmarkStart w:id="214" w:name="_Toc184313245"/>
      <w:bookmarkEnd w:id="214"/>
      <w:bookmarkStart w:id="215" w:name="_Toc184313254"/>
      <w:bookmarkEnd w:id="215"/>
      <w:bookmarkStart w:id="216" w:name="_Toc184308040"/>
      <w:bookmarkEnd w:id="216"/>
      <w:bookmarkStart w:id="217" w:name="_Toc184314417"/>
      <w:bookmarkEnd w:id="217"/>
      <w:bookmarkStart w:id="218" w:name="_Toc184314459"/>
      <w:bookmarkEnd w:id="218"/>
      <w:bookmarkStart w:id="219" w:name="_Toc184312087"/>
      <w:bookmarkEnd w:id="219"/>
      <w:bookmarkStart w:id="220" w:name="_Toc184313300"/>
      <w:bookmarkEnd w:id="220"/>
      <w:bookmarkStart w:id="221" w:name="_Toc184308046"/>
      <w:bookmarkEnd w:id="221"/>
      <w:bookmarkStart w:id="222" w:name="_Toc184308064"/>
      <w:bookmarkEnd w:id="222"/>
      <w:bookmarkStart w:id="223" w:name="_Toc184312109"/>
      <w:bookmarkEnd w:id="223"/>
      <w:bookmarkStart w:id="224" w:name="_Toc184310286"/>
      <w:bookmarkEnd w:id="224"/>
      <w:bookmarkStart w:id="225" w:name="_Toc184312117"/>
      <w:bookmarkEnd w:id="225"/>
      <w:bookmarkStart w:id="226" w:name="_Toc184314470"/>
      <w:bookmarkEnd w:id="226"/>
      <w:bookmarkStart w:id="227" w:name="_Toc184313270"/>
      <w:bookmarkEnd w:id="227"/>
      <w:bookmarkStart w:id="228" w:name="_Toc184310308"/>
      <w:bookmarkEnd w:id="228"/>
      <w:bookmarkStart w:id="229" w:name="_Toc184312068"/>
      <w:bookmarkEnd w:id="229"/>
      <w:bookmarkStart w:id="230" w:name="_Toc184313304"/>
      <w:bookmarkEnd w:id="230"/>
      <w:bookmarkStart w:id="231" w:name="_Toc184314454"/>
      <w:bookmarkEnd w:id="231"/>
      <w:bookmarkStart w:id="232" w:name="_Toc184308061"/>
      <w:bookmarkEnd w:id="232"/>
      <w:bookmarkStart w:id="233" w:name="_Toc184314481"/>
      <w:bookmarkEnd w:id="233"/>
      <w:bookmarkStart w:id="234" w:name="_Toc184312106"/>
      <w:bookmarkEnd w:id="234"/>
      <w:bookmarkStart w:id="235" w:name="_Toc184312123"/>
      <w:bookmarkEnd w:id="235"/>
      <w:bookmarkStart w:id="236" w:name="_Toc184308057"/>
      <w:bookmarkEnd w:id="236"/>
      <w:bookmarkStart w:id="237" w:name="_Toc184308103"/>
      <w:bookmarkEnd w:id="237"/>
      <w:bookmarkStart w:id="238" w:name="_Toc184313281"/>
      <w:bookmarkEnd w:id="238"/>
      <w:bookmarkStart w:id="239" w:name="_Toc184308038"/>
      <w:bookmarkEnd w:id="239"/>
      <w:bookmarkStart w:id="240" w:name="_Toc184313248"/>
      <w:bookmarkEnd w:id="240"/>
      <w:bookmarkStart w:id="241" w:name="_Toc184308056"/>
      <w:bookmarkEnd w:id="241"/>
      <w:bookmarkStart w:id="242" w:name="_Toc184312119"/>
      <w:bookmarkEnd w:id="242"/>
      <w:bookmarkStart w:id="243" w:name="_Toc184308043"/>
      <w:bookmarkEnd w:id="243"/>
      <w:bookmarkStart w:id="244" w:name="_Toc184312083"/>
      <w:bookmarkEnd w:id="244"/>
      <w:bookmarkStart w:id="245" w:name="_Toc184313308"/>
      <w:bookmarkEnd w:id="245"/>
      <w:bookmarkStart w:id="246" w:name="_Toc184313241"/>
      <w:bookmarkEnd w:id="246"/>
      <w:bookmarkStart w:id="247" w:name="_Toc184314435"/>
      <w:bookmarkEnd w:id="247"/>
      <w:bookmarkStart w:id="248" w:name="_Toc184314424"/>
      <w:bookmarkEnd w:id="248"/>
      <w:bookmarkStart w:id="249" w:name="_Toc184308055"/>
      <w:bookmarkEnd w:id="249"/>
      <w:bookmarkStart w:id="250" w:name="_Toc184308051"/>
      <w:bookmarkEnd w:id="250"/>
      <w:bookmarkStart w:id="251" w:name="_Toc184312135"/>
      <w:bookmarkEnd w:id="251"/>
      <w:bookmarkStart w:id="252" w:name="_Toc184308054"/>
      <w:bookmarkEnd w:id="252"/>
      <w:bookmarkStart w:id="253" w:name="_Toc184312072"/>
      <w:bookmarkEnd w:id="253"/>
      <w:bookmarkStart w:id="254" w:name="_Toc184312108"/>
      <w:bookmarkEnd w:id="254"/>
      <w:bookmarkStart w:id="255" w:name="_Toc184314419"/>
      <w:bookmarkEnd w:id="255"/>
      <w:bookmarkStart w:id="256" w:name="_Toc184308088"/>
      <w:bookmarkEnd w:id="256"/>
      <w:bookmarkStart w:id="257" w:name="_Toc184310337"/>
      <w:bookmarkEnd w:id="257"/>
      <w:bookmarkStart w:id="258" w:name="_Toc184308058"/>
      <w:bookmarkEnd w:id="258"/>
      <w:bookmarkStart w:id="259" w:name="_Toc184310290"/>
      <w:bookmarkEnd w:id="259"/>
      <w:bookmarkStart w:id="260" w:name="_Toc184310317"/>
      <w:bookmarkEnd w:id="260"/>
      <w:bookmarkStart w:id="261" w:name="_Toc184308102"/>
      <w:bookmarkEnd w:id="261"/>
      <w:bookmarkStart w:id="262" w:name="_Toc184308090"/>
      <w:bookmarkEnd w:id="262"/>
      <w:bookmarkStart w:id="263" w:name="_Toc184314468"/>
      <w:bookmarkEnd w:id="263"/>
      <w:bookmarkStart w:id="264" w:name="_Toc184314463"/>
      <w:bookmarkEnd w:id="264"/>
      <w:bookmarkStart w:id="265" w:name="_Toc184308084"/>
      <w:bookmarkEnd w:id="265"/>
      <w:bookmarkStart w:id="266" w:name="_Toc184314416"/>
      <w:bookmarkEnd w:id="266"/>
      <w:bookmarkStart w:id="267" w:name="_Toc184312078"/>
      <w:bookmarkEnd w:id="267"/>
      <w:bookmarkStart w:id="268" w:name="_Toc184313274"/>
      <w:bookmarkEnd w:id="268"/>
      <w:bookmarkStart w:id="269" w:name="_Toc184312132"/>
      <w:bookmarkEnd w:id="269"/>
      <w:bookmarkStart w:id="270" w:name="_Toc184308039"/>
      <w:bookmarkEnd w:id="270"/>
      <w:bookmarkStart w:id="271" w:name="_Toc184312092"/>
      <w:bookmarkEnd w:id="271"/>
      <w:bookmarkStart w:id="272" w:name="_Toc184310300"/>
      <w:bookmarkEnd w:id="272"/>
      <w:bookmarkStart w:id="273" w:name="_Toc184314426"/>
      <w:bookmarkEnd w:id="273"/>
      <w:bookmarkStart w:id="274" w:name="_Toc184313301"/>
      <w:bookmarkEnd w:id="274"/>
      <w:bookmarkStart w:id="275" w:name="_Toc184314474"/>
      <w:bookmarkEnd w:id="275"/>
      <w:bookmarkStart w:id="276" w:name="_Toc184312095"/>
      <w:bookmarkEnd w:id="276"/>
      <w:bookmarkStart w:id="277" w:name="_Toc184314429"/>
      <w:bookmarkEnd w:id="277"/>
      <w:bookmarkStart w:id="278" w:name="_Toc184313283"/>
      <w:bookmarkEnd w:id="278"/>
      <w:bookmarkStart w:id="279" w:name="_Toc184313262"/>
      <w:bookmarkEnd w:id="279"/>
      <w:bookmarkStart w:id="280" w:name="_Toc184312104"/>
      <w:bookmarkEnd w:id="280"/>
      <w:bookmarkStart w:id="281" w:name="_Toc184310287"/>
      <w:bookmarkEnd w:id="281"/>
      <w:bookmarkStart w:id="282" w:name="_Toc184314462"/>
      <w:bookmarkEnd w:id="282"/>
      <w:bookmarkStart w:id="283" w:name="_Toc184314478"/>
      <w:bookmarkEnd w:id="283"/>
      <w:bookmarkStart w:id="284" w:name="_Toc184308067"/>
      <w:bookmarkEnd w:id="284"/>
      <w:bookmarkStart w:id="285" w:name="_Toc184313275"/>
      <w:bookmarkEnd w:id="285"/>
      <w:bookmarkStart w:id="286" w:name="_Toc184310299"/>
      <w:bookmarkEnd w:id="286"/>
      <w:bookmarkStart w:id="287" w:name="_Toc184313243"/>
      <w:bookmarkEnd w:id="287"/>
      <w:bookmarkStart w:id="288" w:name="_Toc184308041"/>
      <w:bookmarkEnd w:id="288"/>
      <w:bookmarkStart w:id="289" w:name="_Toc184310316"/>
      <w:bookmarkEnd w:id="289"/>
      <w:bookmarkStart w:id="290" w:name="_Toc184314477"/>
      <w:bookmarkEnd w:id="290"/>
      <w:bookmarkStart w:id="291" w:name="_Toc184313261"/>
      <w:bookmarkEnd w:id="291"/>
      <w:bookmarkStart w:id="292" w:name="_Toc184310344"/>
      <w:bookmarkEnd w:id="292"/>
      <w:bookmarkStart w:id="293" w:name="_Toc184312086"/>
      <w:bookmarkEnd w:id="293"/>
      <w:bookmarkStart w:id="294" w:name="_Toc184313266"/>
      <w:bookmarkEnd w:id="294"/>
      <w:bookmarkStart w:id="295" w:name="_Toc184312081"/>
      <w:bookmarkEnd w:id="295"/>
      <w:bookmarkStart w:id="296" w:name="_Toc184314421"/>
      <w:bookmarkEnd w:id="296"/>
      <w:bookmarkStart w:id="297" w:name="_Toc184312100"/>
      <w:bookmarkEnd w:id="297"/>
      <w:bookmarkStart w:id="298" w:name="_Toc184312110"/>
      <w:bookmarkEnd w:id="298"/>
      <w:bookmarkStart w:id="299" w:name="_Toc184312070"/>
      <w:bookmarkEnd w:id="299"/>
      <w:bookmarkStart w:id="300" w:name="_Toc184310312"/>
      <w:bookmarkEnd w:id="300"/>
      <w:bookmarkStart w:id="301" w:name="_Toc184308074"/>
      <w:bookmarkEnd w:id="301"/>
      <w:bookmarkStart w:id="302" w:name="_Toc184308098"/>
      <w:bookmarkEnd w:id="302"/>
      <w:bookmarkStart w:id="303" w:name="_Toc184310330"/>
      <w:bookmarkEnd w:id="303"/>
      <w:bookmarkStart w:id="304" w:name="_Toc184310288"/>
      <w:bookmarkEnd w:id="304"/>
      <w:bookmarkStart w:id="305" w:name="_Toc184308048"/>
      <w:bookmarkEnd w:id="305"/>
      <w:bookmarkStart w:id="306" w:name="_Toc184310305"/>
      <w:bookmarkEnd w:id="306"/>
      <w:bookmarkStart w:id="307" w:name="_Toc184308104"/>
      <w:bookmarkEnd w:id="307"/>
      <w:bookmarkStart w:id="308" w:name="_Toc184312098"/>
      <w:bookmarkEnd w:id="308"/>
      <w:bookmarkStart w:id="309" w:name="_Toc184312116"/>
      <w:bookmarkEnd w:id="309"/>
      <w:bookmarkStart w:id="310" w:name="_Toc184312137"/>
      <w:bookmarkEnd w:id="310"/>
      <w:bookmarkStart w:id="311" w:name="_Toc184313303"/>
      <w:bookmarkEnd w:id="311"/>
      <w:bookmarkStart w:id="312" w:name="_Toc184312128"/>
      <w:bookmarkEnd w:id="312"/>
      <w:bookmarkStart w:id="313" w:name="_Toc184312091"/>
      <w:bookmarkEnd w:id="313"/>
      <w:bookmarkStart w:id="314" w:name="_Toc184312133"/>
      <w:bookmarkEnd w:id="314"/>
      <w:bookmarkStart w:id="315" w:name="_Toc184313299"/>
      <w:bookmarkEnd w:id="315"/>
      <w:bookmarkStart w:id="316" w:name="_Toc184312130"/>
      <w:bookmarkEnd w:id="316"/>
      <w:bookmarkStart w:id="317" w:name="_Toc184314475"/>
      <w:bookmarkEnd w:id="317"/>
      <w:bookmarkStart w:id="318" w:name="_Toc184312124"/>
      <w:bookmarkEnd w:id="318"/>
      <w:bookmarkStart w:id="319" w:name="_Toc184314446"/>
      <w:bookmarkEnd w:id="319"/>
      <w:bookmarkStart w:id="320" w:name="_Toc184308085"/>
      <w:bookmarkEnd w:id="320"/>
      <w:bookmarkStart w:id="321" w:name="_Toc184313298"/>
      <w:bookmarkEnd w:id="321"/>
      <w:bookmarkStart w:id="322" w:name="_Toc184314479"/>
      <w:bookmarkEnd w:id="322"/>
      <w:bookmarkStart w:id="323" w:name="_Toc184313290"/>
      <w:bookmarkEnd w:id="323"/>
      <w:bookmarkStart w:id="324" w:name="_Toc184312088"/>
      <w:bookmarkEnd w:id="324"/>
      <w:bookmarkStart w:id="325" w:name="_Toc184312125"/>
      <w:bookmarkEnd w:id="325"/>
      <w:bookmarkStart w:id="326" w:name="_Toc184308078"/>
      <w:bookmarkEnd w:id="326"/>
      <w:bookmarkStart w:id="327" w:name="_Toc184313288"/>
      <w:bookmarkEnd w:id="327"/>
      <w:bookmarkStart w:id="328" w:name="_Toc184312076"/>
      <w:bookmarkEnd w:id="328"/>
      <w:bookmarkStart w:id="329" w:name="_Toc184314452"/>
      <w:bookmarkEnd w:id="329"/>
      <w:bookmarkStart w:id="330" w:name="_Toc184308107"/>
      <w:bookmarkEnd w:id="330"/>
      <w:bookmarkStart w:id="331" w:name="_Toc184312112"/>
      <w:bookmarkEnd w:id="331"/>
      <w:bookmarkStart w:id="332" w:name="_Toc184310340"/>
      <w:bookmarkEnd w:id="332"/>
      <w:bookmarkStart w:id="333" w:name="_Toc184310336"/>
      <w:bookmarkEnd w:id="333"/>
      <w:bookmarkStart w:id="334" w:name="_Toc184310307"/>
      <w:bookmarkEnd w:id="334"/>
      <w:bookmarkStart w:id="335" w:name="_Toc184310327"/>
      <w:bookmarkEnd w:id="335"/>
      <w:bookmarkStart w:id="336" w:name="_Toc184310309"/>
      <w:bookmarkEnd w:id="336"/>
      <w:bookmarkStart w:id="337" w:name="_Toc184313287"/>
      <w:bookmarkEnd w:id="337"/>
      <w:bookmarkStart w:id="338" w:name="_Toc184313242"/>
      <w:bookmarkEnd w:id="338"/>
      <w:bookmarkStart w:id="339" w:name="_Toc184314437"/>
      <w:bookmarkEnd w:id="339"/>
      <w:bookmarkStart w:id="340" w:name="_Toc184314425"/>
      <w:bookmarkEnd w:id="340"/>
      <w:bookmarkStart w:id="341" w:name="_Toc184313310"/>
      <w:bookmarkEnd w:id="341"/>
      <w:bookmarkStart w:id="342" w:name="_Toc184308075"/>
      <w:bookmarkEnd w:id="342"/>
      <w:bookmarkStart w:id="343" w:name="_Toc184313276"/>
      <w:bookmarkEnd w:id="343"/>
      <w:bookmarkStart w:id="344" w:name="_Toc184314465"/>
      <w:bookmarkEnd w:id="344"/>
      <w:bookmarkStart w:id="345" w:name="_Toc184310298"/>
      <w:bookmarkEnd w:id="345"/>
      <w:bookmarkStart w:id="346" w:name="_Toc184314455"/>
      <w:bookmarkEnd w:id="346"/>
      <w:bookmarkStart w:id="347" w:name="_Toc184308049"/>
      <w:bookmarkEnd w:id="347"/>
      <w:bookmarkStart w:id="348" w:name="_Toc184312136"/>
      <w:bookmarkEnd w:id="348"/>
      <w:bookmarkStart w:id="349" w:name="_Toc184314436"/>
      <w:bookmarkEnd w:id="349"/>
      <w:bookmarkStart w:id="350" w:name="_Toc184314464"/>
      <w:bookmarkEnd w:id="350"/>
      <w:bookmarkStart w:id="351" w:name="_Toc184308080"/>
      <w:bookmarkEnd w:id="351"/>
      <w:bookmarkStart w:id="352" w:name="_Toc184308073"/>
      <w:bookmarkEnd w:id="352"/>
      <w:bookmarkStart w:id="353" w:name="_Toc184313247"/>
      <w:bookmarkEnd w:id="353"/>
      <w:bookmarkStart w:id="354" w:name="_Toc184313255"/>
      <w:bookmarkEnd w:id="354"/>
      <w:bookmarkStart w:id="355" w:name="_Toc184312090"/>
      <w:bookmarkEnd w:id="355"/>
      <w:bookmarkStart w:id="356" w:name="_Toc184313271"/>
      <w:bookmarkEnd w:id="356"/>
      <w:bookmarkStart w:id="357" w:name="_Toc184308095"/>
      <w:bookmarkEnd w:id="357"/>
      <w:bookmarkStart w:id="358" w:name="_Toc184308070"/>
      <w:bookmarkEnd w:id="358"/>
      <w:bookmarkStart w:id="359" w:name="_Toc184310280"/>
      <w:bookmarkEnd w:id="359"/>
      <w:bookmarkStart w:id="360" w:name="_Toc184313269"/>
      <w:bookmarkEnd w:id="360"/>
      <w:bookmarkStart w:id="361" w:name="_Toc184308072"/>
      <w:bookmarkEnd w:id="361"/>
      <w:bookmarkStart w:id="362" w:name="_Toc184312114"/>
      <w:bookmarkEnd w:id="362"/>
      <w:bookmarkStart w:id="363" w:name="_Toc184308068"/>
      <w:bookmarkEnd w:id="363"/>
      <w:bookmarkStart w:id="364" w:name="_Toc184313278"/>
      <w:bookmarkEnd w:id="364"/>
      <w:bookmarkStart w:id="365" w:name="_Toc184313253"/>
      <w:bookmarkEnd w:id="365"/>
      <w:bookmarkStart w:id="366" w:name="_Toc184313279"/>
      <w:bookmarkEnd w:id="366"/>
      <w:bookmarkStart w:id="367" w:name="_Toc184308036"/>
      <w:bookmarkEnd w:id="367"/>
      <w:bookmarkStart w:id="368" w:name="_Toc184308099"/>
      <w:bookmarkEnd w:id="368"/>
      <w:bookmarkStart w:id="369" w:name="_Toc184310325"/>
      <w:bookmarkEnd w:id="369"/>
      <w:bookmarkStart w:id="370" w:name="_Toc184312126"/>
      <w:bookmarkEnd w:id="370"/>
      <w:bookmarkStart w:id="371" w:name="_Toc184310302"/>
      <w:bookmarkEnd w:id="371"/>
      <w:bookmarkStart w:id="372" w:name="_Toc184313293"/>
      <w:bookmarkEnd w:id="372"/>
      <w:bookmarkStart w:id="373" w:name="_Toc184312107"/>
      <w:bookmarkEnd w:id="373"/>
      <w:bookmarkStart w:id="374" w:name="_Toc184314469"/>
      <w:bookmarkEnd w:id="374"/>
      <w:bookmarkStart w:id="375" w:name="_Toc184313240"/>
      <w:bookmarkEnd w:id="375"/>
      <w:bookmarkStart w:id="376" w:name="_Toc184312131"/>
      <w:bookmarkEnd w:id="376"/>
      <w:bookmarkStart w:id="377" w:name="_Toc184308037"/>
      <w:bookmarkEnd w:id="377"/>
      <w:bookmarkStart w:id="378" w:name="_Toc184308092"/>
      <w:bookmarkEnd w:id="378"/>
      <w:bookmarkStart w:id="379" w:name="_Toc184313252"/>
      <w:bookmarkEnd w:id="379"/>
      <w:bookmarkStart w:id="380" w:name="_Toc184313268"/>
      <w:bookmarkEnd w:id="380"/>
      <w:bookmarkStart w:id="381" w:name="_Toc184314441"/>
      <w:bookmarkEnd w:id="381"/>
      <w:bookmarkStart w:id="382" w:name="_Toc184312122"/>
      <w:bookmarkEnd w:id="382"/>
      <w:bookmarkStart w:id="383" w:name="_Toc184312113"/>
      <w:bookmarkEnd w:id="383"/>
      <w:bookmarkStart w:id="384" w:name="_Toc184312096"/>
      <w:bookmarkEnd w:id="384"/>
      <w:bookmarkStart w:id="385" w:name="_Toc184308052"/>
      <w:bookmarkEnd w:id="385"/>
      <w:bookmarkStart w:id="386" w:name="_Toc184308047"/>
      <w:bookmarkEnd w:id="386"/>
      <w:bookmarkStart w:id="387" w:name="_Toc184308069"/>
      <w:bookmarkEnd w:id="387"/>
      <w:bookmarkStart w:id="388" w:name="_Toc184313309"/>
      <w:bookmarkEnd w:id="388"/>
      <w:bookmarkStart w:id="389" w:name="_Toc184314451"/>
      <w:bookmarkEnd w:id="389"/>
      <w:bookmarkStart w:id="390" w:name="_Toc184310304"/>
      <w:bookmarkEnd w:id="390"/>
      <w:bookmarkStart w:id="391" w:name="_Toc184313292"/>
      <w:bookmarkEnd w:id="391"/>
      <w:bookmarkStart w:id="392" w:name="_Toc184310320"/>
      <w:bookmarkEnd w:id="392"/>
      <w:bookmarkStart w:id="393" w:name="_Toc184314427"/>
      <w:bookmarkEnd w:id="393"/>
      <w:bookmarkStart w:id="394" w:name="_Toc184313251"/>
      <w:bookmarkEnd w:id="394"/>
      <w:bookmarkStart w:id="395" w:name="_Toc184310334"/>
      <w:bookmarkEnd w:id="395"/>
      <w:bookmarkStart w:id="396" w:name="_Toc184310343"/>
      <w:bookmarkEnd w:id="396"/>
      <w:bookmarkStart w:id="397" w:name="_Toc184313289"/>
      <w:bookmarkEnd w:id="397"/>
      <w:bookmarkStart w:id="398" w:name="_Toc184310318"/>
      <w:bookmarkEnd w:id="398"/>
      <w:bookmarkStart w:id="399" w:name="_Toc184310338"/>
      <w:bookmarkEnd w:id="399"/>
      <w:bookmarkStart w:id="400" w:name="_Toc184310281"/>
      <w:bookmarkEnd w:id="400"/>
      <w:bookmarkStart w:id="401" w:name="_Toc184310277"/>
      <w:bookmarkEnd w:id="401"/>
      <w:bookmarkStart w:id="402" w:name="_Toc184310329"/>
      <w:bookmarkEnd w:id="402"/>
      <w:bookmarkStart w:id="403" w:name="_Toc184312115"/>
      <w:bookmarkEnd w:id="403"/>
      <w:bookmarkStart w:id="404" w:name="_Toc184310315"/>
      <w:bookmarkEnd w:id="404"/>
      <w:bookmarkStart w:id="405" w:name="_Toc184308060"/>
      <w:bookmarkEnd w:id="405"/>
      <w:bookmarkStart w:id="406" w:name="_Toc184310297"/>
      <w:bookmarkEnd w:id="406"/>
      <w:bookmarkStart w:id="407" w:name="_Toc184314422"/>
      <w:bookmarkEnd w:id="407"/>
      <w:bookmarkStart w:id="408" w:name="_Toc184313263"/>
      <w:bookmarkEnd w:id="408"/>
      <w:bookmarkStart w:id="409" w:name="_Toc184313258"/>
      <w:bookmarkEnd w:id="409"/>
      <w:bookmarkStart w:id="410" w:name="_Toc184310332"/>
      <w:bookmarkEnd w:id="410"/>
      <w:bookmarkStart w:id="411" w:name="_Toc184314423"/>
      <w:bookmarkEnd w:id="411"/>
      <w:bookmarkStart w:id="412" w:name="_Toc184310294"/>
      <w:bookmarkEnd w:id="412"/>
      <w:bookmarkStart w:id="413" w:name="_Toc184308097"/>
      <w:bookmarkEnd w:id="413"/>
      <w:bookmarkStart w:id="414" w:name="_Toc184313285"/>
      <w:bookmarkEnd w:id="414"/>
      <w:bookmarkStart w:id="415" w:name="_Toc184314471"/>
      <w:bookmarkEnd w:id="415"/>
      <w:bookmarkStart w:id="416" w:name="_Toc184308093"/>
      <w:bookmarkEnd w:id="416"/>
      <w:bookmarkStart w:id="417" w:name="_Toc184313297"/>
      <w:bookmarkEnd w:id="417"/>
      <w:bookmarkStart w:id="418" w:name="_Toc184312074"/>
      <w:bookmarkEnd w:id="418"/>
      <w:bookmarkStart w:id="419" w:name="_Toc184310275"/>
      <w:bookmarkEnd w:id="419"/>
      <w:bookmarkStart w:id="420" w:name="_Toc184313250"/>
      <w:bookmarkEnd w:id="420"/>
      <w:bookmarkStart w:id="421" w:name="_Toc184312118"/>
      <w:bookmarkEnd w:id="421"/>
      <w:bookmarkStart w:id="422" w:name="_Toc184312069"/>
      <w:bookmarkEnd w:id="422"/>
      <w:bookmarkStart w:id="423" w:name="_Toc184312079"/>
      <w:bookmarkEnd w:id="423"/>
      <w:bookmarkStart w:id="424" w:name="_Toc184313280"/>
      <w:bookmarkEnd w:id="424"/>
      <w:bookmarkStart w:id="425" w:name="_Toc184308077"/>
      <w:bookmarkEnd w:id="425"/>
      <w:bookmarkStart w:id="426" w:name="_Toc184308053"/>
      <w:bookmarkEnd w:id="426"/>
      <w:bookmarkStart w:id="427" w:name="_Toc184314430"/>
      <w:bookmarkEnd w:id="427"/>
      <w:bookmarkStart w:id="428" w:name="_Toc184313302"/>
      <w:bookmarkEnd w:id="428"/>
      <w:bookmarkStart w:id="429" w:name="_Toc184313307"/>
      <w:bookmarkEnd w:id="429"/>
      <w:bookmarkStart w:id="430" w:name="_Toc184312111"/>
      <w:bookmarkEnd w:id="430"/>
      <w:bookmarkStart w:id="431" w:name="_Toc184314467"/>
      <w:bookmarkEnd w:id="431"/>
      <w:bookmarkStart w:id="432" w:name="_Toc184310296"/>
      <w:bookmarkEnd w:id="432"/>
      <w:bookmarkStart w:id="433" w:name="_Toc184310276"/>
      <w:bookmarkEnd w:id="433"/>
      <w:bookmarkStart w:id="434" w:name="_Toc184308076"/>
      <w:bookmarkEnd w:id="434"/>
      <w:bookmarkStart w:id="435" w:name="_Toc184313305"/>
      <w:bookmarkEnd w:id="435"/>
      <w:bookmarkStart w:id="436" w:name="_Toc184313294"/>
      <w:bookmarkEnd w:id="436"/>
      <w:bookmarkStart w:id="437" w:name="_Toc184313256"/>
      <w:bookmarkEnd w:id="437"/>
      <w:bookmarkStart w:id="438" w:name="_Toc184313249"/>
      <w:bookmarkEnd w:id="438"/>
      <w:bookmarkStart w:id="439" w:name="_Toc184313260"/>
      <w:bookmarkEnd w:id="439"/>
      <w:bookmarkStart w:id="440" w:name="_Toc184313265"/>
      <w:bookmarkEnd w:id="440"/>
      <w:bookmarkStart w:id="441" w:name="_Toc184308082"/>
      <w:bookmarkEnd w:id="441"/>
      <w:bookmarkStart w:id="442" w:name="_Toc184310313"/>
      <w:bookmarkEnd w:id="442"/>
      <w:bookmarkStart w:id="443" w:name="_Toc184313286"/>
      <w:bookmarkEnd w:id="443"/>
      <w:bookmarkStart w:id="444" w:name="_Toc184310321"/>
      <w:bookmarkEnd w:id="444"/>
      <w:bookmarkStart w:id="445" w:name="_Toc184308063"/>
      <w:bookmarkEnd w:id="445"/>
      <w:bookmarkStart w:id="446" w:name="_Toc184310292"/>
      <w:bookmarkEnd w:id="446"/>
      <w:bookmarkStart w:id="447" w:name="_Toc184312105"/>
      <w:bookmarkEnd w:id="447"/>
      <w:bookmarkStart w:id="448" w:name="_Toc184310310"/>
      <w:bookmarkEnd w:id="448"/>
      <w:bookmarkStart w:id="449" w:name="_Toc184312093"/>
      <w:bookmarkEnd w:id="449"/>
      <w:bookmarkStart w:id="450" w:name="_Toc184310324"/>
      <w:bookmarkEnd w:id="450"/>
      <w:bookmarkStart w:id="451" w:name="_Toc184312127"/>
      <w:bookmarkEnd w:id="451"/>
      <w:bookmarkStart w:id="452" w:name="_Toc184314460"/>
      <w:bookmarkEnd w:id="452"/>
      <w:bookmarkStart w:id="453" w:name="_Toc184313296"/>
      <w:bookmarkEnd w:id="453"/>
      <w:bookmarkStart w:id="454" w:name="_Toc184308101"/>
      <w:bookmarkEnd w:id="454"/>
      <w:bookmarkStart w:id="455" w:name="_Toc184314456"/>
      <w:bookmarkEnd w:id="455"/>
      <w:bookmarkStart w:id="456" w:name="_Toc184314440"/>
      <w:bookmarkEnd w:id="456"/>
      <w:bookmarkStart w:id="457" w:name="_Toc184313267"/>
      <w:bookmarkEnd w:id="457"/>
      <w:bookmarkStart w:id="458" w:name="_Toc184310282"/>
      <w:bookmarkEnd w:id="458"/>
      <w:bookmarkStart w:id="459" w:name="_Toc184313264"/>
      <w:bookmarkEnd w:id="459"/>
      <w:bookmarkStart w:id="460" w:name="_Toc184310295"/>
      <w:bookmarkEnd w:id="460"/>
      <w:bookmarkStart w:id="461" w:name="_Toc184308089"/>
      <w:bookmarkEnd w:id="461"/>
      <w:bookmarkStart w:id="462" w:name="_Toc184313291"/>
      <w:bookmarkEnd w:id="462"/>
      <w:bookmarkStart w:id="463" w:name="_Toc184314448"/>
      <w:bookmarkEnd w:id="463"/>
      <w:bookmarkStart w:id="464" w:name="_Toc184312103"/>
      <w:bookmarkEnd w:id="464"/>
      <w:r>
        <w:rPr>
          <w:rFonts w:hint="eastAsia" w:ascii="宋体" w:hAnsi="宋体" w:cs="宋体"/>
          <w:b/>
          <w:color w:val="auto"/>
          <w:sz w:val="36"/>
          <w:szCs w:val="36"/>
          <w:highlight w:val="none"/>
        </w:rPr>
        <w:t>评标办法</w:t>
      </w:r>
      <w:bookmarkEnd w:id="98"/>
      <w:bookmarkEnd w:id="99"/>
    </w:p>
    <w:p w14:paraId="10EDBDDF">
      <w:pPr>
        <w:snapToGrid w:val="0"/>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134"/>
        <w:gridCol w:w="1123"/>
        <w:gridCol w:w="6855"/>
      </w:tblGrid>
      <w:tr w14:paraId="6F245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EB6A2D1">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4D62CCF">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评标项目</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3D3D15FC">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评标分值</w:t>
            </w:r>
          </w:p>
        </w:tc>
        <w:tc>
          <w:tcPr>
            <w:tcW w:w="6855" w:type="dxa"/>
            <w:tcBorders>
              <w:top w:val="single" w:color="000000" w:sz="4" w:space="0"/>
              <w:left w:val="single" w:color="000000" w:sz="4" w:space="0"/>
              <w:bottom w:val="single" w:color="000000" w:sz="4" w:space="0"/>
              <w:right w:val="single" w:color="000000" w:sz="4" w:space="0"/>
            </w:tcBorders>
            <w:noWrap w:val="0"/>
            <w:vAlign w:val="center"/>
          </w:tcPr>
          <w:p w14:paraId="592704B9">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评标方法描述</w:t>
            </w:r>
          </w:p>
        </w:tc>
      </w:tr>
      <w:tr w14:paraId="1A155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1477ABA7">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1B6107B">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33824B7B">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6855" w:type="dxa"/>
            <w:tcBorders>
              <w:top w:val="single" w:color="000000" w:sz="4" w:space="0"/>
              <w:left w:val="single" w:color="000000" w:sz="4" w:space="0"/>
              <w:bottom w:val="single" w:color="000000" w:sz="4" w:space="0"/>
              <w:right w:val="single" w:color="000000" w:sz="4" w:space="0"/>
            </w:tcBorders>
            <w:noWrap w:val="0"/>
            <w:vAlign w:val="center"/>
          </w:tcPr>
          <w:p w14:paraId="2AF3B8CB">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（1）评标报价为投标人的投标报价进行政策性扣除后的价格，评标报价只是作为评标时使用。最终中标人的中标金额等于投标报价。</w:t>
            </w:r>
          </w:p>
          <w:p w14:paraId="1A2CF24B">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（2）政策性扣除计算方法。</w:t>
            </w:r>
          </w:p>
          <w:p w14:paraId="0E75F8C2">
            <w:pPr>
              <w:keepNext w:val="0"/>
              <w:keepLines w:val="0"/>
              <w:pageBreakBefore w:val="0"/>
              <w:kinsoku/>
              <w:wordWrap/>
              <w:overflowPunct/>
              <w:topLinePunct w:val="0"/>
              <w:autoSpaceDE/>
              <w:autoSpaceDN/>
              <w:bidi w:val="0"/>
              <w:snapToGrid w:val="0"/>
              <w:spacing w:line="360" w:lineRule="auto"/>
              <w:ind w:firstLine="443" w:firstLineChars="211"/>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根据《政府采购促进中小企业发展管理办法》（财库〔2020〕46号）及桂财采〔2022〕30号《广西壮族自治区财政厅关于进一步发挥政府采购政策功能促进企业发展的通知》的规定，投标人在其投标文件中提供《中小企业声明函》，且其投标全部货物由小微企业制造的，对其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%的扣除，用扣除后的价格参加评审，扣除后的价格为评标报价，即评标报价=投标报价×（1-</w:t>
            </w:r>
            <w:r>
              <w:rPr>
                <w:rFonts w:hint="eastAsia" w:ascii="宋体" w:hAnsi="宋体" w:cs="宋体"/>
                <w:bCs/>
                <w:color w:val="auto"/>
                <w:sz w:val="21"/>
                <w:szCs w:val="21"/>
                <w:highlight w:val="none"/>
                <w:u w:val="single"/>
                <w:lang w:val="en-US" w:eastAsia="zh-CN"/>
              </w:rPr>
              <w:t>6</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%）。除上述情况外，评标报价=投标报价。</w:t>
            </w:r>
          </w:p>
          <w:p w14:paraId="33AE7DEA">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eastAsia="宋体" w:cs="宋体"/>
                <w:color w:val="auto"/>
                <w:sz w:val="21"/>
                <w:szCs w:val="21"/>
                <w:highlight w:val="none"/>
              </w:rPr>
              <w:t>监狱企业参加政府采购活动时，应当提供由省级以上监狱管理局、戒毒管理局（含新疆生产建设兵团）出具的属于监狱企业的证明文件。</w:t>
            </w:r>
            <w:r>
              <w:rPr>
                <w:rFonts w:hint="eastAsia" w:ascii="宋体" w:hAnsi="宋体" w:eastAsia="宋体" w:cs="宋体"/>
                <w:bCs/>
                <w:color w:val="auto"/>
                <w:sz w:val="21"/>
                <w:szCs w:val="21"/>
                <w:highlight w:val="none"/>
              </w:rPr>
              <w:t>监狱企业属于小型、微型企业的，不重复享受政策。</w:t>
            </w:r>
          </w:p>
          <w:p w14:paraId="5F3EA86F">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（4）按照</w:t>
            </w:r>
            <w:r>
              <w:rPr>
                <w:rFonts w:hint="eastAsia" w:ascii="宋体" w:hAnsi="宋体" w:eastAsia="宋体" w:cs="宋体"/>
                <w:bCs/>
                <w:color w:val="auto"/>
                <w:sz w:val="21"/>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eastAsia="宋体" w:cs="宋体"/>
                <w:color w:val="auto"/>
                <w:sz w:val="21"/>
                <w:szCs w:val="21"/>
                <w:highlight w:val="none"/>
              </w:rPr>
              <w:t>残疾人福利性单位参加政府采购活动时，应当提供该通知规定的《残疾人福利性单位声明函》，并对声明的真实性负责。</w:t>
            </w:r>
            <w:r>
              <w:rPr>
                <w:rFonts w:hint="eastAsia" w:ascii="宋体" w:hAnsi="宋体" w:eastAsia="宋体" w:cs="宋体"/>
                <w:bCs/>
                <w:color w:val="auto"/>
                <w:sz w:val="21"/>
                <w:szCs w:val="21"/>
                <w:highlight w:val="none"/>
              </w:rPr>
              <w:t>残疾人福利性单位属于小型、微型企业的，不重复享受政策。</w:t>
            </w:r>
          </w:p>
          <w:p w14:paraId="5DC10EAF">
            <w:pPr>
              <w:keepNext w:val="0"/>
              <w:keepLines w:val="0"/>
              <w:pageBreakBefore w:val="0"/>
              <w:kinsoku/>
              <w:wordWrap/>
              <w:overflowPunct/>
              <w:topLinePunct w:val="0"/>
              <w:autoSpaceDE/>
              <w:autoSpaceDN/>
              <w:bidi w:val="0"/>
              <w:snapToGrid w:val="0"/>
              <w:spacing w:line="360" w:lineRule="auto"/>
              <w:ind w:firstLine="233" w:firstLineChars="11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（5）满足招标文件要求且评标报价最低的评标报价为评标基准价，其价格分为满分。</w:t>
            </w:r>
          </w:p>
          <w:p w14:paraId="455D1086">
            <w:pPr>
              <w:keepNext w:val="0"/>
              <w:keepLines w:val="0"/>
              <w:pageBreakBefore w:val="0"/>
              <w:kinsoku/>
              <w:wordWrap/>
              <w:overflowPunct/>
              <w:topLinePunct w:val="0"/>
              <w:autoSpaceDE/>
              <w:autoSpaceDN/>
              <w:bidi w:val="0"/>
              <w:spacing w:line="360" w:lineRule="auto"/>
              <w:ind w:firstLine="233" w:firstLineChars="111"/>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（6）价格分计算公式：        </w:t>
            </w:r>
          </w:p>
          <w:p w14:paraId="76819277">
            <w:pPr>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价格分=（评标基准价／评标报价）×</w:t>
            </w:r>
            <w:r>
              <w:rPr>
                <w:rFonts w:hint="eastAsia" w:ascii="宋体" w:hAnsi="宋体" w:eastAsia="宋体" w:cs="宋体"/>
                <w:bCs/>
                <w:color w:val="auto"/>
                <w:sz w:val="21"/>
                <w:szCs w:val="21"/>
                <w:highlight w:val="none"/>
                <w:u w:val="single"/>
              </w:rPr>
              <w:t>30</w:t>
            </w:r>
            <w:r>
              <w:rPr>
                <w:rFonts w:hint="eastAsia" w:ascii="宋体" w:hAnsi="宋体" w:eastAsia="宋体" w:cs="宋体"/>
                <w:bCs/>
                <w:color w:val="auto"/>
                <w:sz w:val="21"/>
                <w:szCs w:val="21"/>
                <w:highlight w:val="none"/>
              </w:rPr>
              <w:t>分</w:t>
            </w:r>
            <w:r>
              <w:rPr>
                <w:rFonts w:hint="eastAsia" w:ascii="宋体" w:hAnsi="宋体" w:eastAsia="宋体" w:cs="宋体"/>
                <w:color w:val="auto"/>
                <w:sz w:val="21"/>
                <w:szCs w:val="21"/>
                <w:highlight w:val="none"/>
              </w:rPr>
              <w:t xml:space="preserve">  </w:t>
            </w:r>
          </w:p>
        </w:tc>
      </w:tr>
      <w:tr w14:paraId="4232B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C70969F">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61FC7B4">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Cs w:val="21"/>
              </w:rPr>
              <w:t>项目实施方案</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10F3B6AA">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10分</w:t>
            </w:r>
          </w:p>
        </w:tc>
        <w:tc>
          <w:tcPr>
            <w:tcW w:w="6855" w:type="dxa"/>
            <w:tcBorders>
              <w:top w:val="single" w:color="000000" w:sz="4" w:space="0"/>
              <w:left w:val="single" w:color="000000" w:sz="4" w:space="0"/>
              <w:bottom w:val="single" w:color="000000" w:sz="4" w:space="0"/>
              <w:right w:val="single" w:color="000000" w:sz="4" w:space="0"/>
            </w:tcBorders>
            <w:noWrap w:val="0"/>
            <w:vAlign w:val="center"/>
          </w:tcPr>
          <w:p w14:paraId="76F8539D">
            <w:pPr>
              <w:wordWrap w:val="0"/>
              <w:autoSpaceDE w:val="0"/>
              <w:autoSpaceDN w:val="0"/>
              <w:adjustRightInd w:val="0"/>
              <w:spacing w:line="360" w:lineRule="auto"/>
              <w:jc w:val="left"/>
              <w:rPr>
                <w:rFonts w:hint="eastAsia" w:ascii="宋体" w:hAnsi="宋体" w:eastAsia="宋体" w:cs="宋体"/>
                <w:bCs/>
                <w:color w:val="auto"/>
                <w:szCs w:val="21"/>
                <w:u w:val="none"/>
              </w:rPr>
            </w:pPr>
            <w:r>
              <w:rPr>
                <w:rFonts w:hint="eastAsia" w:ascii="宋体" w:hAnsi="宋体" w:eastAsia="宋体" w:cs="宋体"/>
                <w:bCs/>
                <w:color w:val="auto"/>
                <w:szCs w:val="21"/>
                <w:u w:val="none"/>
              </w:rPr>
              <w:t>由评标委员会各成员根据各供应商所提供的实施及供货方案，包含但不限于①项目供货进度计划、②产品质量保证措施、③安装与调试方案、④运输方案、⑤紧急预案等内容进行独立评审打分。</w:t>
            </w:r>
          </w:p>
          <w:p w14:paraId="2E7438AA">
            <w:pPr>
              <w:wordWrap w:val="0"/>
              <w:autoSpaceDE w:val="0"/>
              <w:autoSpaceDN w:val="0"/>
              <w:adjustRightInd w:val="0"/>
              <w:spacing w:line="360" w:lineRule="auto"/>
              <w:jc w:val="left"/>
              <w:rPr>
                <w:rFonts w:hint="eastAsia" w:ascii="宋体" w:hAnsi="宋体" w:eastAsia="宋体" w:cs="宋体"/>
                <w:bCs/>
                <w:color w:val="auto"/>
                <w:szCs w:val="21"/>
                <w:u w:val="none"/>
              </w:rPr>
            </w:pPr>
            <w:r>
              <w:rPr>
                <w:rFonts w:hint="eastAsia" w:ascii="宋体" w:hAnsi="宋体" w:eastAsia="宋体" w:cs="宋体"/>
                <w:bCs/>
                <w:color w:val="auto"/>
                <w:szCs w:val="21"/>
                <w:u w:val="none"/>
              </w:rPr>
              <w:t>一档（0分）：方案存在缺陷且缺少</w:t>
            </w:r>
            <w:r>
              <w:rPr>
                <w:rFonts w:hint="eastAsia" w:ascii="宋体" w:hAnsi="宋体" w:eastAsia="宋体" w:cs="宋体"/>
                <w:bCs/>
                <w:color w:val="auto"/>
                <w:szCs w:val="21"/>
                <w:u w:val="none"/>
                <w:lang w:val="en-US" w:eastAsia="zh-CN"/>
              </w:rPr>
              <w:t>上述</w:t>
            </w:r>
            <w:r>
              <w:rPr>
                <w:rFonts w:hint="eastAsia" w:ascii="宋体" w:hAnsi="宋体" w:eastAsia="宋体" w:cs="宋体"/>
                <w:bCs/>
                <w:color w:val="auto"/>
                <w:szCs w:val="21"/>
                <w:u w:val="none"/>
              </w:rPr>
              <w:t>内容</w:t>
            </w:r>
            <w:r>
              <w:rPr>
                <w:rFonts w:hint="eastAsia" w:ascii="宋体" w:hAnsi="宋体" w:eastAsia="宋体" w:cs="宋体"/>
                <w:bCs/>
                <w:color w:val="auto"/>
                <w:szCs w:val="21"/>
                <w:u w:val="none"/>
                <w:lang w:val="en-US" w:eastAsia="zh-CN"/>
              </w:rPr>
              <w:t>≥4项</w:t>
            </w:r>
            <w:r>
              <w:rPr>
                <w:rFonts w:hint="eastAsia" w:ascii="宋体" w:hAnsi="宋体" w:eastAsia="宋体" w:cs="宋体"/>
                <w:bCs/>
                <w:color w:val="auto"/>
                <w:szCs w:val="21"/>
                <w:u w:val="none"/>
              </w:rPr>
              <w:t>的</w:t>
            </w:r>
            <w:r>
              <w:rPr>
                <w:rFonts w:hint="eastAsia" w:ascii="宋体" w:hAnsi="宋体" w:eastAsia="宋体" w:cs="宋体"/>
                <w:bCs/>
                <w:color w:val="auto"/>
                <w:szCs w:val="21"/>
                <w:u w:val="none"/>
                <w:lang w:val="en-US" w:eastAsia="zh-CN"/>
              </w:rPr>
              <w:t>或</w:t>
            </w:r>
            <w:r>
              <w:rPr>
                <w:rFonts w:hint="eastAsia" w:ascii="宋体" w:hAnsi="宋体" w:eastAsia="宋体" w:cs="宋体"/>
                <w:bCs/>
                <w:color w:val="auto"/>
                <w:szCs w:val="21"/>
                <w:u w:val="none"/>
              </w:rPr>
              <w:t>未提供方案的不得分；</w:t>
            </w:r>
          </w:p>
          <w:p w14:paraId="7A0E4749">
            <w:pPr>
              <w:wordWrap w:val="0"/>
              <w:autoSpaceDE w:val="0"/>
              <w:autoSpaceDN w:val="0"/>
              <w:adjustRightInd w:val="0"/>
              <w:spacing w:line="360" w:lineRule="auto"/>
              <w:jc w:val="left"/>
              <w:rPr>
                <w:rFonts w:hint="eastAsia" w:ascii="宋体" w:hAnsi="宋体" w:eastAsia="宋体" w:cs="宋体"/>
                <w:bCs/>
                <w:color w:val="auto"/>
                <w:szCs w:val="21"/>
                <w:u w:val="none"/>
              </w:rPr>
            </w:pPr>
            <w:r>
              <w:rPr>
                <w:rFonts w:hint="eastAsia" w:ascii="宋体" w:hAnsi="宋体" w:eastAsia="宋体" w:cs="宋体"/>
                <w:bCs/>
                <w:color w:val="auto"/>
                <w:szCs w:val="21"/>
                <w:u w:val="none"/>
              </w:rPr>
              <w:t>二档（</w:t>
            </w:r>
            <w:r>
              <w:rPr>
                <w:rFonts w:hint="eastAsia" w:ascii="宋体" w:hAnsi="宋体" w:eastAsia="宋体" w:cs="宋体"/>
                <w:bCs/>
                <w:color w:val="auto"/>
                <w:szCs w:val="21"/>
                <w:u w:val="none"/>
                <w:lang w:val="en-US" w:eastAsia="zh-CN"/>
              </w:rPr>
              <w:t>2</w:t>
            </w:r>
            <w:r>
              <w:rPr>
                <w:rFonts w:hint="eastAsia" w:ascii="宋体" w:hAnsi="宋体" w:eastAsia="宋体" w:cs="宋体"/>
                <w:bCs/>
                <w:color w:val="auto"/>
                <w:szCs w:val="21"/>
                <w:u w:val="none"/>
              </w:rPr>
              <w:t>分）：方案存在缺陷且缺少上述</w:t>
            </w:r>
            <w:r>
              <w:rPr>
                <w:rFonts w:hint="eastAsia" w:ascii="宋体" w:hAnsi="宋体" w:eastAsia="宋体" w:cs="宋体"/>
                <w:bCs/>
                <w:color w:val="auto"/>
                <w:szCs w:val="21"/>
                <w:u w:val="none"/>
                <w:lang w:val="en-US" w:eastAsia="zh-CN"/>
              </w:rPr>
              <w:t>3</w:t>
            </w:r>
            <w:r>
              <w:rPr>
                <w:rFonts w:hint="eastAsia" w:ascii="宋体" w:hAnsi="宋体" w:eastAsia="宋体" w:cs="宋体"/>
                <w:bCs/>
                <w:color w:val="auto"/>
                <w:szCs w:val="21"/>
                <w:u w:val="none"/>
              </w:rPr>
              <w:t>项内容的；</w:t>
            </w:r>
          </w:p>
          <w:p w14:paraId="469F8820">
            <w:pPr>
              <w:wordWrap w:val="0"/>
              <w:autoSpaceDE w:val="0"/>
              <w:autoSpaceDN w:val="0"/>
              <w:adjustRightInd w:val="0"/>
              <w:spacing w:line="360" w:lineRule="auto"/>
              <w:jc w:val="left"/>
              <w:rPr>
                <w:rFonts w:hint="eastAsia" w:ascii="宋体" w:hAnsi="宋体" w:eastAsia="宋体" w:cs="宋体"/>
                <w:bCs/>
                <w:color w:val="auto"/>
                <w:szCs w:val="21"/>
                <w:u w:val="none"/>
              </w:rPr>
            </w:pPr>
            <w:r>
              <w:rPr>
                <w:rFonts w:hint="eastAsia" w:ascii="宋体" w:hAnsi="宋体" w:eastAsia="宋体" w:cs="宋体"/>
                <w:bCs/>
                <w:color w:val="auto"/>
                <w:szCs w:val="21"/>
                <w:u w:val="none"/>
              </w:rPr>
              <w:t>三档（</w:t>
            </w:r>
            <w:r>
              <w:rPr>
                <w:rFonts w:hint="eastAsia" w:ascii="宋体" w:hAnsi="宋体" w:eastAsia="宋体" w:cs="宋体"/>
                <w:bCs/>
                <w:color w:val="auto"/>
                <w:szCs w:val="21"/>
                <w:u w:val="none"/>
                <w:lang w:val="en-US" w:eastAsia="zh-CN"/>
              </w:rPr>
              <w:t>4</w:t>
            </w:r>
            <w:r>
              <w:rPr>
                <w:rFonts w:hint="eastAsia" w:ascii="宋体" w:hAnsi="宋体" w:eastAsia="宋体" w:cs="宋体"/>
                <w:bCs/>
                <w:color w:val="auto"/>
                <w:szCs w:val="21"/>
                <w:u w:val="none"/>
              </w:rPr>
              <w:t>分）：方案存在缺陷且缺少上述</w:t>
            </w:r>
            <w:r>
              <w:rPr>
                <w:rFonts w:hint="eastAsia" w:ascii="宋体" w:hAnsi="宋体" w:eastAsia="宋体" w:cs="宋体"/>
                <w:bCs/>
                <w:color w:val="auto"/>
                <w:szCs w:val="21"/>
                <w:u w:val="none"/>
                <w:lang w:val="en-US" w:eastAsia="zh-CN"/>
              </w:rPr>
              <w:t>2</w:t>
            </w:r>
            <w:r>
              <w:rPr>
                <w:rFonts w:hint="eastAsia" w:ascii="宋体" w:hAnsi="宋体" w:eastAsia="宋体" w:cs="宋体"/>
                <w:bCs/>
                <w:color w:val="auto"/>
                <w:szCs w:val="21"/>
                <w:u w:val="none"/>
              </w:rPr>
              <w:t>项内容的；</w:t>
            </w:r>
          </w:p>
          <w:p w14:paraId="3AA30382">
            <w:pPr>
              <w:wordWrap w:val="0"/>
              <w:autoSpaceDE w:val="0"/>
              <w:autoSpaceDN w:val="0"/>
              <w:adjustRightInd w:val="0"/>
              <w:spacing w:line="360" w:lineRule="auto"/>
              <w:jc w:val="left"/>
              <w:rPr>
                <w:rFonts w:hint="eastAsia" w:ascii="宋体" w:hAnsi="宋体" w:eastAsia="宋体" w:cs="宋体"/>
                <w:bCs/>
                <w:color w:val="auto"/>
                <w:szCs w:val="21"/>
                <w:u w:val="none"/>
              </w:rPr>
            </w:pPr>
            <w:r>
              <w:rPr>
                <w:rFonts w:hint="eastAsia" w:ascii="宋体" w:hAnsi="宋体" w:eastAsia="宋体" w:cs="宋体"/>
                <w:bCs/>
                <w:color w:val="auto"/>
                <w:szCs w:val="21"/>
                <w:u w:val="none"/>
              </w:rPr>
              <w:t>四档（</w:t>
            </w:r>
            <w:r>
              <w:rPr>
                <w:rFonts w:hint="eastAsia" w:ascii="宋体" w:hAnsi="宋体" w:eastAsia="宋体" w:cs="宋体"/>
                <w:bCs/>
                <w:color w:val="auto"/>
                <w:szCs w:val="21"/>
                <w:u w:val="none"/>
                <w:lang w:val="en-US" w:eastAsia="zh-CN"/>
              </w:rPr>
              <w:t>6</w:t>
            </w:r>
            <w:r>
              <w:rPr>
                <w:rFonts w:hint="eastAsia" w:ascii="宋体" w:hAnsi="宋体" w:eastAsia="宋体" w:cs="宋体"/>
                <w:bCs/>
                <w:color w:val="auto"/>
                <w:szCs w:val="21"/>
                <w:u w:val="none"/>
              </w:rPr>
              <w:t>分）：方案存在缺陷且缺少上述</w:t>
            </w:r>
            <w:r>
              <w:rPr>
                <w:rFonts w:hint="eastAsia" w:ascii="宋体" w:hAnsi="宋体" w:eastAsia="宋体" w:cs="宋体"/>
                <w:bCs/>
                <w:color w:val="auto"/>
                <w:szCs w:val="21"/>
                <w:u w:val="none"/>
                <w:lang w:val="en-US" w:eastAsia="zh-CN"/>
              </w:rPr>
              <w:t>1</w:t>
            </w:r>
            <w:r>
              <w:rPr>
                <w:rFonts w:hint="eastAsia" w:ascii="宋体" w:hAnsi="宋体" w:eastAsia="宋体" w:cs="宋体"/>
                <w:bCs/>
                <w:color w:val="auto"/>
                <w:szCs w:val="21"/>
                <w:u w:val="none"/>
              </w:rPr>
              <w:t>项内容的；</w:t>
            </w:r>
          </w:p>
          <w:p w14:paraId="1BFEC0B7">
            <w:pPr>
              <w:wordWrap w:val="0"/>
              <w:autoSpaceDE w:val="0"/>
              <w:autoSpaceDN w:val="0"/>
              <w:adjustRightInd w:val="0"/>
              <w:spacing w:line="360" w:lineRule="auto"/>
              <w:jc w:val="left"/>
              <w:rPr>
                <w:rFonts w:hint="eastAsia" w:ascii="宋体" w:hAnsi="宋体" w:eastAsia="宋体" w:cs="宋体"/>
                <w:bCs/>
                <w:color w:val="auto"/>
                <w:szCs w:val="21"/>
                <w:u w:val="none"/>
              </w:rPr>
            </w:pPr>
            <w:r>
              <w:rPr>
                <w:rFonts w:hint="eastAsia" w:ascii="宋体" w:hAnsi="宋体" w:eastAsia="宋体" w:cs="宋体"/>
                <w:bCs/>
                <w:color w:val="auto"/>
                <w:szCs w:val="21"/>
                <w:u w:val="none"/>
              </w:rPr>
              <w:t>五档（</w:t>
            </w:r>
            <w:r>
              <w:rPr>
                <w:rFonts w:hint="eastAsia" w:ascii="宋体" w:hAnsi="宋体" w:eastAsia="宋体" w:cs="宋体"/>
                <w:bCs/>
                <w:color w:val="auto"/>
                <w:szCs w:val="21"/>
                <w:u w:val="none"/>
                <w:lang w:val="en-US" w:eastAsia="zh-CN"/>
              </w:rPr>
              <w:t>8</w:t>
            </w:r>
            <w:r>
              <w:rPr>
                <w:rFonts w:hint="eastAsia" w:ascii="宋体" w:hAnsi="宋体" w:eastAsia="宋体" w:cs="宋体"/>
                <w:bCs/>
                <w:color w:val="auto"/>
                <w:szCs w:val="21"/>
                <w:u w:val="none"/>
              </w:rPr>
              <w:t>分）：方案存在缺陷</w:t>
            </w:r>
            <w:r>
              <w:rPr>
                <w:rFonts w:hint="eastAsia" w:ascii="宋体" w:hAnsi="宋体" w:eastAsia="宋体" w:cs="宋体"/>
                <w:bCs/>
                <w:color w:val="auto"/>
                <w:szCs w:val="21"/>
                <w:u w:val="none"/>
                <w:lang w:val="en-US" w:eastAsia="zh-CN"/>
              </w:rPr>
              <w:t>且不缺少上述内容的</w:t>
            </w:r>
            <w:r>
              <w:rPr>
                <w:rFonts w:hint="eastAsia" w:ascii="宋体" w:hAnsi="宋体" w:eastAsia="宋体" w:cs="宋体"/>
                <w:bCs/>
                <w:color w:val="auto"/>
                <w:szCs w:val="21"/>
                <w:u w:val="none"/>
              </w:rPr>
              <w:t>；</w:t>
            </w:r>
          </w:p>
          <w:p w14:paraId="432EC5B4">
            <w:pPr>
              <w:wordWrap w:val="0"/>
              <w:autoSpaceDE w:val="0"/>
              <w:autoSpaceDN w:val="0"/>
              <w:adjustRightInd w:val="0"/>
              <w:spacing w:line="360" w:lineRule="auto"/>
              <w:jc w:val="left"/>
              <w:rPr>
                <w:rFonts w:hint="eastAsia" w:ascii="宋体" w:hAnsi="宋体" w:eastAsia="宋体" w:cs="宋体"/>
                <w:bCs/>
                <w:color w:val="auto"/>
                <w:szCs w:val="21"/>
                <w:u w:val="none"/>
                <w:lang w:eastAsia="zh-CN"/>
              </w:rPr>
            </w:pPr>
            <w:r>
              <w:rPr>
                <w:rFonts w:hint="eastAsia" w:ascii="宋体" w:hAnsi="宋体" w:eastAsia="宋体" w:cs="宋体"/>
                <w:bCs/>
                <w:color w:val="auto"/>
                <w:szCs w:val="21"/>
                <w:u w:val="none"/>
              </w:rPr>
              <w:t>六档（1</w:t>
            </w:r>
            <w:r>
              <w:rPr>
                <w:rFonts w:hint="eastAsia" w:ascii="宋体" w:hAnsi="宋体" w:eastAsia="宋体" w:cs="宋体"/>
                <w:bCs/>
                <w:color w:val="auto"/>
                <w:szCs w:val="21"/>
                <w:u w:val="none"/>
                <w:lang w:val="en-US" w:eastAsia="zh-CN"/>
              </w:rPr>
              <w:t>0</w:t>
            </w:r>
            <w:r>
              <w:rPr>
                <w:rFonts w:hint="eastAsia" w:ascii="宋体" w:hAnsi="宋体" w:eastAsia="宋体" w:cs="宋体"/>
                <w:bCs/>
                <w:color w:val="auto"/>
                <w:szCs w:val="21"/>
                <w:u w:val="none"/>
              </w:rPr>
              <w:t>分）：方案不存在缺陷</w:t>
            </w:r>
            <w:r>
              <w:rPr>
                <w:rFonts w:hint="eastAsia" w:ascii="宋体" w:hAnsi="宋体" w:eastAsia="宋体" w:cs="宋体"/>
                <w:bCs/>
                <w:color w:val="auto"/>
                <w:szCs w:val="21"/>
                <w:u w:val="none"/>
                <w:lang w:val="en-US" w:eastAsia="zh-CN"/>
              </w:rPr>
              <w:t>且不缺少上述内容的</w:t>
            </w:r>
            <w:r>
              <w:rPr>
                <w:rFonts w:hint="eastAsia" w:ascii="宋体" w:hAnsi="宋体" w:eastAsia="宋体" w:cs="宋体"/>
                <w:bCs/>
                <w:color w:val="auto"/>
                <w:szCs w:val="21"/>
                <w:u w:val="none"/>
              </w:rPr>
              <w:t>，</w:t>
            </w:r>
            <w:r>
              <w:rPr>
                <w:rFonts w:hint="eastAsia" w:ascii="宋体" w:hAnsi="宋体" w:eastAsia="宋体" w:cs="宋体"/>
                <w:bCs/>
                <w:color w:val="auto"/>
                <w:szCs w:val="21"/>
                <w:u w:val="none"/>
                <w:lang w:val="en-US" w:eastAsia="zh-CN"/>
              </w:rPr>
              <w:t>且</w:t>
            </w:r>
            <w:r>
              <w:rPr>
                <w:rFonts w:hint="eastAsia" w:ascii="宋体" w:hAnsi="宋体" w:eastAsia="宋体" w:cs="宋体"/>
                <w:bCs/>
                <w:color w:val="auto"/>
                <w:szCs w:val="21"/>
                <w:u w:val="none"/>
              </w:rPr>
              <w:t>经</w:t>
            </w:r>
            <w:r>
              <w:rPr>
                <w:rFonts w:hint="eastAsia" w:ascii="宋体" w:hAnsi="宋体" w:eastAsia="宋体" w:cs="宋体"/>
                <w:bCs/>
                <w:color w:val="auto"/>
                <w:szCs w:val="21"/>
                <w:u w:val="none"/>
                <w:lang w:val="en-US" w:eastAsia="zh-CN"/>
              </w:rPr>
              <w:t>评审委员会</w:t>
            </w:r>
            <w:r>
              <w:rPr>
                <w:rFonts w:hint="eastAsia" w:ascii="宋体" w:hAnsi="宋体" w:eastAsia="宋体" w:cs="宋体"/>
                <w:bCs/>
                <w:color w:val="auto"/>
                <w:szCs w:val="21"/>
                <w:u w:val="none"/>
              </w:rPr>
              <w:t>评审后认为方案很切合项目实际</w:t>
            </w:r>
            <w:r>
              <w:rPr>
                <w:rFonts w:hint="eastAsia" w:ascii="宋体" w:hAnsi="宋体" w:eastAsia="宋体" w:cs="宋体"/>
                <w:bCs/>
                <w:color w:val="auto"/>
                <w:szCs w:val="21"/>
                <w:u w:val="none"/>
                <w:lang w:eastAsia="zh-CN"/>
              </w:rPr>
              <w:t>。</w:t>
            </w:r>
          </w:p>
          <w:p w14:paraId="3C53C4D8">
            <w:pPr>
              <w:wordWrap w:val="0"/>
              <w:autoSpaceDE w:val="0"/>
              <w:autoSpaceDN w:val="0"/>
              <w:adjustRightInd w:val="0"/>
              <w:spacing w:line="360" w:lineRule="auto"/>
              <w:jc w:val="left"/>
              <w:rPr>
                <w:rFonts w:hint="eastAsia" w:ascii="宋体" w:hAnsi="宋体" w:eastAsia="宋体" w:cs="宋体"/>
                <w:bCs/>
                <w:color w:val="auto"/>
                <w:szCs w:val="21"/>
                <w:u w:val="none"/>
                <w:lang w:val="en-US" w:eastAsia="zh-CN"/>
              </w:rPr>
            </w:pPr>
            <w:r>
              <w:rPr>
                <w:rFonts w:hint="eastAsia" w:ascii="宋体" w:hAnsi="宋体" w:eastAsia="宋体" w:cs="宋体"/>
                <w:bCs/>
                <w:color w:val="auto"/>
                <w:szCs w:val="21"/>
                <w:u w:val="none"/>
                <w:lang w:val="en-US" w:eastAsia="zh-CN"/>
              </w:rPr>
              <w:t>注：评审标准中所称“缺陷”是指①套用其他项目内容；②对同一问题前后表述矛盾；③存在逻辑漏洞、科学原理或常识错误；④不利于本项目目标的实现、现有技术条件下不可能实现的情形；⑤提供的方案的内容不完整或缺少关键点。</w:t>
            </w:r>
          </w:p>
        </w:tc>
      </w:tr>
      <w:tr w14:paraId="32070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182E6E6B">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8E6B1FD">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设备性能</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3F424B85">
            <w:pPr>
              <w:keepNext w:val="0"/>
              <w:keepLines w:val="0"/>
              <w:pageBreakBefore w:val="0"/>
              <w:widowControl w:val="0"/>
              <w:kinsoku/>
              <w:wordWrap/>
              <w:overflowPunct/>
              <w:topLinePunct w:val="0"/>
              <w:autoSpaceDE/>
              <w:autoSpaceDN/>
              <w:bidi w:val="0"/>
              <w:spacing w:after="0" w:afterLines="0" w:afterAutospacing="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30分</w:t>
            </w:r>
          </w:p>
        </w:tc>
        <w:tc>
          <w:tcPr>
            <w:tcW w:w="6855" w:type="dxa"/>
            <w:tcBorders>
              <w:top w:val="single" w:color="000000" w:sz="4" w:space="0"/>
              <w:left w:val="single" w:color="000000" w:sz="4" w:space="0"/>
              <w:bottom w:val="single" w:color="000000" w:sz="4" w:space="0"/>
              <w:right w:val="single" w:color="000000" w:sz="4" w:space="0"/>
            </w:tcBorders>
            <w:noWrap w:val="0"/>
            <w:vAlign w:val="center"/>
          </w:tcPr>
          <w:p w14:paraId="5D4977FE">
            <w:pPr>
              <w:keepNext w:val="0"/>
              <w:keepLines w:val="0"/>
              <w:pageBreakBefore w:val="0"/>
              <w:widowControl/>
              <w:suppressLineNumbers w:val="0"/>
              <w:kinsoku/>
              <w:wordWrap/>
              <w:overflowPunct/>
              <w:topLinePunct w:val="0"/>
              <w:autoSpaceDE/>
              <w:autoSpaceDN/>
              <w:bidi w:val="0"/>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完全满足或优于招标文件技术参数要求的得</w:t>
            </w:r>
            <w:r>
              <w:rPr>
                <w:rFonts w:hint="eastAsia" w:ascii="宋体" w:hAnsi="宋体" w:eastAsia="宋体" w:cs="宋体"/>
                <w:bCs/>
                <w:color w:val="auto"/>
                <w:szCs w:val="21"/>
                <w:highlight w:val="none"/>
                <w:lang w:val="en-US" w:eastAsia="zh-CN"/>
              </w:rPr>
              <w:t>30</w:t>
            </w:r>
            <w:r>
              <w:rPr>
                <w:rFonts w:hint="eastAsia" w:ascii="宋体" w:hAnsi="宋体" w:eastAsia="宋体" w:cs="宋体"/>
                <w:bCs/>
                <w:color w:val="auto"/>
                <w:szCs w:val="21"/>
                <w:highlight w:val="none"/>
              </w:rPr>
              <w:t>分；技术参数中标注“</w:t>
            </w:r>
            <w:r>
              <w:rPr>
                <w:rFonts w:hint="eastAsia" w:ascii="宋体" w:hAnsi="宋体" w:eastAsia="宋体" w:cs="宋体"/>
                <w:b/>
                <w:bCs/>
                <w:color w:val="auto"/>
                <w:szCs w:val="21"/>
                <w:highlight w:val="none"/>
                <w:lang w:eastAsia="zh-CN"/>
              </w:rPr>
              <w:t>▲</w:t>
            </w:r>
            <w:r>
              <w:rPr>
                <w:rFonts w:hint="eastAsia" w:ascii="宋体" w:hAnsi="宋体" w:eastAsia="宋体" w:cs="宋体"/>
                <w:bCs/>
                <w:color w:val="auto"/>
                <w:szCs w:val="21"/>
                <w:highlight w:val="none"/>
              </w:rPr>
              <w:t>”号的为关键技术指标必须满足，如有负偏离将视为无效投标；技术参数中标注“</w:t>
            </w:r>
            <w:r>
              <w:rPr>
                <w:rFonts w:hint="eastAsia" w:ascii="宋体" w:hAnsi="宋体" w:eastAsia="宋体" w:cs="宋体"/>
                <w:b/>
                <w:bCs/>
                <w:color w:val="auto"/>
                <w:szCs w:val="21"/>
                <w:highlight w:val="none"/>
                <w:lang w:eastAsia="zh-CN"/>
              </w:rPr>
              <w:t>★</w:t>
            </w:r>
            <w:r>
              <w:rPr>
                <w:rFonts w:hint="eastAsia" w:ascii="宋体" w:hAnsi="宋体" w:eastAsia="宋体" w:cs="宋体"/>
                <w:bCs/>
                <w:color w:val="auto"/>
                <w:szCs w:val="21"/>
                <w:highlight w:val="none"/>
              </w:rPr>
              <w:t>”号的为</w:t>
            </w:r>
            <w:r>
              <w:rPr>
                <w:rFonts w:hint="eastAsia" w:ascii="宋体" w:hAnsi="宋体" w:eastAsia="宋体" w:cs="宋体"/>
                <w:bCs/>
                <w:color w:val="auto"/>
                <w:szCs w:val="21"/>
                <w:highlight w:val="none"/>
                <w:lang w:val="en-US" w:eastAsia="zh-CN"/>
              </w:rPr>
              <w:t>次要</w:t>
            </w:r>
            <w:r>
              <w:rPr>
                <w:rFonts w:hint="eastAsia" w:ascii="宋体" w:hAnsi="宋体" w:eastAsia="宋体" w:cs="宋体"/>
                <w:bCs/>
                <w:color w:val="auto"/>
                <w:szCs w:val="21"/>
                <w:highlight w:val="none"/>
              </w:rPr>
              <w:t>技术指标</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每有一项负偏离扣2分；</w:t>
            </w:r>
            <w:r>
              <w:rPr>
                <w:rFonts w:hint="eastAsia" w:ascii="宋体" w:hAnsi="宋体" w:eastAsia="宋体" w:cs="宋体"/>
                <w:bCs/>
                <w:color w:val="auto"/>
                <w:szCs w:val="21"/>
                <w:highlight w:val="none"/>
              </w:rPr>
              <w:t>未标注</w:t>
            </w:r>
            <w:r>
              <w:rPr>
                <w:rFonts w:hint="eastAsia" w:ascii="宋体" w:hAnsi="宋体" w:eastAsia="宋体" w:cs="宋体"/>
                <w:bCs/>
                <w:color w:val="auto"/>
                <w:szCs w:val="21"/>
                <w:highlight w:val="none"/>
                <w:lang w:val="en-US" w:eastAsia="zh-CN"/>
              </w:rPr>
              <w:t>的</w:t>
            </w:r>
            <w:r>
              <w:rPr>
                <w:rFonts w:hint="eastAsia" w:ascii="宋体" w:hAnsi="宋体" w:eastAsia="宋体" w:cs="宋体"/>
                <w:bCs/>
                <w:color w:val="auto"/>
                <w:szCs w:val="21"/>
                <w:highlight w:val="none"/>
              </w:rPr>
              <w:t>条款</w:t>
            </w:r>
            <w:r>
              <w:rPr>
                <w:rFonts w:hint="eastAsia" w:ascii="宋体" w:hAnsi="宋体" w:eastAsia="宋体" w:cs="宋体"/>
                <w:bCs/>
                <w:color w:val="auto"/>
                <w:szCs w:val="21"/>
                <w:highlight w:val="none"/>
                <w:lang w:val="en-US" w:eastAsia="zh-CN"/>
              </w:rPr>
              <w:t>为一般条款，</w:t>
            </w:r>
            <w:r>
              <w:rPr>
                <w:rFonts w:hint="eastAsia" w:ascii="宋体" w:hAnsi="宋体" w:eastAsia="宋体" w:cs="宋体"/>
                <w:bCs/>
                <w:color w:val="auto"/>
                <w:szCs w:val="21"/>
                <w:highlight w:val="none"/>
              </w:rPr>
              <w:t>每有一项</w:t>
            </w:r>
            <w:r>
              <w:rPr>
                <w:rFonts w:hint="eastAsia" w:ascii="宋体" w:hAnsi="宋体" w:eastAsia="宋体" w:cs="宋体"/>
                <w:bCs/>
                <w:color w:val="auto"/>
                <w:szCs w:val="21"/>
                <w:highlight w:val="none"/>
                <w:lang w:val="en-US" w:eastAsia="zh-CN"/>
              </w:rPr>
              <w:t>负偏离</w:t>
            </w:r>
            <w:r>
              <w:rPr>
                <w:rFonts w:hint="eastAsia" w:ascii="宋体" w:hAnsi="宋体" w:eastAsia="宋体" w:cs="宋体"/>
                <w:bCs/>
                <w:color w:val="auto"/>
                <w:szCs w:val="21"/>
                <w:highlight w:val="none"/>
              </w:rPr>
              <w:t>扣</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分；本条最多扣</w:t>
            </w:r>
            <w:r>
              <w:rPr>
                <w:rFonts w:hint="eastAsia" w:ascii="宋体" w:hAnsi="宋体" w:eastAsia="宋体" w:cs="宋体"/>
                <w:bCs/>
                <w:color w:val="auto"/>
                <w:szCs w:val="21"/>
                <w:highlight w:val="none"/>
                <w:lang w:val="en-US" w:eastAsia="zh-CN"/>
              </w:rPr>
              <w:t>30</w:t>
            </w:r>
            <w:r>
              <w:rPr>
                <w:rFonts w:hint="eastAsia" w:ascii="宋体" w:hAnsi="宋体" w:eastAsia="宋体" w:cs="宋体"/>
                <w:bCs/>
                <w:color w:val="auto"/>
                <w:szCs w:val="21"/>
                <w:highlight w:val="none"/>
              </w:rPr>
              <w:t>分。</w:t>
            </w:r>
          </w:p>
          <w:p w14:paraId="4182172B">
            <w:pPr>
              <w:keepNext w:val="0"/>
              <w:keepLines w:val="0"/>
              <w:pageBreakBefore w:val="0"/>
              <w:widowControl/>
              <w:suppressLineNumbers w:val="0"/>
              <w:kinsoku/>
              <w:wordWrap/>
              <w:overflowPunct/>
              <w:topLinePunct w:val="0"/>
              <w:autoSpaceDE/>
              <w:autoSpaceDN/>
              <w:bidi w:val="0"/>
              <w:spacing w:line="360" w:lineRule="auto"/>
              <w:jc w:val="left"/>
              <w:rPr>
                <w:rFonts w:hint="eastAsia" w:ascii="宋体" w:hAnsi="宋体" w:eastAsia="宋体" w:cs="宋体"/>
                <w:color w:val="auto"/>
                <w:lang w:val="en-US" w:eastAsia="zh-CN"/>
              </w:rPr>
            </w:pPr>
            <w:r>
              <w:rPr>
                <w:rFonts w:hint="eastAsia" w:ascii="宋体" w:hAnsi="宋体" w:eastAsia="宋体" w:cs="宋体"/>
                <w:bCs/>
                <w:color w:val="auto"/>
                <w:szCs w:val="21"/>
                <w:highlight w:val="none"/>
              </w:rPr>
              <w:t>注：货物采购需求表中未标注“</w:t>
            </w:r>
            <w:r>
              <w:rPr>
                <w:rFonts w:hint="eastAsia" w:ascii="宋体" w:hAnsi="宋体" w:eastAsia="宋体" w:cs="宋体"/>
                <w:b/>
                <w:bCs/>
                <w:color w:val="auto"/>
                <w:szCs w:val="21"/>
                <w:highlight w:val="none"/>
                <w:lang w:eastAsia="zh-CN"/>
              </w:rPr>
              <w:t>▲</w:t>
            </w:r>
            <w:r>
              <w:rPr>
                <w:rFonts w:hint="eastAsia" w:ascii="宋体" w:hAnsi="宋体" w:eastAsia="宋体" w:cs="宋体"/>
                <w:bCs/>
                <w:color w:val="auto"/>
                <w:szCs w:val="21"/>
                <w:highlight w:val="none"/>
              </w:rPr>
              <w:t>”项的技术参数的负偏离数≥</w:t>
            </w:r>
            <w:r>
              <w:rPr>
                <w:rFonts w:hint="eastAsia" w:ascii="宋体" w:hAnsi="宋体" w:eastAsia="宋体" w:cs="宋体"/>
                <w:bCs/>
                <w:color w:val="auto"/>
                <w:szCs w:val="21"/>
                <w:highlight w:val="none"/>
                <w:lang w:val="en-US" w:eastAsia="zh-CN"/>
              </w:rPr>
              <w:t>30</w:t>
            </w:r>
            <w:r>
              <w:rPr>
                <w:rFonts w:hint="eastAsia" w:ascii="宋体" w:hAnsi="宋体" w:eastAsia="宋体" w:cs="宋体"/>
                <w:bCs/>
                <w:color w:val="auto"/>
                <w:szCs w:val="21"/>
                <w:highlight w:val="none"/>
              </w:rPr>
              <w:t>项时，投标文件作投标无效处理。</w:t>
            </w:r>
          </w:p>
        </w:tc>
      </w:tr>
      <w:tr w14:paraId="7FE2D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59171ABF">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83FFAC6">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售后服务</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452D4CBD">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15</w:t>
            </w:r>
            <w:r>
              <w:rPr>
                <w:rFonts w:hint="eastAsia" w:ascii="宋体" w:hAnsi="宋体" w:eastAsia="宋体" w:cs="宋体"/>
                <w:color w:val="000000"/>
                <w:sz w:val="21"/>
                <w:szCs w:val="21"/>
                <w:highlight w:val="none"/>
              </w:rPr>
              <w:t>分</w:t>
            </w:r>
          </w:p>
        </w:tc>
        <w:tc>
          <w:tcPr>
            <w:tcW w:w="6855" w:type="dxa"/>
            <w:tcBorders>
              <w:top w:val="single" w:color="000000" w:sz="4" w:space="0"/>
              <w:left w:val="single" w:color="000000" w:sz="4" w:space="0"/>
              <w:bottom w:val="single" w:color="000000" w:sz="4" w:space="0"/>
              <w:right w:val="single" w:color="000000" w:sz="4" w:space="0"/>
            </w:tcBorders>
            <w:noWrap w:val="0"/>
            <w:vAlign w:val="center"/>
          </w:tcPr>
          <w:p w14:paraId="7F2A31D5">
            <w:pPr>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由评标委员会各成员根据各供应商所提供的售后服务方案，包含但不限于：①技术支持方案（操作过程技术难点指导、操作人员掌握一般故障排除的技术指导、系统升级技术支持等）、②故障解决及维修方案（明确解决方法及时限）、③本地化售后服务措施、④培训方案、⑤其他增值售后服务或其它实质性优惠措施等进行独立评审打分。</w:t>
            </w:r>
          </w:p>
          <w:p w14:paraId="165E8DC1">
            <w:pPr>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一档（0分）：方案存在缺陷且缺少上述内容≥4项的或未提供方案的不得分；；</w:t>
            </w:r>
          </w:p>
          <w:p w14:paraId="4C846DDD">
            <w:pPr>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二档（</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分）：方案存在缺陷且缺少上述3项内容的；</w:t>
            </w:r>
          </w:p>
          <w:p w14:paraId="19024AF3">
            <w:pPr>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三档（</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分）：方案存在缺陷且缺少上述</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项内容的；</w:t>
            </w:r>
          </w:p>
          <w:p w14:paraId="63AD2426">
            <w:pPr>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四档（</w:t>
            </w: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分）：方案存在缺陷且缺少上述</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项内容的；</w:t>
            </w:r>
          </w:p>
          <w:p w14:paraId="573CAA84">
            <w:pPr>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五档（</w:t>
            </w:r>
            <w:r>
              <w:rPr>
                <w:rFonts w:hint="eastAsia" w:ascii="宋体" w:hAnsi="宋体" w:eastAsia="宋体" w:cs="宋体"/>
                <w:color w:val="000000"/>
                <w:sz w:val="21"/>
                <w:szCs w:val="21"/>
                <w:highlight w:val="none"/>
                <w:lang w:val="en-US" w:eastAsia="zh-CN"/>
              </w:rPr>
              <w:t>12</w:t>
            </w:r>
            <w:r>
              <w:rPr>
                <w:rFonts w:hint="eastAsia" w:ascii="宋体" w:hAnsi="宋体" w:eastAsia="宋体" w:cs="宋体"/>
                <w:color w:val="000000"/>
                <w:sz w:val="21"/>
                <w:szCs w:val="21"/>
                <w:highlight w:val="none"/>
              </w:rPr>
              <w:t>分）：方案存在缺陷且不缺少上述内容的；</w:t>
            </w:r>
          </w:p>
          <w:p w14:paraId="18DD3ABB">
            <w:pPr>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六档（1</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分）：方案不存在缺陷且不缺少上述内容的，且经评审委员会评审后认为方案很切合项目实际。</w:t>
            </w:r>
          </w:p>
          <w:p w14:paraId="4E55448C">
            <w:pPr>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评审标准中所称“缺陷”是指①套用其他项目内容；②对同一问题前后表述矛盾；③存在逻辑漏洞、科学原理或常识错误；④不利于本项目目标的实现、现有技术条件下不可能实现的情形；⑤提供的方案的内容不完整或缺少关键点。</w:t>
            </w:r>
          </w:p>
        </w:tc>
      </w:tr>
      <w:tr w14:paraId="17550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6DA0C123">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249EB14">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项目实施人员配置</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05AD0C4C">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3分</w:t>
            </w:r>
          </w:p>
        </w:tc>
        <w:tc>
          <w:tcPr>
            <w:tcW w:w="6855" w:type="dxa"/>
            <w:tcBorders>
              <w:top w:val="single" w:color="000000" w:sz="4" w:space="0"/>
              <w:left w:val="single" w:color="000000" w:sz="4" w:space="0"/>
              <w:bottom w:val="single" w:color="000000" w:sz="4" w:space="0"/>
              <w:right w:val="single" w:color="000000" w:sz="4" w:space="0"/>
            </w:tcBorders>
            <w:noWrap w:val="0"/>
            <w:vAlign w:val="center"/>
          </w:tcPr>
          <w:p w14:paraId="2ECDDA1C">
            <w:pPr>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拟投入服务人员</w:t>
            </w:r>
            <w:r>
              <w:rPr>
                <w:rFonts w:hint="eastAsia" w:ascii="宋体" w:hAnsi="宋体" w:eastAsia="宋体" w:cs="宋体"/>
                <w:color w:val="000000"/>
                <w:sz w:val="21"/>
                <w:szCs w:val="21"/>
                <w:highlight w:val="none"/>
              </w:rPr>
              <w:t>具有学士及以上学位</w:t>
            </w:r>
            <w:r>
              <w:rPr>
                <w:rFonts w:hint="eastAsia" w:ascii="宋体" w:hAnsi="宋体" w:eastAsia="宋体" w:cs="宋体"/>
                <w:color w:val="000000"/>
                <w:sz w:val="21"/>
                <w:szCs w:val="21"/>
                <w:highlight w:val="none"/>
                <w:lang w:val="en-US" w:eastAsia="zh-CN"/>
              </w:rPr>
              <w:t>和3年及以上的项目经验</w:t>
            </w:r>
            <w:r>
              <w:rPr>
                <w:rFonts w:hint="eastAsia" w:ascii="宋体" w:hAnsi="宋体" w:eastAsia="宋体" w:cs="宋体"/>
                <w:color w:val="000000"/>
                <w:sz w:val="21"/>
                <w:szCs w:val="21"/>
                <w:highlight w:val="none"/>
              </w:rPr>
              <w:t>，每</w:t>
            </w:r>
            <w:r>
              <w:rPr>
                <w:rFonts w:hint="eastAsia" w:ascii="宋体" w:hAnsi="宋体" w:eastAsia="宋体" w:cs="宋体"/>
                <w:color w:val="000000"/>
                <w:sz w:val="21"/>
                <w:szCs w:val="21"/>
                <w:highlight w:val="none"/>
                <w:lang w:val="en-US" w:eastAsia="zh-CN"/>
              </w:rPr>
              <w:t>有一人</w:t>
            </w:r>
            <w:r>
              <w:rPr>
                <w:rFonts w:hint="eastAsia" w:ascii="宋体" w:hAnsi="宋体" w:eastAsia="宋体" w:cs="宋体"/>
                <w:color w:val="000000"/>
                <w:sz w:val="21"/>
                <w:szCs w:val="21"/>
                <w:highlight w:val="none"/>
              </w:rPr>
              <w:t>符合得1分，最高得3分</w:t>
            </w:r>
            <w:r>
              <w:rPr>
                <w:rFonts w:hint="eastAsia" w:ascii="宋体" w:hAnsi="宋体" w:eastAsia="宋体" w:cs="宋体"/>
                <w:color w:val="000000"/>
                <w:sz w:val="21"/>
                <w:szCs w:val="21"/>
                <w:highlight w:val="none"/>
                <w:lang w:eastAsia="zh-CN"/>
              </w:rPr>
              <w:t>。</w:t>
            </w:r>
          </w:p>
          <w:p w14:paraId="5DEF73DD">
            <w:pPr>
              <w:keepNext w:val="0"/>
              <w:keepLines w:val="0"/>
              <w:pageBreakBefore w:val="0"/>
              <w:kinsoku/>
              <w:wordWrap/>
              <w:overflowPunct/>
              <w:topLinePunct w:val="0"/>
              <w:autoSpaceDE/>
              <w:autoSpaceDN/>
              <w:bidi w:val="0"/>
              <w:spacing w:line="360" w:lineRule="auto"/>
              <w:jc w:val="left"/>
              <w:rPr>
                <w:rFonts w:hint="default" w:ascii="宋体" w:hAnsi="宋体" w:eastAsia="宋体" w:cs="宋体"/>
                <w:sz w:val="24"/>
                <w:szCs w:val="24"/>
                <w:lang w:val="en-US" w:eastAsia="zh-CN"/>
              </w:rPr>
            </w:pPr>
            <w:r>
              <w:rPr>
                <w:rFonts w:hint="eastAsia" w:ascii="宋体" w:hAnsi="宋体" w:eastAsia="宋体" w:cs="宋体"/>
                <w:color w:val="000000"/>
                <w:sz w:val="21"/>
                <w:szCs w:val="21"/>
                <w:highlight w:val="none"/>
              </w:rPr>
              <w:t>注：需提供学位证</w:t>
            </w:r>
            <w:r>
              <w:rPr>
                <w:rFonts w:hint="eastAsia" w:ascii="宋体" w:hAnsi="宋体" w:eastAsia="宋体" w:cs="宋体"/>
                <w:color w:val="000000"/>
                <w:sz w:val="21"/>
                <w:szCs w:val="21"/>
                <w:highlight w:val="none"/>
                <w:lang w:val="en-US" w:eastAsia="zh-CN"/>
              </w:rPr>
              <w:t>和项目经验（包含但不限于个人履历证明材料）</w:t>
            </w:r>
            <w:r>
              <w:rPr>
                <w:rFonts w:hint="eastAsia" w:ascii="宋体" w:hAnsi="宋体" w:eastAsia="宋体" w:cs="宋体"/>
                <w:color w:val="000000"/>
                <w:sz w:val="21"/>
                <w:szCs w:val="21"/>
                <w:highlight w:val="none"/>
              </w:rPr>
              <w:t>等相关材料。</w:t>
            </w:r>
          </w:p>
        </w:tc>
      </w:tr>
      <w:tr w14:paraId="5D70F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47228EF5">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F7FA258">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项目业绩</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4B1F1193">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10分</w:t>
            </w:r>
          </w:p>
        </w:tc>
        <w:tc>
          <w:tcPr>
            <w:tcW w:w="6855" w:type="dxa"/>
            <w:tcBorders>
              <w:top w:val="single" w:color="000000" w:sz="4" w:space="0"/>
              <w:left w:val="single" w:color="000000" w:sz="4" w:space="0"/>
              <w:bottom w:val="single" w:color="000000" w:sz="4" w:space="0"/>
              <w:right w:val="single" w:color="000000" w:sz="4" w:space="0"/>
            </w:tcBorders>
            <w:noWrap w:val="0"/>
            <w:vAlign w:val="center"/>
          </w:tcPr>
          <w:p w14:paraId="03188845">
            <w:pPr>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供应商自202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年1月1日以来具有</w:t>
            </w:r>
            <w:r>
              <w:rPr>
                <w:rFonts w:hint="eastAsia" w:ascii="Times New Roman" w:hAnsi="Times New Roman" w:eastAsia="宋体" w:cs="Times New Roman"/>
                <w:lang w:val="en-US" w:eastAsia="zh-CN"/>
              </w:rPr>
              <w:t>类似项目</w:t>
            </w:r>
            <w:r>
              <w:rPr>
                <w:rFonts w:hint="eastAsia" w:ascii="宋体" w:hAnsi="宋体" w:eastAsia="宋体" w:cs="宋体"/>
                <w:color w:val="auto"/>
                <w:sz w:val="21"/>
                <w:szCs w:val="21"/>
                <w:highlight w:val="none"/>
                <w:lang w:val="en-US" w:eastAsia="zh-CN"/>
              </w:rPr>
              <w:t>销售业绩的，每提供1项业绩得2分，最多得10分。</w:t>
            </w:r>
          </w:p>
          <w:p w14:paraId="3DD343D0">
            <w:pPr>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类似项目业绩是指单个业绩证明材料须至少包含本次投标产品其中2种（含）以上设备的销售业绩，以中标、成交通知书或签订的销售合同为准，并能清晰反映所销售的货物名称、种类、金额，否则将不予评审；同一个编号的项目有两个或两个以上的分标中标或成交的只算一次。</w:t>
            </w:r>
          </w:p>
        </w:tc>
      </w:tr>
      <w:tr w14:paraId="39080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29C898E6">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A269599">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政策</w:t>
            </w:r>
          </w:p>
          <w:p w14:paraId="0265BEF1">
            <w:pPr>
              <w:keepNext w:val="0"/>
              <w:keepLines w:val="0"/>
              <w:pageBreakBefore w:val="0"/>
              <w:kinsoku/>
              <w:wordWrap/>
              <w:overflowPunct/>
              <w:topLinePunct w:val="0"/>
              <w:autoSpaceDE/>
              <w:autoSpaceDN/>
              <w:bidi w:val="0"/>
              <w:adjustRightIn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功能分</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14:paraId="4F5BB5B3">
            <w:pPr>
              <w:keepNext w:val="0"/>
              <w:keepLines w:val="0"/>
              <w:pageBreakBefore w:val="0"/>
              <w:kinsoku/>
              <w:wordWrap/>
              <w:overflowPunct/>
              <w:topLinePunct w:val="0"/>
              <w:autoSpaceDE/>
              <w:autoSpaceDN/>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2分</w:t>
            </w:r>
          </w:p>
        </w:tc>
        <w:tc>
          <w:tcPr>
            <w:tcW w:w="6855" w:type="dxa"/>
            <w:tcBorders>
              <w:top w:val="single" w:color="000000" w:sz="4" w:space="0"/>
              <w:left w:val="single" w:color="000000" w:sz="4" w:space="0"/>
              <w:bottom w:val="single" w:color="000000" w:sz="4" w:space="0"/>
              <w:right w:val="single" w:color="000000" w:sz="4" w:space="0"/>
            </w:tcBorders>
            <w:noWrap w:val="0"/>
            <w:vAlign w:val="top"/>
          </w:tcPr>
          <w:p w14:paraId="56FA624B">
            <w:pPr>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节能产品分（满分1分）：属于财政部《节能产品政府采购品目清单》内优先采购（清单内未标注“★”的品目）的产品[投标文件中提供有效的认证证书复印件及品目清单（标注出投标产品在品目清单中所属的品目），并加盖供应商公章]，根据其所占项目（或者分标）预算金额比例得0至1分，满分1分。非节能产品的不得分。</w:t>
            </w:r>
          </w:p>
          <w:p w14:paraId="35388664">
            <w:pPr>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环保标志产品分（满分1分）：属于财政部《环境标志产品政府采购品目清单》内的产品[投标文件中提供有效的认证证书复印件及品目清单（标注出投标产品在品目清单中所属的品目），并加盖供应商公章]，根据其所占项目（或者分标）预算金额比例得0至1分，满分1分；非环境标志产品的不得分。</w:t>
            </w:r>
          </w:p>
        </w:tc>
      </w:tr>
    </w:tbl>
    <w:p w14:paraId="1E9AB60A">
      <w:pPr>
        <w:widowControl w:val="0"/>
        <w:spacing w:line="360" w:lineRule="auto"/>
        <w:ind w:firstLine="420"/>
        <w:jc w:val="both"/>
        <w:rPr>
          <w:rFonts w:hint="eastAsia" w:ascii="宋体" w:hAnsi="宋体" w:eastAsia="宋体" w:cs="宋体"/>
          <w:bCs/>
          <w:color w:val="auto"/>
          <w:kern w:val="2"/>
          <w:sz w:val="24"/>
          <w:szCs w:val="22"/>
          <w:highlight w:val="none"/>
          <w:lang w:val="en-US" w:eastAsia="zh-CN" w:bidi="ar-SA"/>
        </w:rPr>
      </w:pPr>
      <w:r>
        <w:rPr>
          <w:rFonts w:hint="eastAsia" w:ascii="宋体" w:hAnsi="宋体" w:eastAsia="宋体" w:cs="宋体"/>
          <w:bCs/>
          <w:color w:val="auto"/>
          <w:kern w:val="2"/>
          <w:sz w:val="24"/>
          <w:szCs w:val="22"/>
          <w:highlight w:val="none"/>
          <w:lang w:val="en-US" w:eastAsia="zh-CN" w:bidi="ar-SA"/>
        </w:rPr>
        <w:t>1、计分方法按四舍五入取至百分位。</w:t>
      </w:r>
    </w:p>
    <w:p w14:paraId="3FB29C15">
      <w:pPr>
        <w:widowControl w:val="0"/>
        <w:spacing w:line="360" w:lineRule="auto"/>
        <w:ind w:firstLine="420"/>
        <w:jc w:val="both"/>
        <w:rPr>
          <w:rFonts w:hint="eastAsia" w:ascii="宋体" w:hAnsi="宋体" w:eastAsia="宋体" w:cs="宋体"/>
          <w:bCs/>
          <w:color w:val="auto"/>
          <w:kern w:val="2"/>
          <w:sz w:val="24"/>
          <w:szCs w:val="22"/>
          <w:highlight w:val="none"/>
          <w:u w:val="single"/>
          <w:lang w:val="en-US" w:eastAsia="zh-CN" w:bidi="ar-SA"/>
        </w:rPr>
      </w:pPr>
      <w:r>
        <w:rPr>
          <w:rFonts w:hint="eastAsia" w:ascii="宋体" w:hAnsi="宋体" w:eastAsia="宋体" w:cs="宋体"/>
          <w:bCs/>
          <w:color w:val="auto"/>
          <w:kern w:val="2"/>
          <w:sz w:val="24"/>
          <w:szCs w:val="22"/>
          <w:highlight w:val="none"/>
          <w:lang w:val="en-US" w:eastAsia="zh-CN" w:bidi="ar-SA"/>
        </w:rPr>
        <w:t>总得分=</w:t>
      </w:r>
      <w:r>
        <w:rPr>
          <w:rFonts w:hint="eastAsia" w:ascii="宋体" w:hAnsi="宋体" w:eastAsia="宋体" w:cs="宋体"/>
          <w:bCs/>
          <w:color w:val="auto"/>
          <w:kern w:val="2"/>
          <w:sz w:val="24"/>
          <w:szCs w:val="22"/>
          <w:highlight w:val="none"/>
          <w:u w:val="single"/>
          <w:lang w:val="en-US" w:eastAsia="zh-CN" w:bidi="ar-SA"/>
        </w:rPr>
        <w:t xml:space="preserve">    价格分+</w:t>
      </w:r>
      <w:r>
        <w:rPr>
          <w:rFonts w:hint="eastAsia" w:ascii="宋体" w:hAnsi="宋体" w:eastAsia="宋体" w:cs="宋体"/>
          <w:color w:val="auto"/>
          <w:kern w:val="2"/>
          <w:sz w:val="24"/>
          <w:szCs w:val="24"/>
          <w:highlight w:val="none"/>
          <w:u w:val="single"/>
          <w:lang w:val="en-US" w:eastAsia="zh-CN" w:bidi="ar-SA"/>
        </w:rPr>
        <w:t>技术分+</w:t>
      </w:r>
      <w:r>
        <w:rPr>
          <w:rFonts w:hint="eastAsia" w:ascii="宋体" w:hAnsi="宋体" w:eastAsia="宋体" w:cs="宋体"/>
          <w:bCs/>
          <w:color w:val="auto"/>
          <w:kern w:val="2"/>
          <w:sz w:val="24"/>
          <w:szCs w:val="22"/>
          <w:highlight w:val="none"/>
          <w:u w:val="single"/>
          <w:lang w:val="en-US" w:eastAsia="zh-CN" w:bidi="ar-SA"/>
        </w:rPr>
        <w:t xml:space="preserve">商务分       </w:t>
      </w:r>
    </w:p>
    <w:p w14:paraId="07992DD2">
      <w:pPr>
        <w:widowControl w:val="0"/>
        <w:spacing w:line="360" w:lineRule="auto"/>
        <w:ind w:firstLine="420"/>
        <w:jc w:val="both"/>
        <w:rPr>
          <w:rFonts w:hint="eastAsia" w:ascii="宋体" w:hAnsi="宋体" w:eastAsia="宋体" w:cs="宋体"/>
          <w:bCs/>
          <w:color w:val="auto"/>
          <w:kern w:val="2"/>
          <w:sz w:val="24"/>
          <w:szCs w:val="22"/>
          <w:highlight w:val="none"/>
          <w:u w:val="single"/>
          <w:lang w:val="en-US" w:eastAsia="zh-CN" w:bidi="ar-SA"/>
        </w:rPr>
      </w:pPr>
      <w:r>
        <w:rPr>
          <w:rFonts w:hint="eastAsia" w:ascii="宋体" w:hAnsi="宋体" w:eastAsia="宋体" w:cs="宋体"/>
          <w:bCs/>
          <w:color w:val="auto"/>
          <w:kern w:val="2"/>
          <w:sz w:val="24"/>
          <w:szCs w:val="22"/>
          <w:highlight w:val="none"/>
          <w:lang w:val="en-US" w:eastAsia="zh-CN" w:bidi="ar-SA"/>
        </w:rPr>
        <w:t>2、商务技术评审因素为客观评分项的，应在评分项目或评分标准中予以标注为“客观分”。对投标人的客观评分项目，各评标专家评分应当一致。</w:t>
      </w:r>
    </w:p>
    <w:p w14:paraId="46A79E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投标人编制投标文件（商务技术文件部分）时，建议按此目录（序号和内容）提供评标标准相应的商务技术资料。</w:t>
      </w:r>
    </w:p>
    <w:p w14:paraId="43560FE8">
      <w:pPr>
        <w:adjustRightInd/>
        <w:spacing w:line="360" w:lineRule="auto"/>
        <w:outlineLvl w:val="1"/>
        <w:rPr>
          <w:rFonts w:ascii="宋体" w:hAnsi="宋体" w:cs="宋体"/>
          <w:b/>
          <w:color w:val="auto"/>
          <w:sz w:val="32"/>
          <w:highlight w:val="none"/>
        </w:rPr>
      </w:pPr>
      <w:r>
        <w:rPr>
          <w:rFonts w:hint="eastAsia" w:ascii="宋体" w:hAnsi="宋体" w:cs="宋体"/>
          <w:b/>
          <w:color w:val="auto"/>
          <w:sz w:val="32"/>
          <w:highlight w:val="none"/>
        </w:rPr>
        <w:t>一、评标方法</w:t>
      </w:r>
    </w:p>
    <w:p w14:paraId="60A1FEBD">
      <w:pPr>
        <w:adjustRightInd/>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1.本项目采用的评标方法:</w:t>
      </w:r>
    </w:p>
    <w:p w14:paraId="6AFC4C7D">
      <w:pPr>
        <w:adjustRightInd/>
        <w:spacing w:line="360" w:lineRule="auto"/>
        <w:ind w:firstLine="480" w:firstLineChars="200"/>
        <w:rPr>
          <w:rFonts w:ascii="宋体" w:hAnsi="宋体" w:cs="宋体"/>
          <w:color w:val="auto"/>
          <w:kern w:val="0"/>
          <w:sz w:val="24"/>
          <w:highlight w:val="none"/>
        </w:rPr>
      </w:pPr>
      <w:r>
        <w:rPr>
          <w:rFonts w:ascii="Wingdings" w:hAnsi="Wingdings" w:cs="宋体"/>
          <w:color w:val="auto"/>
          <w:kern w:val="0"/>
          <w:sz w:val="24"/>
          <w:highlight w:val="none"/>
        </w:rPr>
        <w:sym w:font="Wingdings" w:char="F0FE"/>
      </w:r>
      <w:r>
        <w:rPr>
          <w:rFonts w:hint="eastAsia" w:ascii="宋体" w:hAnsi="宋体" w:cs="宋体"/>
          <w:color w:val="auto"/>
          <w:kern w:val="0"/>
          <w:sz w:val="24"/>
          <w:highlight w:val="none"/>
        </w:rPr>
        <w:t>A</w:t>
      </w:r>
      <w:r>
        <w:rPr>
          <w:rFonts w:hint="eastAsia" w:ascii="宋体" w:hAnsi="宋体" w:cs="宋体"/>
          <w:b/>
          <w:color w:val="auto"/>
          <w:kern w:val="0"/>
          <w:sz w:val="24"/>
          <w:highlight w:val="none"/>
        </w:rPr>
        <w:t>综合评分法</w:t>
      </w:r>
      <w:r>
        <w:rPr>
          <w:rFonts w:hint="eastAsia" w:ascii="宋体" w:hAnsi="宋体" w:cs="宋体"/>
          <w:color w:val="auto"/>
          <w:sz w:val="24"/>
          <w:highlight w:val="none"/>
        </w:rPr>
        <w:t>。</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CFB193E">
      <w:pPr>
        <w:adjustRightInd/>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B最低评标价法</w:t>
      </w:r>
      <w:r>
        <w:rPr>
          <w:rFonts w:hint="eastAsia" w:ascii="宋体" w:hAnsi="宋体" w:cs="宋体"/>
          <w:b/>
          <w:color w:val="auto"/>
          <w:kern w:val="0"/>
          <w:sz w:val="24"/>
          <w:highlight w:val="none"/>
        </w:rPr>
        <w:t>。</w:t>
      </w:r>
      <w:r>
        <w:rPr>
          <w:rFonts w:hint="eastAsia" w:ascii="宋体" w:hAnsi="宋体" w:cs="宋体"/>
          <w:color w:val="auto"/>
          <w:kern w:val="0"/>
          <w:sz w:val="24"/>
          <w:highlight w:val="none"/>
        </w:rPr>
        <w:t>最低评标价法，是指投标文件满足招标文件全部实质性要求，且投标报价最低的投标人为中标候选人的评标方法。</w:t>
      </w:r>
    </w:p>
    <w:p w14:paraId="213A9F0D">
      <w:pPr>
        <w:adjustRightInd/>
        <w:spacing w:line="360" w:lineRule="auto"/>
        <w:outlineLvl w:val="1"/>
        <w:rPr>
          <w:rFonts w:ascii="宋体" w:hAnsi="宋体" w:cs="宋体"/>
          <w:color w:val="auto"/>
          <w:kern w:val="0"/>
          <w:sz w:val="24"/>
          <w:highlight w:val="none"/>
        </w:rPr>
      </w:pPr>
      <w:r>
        <w:rPr>
          <w:rFonts w:hint="eastAsia" w:ascii="宋体" w:hAnsi="宋体" w:cs="宋体"/>
          <w:b/>
          <w:color w:val="auto"/>
          <w:sz w:val="32"/>
          <w:highlight w:val="none"/>
        </w:rPr>
        <w:t>二、评标标准</w:t>
      </w:r>
    </w:p>
    <w:p w14:paraId="780F5B9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sz w:val="24"/>
          <w:highlight w:val="none"/>
        </w:rPr>
        <w:t>采用综合评分法的，评标标准</w:t>
      </w:r>
      <w:r>
        <w:rPr>
          <w:rFonts w:hint="eastAsia" w:ascii="宋体" w:hAnsi="宋体" w:cs="宋体"/>
          <w:color w:val="auto"/>
          <w:kern w:val="0"/>
          <w:sz w:val="24"/>
          <w:highlight w:val="none"/>
        </w:rPr>
        <w:t>见评标办法前附表。采用最低评标价法评标时，除了算术修正和落实政府采购政策需进行的价格扣除外，不能对投标人的投标价格进行任何调整。</w:t>
      </w:r>
    </w:p>
    <w:p w14:paraId="6365F135">
      <w:pPr>
        <w:spacing w:line="360" w:lineRule="auto"/>
        <w:outlineLvl w:val="1"/>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689C55B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5505FA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2B7509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采用综合评分法时，评标委员会各成员应当独立对每个投标人的商务和技术文件进行评价，并汇总商务技术得分情况。</w:t>
      </w:r>
    </w:p>
    <w:p w14:paraId="4E1CAA0E">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B7A3888">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1787C425">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D5672F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2133BB5">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AFAF8C6">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2CA8E95">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086B7C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FAF462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F319A19">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454F8F6">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3.4.5对于未预留份额专门面向中小企业采购的政府采购项目，以及预留份额政府采购项目中的非预留部分标项，对小型和微型企业的投标报价给予</w:t>
      </w:r>
      <w:r>
        <w:rPr>
          <w:rFonts w:ascii="宋体" w:hAnsi="宋体" w:cs="宋体"/>
          <w:b/>
          <w:bCs/>
          <w:color w:val="auto"/>
          <w:kern w:val="0"/>
          <w:szCs w:val="24"/>
          <w:highlight w:val="none"/>
        </w:rPr>
        <w:t>20</w:t>
      </w:r>
      <w:r>
        <w:rPr>
          <w:rFonts w:hint="eastAsia" w:ascii="宋体" w:hAnsi="宋体" w:cs="宋体"/>
          <w:b/>
          <w:bCs/>
          <w:color w:val="auto"/>
          <w:kern w:val="0"/>
          <w:szCs w:val="24"/>
          <w:highlight w:val="none"/>
        </w:rPr>
        <w:t>%</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081E9C7">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3.5排序与推荐。</w:t>
      </w:r>
    </w:p>
    <w:p w14:paraId="30C35B83">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3.5.1</w:t>
      </w:r>
      <w:r>
        <w:rPr>
          <w:rFonts w:hint="eastAsia" w:ascii="宋体" w:hAnsi="宋体" w:cs="宋体"/>
          <w:color w:val="auto"/>
          <w:kern w:val="0"/>
          <w:sz w:val="24"/>
          <w:highlight w:val="none"/>
        </w:rPr>
        <w:t>采用综合评分法的，评标结果按评审后得分由高到低顺序排列。得分相同的，按投标报价由低到高顺序排列。得分相同且投标报价相同的，按技术指标优劣顺序排列。投标文件满足招标文件全部实质性要求，且按照评审因素的量化指标评审得分最高的投标人为排名第一的中标候选人。</w:t>
      </w:r>
    </w:p>
    <w:p w14:paraId="64F2649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135CEF1">
      <w:pPr>
        <w:pStyle w:val="84"/>
        <w:rPr>
          <w:rFonts w:cs="宋体"/>
          <w:color w:val="auto"/>
          <w:highlight w:val="none"/>
        </w:rPr>
      </w:pPr>
      <w:r>
        <w:rPr>
          <w:rFonts w:hint="eastAsia" w:cs="宋体"/>
          <w:color w:val="auto"/>
          <w:highlight w:val="none"/>
        </w:rPr>
        <w:t>3.5.2采用最低评标价法的，评标结果按投标报价由低到高顺序排列。评标价相同时，由评标委员会根据投标文件中技术、服务、合同条款及其它实质性要求等情况，按照择优选择的原则，集体讨论确定排序，并按确定排序由优到劣的原则推荐中标候选人。投标文件满足招标文件全部实质性要求且投标报价最低的投标人为排名第一的中标候选人。</w:t>
      </w:r>
    </w:p>
    <w:p w14:paraId="0B7C9B95">
      <w:pPr>
        <w:pStyle w:val="84"/>
        <w:rPr>
          <w:color w:val="auto"/>
          <w:highlight w:val="none"/>
        </w:rPr>
      </w:pPr>
      <w:r>
        <w:rPr>
          <w:rFonts w:hint="eastAsia" w:cs="宋体"/>
          <w:color w:val="auto"/>
          <w:highlight w:val="none"/>
        </w:rPr>
        <w:t>多家投标人提供相同品牌产品（单一产品采购项目中的该产品或者非单一产品采购项目的核心产品）且通过资格审查、符合性审查的不同投标人参加同一合同项下投标的，按一家投标人计算，评审后报价最低的同品牌投标人获得中标人推荐资格；报价相同的，由采购人或者采购人委托评标委员会按照招标文件规定的方式确定一个投标人获得中标人推荐资格，招标文件未规定的采取随机抽取方式确定，其他同品牌投标人不作为中标候选人。</w:t>
      </w:r>
    </w:p>
    <w:p w14:paraId="3313396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82E07CD">
      <w:pPr>
        <w:widowControl/>
        <w:shd w:val="clear" w:color="auto" w:fill="FFFFFF"/>
        <w:adjustRightInd/>
        <w:spacing w:line="360" w:lineRule="auto"/>
        <w:jc w:val="left"/>
        <w:outlineLvl w:val="1"/>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28888D4">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A5470FA">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D0C83E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5DA6C4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806960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01BE41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BED2BE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EE4AD9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C51EC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1E44B4E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487CA9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D07B17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754E7748">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081A607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6F7D73C">
      <w:pPr>
        <w:pStyle w:val="84"/>
        <w:rPr>
          <w:b/>
          <w:bCs/>
          <w:color w:val="auto"/>
          <w:highlight w:val="none"/>
        </w:rPr>
      </w:pPr>
      <w:r>
        <w:rPr>
          <w:rFonts w:hint="eastAsia"/>
          <w:color w:val="auto"/>
          <w:highlight w:val="none"/>
        </w:rPr>
        <w:t>4.2.13 投标文件不满足招标文件的其它实质性要求的；</w:t>
      </w:r>
    </w:p>
    <w:p w14:paraId="60805F7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58D9CB01">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9DD8F5F">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9F92003">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47238C99">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465D7BA2">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5FF86316">
      <w:pPr>
        <w:pStyle w:val="24"/>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5A8BDF77">
      <w:pPr>
        <w:pStyle w:val="24"/>
        <w:snapToGrid w:val="0"/>
        <w:spacing w:line="360" w:lineRule="auto"/>
        <w:ind w:firstLine="482"/>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BA25FCF">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8E886CC">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0E3E607">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2957261">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5624BBF">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33D12468">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2721EE4">
      <w:pPr>
        <w:pStyle w:val="84"/>
        <w:ind w:firstLine="0"/>
        <w:rPr>
          <w:b/>
          <w:color w:val="auto"/>
          <w:sz w:val="32"/>
          <w:szCs w:val="32"/>
          <w:highlight w:val="none"/>
        </w:rPr>
      </w:pPr>
      <w:r>
        <w:rPr>
          <w:rFonts w:hint="eastAsia"/>
          <w:b/>
          <w:color w:val="auto"/>
          <w:sz w:val="32"/>
          <w:szCs w:val="32"/>
          <w:highlight w:val="none"/>
        </w:rPr>
        <w:t>五、评审过程的保密与录像</w:t>
      </w:r>
    </w:p>
    <w:p w14:paraId="02B28C98">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8.1.保密。</w:t>
      </w:r>
      <w:r>
        <w:rPr>
          <w:rFonts w:hint="eastAsia" w:cs="仿宋_GB2312" w:asciiTheme="minorEastAsia" w:hAnsiTheme="minorEastAsia" w:eastAsiaTheme="minorEastAsia"/>
          <w:color w:val="auto"/>
          <w:sz w:val="24"/>
          <w:highlight w:val="none"/>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14:paraId="551271CB">
      <w:pPr>
        <w:pStyle w:val="24"/>
        <w:snapToGrid w:val="0"/>
        <w:spacing w:line="360" w:lineRule="auto"/>
        <w:ind w:firstLine="482"/>
        <w:rPr>
          <w:rFonts w:cs="宋体"/>
          <w:color w:val="auto"/>
          <w:highlight w:val="none"/>
        </w:rPr>
      </w:pPr>
      <w:r>
        <w:rPr>
          <w:rFonts w:hint="eastAsia" w:cs="仿宋_GB2312" w:asciiTheme="minorEastAsia" w:hAnsiTheme="minorEastAsia" w:eastAsiaTheme="minorEastAsia"/>
          <w:b/>
          <w:color w:val="auto"/>
          <w:highlight w:val="none"/>
        </w:rPr>
        <w:t>8.2.录音录像。</w:t>
      </w:r>
      <w:r>
        <w:rPr>
          <w:rFonts w:hint="eastAsia" w:cs="仿宋_GB2312" w:asciiTheme="minorEastAsia" w:hAnsiTheme="minorEastAsia" w:eastAsiaTheme="minorEastAsia"/>
          <w:color w:val="auto"/>
          <w:highlight w:val="none"/>
        </w:rPr>
        <w:t>采购代理机构对评审工作现场进行全过程录音录像，录音录像资料作为采购项目文件随其他文件一并存档。</w:t>
      </w:r>
    </w:p>
    <w:bookmarkEnd w:id="37"/>
    <w:p w14:paraId="2C79DC1C">
      <w:pPr>
        <w:pStyle w:val="84"/>
        <w:ind w:left="0" w:leftChars="0" w:firstLine="0" w:firstLineChars="0"/>
        <w:rPr>
          <w:color w:val="auto"/>
          <w:highlight w:val="none"/>
        </w:rPr>
      </w:pPr>
      <w:bookmarkStart w:id="465" w:name="第五部分"/>
      <w:bookmarkStart w:id="466" w:name="_Toc86217003"/>
      <w:r>
        <w:rPr>
          <w:color w:val="auto"/>
          <w:highlight w:val="none"/>
        </w:rPr>
        <w:br w:type="page"/>
      </w:r>
    </w:p>
    <w:p w14:paraId="722572FD">
      <w:pPr>
        <w:pStyle w:val="84"/>
        <w:rPr>
          <w:color w:val="auto"/>
          <w:highlight w:val="none"/>
        </w:rPr>
      </w:pPr>
    </w:p>
    <w:p w14:paraId="3C7D9797">
      <w:pPr>
        <w:spacing w:line="360" w:lineRule="auto"/>
        <w:jc w:val="center"/>
        <w:outlineLvl w:val="0"/>
        <w:rPr>
          <w:rFonts w:ascii="宋体" w:hAnsi="宋体" w:cs="宋体"/>
          <w:b/>
          <w:color w:val="auto"/>
          <w:sz w:val="36"/>
          <w:szCs w:val="36"/>
          <w:highlight w:val="none"/>
        </w:rPr>
      </w:pPr>
      <w:bookmarkStart w:id="467" w:name="_Toc176185125"/>
      <w:bookmarkStart w:id="468" w:name="_Toc176343852"/>
      <w:r>
        <w:rPr>
          <w:rFonts w:hint="eastAsia" w:ascii="宋体" w:hAnsi="宋体" w:cs="宋体"/>
          <w:b/>
          <w:color w:val="auto"/>
          <w:sz w:val="36"/>
          <w:szCs w:val="36"/>
          <w:highlight w:val="none"/>
        </w:rPr>
        <w:t>第五部分  拟签订的合同文本</w:t>
      </w:r>
      <w:bookmarkEnd w:id="467"/>
      <w:bookmarkEnd w:id="468"/>
    </w:p>
    <w:p w14:paraId="1A8744DF">
      <w:pPr>
        <w:adjustRightInd/>
        <w:spacing w:line="600" w:lineRule="exact"/>
        <w:ind w:firstLine="1044"/>
        <w:rPr>
          <w:rFonts w:ascii="宋体" w:hAnsi="宋体" w:cs="宋体"/>
          <w:b/>
          <w:color w:val="auto"/>
          <w:kern w:val="0"/>
          <w:sz w:val="52"/>
          <w:szCs w:val="52"/>
          <w:highlight w:val="none"/>
        </w:rPr>
      </w:pPr>
    </w:p>
    <w:p w14:paraId="40677A8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“政采云”平台合同编号：</w:t>
      </w:r>
      <w:r>
        <w:rPr>
          <w:rFonts w:hint="eastAsia" w:ascii="宋体" w:hAnsi="宋体" w:eastAsia="宋体" w:cs="宋体"/>
          <w:color w:val="auto"/>
          <w:sz w:val="24"/>
          <w:highlight w:val="none"/>
          <w:u w:val="single"/>
        </w:rPr>
        <w:t xml:space="preserve">           </w:t>
      </w:r>
    </w:p>
    <w:p w14:paraId="03C22779">
      <w:pPr>
        <w:widowControl w:val="0"/>
        <w:jc w:val="center"/>
        <w:outlineLvl w:val="9"/>
        <w:rPr>
          <w:rFonts w:hint="eastAsia" w:ascii="宋体" w:hAnsi="宋体" w:eastAsia="宋体" w:cs="宋体"/>
          <w:color w:val="auto"/>
          <w:kern w:val="2"/>
          <w:sz w:val="44"/>
          <w:szCs w:val="44"/>
          <w:highlight w:val="none"/>
          <w:lang w:val="en-US" w:eastAsia="zh-CN" w:bidi="ar-SA"/>
        </w:rPr>
      </w:pPr>
    </w:p>
    <w:p w14:paraId="2E93214F">
      <w:pPr>
        <w:widowControl w:val="0"/>
        <w:jc w:val="center"/>
        <w:outlineLvl w:val="9"/>
        <w:rPr>
          <w:rFonts w:hint="eastAsia" w:ascii="宋体" w:hAnsi="宋体" w:eastAsia="宋体" w:cs="宋体"/>
          <w:color w:val="auto"/>
          <w:kern w:val="2"/>
          <w:sz w:val="44"/>
          <w:szCs w:val="44"/>
          <w:highlight w:val="none"/>
          <w:lang w:val="en-US" w:eastAsia="zh-CN" w:bidi="ar-SA"/>
        </w:rPr>
      </w:pPr>
    </w:p>
    <w:p w14:paraId="3BF30FAD">
      <w:pPr>
        <w:widowControl w:val="0"/>
        <w:jc w:val="center"/>
        <w:outlineLvl w:val="9"/>
        <w:rPr>
          <w:rFonts w:hint="eastAsia" w:ascii="宋体" w:hAnsi="宋体" w:eastAsia="宋体" w:cs="宋体"/>
          <w:color w:val="auto"/>
          <w:kern w:val="2"/>
          <w:sz w:val="44"/>
          <w:szCs w:val="44"/>
          <w:highlight w:val="none"/>
          <w:lang w:val="en-US" w:eastAsia="zh-CN" w:bidi="ar-SA"/>
        </w:rPr>
      </w:pPr>
      <w:r>
        <w:rPr>
          <w:rFonts w:hint="eastAsia" w:ascii="宋体" w:hAnsi="宋体" w:eastAsia="宋体" w:cs="宋体"/>
          <w:color w:val="auto"/>
          <w:kern w:val="2"/>
          <w:sz w:val="44"/>
          <w:szCs w:val="44"/>
          <w:highlight w:val="none"/>
          <w:lang w:val="en-US" w:eastAsia="zh-CN" w:bidi="ar-SA"/>
        </w:rPr>
        <w:t>北海市政府采购合同</w:t>
      </w:r>
    </w:p>
    <w:p w14:paraId="30DE3C1A">
      <w:pPr>
        <w:widowControl w:val="0"/>
        <w:spacing w:line="600" w:lineRule="exact"/>
        <w:jc w:val="both"/>
        <w:outlineLvl w:val="9"/>
        <w:rPr>
          <w:rFonts w:hint="eastAsia" w:ascii="宋体" w:hAnsi="宋体" w:eastAsia="宋体" w:cs="宋体"/>
          <w:color w:val="auto"/>
          <w:kern w:val="2"/>
          <w:sz w:val="21"/>
          <w:szCs w:val="20"/>
          <w:highlight w:val="none"/>
          <w:lang w:val="en-US" w:eastAsia="zh-CN" w:bidi="ar-SA"/>
        </w:rPr>
      </w:pPr>
    </w:p>
    <w:p w14:paraId="0E087939">
      <w:pPr>
        <w:widowControl w:val="0"/>
        <w:spacing w:line="600" w:lineRule="exact"/>
        <w:jc w:val="both"/>
        <w:outlineLvl w:val="9"/>
        <w:rPr>
          <w:rFonts w:hint="eastAsia" w:ascii="宋体" w:hAnsi="宋体" w:eastAsia="宋体" w:cs="宋体"/>
          <w:color w:val="auto"/>
          <w:kern w:val="2"/>
          <w:sz w:val="21"/>
          <w:szCs w:val="20"/>
          <w:highlight w:val="none"/>
          <w:lang w:val="en-US" w:eastAsia="zh-CN" w:bidi="ar-SA"/>
        </w:rPr>
      </w:pPr>
    </w:p>
    <w:p w14:paraId="652B1431">
      <w:pPr>
        <w:widowControl w:val="0"/>
        <w:spacing w:line="600" w:lineRule="exact"/>
        <w:jc w:val="both"/>
        <w:outlineLvl w:val="9"/>
        <w:rPr>
          <w:rFonts w:hint="eastAsia" w:ascii="宋体" w:hAnsi="宋体" w:eastAsia="宋体" w:cs="宋体"/>
          <w:color w:val="auto"/>
          <w:kern w:val="2"/>
          <w:sz w:val="21"/>
          <w:szCs w:val="20"/>
          <w:highlight w:val="none"/>
          <w:lang w:val="en-US" w:eastAsia="zh-CN" w:bidi="ar-SA"/>
        </w:rPr>
      </w:pPr>
    </w:p>
    <w:p w14:paraId="2F28F2DD">
      <w:pPr>
        <w:widowControl w:val="0"/>
        <w:spacing w:line="600" w:lineRule="exact"/>
        <w:jc w:val="both"/>
        <w:outlineLvl w:val="9"/>
        <w:rPr>
          <w:rFonts w:hint="eastAsia" w:ascii="宋体" w:hAnsi="宋体" w:eastAsia="宋体" w:cs="宋体"/>
          <w:color w:val="auto"/>
          <w:kern w:val="2"/>
          <w:sz w:val="21"/>
          <w:szCs w:val="20"/>
          <w:highlight w:val="none"/>
          <w:lang w:val="en-US" w:eastAsia="zh-CN" w:bidi="ar-SA"/>
        </w:rPr>
      </w:pPr>
    </w:p>
    <w:p w14:paraId="4CFD53D1">
      <w:pPr>
        <w:widowControl w:val="0"/>
        <w:spacing w:line="700" w:lineRule="exact"/>
        <w:ind w:firstLine="1979" w:firstLineChars="707"/>
        <w:jc w:val="both"/>
        <w:outlineLvl w:val="9"/>
        <w:rPr>
          <w:rFonts w:hint="eastAsia" w:ascii="宋体" w:hAnsi="宋体" w:eastAsia="宋体" w:cs="宋体"/>
          <w:color w:val="auto"/>
          <w:kern w:val="2"/>
          <w:sz w:val="28"/>
          <w:szCs w:val="28"/>
          <w:highlight w:val="none"/>
          <w:u w:val="single"/>
          <w:lang w:val="en-US" w:eastAsia="zh-CN" w:bidi="ar-SA"/>
        </w:rPr>
      </w:pPr>
      <w:r>
        <w:rPr>
          <w:rFonts w:hint="eastAsia" w:ascii="宋体" w:hAnsi="宋体" w:eastAsia="宋体" w:cs="宋体"/>
          <w:color w:val="auto"/>
          <w:kern w:val="2"/>
          <w:sz w:val="28"/>
          <w:szCs w:val="28"/>
          <w:highlight w:val="none"/>
          <w:lang w:val="en-US" w:eastAsia="zh-CN" w:bidi="ar-SA"/>
        </w:rPr>
        <w:t>合同名称：</w:t>
      </w:r>
      <w:r>
        <w:rPr>
          <w:rFonts w:hint="eastAsia" w:ascii="宋体" w:hAnsi="宋体" w:eastAsia="宋体" w:cs="宋体"/>
          <w:color w:val="auto"/>
          <w:kern w:val="2"/>
          <w:sz w:val="28"/>
          <w:szCs w:val="28"/>
          <w:highlight w:val="none"/>
          <w:u w:val="single"/>
          <w:lang w:val="en-US" w:eastAsia="zh-CN" w:bidi="ar-SA"/>
        </w:rPr>
        <w:t xml:space="preserve">                            </w:t>
      </w:r>
    </w:p>
    <w:p w14:paraId="1C40CE69">
      <w:pPr>
        <w:widowControl w:val="0"/>
        <w:spacing w:line="700" w:lineRule="exact"/>
        <w:ind w:firstLine="1979" w:firstLineChars="707"/>
        <w:jc w:val="both"/>
        <w:outlineLvl w:val="9"/>
        <w:rPr>
          <w:rFonts w:hint="eastAsia" w:ascii="宋体" w:hAnsi="宋体" w:eastAsia="宋体" w:cs="宋体"/>
          <w:color w:val="auto"/>
          <w:kern w:val="2"/>
          <w:sz w:val="28"/>
          <w:szCs w:val="28"/>
          <w:highlight w:val="none"/>
          <w:u w:val="single"/>
          <w:lang w:val="en-US" w:eastAsia="zh-CN" w:bidi="ar-SA"/>
        </w:rPr>
      </w:pPr>
      <w:r>
        <w:rPr>
          <w:rFonts w:hint="eastAsia" w:ascii="宋体" w:hAnsi="宋体" w:eastAsia="宋体" w:cs="宋体"/>
          <w:color w:val="auto"/>
          <w:kern w:val="2"/>
          <w:sz w:val="28"/>
          <w:szCs w:val="28"/>
          <w:highlight w:val="none"/>
          <w:lang w:val="en-US" w:eastAsia="zh-CN" w:bidi="ar-SA"/>
        </w:rPr>
        <w:t>合同编号：</w:t>
      </w:r>
      <w:r>
        <w:rPr>
          <w:rFonts w:hint="eastAsia" w:ascii="宋体" w:hAnsi="宋体" w:eastAsia="宋体" w:cs="宋体"/>
          <w:color w:val="auto"/>
          <w:kern w:val="2"/>
          <w:sz w:val="28"/>
          <w:szCs w:val="28"/>
          <w:highlight w:val="none"/>
          <w:u w:val="single"/>
          <w:lang w:val="en-US" w:eastAsia="zh-CN" w:bidi="ar-SA"/>
        </w:rPr>
        <w:t xml:space="preserve">                            </w:t>
      </w:r>
    </w:p>
    <w:p w14:paraId="28159753">
      <w:pPr>
        <w:widowControl w:val="0"/>
        <w:spacing w:line="700" w:lineRule="exact"/>
        <w:ind w:firstLine="1979" w:firstLineChars="707"/>
        <w:jc w:val="both"/>
        <w:outlineLvl w:val="9"/>
        <w:rPr>
          <w:rFonts w:hint="eastAsia" w:ascii="宋体" w:hAnsi="宋体" w:eastAsia="宋体" w:cs="宋体"/>
          <w:color w:val="auto"/>
          <w:kern w:val="2"/>
          <w:sz w:val="28"/>
          <w:szCs w:val="28"/>
          <w:highlight w:val="none"/>
          <w:lang w:val="en-US" w:eastAsia="zh-CN" w:bidi="ar-SA"/>
        </w:rPr>
      </w:pPr>
    </w:p>
    <w:p w14:paraId="5011A832">
      <w:pPr>
        <w:widowControl w:val="0"/>
        <w:spacing w:line="700" w:lineRule="exact"/>
        <w:ind w:firstLine="1979" w:firstLineChars="707"/>
        <w:jc w:val="both"/>
        <w:outlineLvl w:val="9"/>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招标人（甲方）</w:t>
      </w:r>
      <w:r>
        <w:rPr>
          <w:rFonts w:hint="eastAsia" w:ascii="宋体" w:hAnsi="宋体" w:eastAsia="宋体" w:cs="宋体"/>
          <w:color w:val="auto"/>
          <w:kern w:val="2"/>
          <w:sz w:val="28"/>
          <w:szCs w:val="28"/>
          <w:highlight w:val="none"/>
          <w:u w:val="single"/>
          <w:lang w:val="en-US" w:eastAsia="zh-CN" w:bidi="ar-SA"/>
        </w:rPr>
        <w:t xml:space="preserve">                      </w:t>
      </w:r>
    </w:p>
    <w:p w14:paraId="1257AE27">
      <w:pPr>
        <w:widowControl w:val="0"/>
        <w:spacing w:line="700" w:lineRule="exact"/>
        <w:ind w:firstLine="1979" w:firstLineChars="707"/>
        <w:jc w:val="both"/>
        <w:outlineLvl w:val="9"/>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供应商（乙方）</w:t>
      </w:r>
      <w:r>
        <w:rPr>
          <w:rFonts w:hint="eastAsia" w:ascii="宋体" w:hAnsi="宋体" w:eastAsia="宋体" w:cs="宋体"/>
          <w:color w:val="auto"/>
          <w:kern w:val="2"/>
          <w:sz w:val="28"/>
          <w:szCs w:val="28"/>
          <w:highlight w:val="none"/>
          <w:u w:val="single"/>
          <w:lang w:val="en-US" w:eastAsia="zh-CN" w:bidi="ar-SA"/>
        </w:rPr>
        <w:t xml:space="preserve">                      </w:t>
      </w:r>
    </w:p>
    <w:p w14:paraId="625E99C5">
      <w:pPr>
        <w:widowControl w:val="0"/>
        <w:spacing w:line="700" w:lineRule="exact"/>
        <w:ind w:firstLine="1979" w:firstLineChars="707"/>
        <w:jc w:val="center"/>
        <w:outlineLvl w:val="9"/>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 xml:space="preserve"> </w:t>
      </w:r>
    </w:p>
    <w:p w14:paraId="7A3D1FDB">
      <w:pPr>
        <w:widowControl w:val="0"/>
        <w:spacing w:line="700" w:lineRule="exact"/>
        <w:ind w:firstLine="1979" w:firstLineChars="707"/>
        <w:jc w:val="both"/>
        <w:outlineLvl w:val="9"/>
        <w:rPr>
          <w:rFonts w:hint="eastAsia" w:ascii="宋体" w:hAnsi="宋体" w:eastAsia="宋体" w:cs="宋体"/>
          <w:color w:val="auto"/>
          <w:kern w:val="2"/>
          <w:sz w:val="28"/>
          <w:szCs w:val="28"/>
          <w:highlight w:val="none"/>
          <w:u w:val="single"/>
          <w:lang w:val="en-US" w:eastAsia="zh-CN" w:bidi="ar-SA"/>
        </w:rPr>
      </w:pPr>
      <w:r>
        <w:rPr>
          <w:rFonts w:hint="eastAsia" w:ascii="宋体" w:hAnsi="宋体" w:eastAsia="宋体" w:cs="宋体"/>
          <w:color w:val="auto"/>
          <w:kern w:val="2"/>
          <w:sz w:val="28"/>
          <w:szCs w:val="28"/>
          <w:highlight w:val="none"/>
          <w:lang w:val="en-US" w:eastAsia="zh-CN" w:bidi="ar-SA"/>
        </w:rPr>
        <w:t>签订合同地点：</w:t>
      </w:r>
      <w:r>
        <w:rPr>
          <w:rFonts w:hint="eastAsia" w:ascii="宋体" w:hAnsi="宋体" w:eastAsia="宋体" w:cs="宋体"/>
          <w:color w:val="auto"/>
          <w:kern w:val="2"/>
          <w:sz w:val="28"/>
          <w:szCs w:val="28"/>
          <w:highlight w:val="none"/>
          <w:u w:val="single"/>
          <w:lang w:val="en-US" w:eastAsia="zh-CN" w:bidi="ar-SA"/>
        </w:rPr>
        <w:t xml:space="preserve">                       </w:t>
      </w:r>
    </w:p>
    <w:p w14:paraId="534C503C">
      <w:pPr>
        <w:widowControl w:val="0"/>
        <w:spacing w:line="700" w:lineRule="exact"/>
        <w:ind w:firstLine="1979" w:firstLineChars="707"/>
        <w:jc w:val="both"/>
        <w:outlineLvl w:val="9"/>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签订合同时间：</w:t>
      </w:r>
      <w:r>
        <w:rPr>
          <w:rFonts w:hint="eastAsia" w:ascii="宋体" w:hAnsi="宋体" w:eastAsia="宋体" w:cs="宋体"/>
          <w:color w:val="auto"/>
          <w:kern w:val="2"/>
          <w:sz w:val="28"/>
          <w:szCs w:val="28"/>
          <w:highlight w:val="none"/>
          <w:u w:val="single"/>
          <w:lang w:val="en-US" w:eastAsia="zh-CN" w:bidi="ar-SA"/>
        </w:rPr>
        <w:t xml:space="preserve">                       </w:t>
      </w:r>
    </w:p>
    <w:p w14:paraId="48EA6E20">
      <w:pPr>
        <w:widowControl w:val="0"/>
        <w:jc w:val="center"/>
        <w:outlineLvl w:val="9"/>
        <w:rPr>
          <w:rFonts w:hint="eastAsia" w:ascii="宋体" w:hAnsi="宋体" w:eastAsia="宋体" w:cs="宋体"/>
          <w:color w:val="auto"/>
          <w:kern w:val="2"/>
          <w:sz w:val="21"/>
          <w:szCs w:val="20"/>
          <w:highlight w:val="none"/>
          <w:lang w:val="en-US" w:eastAsia="zh-CN" w:bidi="ar-SA"/>
        </w:rPr>
      </w:pPr>
    </w:p>
    <w:p w14:paraId="321CC347">
      <w:pPr>
        <w:widowControl w:val="0"/>
        <w:jc w:val="center"/>
        <w:outlineLvl w:val="9"/>
        <w:rPr>
          <w:rFonts w:hint="eastAsia" w:ascii="宋体" w:hAnsi="宋体" w:eastAsia="宋体" w:cs="宋体"/>
          <w:color w:val="auto"/>
          <w:kern w:val="2"/>
          <w:sz w:val="21"/>
          <w:szCs w:val="20"/>
          <w:highlight w:val="none"/>
          <w:lang w:val="en-US" w:eastAsia="zh-CN" w:bidi="ar-SA"/>
        </w:rPr>
      </w:pPr>
    </w:p>
    <w:p w14:paraId="4A5F5178">
      <w:pPr>
        <w:widowControl w:val="0"/>
        <w:jc w:val="center"/>
        <w:outlineLvl w:val="9"/>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 xml:space="preserve"> </w:t>
      </w:r>
    </w:p>
    <w:p w14:paraId="3C76A95F">
      <w:pPr>
        <w:widowControl w:val="0"/>
        <w:jc w:val="center"/>
        <w:outlineLvl w:val="9"/>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 xml:space="preserve">  </w:t>
      </w:r>
    </w:p>
    <w:p w14:paraId="215ECF5F">
      <w:pPr>
        <w:keepNext w:val="0"/>
        <w:keepLines/>
        <w:pageBreakBefore/>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北海市政府采购合同</w:t>
      </w:r>
    </w:p>
    <w:p w14:paraId="6EAFFA43">
      <w:pPr>
        <w:keepNext w:val="0"/>
        <w:keepLines w:val="0"/>
        <w:pageBreakBefore w:val="0"/>
        <w:widowControl w:val="0"/>
        <w:kinsoku/>
        <w:wordWrap/>
        <w:overflowPunct/>
        <w:topLinePunct w:val="0"/>
        <w:autoSpaceDE/>
        <w:autoSpaceDN/>
        <w:bidi w:val="0"/>
        <w:snapToGrid w:val="0"/>
        <w:spacing w:line="360" w:lineRule="auto"/>
        <w:ind w:right="480"/>
        <w:textAlignment w:val="auto"/>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合  同  编  号：</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none"/>
          <w:lang w:val="en-US" w:eastAsia="zh-CN"/>
        </w:rPr>
        <w:t xml:space="preserve">              </w:t>
      </w:r>
      <w:r>
        <w:rPr>
          <w:rFonts w:hint="eastAsia" w:ascii="宋体" w:hAnsi="宋体" w:eastAsia="宋体" w:cs="宋体"/>
          <w:bCs/>
          <w:color w:val="auto"/>
          <w:szCs w:val="21"/>
          <w:highlight w:val="none"/>
        </w:rPr>
        <w:t xml:space="preserve">         </w:t>
      </w:r>
    </w:p>
    <w:p w14:paraId="0FE456F1">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采购单位（甲方）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pacing w:val="-20"/>
          <w:szCs w:val="21"/>
          <w:highlight w:val="none"/>
        </w:rPr>
        <w:t>采 购 计 划 号</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lang w:val="en-US" w:eastAsia="zh-CN"/>
        </w:rPr>
        <w:t xml:space="preserve">                     </w:t>
      </w:r>
    </w:p>
    <w:p w14:paraId="1FE3B4F9">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供 应 商（乙方）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rPr>
        <w:t>项目名称及</w:t>
      </w:r>
      <w:r>
        <w:rPr>
          <w:rFonts w:hint="eastAsia" w:ascii="宋体" w:hAnsi="宋体" w:eastAsia="宋体" w:cs="宋体"/>
          <w:color w:val="auto"/>
          <w:spacing w:val="-20"/>
          <w:szCs w:val="21"/>
          <w:highlight w:val="none"/>
        </w:rPr>
        <w:t>编 号：</w:t>
      </w:r>
      <w:r>
        <w:rPr>
          <w:rFonts w:hint="eastAsia" w:ascii="宋体" w:hAnsi="宋体" w:eastAsia="宋体" w:cs="宋体"/>
          <w:color w:val="auto"/>
          <w:spacing w:val="-20"/>
          <w:szCs w:val="21"/>
          <w:highlight w:val="none"/>
          <w:lang w:val="en-US" w:eastAsia="zh-CN"/>
        </w:rPr>
        <w:t xml:space="preserve">  </w:t>
      </w:r>
      <w:r>
        <w:rPr>
          <w:rFonts w:hint="eastAsia" w:ascii="宋体" w:hAnsi="宋体" w:eastAsia="宋体" w:cs="宋体"/>
          <w:color w:val="auto"/>
          <w:spacing w:val="-20"/>
          <w:szCs w:val="21"/>
          <w:highlight w:val="none"/>
          <w:u w:val="single"/>
          <w:lang w:val="en-US" w:eastAsia="zh-CN"/>
        </w:rPr>
        <w:t xml:space="preserve">                             </w:t>
      </w:r>
    </w:p>
    <w:p w14:paraId="23F708B8">
      <w:pPr>
        <w:keepNext w:val="0"/>
        <w:keepLines w:val="0"/>
        <w:pageBreakBefore w:val="0"/>
        <w:widowControl w:val="0"/>
        <w:kinsoku/>
        <w:wordWrap/>
        <w:overflowPunct/>
        <w:topLinePunct w:val="0"/>
        <w:autoSpaceDE/>
        <w:autoSpaceDN/>
        <w:bidi w:val="0"/>
        <w:adjustRightInd w:val="0"/>
        <w:snapToGrid w:val="0"/>
        <w:spacing w:line="380" w:lineRule="exact"/>
        <w:ind w:firstLine="412" w:firstLineChars="200"/>
        <w:jc w:val="both"/>
        <w:textAlignment w:val="auto"/>
        <w:rPr>
          <w:rFonts w:hint="eastAsia" w:ascii="宋体" w:hAnsi="宋体" w:eastAsia="宋体" w:cs="宋体"/>
          <w:color w:val="auto"/>
          <w:spacing w:val="-2"/>
          <w:kern w:val="2"/>
          <w:sz w:val="21"/>
          <w:szCs w:val="20"/>
          <w:highlight w:val="none"/>
          <w:lang w:val="en-US" w:eastAsia="zh-CN" w:bidi="ar-SA"/>
        </w:rPr>
      </w:pPr>
      <w:r>
        <w:rPr>
          <w:rFonts w:hint="eastAsia" w:ascii="宋体" w:hAnsi="宋体" w:eastAsia="宋体" w:cs="宋体"/>
          <w:color w:val="auto"/>
          <w:spacing w:val="-2"/>
          <w:kern w:val="2"/>
          <w:sz w:val="21"/>
          <w:szCs w:val="20"/>
          <w:highlight w:val="none"/>
          <w:lang w:val="en-US" w:eastAsia="zh-CN" w:bidi="ar-SA"/>
        </w:rPr>
        <w:t>根据《中华人民共和国政府采购法》、《中华人民共和国民法典》等法律、法规规定，按照招标文件</w:t>
      </w:r>
      <w:r>
        <w:rPr>
          <w:rFonts w:hint="eastAsia" w:ascii="宋体" w:hAnsi="宋体" w:eastAsia="宋体" w:cs="宋体"/>
          <w:color w:val="auto"/>
          <w:kern w:val="2"/>
          <w:sz w:val="21"/>
          <w:szCs w:val="20"/>
          <w:highlight w:val="none"/>
          <w:lang w:val="en-US" w:eastAsia="zh-CN" w:bidi="ar-SA"/>
        </w:rPr>
        <w:t>规定条款和中标供应商投标文件及其承诺，甲乙双方签订本合同。</w:t>
      </w:r>
    </w:p>
    <w:p w14:paraId="07837C90">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第一条　合同标的</w:t>
      </w:r>
    </w:p>
    <w:p w14:paraId="5CF7B42D">
      <w:pPr>
        <w:keepNext w:val="0"/>
        <w:keepLines w:val="0"/>
        <w:pageBreakBefore w:val="0"/>
        <w:widowControl w:val="0"/>
        <w:kinsoku/>
        <w:wordWrap/>
        <w:overflowPunct/>
        <w:topLinePunct w:val="0"/>
        <w:autoSpaceDE/>
        <w:autoSpaceDN/>
        <w:bidi w:val="0"/>
        <w:adjustRightInd w:val="0"/>
        <w:snapToGrid w:val="0"/>
        <w:spacing w:after="120" w:afterLines="50"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1.供货一览表</w:t>
      </w:r>
    </w:p>
    <w:tbl>
      <w:tblPr>
        <w:tblStyle w:val="6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66"/>
        <w:gridCol w:w="1775"/>
        <w:gridCol w:w="1353"/>
        <w:gridCol w:w="1069"/>
        <w:gridCol w:w="1071"/>
        <w:gridCol w:w="1069"/>
        <w:gridCol w:w="1619"/>
      </w:tblGrid>
      <w:tr w14:paraId="6D344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246" w:type="pct"/>
            <w:vAlign w:val="center"/>
          </w:tcPr>
          <w:p w14:paraId="4BC4F1D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67" w:type="pct"/>
            <w:vAlign w:val="center"/>
          </w:tcPr>
          <w:p w14:paraId="2F8D3D9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956" w:type="pct"/>
            <w:vAlign w:val="center"/>
          </w:tcPr>
          <w:p w14:paraId="5B2FD13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生产厂家、</w:t>
            </w:r>
          </w:p>
          <w:p w14:paraId="712F138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727" w:type="pct"/>
            <w:vAlign w:val="center"/>
          </w:tcPr>
          <w:p w14:paraId="625E562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576" w:type="pct"/>
            <w:vAlign w:val="center"/>
          </w:tcPr>
          <w:p w14:paraId="6A756FD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577" w:type="pct"/>
            <w:vAlign w:val="center"/>
          </w:tcPr>
          <w:p w14:paraId="761EA57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576" w:type="pct"/>
            <w:vAlign w:val="center"/>
          </w:tcPr>
          <w:p w14:paraId="6096E67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872" w:type="pct"/>
            <w:vAlign w:val="center"/>
          </w:tcPr>
          <w:p w14:paraId="4FEDDCF7">
            <w:pPr>
              <w:spacing w:line="360" w:lineRule="auto"/>
              <w:jc w:val="center"/>
              <w:rPr>
                <w:rFonts w:ascii="宋体" w:hAnsi="宋体" w:cs="宋体"/>
                <w:b/>
                <w:color w:val="auto"/>
                <w:sz w:val="24"/>
                <w:highlight w:val="none"/>
              </w:rPr>
            </w:pPr>
          </w:p>
          <w:p w14:paraId="17CBA80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备注</w:t>
            </w:r>
          </w:p>
          <w:p w14:paraId="55C8606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（如果有）</w:t>
            </w:r>
          </w:p>
          <w:p w14:paraId="450EDA9C">
            <w:pPr>
              <w:spacing w:line="360" w:lineRule="auto"/>
              <w:jc w:val="center"/>
              <w:rPr>
                <w:rFonts w:ascii="宋体" w:hAnsi="宋体" w:cs="宋体"/>
                <w:b/>
                <w:color w:val="auto"/>
                <w:sz w:val="24"/>
                <w:highlight w:val="none"/>
              </w:rPr>
            </w:pPr>
          </w:p>
        </w:tc>
      </w:tr>
      <w:tr w14:paraId="2C53E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46" w:type="pct"/>
            <w:vAlign w:val="center"/>
          </w:tcPr>
          <w:p w14:paraId="02A1DD2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467" w:type="pct"/>
            <w:vAlign w:val="center"/>
          </w:tcPr>
          <w:p w14:paraId="34529C4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956" w:type="pct"/>
            <w:vAlign w:val="center"/>
          </w:tcPr>
          <w:p w14:paraId="0E86EF02">
            <w:pPr>
              <w:snapToGrid w:val="0"/>
              <w:spacing w:line="360" w:lineRule="auto"/>
              <w:jc w:val="center"/>
              <w:rPr>
                <w:rFonts w:ascii="宋体" w:hAnsi="宋体" w:cs="宋体"/>
                <w:color w:val="auto"/>
                <w:sz w:val="24"/>
                <w:highlight w:val="none"/>
              </w:rPr>
            </w:pPr>
          </w:p>
        </w:tc>
        <w:tc>
          <w:tcPr>
            <w:tcW w:w="727" w:type="pct"/>
            <w:vAlign w:val="center"/>
          </w:tcPr>
          <w:p w14:paraId="72F2A0DA">
            <w:pPr>
              <w:snapToGrid w:val="0"/>
              <w:spacing w:line="360" w:lineRule="auto"/>
              <w:jc w:val="center"/>
              <w:rPr>
                <w:rFonts w:ascii="宋体" w:hAnsi="宋体" w:cs="宋体"/>
                <w:color w:val="auto"/>
                <w:sz w:val="24"/>
                <w:highlight w:val="none"/>
              </w:rPr>
            </w:pPr>
          </w:p>
        </w:tc>
        <w:tc>
          <w:tcPr>
            <w:tcW w:w="576" w:type="pct"/>
            <w:vAlign w:val="center"/>
          </w:tcPr>
          <w:p w14:paraId="655712D5">
            <w:pPr>
              <w:snapToGrid w:val="0"/>
              <w:spacing w:line="360" w:lineRule="auto"/>
              <w:jc w:val="center"/>
              <w:rPr>
                <w:rFonts w:ascii="宋体" w:hAnsi="宋体" w:cs="宋体"/>
                <w:color w:val="auto"/>
                <w:sz w:val="24"/>
                <w:highlight w:val="none"/>
              </w:rPr>
            </w:pPr>
          </w:p>
        </w:tc>
        <w:tc>
          <w:tcPr>
            <w:tcW w:w="577" w:type="pct"/>
            <w:vAlign w:val="center"/>
          </w:tcPr>
          <w:p w14:paraId="455D6978">
            <w:pPr>
              <w:spacing w:line="360" w:lineRule="auto"/>
              <w:jc w:val="center"/>
              <w:rPr>
                <w:rFonts w:ascii="宋体" w:hAnsi="宋体" w:cs="宋体"/>
                <w:color w:val="auto"/>
                <w:sz w:val="24"/>
                <w:highlight w:val="none"/>
              </w:rPr>
            </w:pPr>
          </w:p>
        </w:tc>
        <w:tc>
          <w:tcPr>
            <w:tcW w:w="576" w:type="pct"/>
            <w:vAlign w:val="center"/>
          </w:tcPr>
          <w:p w14:paraId="14BFF7EE">
            <w:pPr>
              <w:spacing w:line="360" w:lineRule="auto"/>
              <w:jc w:val="center"/>
              <w:rPr>
                <w:rFonts w:ascii="宋体" w:hAnsi="宋体" w:cs="宋体"/>
                <w:color w:val="auto"/>
                <w:sz w:val="24"/>
                <w:highlight w:val="none"/>
              </w:rPr>
            </w:pPr>
          </w:p>
        </w:tc>
        <w:tc>
          <w:tcPr>
            <w:tcW w:w="872" w:type="pct"/>
            <w:vAlign w:val="center"/>
          </w:tcPr>
          <w:p w14:paraId="0ED332AF">
            <w:pPr>
              <w:spacing w:line="360" w:lineRule="auto"/>
              <w:jc w:val="center"/>
              <w:rPr>
                <w:rFonts w:ascii="宋体" w:hAnsi="宋体" w:cs="宋体"/>
                <w:color w:val="auto"/>
                <w:sz w:val="24"/>
                <w:highlight w:val="none"/>
              </w:rPr>
            </w:pPr>
          </w:p>
        </w:tc>
      </w:tr>
      <w:tr w14:paraId="5FED0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6" w:type="pct"/>
            <w:vAlign w:val="center"/>
          </w:tcPr>
          <w:p w14:paraId="551F1B3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467" w:type="pct"/>
            <w:vAlign w:val="center"/>
          </w:tcPr>
          <w:p w14:paraId="2E998E7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956" w:type="pct"/>
            <w:vAlign w:val="center"/>
          </w:tcPr>
          <w:p w14:paraId="4E24A005">
            <w:pPr>
              <w:snapToGrid w:val="0"/>
              <w:spacing w:line="360" w:lineRule="auto"/>
              <w:jc w:val="center"/>
              <w:rPr>
                <w:rFonts w:ascii="宋体" w:hAnsi="宋体" w:cs="宋体"/>
                <w:color w:val="auto"/>
                <w:sz w:val="24"/>
                <w:highlight w:val="none"/>
              </w:rPr>
            </w:pPr>
          </w:p>
        </w:tc>
        <w:tc>
          <w:tcPr>
            <w:tcW w:w="727" w:type="pct"/>
            <w:vAlign w:val="center"/>
          </w:tcPr>
          <w:p w14:paraId="08A99434">
            <w:pPr>
              <w:snapToGrid w:val="0"/>
              <w:spacing w:line="360" w:lineRule="auto"/>
              <w:jc w:val="center"/>
              <w:rPr>
                <w:rFonts w:ascii="宋体" w:hAnsi="宋体" w:cs="宋体"/>
                <w:color w:val="auto"/>
                <w:sz w:val="24"/>
                <w:highlight w:val="none"/>
              </w:rPr>
            </w:pPr>
          </w:p>
        </w:tc>
        <w:tc>
          <w:tcPr>
            <w:tcW w:w="576" w:type="pct"/>
            <w:vAlign w:val="center"/>
          </w:tcPr>
          <w:p w14:paraId="0A3770A8">
            <w:pPr>
              <w:snapToGrid w:val="0"/>
              <w:spacing w:line="360" w:lineRule="auto"/>
              <w:jc w:val="center"/>
              <w:rPr>
                <w:rFonts w:ascii="宋体" w:hAnsi="宋体" w:cs="宋体"/>
                <w:color w:val="auto"/>
                <w:sz w:val="24"/>
                <w:highlight w:val="none"/>
              </w:rPr>
            </w:pPr>
          </w:p>
        </w:tc>
        <w:tc>
          <w:tcPr>
            <w:tcW w:w="577" w:type="pct"/>
            <w:vAlign w:val="center"/>
          </w:tcPr>
          <w:p w14:paraId="38D123EA">
            <w:pPr>
              <w:spacing w:line="360" w:lineRule="auto"/>
              <w:jc w:val="center"/>
              <w:rPr>
                <w:rFonts w:ascii="宋体" w:hAnsi="宋体" w:cs="宋体"/>
                <w:color w:val="auto"/>
                <w:sz w:val="24"/>
                <w:highlight w:val="none"/>
              </w:rPr>
            </w:pPr>
          </w:p>
        </w:tc>
        <w:tc>
          <w:tcPr>
            <w:tcW w:w="576" w:type="pct"/>
            <w:vAlign w:val="center"/>
          </w:tcPr>
          <w:p w14:paraId="49CDBA16">
            <w:pPr>
              <w:spacing w:line="360" w:lineRule="auto"/>
              <w:jc w:val="center"/>
              <w:rPr>
                <w:rFonts w:ascii="宋体" w:hAnsi="宋体" w:cs="宋体"/>
                <w:color w:val="auto"/>
                <w:sz w:val="24"/>
                <w:highlight w:val="none"/>
              </w:rPr>
            </w:pPr>
          </w:p>
        </w:tc>
        <w:tc>
          <w:tcPr>
            <w:tcW w:w="872" w:type="pct"/>
            <w:vAlign w:val="center"/>
          </w:tcPr>
          <w:p w14:paraId="5C36D3B6">
            <w:pPr>
              <w:spacing w:line="360" w:lineRule="auto"/>
              <w:jc w:val="center"/>
              <w:rPr>
                <w:rFonts w:ascii="宋体" w:hAnsi="宋体" w:cs="宋体"/>
                <w:color w:val="auto"/>
                <w:sz w:val="24"/>
                <w:highlight w:val="none"/>
              </w:rPr>
            </w:pPr>
          </w:p>
        </w:tc>
      </w:tr>
      <w:tr w14:paraId="5998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6" w:type="pct"/>
            <w:vAlign w:val="center"/>
          </w:tcPr>
          <w:p w14:paraId="13D21E9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467" w:type="pct"/>
            <w:vAlign w:val="center"/>
          </w:tcPr>
          <w:p w14:paraId="74BF0104">
            <w:pPr>
              <w:snapToGrid w:val="0"/>
              <w:spacing w:line="360" w:lineRule="auto"/>
              <w:jc w:val="center"/>
              <w:rPr>
                <w:rFonts w:ascii="宋体" w:hAnsi="宋体" w:cs="宋体"/>
                <w:color w:val="auto"/>
                <w:sz w:val="24"/>
                <w:highlight w:val="none"/>
              </w:rPr>
            </w:pPr>
          </w:p>
        </w:tc>
        <w:tc>
          <w:tcPr>
            <w:tcW w:w="956" w:type="pct"/>
            <w:vAlign w:val="center"/>
          </w:tcPr>
          <w:p w14:paraId="3C882B1A">
            <w:pPr>
              <w:snapToGrid w:val="0"/>
              <w:spacing w:line="360" w:lineRule="auto"/>
              <w:jc w:val="center"/>
              <w:rPr>
                <w:rFonts w:ascii="宋体" w:hAnsi="宋体" w:cs="宋体"/>
                <w:color w:val="auto"/>
                <w:sz w:val="24"/>
                <w:highlight w:val="none"/>
              </w:rPr>
            </w:pPr>
          </w:p>
        </w:tc>
        <w:tc>
          <w:tcPr>
            <w:tcW w:w="727" w:type="pct"/>
            <w:vAlign w:val="center"/>
          </w:tcPr>
          <w:p w14:paraId="5A9A537F">
            <w:pPr>
              <w:snapToGrid w:val="0"/>
              <w:spacing w:line="360" w:lineRule="auto"/>
              <w:jc w:val="center"/>
              <w:rPr>
                <w:rFonts w:ascii="宋体" w:hAnsi="宋体" w:cs="宋体"/>
                <w:color w:val="auto"/>
                <w:sz w:val="24"/>
                <w:highlight w:val="none"/>
              </w:rPr>
            </w:pPr>
          </w:p>
        </w:tc>
        <w:tc>
          <w:tcPr>
            <w:tcW w:w="576" w:type="pct"/>
            <w:vAlign w:val="center"/>
          </w:tcPr>
          <w:p w14:paraId="2A47D870">
            <w:pPr>
              <w:snapToGrid w:val="0"/>
              <w:spacing w:line="360" w:lineRule="auto"/>
              <w:jc w:val="center"/>
              <w:rPr>
                <w:rFonts w:ascii="宋体" w:hAnsi="宋体" w:cs="宋体"/>
                <w:color w:val="auto"/>
                <w:sz w:val="24"/>
                <w:highlight w:val="none"/>
              </w:rPr>
            </w:pPr>
          </w:p>
        </w:tc>
        <w:tc>
          <w:tcPr>
            <w:tcW w:w="577" w:type="pct"/>
            <w:vAlign w:val="center"/>
          </w:tcPr>
          <w:p w14:paraId="6E3825EA">
            <w:pPr>
              <w:spacing w:line="360" w:lineRule="auto"/>
              <w:jc w:val="center"/>
              <w:rPr>
                <w:rFonts w:ascii="宋体" w:hAnsi="宋体" w:cs="宋体"/>
                <w:color w:val="auto"/>
                <w:sz w:val="24"/>
                <w:highlight w:val="none"/>
              </w:rPr>
            </w:pPr>
          </w:p>
        </w:tc>
        <w:tc>
          <w:tcPr>
            <w:tcW w:w="576" w:type="pct"/>
            <w:vAlign w:val="center"/>
          </w:tcPr>
          <w:p w14:paraId="55014838">
            <w:pPr>
              <w:spacing w:line="360" w:lineRule="auto"/>
              <w:jc w:val="center"/>
              <w:rPr>
                <w:rFonts w:ascii="宋体" w:hAnsi="宋体" w:cs="宋体"/>
                <w:color w:val="auto"/>
                <w:sz w:val="24"/>
                <w:highlight w:val="none"/>
              </w:rPr>
            </w:pPr>
          </w:p>
        </w:tc>
        <w:tc>
          <w:tcPr>
            <w:tcW w:w="872" w:type="pct"/>
            <w:vAlign w:val="center"/>
          </w:tcPr>
          <w:p w14:paraId="09DB5A77">
            <w:pPr>
              <w:spacing w:line="360" w:lineRule="auto"/>
              <w:jc w:val="center"/>
              <w:rPr>
                <w:rFonts w:ascii="宋体" w:hAnsi="宋体" w:cs="宋体"/>
                <w:color w:val="auto"/>
                <w:sz w:val="24"/>
                <w:highlight w:val="none"/>
              </w:rPr>
            </w:pPr>
          </w:p>
        </w:tc>
      </w:tr>
      <w:tr w14:paraId="46E4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6" w:type="pct"/>
            <w:vAlign w:val="center"/>
          </w:tcPr>
          <w:p w14:paraId="06BD1EAF">
            <w:pPr>
              <w:spacing w:line="360" w:lineRule="auto"/>
              <w:jc w:val="center"/>
              <w:rPr>
                <w:rFonts w:ascii="宋体" w:hAnsi="宋体" w:cs="宋体"/>
                <w:color w:val="auto"/>
                <w:sz w:val="24"/>
                <w:highlight w:val="none"/>
              </w:rPr>
            </w:pPr>
          </w:p>
        </w:tc>
        <w:tc>
          <w:tcPr>
            <w:tcW w:w="467" w:type="pct"/>
            <w:vAlign w:val="center"/>
          </w:tcPr>
          <w:p w14:paraId="1BD441AF">
            <w:pPr>
              <w:snapToGrid w:val="0"/>
              <w:spacing w:line="360" w:lineRule="auto"/>
              <w:jc w:val="center"/>
              <w:rPr>
                <w:rFonts w:ascii="宋体" w:hAnsi="宋体" w:cs="宋体"/>
                <w:color w:val="auto"/>
                <w:sz w:val="24"/>
                <w:highlight w:val="none"/>
              </w:rPr>
            </w:pPr>
          </w:p>
        </w:tc>
        <w:tc>
          <w:tcPr>
            <w:tcW w:w="956" w:type="pct"/>
            <w:vAlign w:val="center"/>
          </w:tcPr>
          <w:p w14:paraId="79316965">
            <w:pPr>
              <w:snapToGrid w:val="0"/>
              <w:spacing w:line="360" w:lineRule="auto"/>
              <w:jc w:val="center"/>
              <w:rPr>
                <w:rFonts w:ascii="宋体" w:hAnsi="宋体" w:cs="宋体"/>
                <w:color w:val="auto"/>
                <w:sz w:val="24"/>
                <w:highlight w:val="none"/>
              </w:rPr>
            </w:pPr>
          </w:p>
        </w:tc>
        <w:tc>
          <w:tcPr>
            <w:tcW w:w="727" w:type="pct"/>
            <w:vAlign w:val="center"/>
          </w:tcPr>
          <w:p w14:paraId="77CB2024">
            <w:pPr>
              <w:snapToGrid w:val="0"/>
              <w:spacing w:line="360" w:lineRule="auto"/>
              <w:jc w:val="center"/>
              <w:rPr>
                <w:rFonts w:ascii="宋体" w:hAnsi="宋体" w:cs="宋体"/>
                <w:color w:val="auto"/>
                <w:sz w:val="24"/>
                <w:highlight w:val="none"/>
              </w:rPr>
            </w:pPr>
          </w:p>
        </w:tc>
        <w:tc>
          <w:tcPr>
            <w:tcW w:w="576" w:type="pct"/>
            <w:vAlign w:val="center"/>
          </w:tcPr>
          <w:p w14:paraId="004A24AC">
            <w:pPr>
              <w:snapToGrid w:val="0"/>
              <w:spacing w:line="360" w:lineRule="auto"/>
              <w:jc w:val="center"/>
              <w:rPr>
                <w:rFonts w:ascii="宋体" w:hAnsi="宋体" w:cs="宋体"/>
                <w:color w:val="auto"/>
                <w:sz w:val="24"/>
                <w:highlight w:val="none"/>
              </w:rPr>
            </w:pPr>
          </w:p>
        </w:tc>
        <w:tc>
          <w:tcPr>
            <w:tcW w:w="577" w:type="pct"/>
            <w:vAlign w:val="center"/>
          </w:tcPr>
          <w:p w14:paraId="2342FED1">
            <w:pPr>
              <w:spacing w:line="360" w:lineRule="auto"/>
              <w:jc w:val="center"/>
              <w:rPr>
                <w:rFonts w:ascii="宋体" w:hAnsi="宋体" w:cs="宋体"/>
                <w:color w:val="auto"/>
                <w:sz w:val="24"/>
                <w:highlight w:val="none"/>
              </w:rPr>
            </w:pPr>
          </w:p>
        </w:tc>
        <w:tc>
          <w:tcPr>
            <w:tcW w:w="576" w:type="pct"/>
            <w:vAlign w:val="center"/>
          </w:tcPr>
          <w:p w14:paraId="5EEBBBB8">
            <w:pPr>
              <w:spacing w:line="360" w:lineRule="auto"/>
              <w:jc w:val="center"/>
              <w:rPr>
                <w:rFonts w:ascii="宋体" w:hAnsi="宋体" w:cs="宋体"/>
                <w:color w:val="auto"/>
                <w:sz w:val="24"/>
                <w:highlight w:val="none"/>
              </w:rPr>
            </w:pPr>
          </w:p>
        </w:tc>
        <w:tc>
          <w:tcPr>
            <w:tcW w:w="872" w:type="pct"/>
            <w:vAlign w:val="center"/>
          </w:tcPr>
          <w:p w14:paraId="0ED0B277">
            <w:pPr>
              <w:spacing w:line="360" w:lineRule="auto"/>
              <w:jc w:val="center"/>
              <w:rPr>
                <w:rFonts w:ascii="宋体" w:hAnsi="宋体" w:cs="宋体"/>
                <w:color w:val="auto"/>
                <w:sz w:val="24"/>
                <w:highlight w:val="none"/>
              </w:rPr>
            </w:pPr>
          </w:p>
        </w:tc>
      </w:tr>
      <w:tr w14:paraId="1595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6" w:type="pct"/>
            <w:vAlign w:val="center"/>
          </w:tcPr>
          <w:p w14:paraId="28EC9240">
            <w:pPr>
              <w:spacing w:line="360" w:lineRule="auto"/>
              <w:jc w:val="center"/>
              <w:rPr>
                <w:rFonts w:ascii="宋体" w:hAnsi="宋体" w:cs="宋体"/>
                <w:color w:val="auto"/>
                <w:sz w:val="24"/>
                <w:highlight w:val="none"/>
              </w:rPr>
            </w:pPr>
          </w:p>
        </w:tc>
        <w:tc>
          <w:tcPr>
            <w:tcW w:w="467" w:type="pct"/>
            <w:vAlign w:val="center"/>
          </w:tcPr>
          <w:p w14:paraId="4A1D8B25">
            <w:pPr>
              <w:snapToGrid w:val="0"/>
              <w:spacing w:line="360" w:lineRule="auto"/>
              <w:jc w:val="center"/>
              <w:rPr>
                <w:rFonts w:ascii="宋体" w:hAnsi="宋体" w:cs="宋体"/>
                <w:color w:val="auto"/>
                <w:sz w:val="24"/>
                <w:highlight w:val="none"/>
              </w:rPr>
            </w:pPr>
          </w:p>
        </w:tc>
        <w:tc>
          <w:tcPr>
            <w:tcW w:w="956" w:type="pct"/>
            <w:vAlign w:val="center"/>
          </w:tcPr>
          <w:p w14:paraId="4A652380">
            <w:pPr>
              <w:snapToGrid w:val="0"/>
              <w:spacing w:line="360" w:lineRule="auto"/>
              <w:jc w:val="center"/>
              <w:rPr>
                <w:rFonts w:ascii="宋体" w:hAnsi="宋体" w:cs="宋体"/>
                <w:color w:val="auto"/>
                <w:sz w:val="24"/>
                <w:highlight w:val="none"/>
              </w:rPr>
            </w:pPr>
          </w:p>
        </w:tc>
        <w:tc>
          <w:tcPr>
            <w:tcW w:w="727" w:type="pct"/>
            <w:vAlign w:val="center"/>
          </w:tcPr>
          <w:p w14:paraId="6B228EF7">
            <w:pPr>
              <w:snapToGrid w:val="0"/>
              <w:spacing w:line="360" w:lineRule="auto"/>
              <w:jc w:val="center"/>
              <w:rPr>
                <w:rFonts w:ascii="宋体" w:hAnsi="宋体" w:cs="宋体"/>
                <w:color w:val="auto"/>
                <w:sz w:val="24"/>
                <w:highlight w:val="none"/>
              </w:rPr>
            </w:pPr>
          </w:p>
        </w:tc>
        <w:tc>
          <w:tcPr>
            <w:tcW w:w="576" w:type="pct"/>
            <w:vAlign w:val="center"/>
          </w:tcPr>
          <w:p w14:paraId="31E9AAB2">
            <w:pPr>
              <w:snapToGrid w:val="0"/>
              <w:spacing w:line="360" w:lineRule="auto"/>
              <w:jc w:val="center"/>
              <w:rPr>
                <w:rFonts w:ascii="宋体" w:hAnsi="宋体" w:cs="宋体"/>
                <w:color w:val="auto"/>
                <w:sz w:val="24"/>
                <w:highlight w:val="none"/>
              </w:rPr>
            </w:pPr>
          </w:p>
        </w:tc>
        <w:tc>
          <w:tcPr>
            <w:tcW w:w="577" w:type="pct"/>
            <w:vAlign w:val="center"/>
          </w:tcPr>
          <w:p w14:paraId="6171CC83">
            <w:pPr>
              <w:spacing w:line="360" w:lineRule="auto"/>
              <w:jc w:val="center"/>
              <w:rPr>
                <w:rFonts w:ascii="宋体" w:hAnsi="宋体" w:cs="宋体"/>
                <w:color w:val="auto"/>
                <w:sz w:val="24"/>
                <w:highlight w:val="none"/>
              </w:rPr>
            </w:pPr>
          </w:p>
        </w:tc>
        <w:tc>
          <w:tcPr>
            <w:tcW w:w="576" w:type="pct"/>
            <w:vAlign w:val="center"/>
          </w:tcPr>
          <w:p w14:paraId="117CD481">
            <w:pPr>
              <w:spacing w:line="360" w:lineRule="auto"/>
              <w:jc w:val="center"/>
              <w:rPr>
                <w:rFonts w:ascii="宋体" w:hAnsi="宋体" w:cs="宋体"/>
                <w:color w:val="auto"/>
                <w:sz w:val="24"/>
                <w:highlight w:val="none"/>
              </w:rPr>
            </w:pPr>
          </w:p>
        </w:tc>
        <w:tc>
          <w:tcPr>
            <w:tcW w:w="872" w:type="pct"/>
            <w:vAlign w:val="center"/>
          </w:tcPr>
          <w:p w14:paraId="4B5E841D">
            <w:pPr>
              <w:spacing w:line="360" w:lineRule="auto"/>
              <w:jc w:val="center"/>
              <w:rPr>
                <w:rFonts w:ascii="宋体" w:hAnsi="宋体" w:cs="宋体"/>
                <w:color w:val="auto"/>
                <w:sz w:val="24"/>
                <w:highlight w:val="none"/>
              </w:rPr>
            </w:pPr>
          </w:p>
        </w:tc>
      </w:tr>
      <w:tr w14:paraId="0868D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398" w:type="pct"/>
            <w:gridSpan w:val="4"/>
            <w:vAlign w:val="center"/>
          </w:tcPr>
          <w:p w14:paraId="5F17355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2601" w:type="pct"/>
            <w:gridSpan w:val="4"/>
            <w:vAlign w:val="center"/>
          </w:tcPr>
          <w:p w14:paraId="25B1DB84">
            <w:pPr>
              <w:spacing w:line="360" w:lineRule="auto"/>
              <w:jc w:val="center"/>
              <w:rPr>
                <w:rFonts w:ascii="宋体" w:hAnsi="宋体" w:cs="宋体"/>
                <w:color w:val="auto"/>
                <w:sz w:val="24"/>
                <w:highlight w:val="none"/>
              </w:rPr>
            </w:pPr>
          </w:p>
        </w:tc>
      </w:tr>
      <w:tr w14:paraId="164D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398" w:type="pct"/>
            <w:gridSpan w:val="4"/>
            <w:vAlign w:val="center"/>
          </w:tcPr>
          <w:p w14:paraId="2DEFC91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2601" w:type="pct"/>
            <w:gridSpan w:val="4"/>
            <w:vAlign w:val="center"/>
          </w:tcPr>
          <w:p w14:paraId="77A9201F">
            <w:pPr>
              <w:spacing w:line="360" w:lineRule="auto"/>
              <w:jc w:val="center"/>
              <w:rPr>
                <w:rFonts w:ascii="宋体" w:hAnsi="宋体" w:cs="宋体"/>
                <w:color w:val="auto"/>
                <w:sz w:val="24"/>
                <w:highlight w:val="none"/>
              </w:rPr>
            </w:pPr>
          </w:p>
        </w:tc>
      </w:tr>
    </w:tbl>
    <w:p w14:paraId="2D238D71">
      <w:pPr>
        <w:keepNext w:val="0"/>
        <w:keepLines w:val="0"/>
        <w:pageBreakBefore w:val="0"/>
        <w:widowControl w:val="0"/>
        <w:numPr>
          <w:ilvl w:val="0"/>
          <w:numId w:val="1"/>
        </w:numPr>
        <w:kinsoku/>
        <w:wordWrap/>
        <w:overflowPunct/>
        <w:topLinePunct w:val="0"/>
        <w:autoSpaceDE/>
        <w:autoSpaceDN/>
        <w:bidi w:val="0"/>
        <w:spacing w:line="3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合同合计金额包括货物价款，备件、专用工具、安装、调试、检验、技术培训及技术资料和包装、运输等全部费用。如招投标文件对其另有规定的，从其规定。</w:t>
      </w:r>
    </w:p>
    <w:p w14:paraId="3AE5F6D9">
      <w:pPr>
        <w:keepNext w:val="0"/>
        <w:keepLines w:val="0"/>
        <w:pageBreakBefore w:val="0"/>
        <w:widowControl w:val="0"/>
        <w:numPr>
          <w:ilvl w:val="0"/>
          <w:numId w:val="1"/>
        </w:numPr>
        <w:kinsoku/>
        <w:wordWrap/>
        <w:overflowPunct/>
        <w:topLinePunct w:val="0"/>
        <w:autoSpaceDE/>
        <w:autoSpaceDN/>
        <w:bidi w:val="0"/>
        <w:spacing w:line="38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4"/>
          <w:highlight w:val="none"/>
          <w:lang w:val="en-US" w:eastAsia="zh-CN" w:bidi="ar-SA"/>
        </w:rPr>
        <w:t>合同价格形式：□固定总价 □固定单价 □成本补偿 □绩效激励</w:t>
      </w:r>
    </w:p>
    <w:p w14:paraId="7A267917">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第二条　质量保证</w:t>
      </w:r>
    </w:p>
    <w:p w14:paraId="1A62B8F1">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1.乙方所提供的货物型号、技术规格、技术参数等质量必须与招投标文件和承诺相一致。</w:t>
      </w:r>
    </w:p>
    <w:p w14:paraId="7E23BB1A">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2.乙方所提供的货物必须是全新、未使用的原装产品，且在正常安装、使用和保养条件下，其使用寿命期内各项指标均达到质量要求。</w:t>
      </w:r>
    </w:p>
    <w:p w14:paraId="5D1875B2">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第三条　权力保证</w:t>
      </w:r>
    </w:p>
    <w:p w14:paraId="44890B12">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乙方应保证所提供货物在使用时不会侵犯任何第三方的专利权、商标权、工业设计权或其他权利。</w:t>
      </w:r>
    </w:p>
    <w:p w14:paraId="32EF5265">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乙方应按招标文件规定的时间向甲方提供使用货物的有关技术资料。</w:t>
      </w:r>
    </w:p>
    <w:p w14:paraId="37C4E57B">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F946AD8">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乙方保证所交付的货物的所有权完全属于乙方且无任何抵押、质押、查封等产权瑕疵。</w:t>
      </w:r>
    </w:p>
    <w:p w14:paraId="401D3805">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　包装和运输</w:t>
      </w:r>
    </w:p>
    <w:p w14:paraId="5597AB39">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1.乙方提供的货物均应按招投标文件要求的包装材料、包装标准、包装方式进行包装，每一包装单元内应附详细的装箱单和质量合格证。</w:t>
      </w:r>
    </w:p>
    <w:p w14:paraId="5705CBAA">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2.货物的运输方式：</w:t>
      </w:r>
      <w:r>
        <w:rPr>
          <w:rFonts w:hint="eastAsia" w:ascii="宋体" w:hAnsi="宋体" w:eastAsia="宋体" w:cs="宋体"/>
          <w:color w:val="auto"/>
          <w:szCs w:val="21"/>
          <w:highlight w:val="none"/>
          <w:u w:val="single"/>
        </w:rPr>
        <w:t xml:space="preserve">   </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u w:val="single"/>
          <w:lang w:val="en-US" w:eastAsia="zh-CN"/>
        </w:rPr>
        <w:t xml:space="preserve"> </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color w:val="auto"/>
          <w:szCs w:val="21"/>
          <w:highlight w:val="none"/>
          <w:u w:val="single"/>
        </w:rPr>
        <w:t xml:space="preserve"> </w:t>
      </w:r>
    </w:p>
    <w:p w14:paraId="3D1C59E5">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3.乙方负责货物运输，货物运输合理损耗及计算方法：</w:t>
      </w:r>
      <w:r>
        <w:rPr>
          <w:rFonts w:hint="eastAsia" w:ascii="宋体" w:hAnsi="宋体" w:eastAsia="宋体" w:cs="宋体"/>
          <w:color w:val="auto"/>
          <w:szCs w:val="21"/>
          <w:highlight w:val="none"/>
          <w:u w:val="single"/>
        </w:rPr>
        <w:t xml:space="preserve">  本项目不接受损耗品  。</w:t>
      </w:r>
    </w:p>
    <w:p w14:paraId="53179582">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第五条　交付和验收</w:t>
      </w:r>
    </w:p>
    <w:p w14:paraId="63C5ABDF">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1.交货时间：自合同签订之日起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日历天内货到采购单位指定地点，地点：</w:t>
      </w:r>
      <w:r>
        <w:rPr>
          <w:rFonts w:hint="eastAsia" w:ascii="宋体" w:hAnsi="宋体" w:eastAsia="宋体" w:cs="宋体"/>
          <w:color w:val="auto"/>
          <w:szCs w:val="21"/>
          <w:highlight w:val="none"/>
          <w:u w:val="single"/>
        </w:rPr>
        <w:t xml:space="preserve">采购单位指定地点 </w:t>
      </w:r>
      <w:r>
        <w:rPr>
          <w:rFonts w:hint="eastAsia" w:ascii="宋体" w:hAnsi="宋体" w:eastAsia="宋体" w:cs="宋体"/>
          <w:color w:val="auto"/>
          <w:szCs w:val="21"/>
          <w:highlight w:val="none"/>
        </w:rPr>
        <w:t>。</w:t>
      </w:r>
    </w:p>
    <w:p w14:paraId="71B20D50">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2.乙方提供不符合招投标文件和本合同规定的货物，甲方有权拒绝接受。</w:t>
      </w:r>
    </w:p>
    <w:p w14:paraId="1E559E95">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应将所提供货物的装箱清单、用户手册、原厂保修卡、随机资料、工具和备品、备件、医疗器械相关证件（医疗器械需提供）、报关单（进口设备需提供）和检验检疫证明（进口设备需提供）等交付给甲方，如有缺失应及时补齐，否则视为逾期交货。</w:t>
      </w:r>
    </w:p>
    <w:p w14:paraId="130F513C">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bookmarkStart w:id="469" w:name="_Toc28225"/>
      <w:r>
        <w:rPr>
          <w:rFonts w:hint="eastAsia" w:ascii="宋体" w:hAnsi="宋体" w:eastAsia="宋体" w:cs="宋体"/>
          <w:color w:val="auto"/>
          <w:szCs w:val="21"/>
          <w:highlight w:val="none"/>
        </w:rPr>
        <w:t>4.甲方应当在到货（安装、调试完）后五个工作日内进行验收，逾期不验收的，乙方可视同验收合格。验收合格后由甲乙双方签署货物验收单并加盖采购单位公章，甲乙双方各执一份。</w:t>
      </w:r>
      <w:bookmarkEnd w:id="469"/>
    </w:p>
    <w:p w14:paraId="7A50248D">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01D3A492">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6.甲方对验收有异议的，在验收后五个工作日内以书面形式向乙方提出，乙方应自收到甲方书面异议后</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日内及时予以解决。</w:t>
      </w:r>
    </w:p>
    <w:p w14:paraId="4B9085D5">
      <w:pPr>
        <w:keepNext w:val="0"/>
        <w:keepLines w:val="0"/>
        <w:pageBreakBefore w:val="0"/>
        <w:widowControl w:val="0"/>
        <w:shd w:val="clear" w:color="auto" w:fill="auto"/>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第六条　安装和培训（是否增加伴随服务内容）</w:t>
      </w:r>
    </w:p>
    <w:p w14:paraId="599DB366">
      <w:pPr>
        <w:keepNext w:val="0"/>
        <w:keepLines w:val="0"/>
        <w:pageBreakBefore w:val="0"/>
        <w:widowControl w:val="0"/>
        <w:shd w:val="clear" w:color="auto" w:fill="auto"/>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1.甲方应提供必要安装条件（如场地、电源、水源等）。</w:t>
      </w:r>
    </w:p>
    <w:p w14:paraId="22AD9993">
      <w:pPr>
        <w:keepNext w:val="0"/>
        <w:keepLines w:val="0"/>
        <w:pageBreakBefore w:val="0"/>
        <w:widowControl w:val="0"/>
        <w:shd w:val="clear" w:color="auto" w:fill="auto"/>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2.乙方负责甲方有关人员的培训。培训时间、地点：</w:t>
      </w:r>
      <w:r>
        <w:rPr>
          <w:rFonts w:hint="eastAsia" w:ascii="宋体" w:hAnsi="宋体" w:eastAsia="宋体" w:cs="宋体"/>
          <w:color w:val="auto"/>
          <w:szCs w:val="21"/>
          <w:highlight w:val="none"/>
          <w:u w:val="single"/>
        </w:rPr>
        <w:t xml:space="preserve"> 甲、乙双方协定执行    。</w:t>
      </w:r>
    </w:p>
    <w:p w14:paraId="69043E95">
      <w:pPr>
        <w:keepNext w:val="0"/>
        <w:keepLines w:val="0"/>
        <w:pageBreakBefore w:val="0"/>
        <w:widowControl w:val="0"/>
        <w:shd w:val="clear" w:color="auto" w:fill="auto"/>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第七条  售后服务、保修期</w:t>
      </w:r>
    </w:p>
    <w:p w14:paraId="3DF1852D">
      <w:pPr>
        <w:keepNext w:val="0"/>
        <w:keepLines w:val="0"/>
        <w:pageBreakBefore w:val="0"/>
        <w:widowControl w:val="0"/>
        <w:shd w:val="clear" w:color="auto" w:fill="auto"/>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1.乙方应按照国家有关法律法规和“三包”规定以及招投标文件和本合同所附的《服务承诺》，为甲方提供售后服务。</w:t>
      </w:r>
    </w:p>
    <w:p w14:paraId="1A4B583F">
      <w:pPr>
        <w:keepNext w:val="0"/>
        <w:keepLines w:val="0"/>
        <w:pageBreakBefore w:val="0"/>
        <w:widowControl w:val="0"/>
        <w:shd w:val="clear" w:color="auto" w:fill="auto"/>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2.货物保修期：自安装完毕验收合格之日起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个</w:t>
      </w:r>
      <w:r>
        <w:rPr>
          <w:rFonts w:hint="eastAsia" w:ascii="宋体" w:hAnsi="宋体" w:eastAsia="宋体" w:cs="宋体"/>
          <w:color w:val="auto"/>
          <w:szCs w:val="21"/>
          <w:highlight w:val="none"/>
        </w:rPr>
        <w:t>月 。</w:t>
      </w:r>
    </w:p>
    <w:p w14:paraId="1153C71A">
      <w:pPr>
        <w:keepNext w:val="0"/>
        <w:keepLines w:val="0"/>
        <w:pageBreakBefore w:val="0"/>
        <w:widowControl w:val="0"/>
        <w:shd w:val="clear" w:color="auto" w:fill="auto"/>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3.乙方提供的服务承诺和售后服务及保修期责任等其它具体约定事项。（见合同附件）</w:t>
      </w:r>
    </w:p>
    <w:p w14:paraId="25E14970">
      <w:pPr>
        <w:keepNext w:val="0"/>
        <w:keepLines w:val="0"/>
        <w:pageBreakBefore w:val="0"/>
        <w:widowControl w:val="0"/>
        <w:shd w:val="clear" w:color="auto" w:fill="auto"/>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第八条　付款方式</w:t>
      </w:r>
    </w:p>
    <w:p w14:paraId="1DBDEA4D">
      <w:pPr>
        <w:keepNext w:val="0"/>
        <w:keepLines w:val="0"/>
        <w:pageBreakBefore w:val="0"/>
        <w:widowControl w:val="0"/>
        <w:shd w:val="clear" w:color="auto" w:fill="auto"/>
        <w:kinsoku/>
        <w:wordWrap/>
        <w:overflowPunct/>
        <w:topLinePunct w:val="0"/>
        <w:autoSpaceDE/>
        <w:autoSpaceDN/>
        <w:bidi w:val="0"/>
        <w:adjustRightInd w:val="0"/>
        <w:snapToGrid w:val="0"/>
        <w:spacing w:line="380" w:lineRule="exact"/>
        <w:ind w:firstLine="420" w:firstLineChars="200"/>
        <w:jc w:val="both"/>
        <w:textAlignment w:val="auto"/>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bCs/>
          <w:color w:val="auto"/>
          <w:kern w:val="2"/>
          <w:sz w:val="21"/>
          <w:szCs w:val="20"/>
          <w:highlight w:val="none"/>
          <w:lang w:val="en-US" w:eastAsia="zh-CN" w:bidi="ar-SA"/>
        </w:rPr>
        <w:t>1.</w:t>
      </w:r>
      <w:r>
        <w:rPr>
          <w:rFonts w:hint="eastAsia" w:ascii="宋体" w:hAnsi="宋体" w:eastAsia="宋体" w:cs="宋体"/>
          <w:color w:val="auto"/>
          <w:kern w:val="2"/>
          <w:sz w:val="21"/>
          <w:szCs w:val="20"/>
          <w:highlight w:val="none"/>
          <w:lang w:val="en-US" w:eastAsia="zh-CN" w:bidi="ar-SA"/>
        </w:rPr>
        <w:t>当采购数量与实际使用数量不一致时，乙方应根据实际使用量供货，合同的最终结算金额按实际使用量乘以中标单价进行计算。</w:t>
      </w:r>
    </w:p>
    <w:p w14:paraId="3189204F">
      <w:pPr>
        <w:keepNext w:val="0"/>
        <w:keepLines w:val="0"/>
        <w:pageBreakBefore w:val="0"/>
        <w:widowControl w:val="0"/>
        <w:shd w:val="clear" w:color="auto" w:fill="auto"/>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2.资金性质（甲方填写）：</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01A8CF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highlight w:val="none"/>
        </w:rPr>
        <w:t>3.付款方式（根据商务要求响应表填写）：</w:t>
      </w:r>
      <w:r>
        <w:rPr>
          <w:rFonts w:hint="eastAsia" w:ascii="宋体" w:hAnsi="宋体" w:eastAsia="宋体" w:cs="宋体"/>
          <w:color w:val="auto"/>
          <w:szCs w:val="21"/>
          <w:highlight w:val="none"/>
          <w:u w:val="single"/>
        </w:rPr>
        <w:t xml:space="preserve">买卖双方签订合同后5个工作日内，买方向卖方一次性支付合同总金额100%的货款。  </w:t>
      </w:r>
    </w:p>
    <w:p w14:paraId="7B318854">
      <w:pPr>
        <w:keepNext w:val="0"/>
        <w:keepLines w:val="0"/>
        <w:pageBreakBefore w:val="0"/>
        <w:widowControl w:val="0"/>
        <w:shd w:val="clear" w:color="auto" w:fill="auto"/>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第九条、税费</w:t>
      </w:r>
    </w:p>
    <w:p w14:paraId="05122435">
      <w:pPr>
        <w:keepNext w:val="0"/>
        <w:keepLines w:val="0"/>
        <w:pageBreakBefore w:val="0"/>
        <w:widowControl w:val="0"/>
        <w:shd w:val="clear" w:color="auto" w:fill="auto"/>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本合同执行中相关的一切税费均由乙方负担。</w:t>
      </w:r>
    </w:p>
    <w:p w14:paraId="7C93000F">
      <w:pPr>
        <w:keepNext w:val="0"/>
        <w:keepLines w:val="0"/>
        <w:pageBreakBefore w:val="0"/>
        <w:widowControl w:val="0"/>
        <w:shd w:val="clear" w:color="auto" w:fill="auto"/>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第十条、质量保证及售后服务</w:t>
      </w:r>
    </w:p>
    <w:p w14:paraId="6B81E345">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招标文件规定的货物性能、技术要求、质量标准向甲方提供未经使用的全新产品。乙方提供货物的保修期按交货验收合格之日起计。在保修期内因货物本身的质量问题发生故障，乙方应负责免费修理和更换零部件。对达不到技术要求者，根据实际情况，经双方协商，可按以下办法处理：</w:t>
      </w:r>
    </w:p>
    <w:p w14:paraId="718CBBAB">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both"/>
        <w:textAlignment w:val="auto"/>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⑴更换：由乙方承担所发生的全部费用。</w:t>
      </w:r>
    </w:p>
    <w:p w14:paraId="78519D86">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both"/>
        <w:textAlignment w:val="auto"/>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⑵贬值处理：由甲乙双方合议定价。</w:t>
      </w:r>
    </w:p>
    <w:p w14:paraId="34F7FF2E">
      <w:pPr>
        <w:keepNext w:val="0"/>
        <w:keepLines w:val="0"/>
        <w:pageBreakBefore w:val="0"/>
        <w:widowControl w:val="0"/>
        <w:kinsoku/>
        <w:wordWrap/>
        <w:overflowPunct/>
        <w:topLinePunct w:val="0"/>
        <w:autoSpaceDE/>
        <w:autoSpaceDN/>
        <w:bidi w:val="0"/>
        <w:adjustRightInd w:val="0"/>
        <w:snapToGrid w:val="0"/>
        <w:spacing w:line="380" w:lineRule="exact"/>
        <w:ind w:left="17" w:leftChars="8" w:firstLine="396" w:firstLineChars="189"/>
        <w:jc w:val="both"/>
        <w:textAlignment w:val="auto"/>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⑶退货处理：乙方应退还甲方支付的合同款，同时应承担该货物的直接费用（运输、保险、检验费用等）。</w:t>
      </w:r>
    </w:p>
    <w:p w14:paraId="72314B46">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both"/>
        <w:textAlignment w:val="auto"/>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2.如在使用过程中发生质量问题，乙方承诺：</w:t>
      </w:r>
      <w:r>
        <w:rPr>
          <w:rFonts w:hint="eastAsia" w:ascii="宋体" w:hAnsi="宋体" w:eastAsia="宋体" w:cs="宋体"/>
          <w:color w:val="auto"/>
          <w:kern w:val="2"/>
          <w:sz w:val="21"/>
          <w:szCs w:val="20"/>
          <w:highlight w:val="none"/>
          <w:u w:val="single"/>
          <w:lang w:val="en-US" w:eastAsia="zh-CN" w:bidi="ar-SA"/>
        </w:rPr>
        <w:t xml:space="preserve">                                   </w:t>
      </w:r>
      <w:r>
        <w:rPr>
          <w:rFonts w:hint="eastAsia" w:ascii="宋体" w:hAnsi="宋体" w:eastAsia="宋体" w:cs="宋体"/>
          <w:color w:val="auto"/>
          <w:kern w:val="2"/>
          <w:sz w:val="21"/>
          <w:szCs w:val="20"/>
          <w:highlight w:val="none"/>
          <w:lang w:val="en-US" w:eastAsia="zh-CN" w:bidi="ar-SA"/>
        </w:rPr>
        <w:t>。</w:t>
      </w:r>
    </w:p>
    <w:p w14:paraId="2DA14019">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both"/>
        <w:textAlignment w:val="auto"/>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3.在保修期内，乙方应对货物出现的质量及安全问题负责处理解决并承担一切费用。</w:t>
      </w:r>
    </w:p>
    <w:p w14:paraId="7487856A">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both"/>
        <w:textAlignment w:val="auto"/>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4.上述的货物免费保修期为</w:t>
      </w:r>
      <w:r>
        <w:rPr>
          <w:rFonts w:hint="eastAsia" w:ascii="宋体" w:hAnsi="宋体" w:eastAsia="宋体" w:cs="宋体"/>
          <w:color w:val="auto"/>
          <w:kern w:val="2"/>
          <w:sz w:val="21"/>
          <w:szCs w:val="20"/>
          <w:highlight w:val="none"/>
          <w:u w:val="single"/>
          <w:lang w:val="en-US" w:eastAsia="zh-CN" w:bidi="ar-SA"/>
        </w:rPr>
        <w:t xml:space="preserve">    </w:t>
      </w:r>
      <w:r>
        <w:rPr>
          <w:rFonts w:hint="eastAsia" w:ascii="宋体" w:hAnsi="宋体" w:eastAsia="宋体" w:cs="宋体"/>
          <w:color w:val="auto"/>
          <w:kern w:val="2"/>
          <w:sz w:val="21"/>
          <w:szCs w:val="20"/>
          <w:highlight w:val="none"/>
          <w:lang w:val="en-US" w:eastAsia="zh-CN" w:bidi="ar-SA"/>
        </w:rPr>
        <w:t>年，因人为因素出现的故障不在免费保修范围内。</w:t>
      </w:r>
    </w:p>
    <w:p w14:paraId="4DC16081">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jc w:val="both"/>
        <w:textAlignment w:val="auto"/>
        <w:rPr>
          <w:rFonts w:hint="eastAsia" w:ascii="宋体" w:hAnsi="宋体" w:eastAsia="宋体" w:cs="宋体"/>
          <w:b/>
          <w:color w:val="auto"/>
          <w:kern w:val="2"/>
          <w:sz w:val="21"/>
          <w:szCs w:val="20"/>
          <w:highlight w:val="none"/>
          <w:lang w:val="en-US" w:eastAsia="zh-CN" w:bidi="ar-SA"/>
        </w:rPr>
      </w:pPr>
      <w:r>
        <w:rPr>
          <w:rFonts w:hint="eastAsia" w:ascii="宋体" w:hAnsi="宋体" w:eastAsia="宋体" w:cs="宋体"/>
          <w:b/>
          <w:color w:val="auto"/>
          <w:kern w:val="2"/>
          <w:sz w:val="21"/>
          <w:szCs w:val="20"/>
          <w:highlight w:val="none"/>
          <w:lang w:val="en-US" w:eastAsia="zh-CN" w:bidi="ar-SA"/>
        </w:rPr>
        <w:t>第十一条、调试和验收</w:t>
      </w:r>
    </w:p>
    <w:p w14:paraId="4338518C">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left"/>
        <w:textAlignment w:val="auto"/>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1.甲方对乙方提交的货物依据招标文件上的技术规格要求和国家有关质量标准进行现场初步验收，外观、说明书符合招标文件技术要求的，给予签收，初步验收不合格的不予签收。货到后，</w:t>
      </w:r>
      <w:r>
        <w:rPr>
          <w:rFonts w:hint="eastAsia" w:ascii="宋体" w:hAnsi="宋体" w:eastAsia="宋体" w:cs="宋体"/>
          <w:bCs/>
          <w:color w:val="auto"/>
          <w:kern w:val="2"/>
          <w:sz w:val="21"/>
          <w:szCs w:val="20"/>
          <w:highlight w:val="none"/>
          <w:lang w:val="en-US" w:eastAsia="zh-CN" w:bidi="ar-SA"/>
        </w:rPr>
        <w:t>甲方应当在到货（安装、调试完）后五个工作日内进行验收</w:t>
      </w:r>
      <w:r>
        <w:rPr>
          <w:rFonts w:hint="eastAsia" w:ascii="宋体" w:hAnsi="宋体" w:eastAsia="宋体" w:cs="宋体"/>
          <w:color w:val="auto"/>
          <w:kern w:val="2"/>
          <w:sz w:val="21"/>
          <w:szCs w:val="20"/>
          <w:highlight w:val="none"/>
          <w:lang w:val="en-US" w:eastAsia="zh-CN" w:bidi="ar-SA"/>
        </w:rPr>
        <w:t>。</w:t>
      </w:r>
    </w:p>
    <w:p w14:paraId="07B2065B">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both"/>
        <w:textAlignment w:val="auto"/>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2.乙方交货前应对产品作出全面检查和对验收文件进行整理，并列出清单，作为甲方收货验收和使用的技术条件依据，检验的结果应随货物交甲方。</w:t>
      </w:r>
    </w:p>
    <w:p w14:paraId="24A2AB69">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both"/>
        <w:textAlignment w:val="auto"/>
        <w:rPr>
          <w:rFonts w:hint="eastAsia" w:ascii="宋体" w:hAnsi="宋体" w:eastAsia="宋体" w:cs="宋体"/>
          <w:color w:val="auto"/>
          <w:kern w:val="2"/>
          <w:sz w:val="21"/>
          <w:szCs w:val="20"/>
          <w:highlight w:val="none"/>
          <w:u w:val="single"/>
          <w:lang w:val="en-US" w:eastAsia="zh-CN" w:bidi="ar-SA"/>
        </w:rPr>
      </w:pPr>
      <w:r>
        <w:rPr>
          <w:rFonts w:hint="eastAsia" w:ascii="宋体" w:hAnsi="宋体" w:eastAsia="宋体" w:cs="宋体"/>
          <w:color w:val="auto"/>
          <w:kern w:val="2"/>
          <w:sz w:val="21"/>
          <w:szCs w:val="20"/>
          <w:highlight w:val="none"/>
          <w:lang w:val="en-US" w:eastAsia="zh-CN" w:bidi="ar-SA"/>
        </w:rPr>
        <w:t>3.甲方对乙方提供的货物在使用前进行调试时，乙方需负责安装并培训甲方的使用操作人员，并协助甲方一起调试，直到符合技术要求，甲方才做最终验收。</w:t>
      </w:r>
    </w:p>
    <w:p w14:paraId="056140F0">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both"/>
        <w:textAlignment w:val="auto"/>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4.对技术复杂的货物，甲方应请国家认可的专业检测机构参与初步验收及最终验收，并由其出具质量检测报告。</w:t>
      </w:r>
    </w:p>
    <w:p w14:paraId="11D6110E">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both"/>
        <w:textAlignment w:val="auto"/>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5.验收时乙方必须在现场，验收完毕后作出验收结果报告；验收费用由乙方负责。</w:t>
      </w:r>
    </w:p>
    <w:p w14:paraId="59304113">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jc w:val="both"/>
        <w:textAlignment w:val="auto"/>
        <w:rPr>
          <w:rFonts w:hint="eastAsia" w:ascii="宋体" w:hAnsi="宋体" w:eastAsia="宋体" w:cs="宋体"/>
          <w:b/>
          <w:color w:val="auto"/>
          <w:kern w:val="2"/>
          <w:sz w:val="21"/>
          <w:szCs w:val="20"/>
          <w:highlight w:val="none"/>
          <w:lang w:val="en-US" w:eastAsia="zh-CN" w:bidi="ar-SA"/>
        </w:rPr>
      </w:pPr>
      <w:r>
        <w:rPr>
          <w:rFonts w:hint="eastAsia" w:ascii="宋体" w:hAnsi="宋体" w:eastAsia="宋体" w:cs="宋体"/>
          <w:b/>
          <w:color w:val="auto"/>
          <w:kern w:val="2"/>
          <w:sz w:val="21"/>
          <w:szCs w:val="20"/>
          <w:highlight w:val="none"/>
          <w:lang w:val="en-US" w:eastAsia="zh-CN" w:bidi="ar-SA"/>
        </w:rPr>
        <w:t>第十二条、货物包装、发运及运输</w:t>
      </w:r>
    </w:p>
    <w:p w14:paraId="2BB46392">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both"/>
        <w:textAlignment w:val="auto"/>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1. 乙方应在货物发运前对其进行满足运输距离、防潮、防震、防锈和防破损装卸等要求包装，以保证货物安全运达甲方指定地点。</w:t>
      </w:r>
    </w:p>
    <w:p w14:paraId="50615527">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both"/>
        <w:textAlignment w:val="auto"/>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2. 使用说明书、质量检验证明书、随配附件和工具以及清单一并附于货物内。</w:t>
      </w:r>
    </w:p>
    <w:p w14:paraId="4CF5357D">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both"/>
        <w:textAlignment w:val="auto"/>
        <w:rPr>
          <w:rFonts w:hint="eastAsia" w:ascii="宋体" w:hAnsi="宋体" w:eastAsia="宋体" w:cs="宋体"/>
          <w:color w:val="auto"/>
          <w:spacing w:val="-4"/>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 xml:space="preserve">3. </w:t>
      </w:r>
      <w:r>
        <w:rPr>
          <w:rFonts w:hint="eastAsia" w:ascii="宋体" w:hAnsi="宋体" w:eastAsia="宋体" w:cs="宋体"/>
          <w:color w:val="auto"/>
          <w:spacing w:val="-4"/>
          <w:kern w:val="2"/>
          <w:sz w:val="21"/>
          <w:szCs w:val="20"/>
          <w:highlight w:val="none"/>
          <w:lang w:val="en-US" w:eastAsia="zh-CN" w:bidi="ar-SA"/>
        </w:rPr>
        <w:t>乙方在货物发运手续办理完毕后二十四小时内或货到甲方四十八小时前通知甲方，以准备接货。</w:t>
      </w:r>
    </w:p>
    <w:p w14:paraId="0E63F58C">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both"/>
        <w:textAlignment w:val="auto"/>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4. 货物在交付甲方前发生的风险均由乙方负责。</w:t>
      </w:r>
    </w:p>
    <w:p w14:paraId="7D79DCD1">
      <w:pPr>
        <w:keepNext w:val="0"/>
        <w:keepLines w:val="0"/>
        <w:pageBreakBefore w:val="0"/>
        <w:widowControl w:val="0"/>
        <w:kinsoku/>
        <w:wordWrap/>
        <w:overflowPunct/>
        <w:topLinePunct w:val="0"/>
        <w:autoSpaceDE/>
        <w:autoSpaceDN/>
        <w:bidi w:val="0"/>
        <w:adjustRightInd w:val="0"/>
        <w:snapToGrid w:val="0"/>
        <w:spacing w:line="380" w:lineRule="exact"/>
        <w:ind w:right="26" w:firstLine="420" w:firstLineChars="200"/>
        <w:jc w:val="both"/>
        <w:textAlignment w:val="auto"/>
        <w:rPr>
          <w:rFonts w:hint="eastAsia" w:ascii="宋体" w:hAnsi="宋体" w:eastAsia="宋体" w:cs="宋体"/>
          <w:color w:val="auto"/>
          <w:spacing w:val="-8"/>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5. 货</w:t>
      </w:r>
      <w:r>
        <w:rPr>
          <w:rFonts w:hint="eastAsia" w:ascii="宋体" w:hAnsi="宋体" w:eastAsia="宋体" w:cs="宋体"/>
          <w:color w:val="auto"/>
          <w:spacing w:val="-8"/>
          <w:kern w:val="2"/>
          <w:sz w:val="21"/>
          <w:szCs w:val="20"/>
          <w:highlight w:val="none"/>
          <w:lang w:val="en-US" w:eastAsia="zh-CN" w:bidi="ar-SA"/>
        </w:rPr>
        <w:t>物在规定的交付期限内由乙方送达甲方指定的地点视为交付，乙方同时需通知甲方货物已送达。</w:t>
      </w:r>
    </w:p>
    <w:p w14:paraId="107B5032">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第十三条　违约责任</w:t>
      </w:r>
    </w:p>
    <w:p w14:paraId="223C2D6C">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1.乙方所提供的货物规格、技术标准、材料等质量不合格的，应及时更换，更换不及时的按逾期交货处罚；因质量问题甲方不同意接收的，</w:t>
      </w:r>
      <w:bookmarkStart w:id="470" w:name="_Hlk12306025"/>
      <w:r>
        <w:rPr>
          <w:rFonts w:hint="eastAsia" w:ascii="宋体" w:hAnsi="宋体" w:eastAsia="宋体" w:cs="宋体"/>
          <w:color w:val="auto"/>
          <w:szCs w:val="21"/>
          <w:highlight w:val="none"/>
        </w:rPr>
        <w:t>乙方应向甲方支付违约货款额 5%违约金并赔偿甲方经济损失</w:t>
      </w:r>
      <w:bookmarkEnd w:id="470"/>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除支付违约金、</w:t>
      </w:r>
      <w:r>
        <w:rPr>
          <w:rFonts w:hint="eastAsia" w:ascii="宋体" w:hAnsi="宋体" w:eastAsia="宋体" w:cs="宋体"/>
          <w:color w:val="auto"/>
          <w:szCs w:val="21"/>
          <w:highlight w:val="none"/>
          <w:lang w:eastAsia="zh-CN"/>
        </w:rPr>
        <w:t>赔偿损失</w:t>
      </w:r>
      <w:r>
        <w:rPr>
          <w:rFonts w:hint="eastAsia" w:ascii="宋体" w:hAnsi="宋体" w:eastAsia="宋体" w:cs="宋体"/>
          <w:color w:val="auto"/>
          <w:szCs w:val="21"/>
          <w:highlight w:val="none"/>
        </w:rPr>
        <w:t>外，仍需继续履行合同或重新提供符合要求的</w:t>
      </w:r>
      <w:r>
        <w:rPr>
          <w:rFonts w:hint="eastAsia" w:ascii="宋体" w:hAnsi="宋体" w:eastAsia="宋体" w:cs="宋体"/>
          <w:color w:val="auto"/>
          <w:szCs w:val="21"/>
          <w:highlight w:val="none"/>
          <w:lang w:eastAsia="zh-CN"/>
        </w:rPr>
        <w:t>货物、</w:t>
      </w:r>
      <w:r>
        <w:rPr>
          <w:rFonts w:hint="eastAsia" w:ascii="宋体" w:hAnsi="宋体" w:eastAsia="宋体" w:cs="宋体"/>
          <w:color w:val="auto"/>
          <w:szCs w:val="21"/>
          <w:highlight w:val="none"/>
        </w:rPr>
        <w:t>服务；乙方未在甲方规定的时间内履行完毕的，经甲方书面通知乙方进行整改，乙方仍未能在合理期限内完成整改的，甲方有权单方面解除或终止合同，乙方需向甲方赔偿相应的经济损失。</w:t>
      </w:r>
    </w:p>
    <w:p w14:paraId="50642E16">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2.乙方提供的货物如侵犯了第三方合法权益而引发的任何纠纷或诉讼，均由乙方负责交涉并承担全部责任</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乙方支付的违约金不足以弥补甲方损失的，还应承担赔偿责任。甲方为维护权益向乙方追偿的一切费用 (包括但不限于律师费、担保费、保全保险费、差旅费、鉴定费等等) 均由乙方承担。</w:t>
      </w:r>
    </w:p>
    <w:p w14:paraId="075F1AD0">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3.因包装、运输引起的货物损坏，按质量不合格处罚。</w:t>
      </w:r>
    </w:p>
    <w:p w14:paraId="664D7158">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甲方无故延期接收货物、乙方逾期交货的（本合同项的设备出厂后的承运途中遇到如下情形的，比如道路交通事故、地震、暴雨、下雪、泥石流等非乙方原因造成的延期交付的，乙方免责），每天向对方偿付违约货款额</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rPr>
        <w:t>‰违约金，但违约金累计不得超过违约货款额</w:t>
      </w:r>
      <w:r>
        <w:rPr>
          <w:rFonts w:hint="eastAsia" w:ascii="宋体" w:hAnsi="宋体" w:eastAsia="宋体" w:cs="宋体"/>
          <w:color w:val="auto"/>
          <w:szCs w:val="21"/>
          <w:highlight w:val="none"/>
          <w:u w:val="single"/>
        </w:rPr>
        <w:t>5%</w:t>
      </w:r>
      <w:r>
        <w:rPr>
          <w:rFonts w:hint="eastAsia" w:ascii="宋体" w:hAnsi="宋体" w:eastAsia="宋体" w:cs="宋体"/>
          <w:color w:val="auto"/>
          <w:szCs w:val="21"/>
          <w:highlight w:val="none"/>
        </w:rPr>
        <w:t>，超过</w:t>
      </w:r>
      <w:r>
        <w:rPr>
          <w:rFonts w:hint="eastAsia" w:ascii="宋体" w:hAnsi="宋体" w:eastAsia="宋体" w:cs="宋体"/>
          <w:color w:val="auto"/>
          <w:szCs w:val="21"/>
          <w:highlight w:val="none"/>
          <w:u w:val="single"/>
        </w:rPr>
        <w:t>30</w:t>
      </w:r>
      <w:r>
        <w:rPr>
          <w:rFonts w:hint="eastAsia" w:ascii="宋体" w:hAnsi="宋体" w:eastAsia="宋体" w:cs="宋体"/>
          <w:color w:val="auto"/>
          <w:szCs w:val="21"/>
          <w:highlight w:val="none"/>
        </w:rPr>
        <w:t>天对方有权解除合同，违约方承担因此给对方造成经济损失。</w:t>
      </w:r>
    </w:p>
    <w:p w14:paraId="3D6E13E6">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5、甲方未按付款方式延期支付货款的，除应及时足额支付货款外，每天向乙方偿付延期货款额1‰ 滞纳金，但滞纳金累计不得超过延期货款额5%。甲方逾期付款超过180天的。乙方有权终止本合同，同时甲方仍需偿付乙方剩余所得货款。</w:t>
      </w:r>
    </w:p>
    <w:p w14:paraId="0070B82B">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6.乙方未按本合同和投标文件中规定的服务承诺提供伴随服务的，乙方应按本合同货物总金额</w:t>
      </w:r>
      <w:r>
        <w:rPr>
          <w:rFonts w:hint="eastAsia" w:ascii="宋体" w:hAnsi="宋体" w:eastAsia="宋体" w:cs="宋体"/>
          <w:color w:val="auto"/>
          <w:szCs w:val="21"/>
          <w:highlight w:val="none"/>
          <w:u w:val="single"/>
        </w:rPr>
        <w:t xml:space="preserve"> 5%</w:t>
      </w:r>
      <w:r>
        <w:rPr>
          <w:rFonts w:hint="eastAsia" w:ascii="宋体" w:hAnsi="宋体" w:eastAsia="宋体" w:cs="宋体"/>
          <w:color w:val="auto"/>
          <w:szCs w:val="21"/>
          <w:highlight w:val="none"/>
        </w:rPr>
        <w:t>向甲方支付违约金。</w:t>
      </w:r>
    </w:p>
    <w:p w14:paraId="0DFC3977">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7.乙方提供的货物在保修期内，因设计、工艺或材料的缺陷和其它质量原因造成的问题，由乙方负责，费用从合同金额中扣除，不足另补。</w:t>
      </w:r>
    </w:p>
    <w:p w14:paraId="719DA4F8">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除了质量及不可抗力原因外，若甲方在本合同履行过程以其他理由提出解除、撤销、确认合同无效之诉的，乙方在经法院确认支持甲方诉讼请求，因设备已经交付且经过安装调试、检验，造成乙方无法向设备的生产厂家完全退货的，避免未来争端，甲、乙双方一致确认本合同设备的基准价格为争议发生日的甲方所属地域的招投标中标价格。</w:t>
      </w:r>
    </w:p>
    <w:p w14:paraId="6670C01C">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jc w:val="both"/>
        <w:textAlignment w:val="auto"/>
        <w:rPr>
          <w:rFonts w:hint="eastAsia" w:ascii="宋体" w:hAnsi="宋体" w:eastAsia="宋体" w:cs="宋体"/>
          <w:b/>
          <w:color w:val="auto"/>
          <w:kern w:val="2"/>
          <w:sz w:val="21"/>
          <w:szCs w:val="20"/>
          <w:highlight w:val="none"/>
          <w:lang w:val="en-US" w:eastAsia="zh-CN" w:bidi="ar-SA"/>
        </w:rPr>
      </w:pPr>
      <w:r>
        <w:rPr>
          <w:rFonts w:hint="eastAsia" w:ascii="宋体" w:hAnsi="宋体" w:eastAsia="宋体" w:cs="宋体"/>
          <w:b/>
          <w:color w:val="auto"/>
          <w:kern w:val="2"/>
          <w:sz w:val="21"/>
          <w:szCs w:val="20"/>
          <w:highlight w:val="none"/>
          <w:lang w:val="en-US" w:eastAsia="zh-CN" w:bidi="ar-SA"/>
        </w:rPr>
        <w:t>第十四条 不可抗力事件处理</w:t>
      </w:r>
    </w:p>
    <w:p w14:paraId="1CBA262C">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both"/>
        <w:textAlignment w:val="auto"/>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1.在合同有效期内，任何一方因不可抗力事件导致不能履行合同，则合同履行期可延长，其延长期与不可抗力影响期相同。</w:t>
      </w:r>
    </w:p>
    <w:p w14:paraId="48786702">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both"/>
        <w:textAlignment w:val="auto"/>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2.不可抗力事件发生后，应立即通知对方，并寄送有关权威机构出具的证明。</w:t>
      </w:r>
    </w:p>
    <w:p w14:paraId="7147EA27">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both"/>
        <w:textAlignment w:val="auto"/>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3.不可抗力事件延续一百二十天以上，双方应通过友好协商，确定是否继续履行合同。</w:t>
      </w:r>
    </w:p>
    <w:p w14:paraId="5686867D">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第十五条  合同争议解决</w:t>
      </w:r>
    </w:p>
    <w:p w14:paraId="0BFF8B44">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1.因货物质量问题发生争议的，应邀请国家认可的质量检测机构对货物质量进行鉴定。货物符合标准的，鉴定费由甲方承担；货物不符合标准的，鉴定费由乙方承担。</w:t>
      </w:r>
    </w:p>
    <w:p w14:paraId="75C9311F">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2.因履行本合同引起的或与本合同有关的争议，甲乙双方应首先通过友好协商解决，如果协商不能解决，可向甲方所在地的</w:t>
      </w:r>
      <w:r>
        <w:rPr>
          <w:rFonts w:hint="eastAsia" w:ascii="宋体" w:hAnsi="宋体" w:eastAsia="宋体" w:cs="宋体"/>
          <w:color w:val="auto"/>
          <w:szCs w:val="21"/>
          <w:highlight w:val="none"/>
          <w:u w:val="single"/>
        </w:rPr>
        <w:t>人民法院提请诉讼</w:t>
      </w:r>
      <w:r>
        <w:rPr>
          <w:rFonts w:hint="eastAsia" w:ascii="宋体" w:hAnsi="宋体" w:eastAsia="宋体" w:cs="宋体"/>
          <w:color w:val="auto"/>
          <w:szCs w:val="21"/>
          <w:highlight w:val="none"/>
        </w:rPr>
        <w:t>。</w:t>
      </w:r>
    </w:p>
    <w:p w14:paraId="5A56F635">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3.诉讼期间，本合同继续履行。</w:t>
      </w:r>
    </w:p>
    <w:p w14:paraId="287C1971">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jc w:val="both"/>
        <w:textAlignment w:val="auto"/>
        <w:rPr>
          <w:rFonts w:hint="eastAsia" w:ascii="宋体" w:hAnsi="宋体" w:eastAsia="宋体" w:cs="宋体"/>
          <w:b/>
          <w:color w:val="auto"/>
          <w:kern w:val="2"/>
          <w:sz w:val="21"/>
          <w:szCs w:val="20"/>
          <w:highlight w:val="none"/>
          <w:lang w:val="en-US" w:eastAsia="zh-CN" w:bidi="ar-SA"/>
        </w:rPr>
      </w:pPr>
      <w:r>
        <w:rPr>
          <w:rFonts w:hint="eastAsia" w:ascii="宋体" w:hAnsi="宋体" w:eastAsia="宋体" w:cs="宋体"/>
          <w:b/>
          <w:color w:val="auto"/>
          <w:kern w:val="2"/>
          <w:sz w:val="21"/>
          <w:szCs w:val="20"/>
          <w:highlight w:val="none"/>
          <w:lang w:val="en-US" w:eastAsia="zh-CN" w:bidi="ar-SA"/>
        </w:rPr>
        <w:t>第十六条、合同生效及其它</w:t>
      </w:r>
    </w:p>
    <w:p w14:paraId="007CC7E6">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jc w:val="both"/>
        <w:textAlignment w:val="auto"/>
        <w:rPr>
          <w:rFonts w:hint="eastAsia" w:ascii="宋体" w:hAnsi="宋体" w:eastAsia="宋体" w:cs="宋体"/>
          <w:b/>
          <w:color w:val="auto"/>
          <w:kern w:val="2"/>
          <w:sz w:val="21"/>
          <w:szCs w:val="20"/>
          <w:highlight w:val="none"/>
          <w:lang w:val="en-US" w:eastAsia="zh-CN" w:bidi="ar-SA"/>
        </w:rPr>
      </w:pPr>
      <w:r>
        <w:rPr>
          <w:rFonts w:hint="eastAsia" w:ascii="宋体" w:hAnsi="宋体" w:eastAsia="宋体" w:cs="宋体"/>
          <w:b/>
          <w:color w:val="auto"/>
          <w:kern w:val="2"/>
          <w:sz w:val="21"/>
          <w:szCs w:val="20"/>
          <w:highlight w:val="none"/>
          <w:lang w:val="en-US" w:eastAsia="zh-CN" w:bidi="ar-SA"/>
        </w:rPr>
        <w:t>1．合同经双方法定代表人（负责人）或授权代表签字并加盖单位公章后生效。</w:t>
      </w:r>
    </w:p>
    <w:p w14:paraId="79798272">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jc w:val="both"/>
        <w:textAlignment w:val="auto"/>
        <w:rPr>
          <w:rFonts w:hint="eastAsia" w:ascii="宋体" w:hAnsi="宋体" w:eastAsia="宋体" w:cs="宋体"/>
          <w:b/>
          <w:color w:val="auto"/>
          <w:spacing w:val="-2"/>
          <w:kern w:val="2"/>
          <w:sz w:val="21"/>
          <w:szCs w:val="20"/>
          <w:highlight w:val="none"/>
          <w:lang w:val="en-US" w:eastAsia="zh-CN" w:bidi="ar-SA"/>
        </w:rPr>
      </w:pPr>
      <w:r>
        <w:rPr>
          <w:rFonts w:hint="eastAsia" w:ascii="宋体" w:hAnsi="宋体" w:eastAsia="宋体" w:cs="宋体"/>
          <w:b/>
          <w:color w:val="auto"/>
          <w:kern w:val="2"/>
          <w:sz w:val="21"/>
          <w:szCs w:val="20"/>
          <w:highlight w:val="none"/>
          <w:lang w:val="en-US" w:eastAsia="zh-CN" w:bidi="ar-SA"/>
        </w:rPr>
        <w:t>2．</w:t>
      </w:r>
      <w:r>
        <w:rPr>
          <w:rFonts w:hint="eastAsia" w:ascii="宋体" w:hAnsi="宋体" w:eastAsia="宋体" w:cs="宋体"/>
          <w:b/>
          <w:color w:val="auto"/>
          <w:spacing w:val="-2"/>
          <w:kern w:val="2"/>
          <w:sz w:val="21"/>
          <w:szCs w:val="20"/>
          <w:highlight w:val="none"/>
          <w:lang w:val="en-US" w:eastAsia="zh-CN" w:bidi="ar-SA"/>
        </w:rPr>
        <w:t>合同执行中涉及采购资金和采购内容修改或补充的，须经采购人审批，并签书面补充协议，方可作为主合同不可分割的一部分。</w:t>
      </w:r>
    </w:p>
    <w:p w14:paraId="5B2709CD">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jc w:val="both"/>
        <w:textAlignment w:val="auto"/>
        <w:rPr>
          <w:rFonts w:hint="eastAsia" w:ascii="宋体" w:hAnsi="宋体" w:eastAsia="宋体" w:cs="宋体"/>
          <w:b/>
          <w:color w:val="auto"/>
          <w:kern w:val="2"/>
          <w:sz w:val="21"/>
          <w:szCs w:val="20"/>
          <w:highlight w:val="none"/>
          <w:lang w:val="en-US" w:eastAsia="zh-CN" w:bidi="ar-SA"/>
        </w:rPr>
      </w:pPr>
      <w:r>
        <w:rPr>
          <w:rFonts w:hint="eastAsia" w:ascii="宋体" w:hAnsi="宋体" w:eastAsia="宋体" w:cs="宋体"/>
          <w:b/>
          <w:color w:val="auto"/>
          <w:kern w:val="2"/>
          <w:sz w:val="21"/>
          <w:szCs w:val="20"/>
          <w:highlight w:val="none"/>
          <w:lang w:val="en-US" w:eastAsia="zh-CN" w:bidi="ar-SA"/>
        </w:rPr>
        <w:t>3．本合同未尽事宜，遵照《中华人民共和国民法典》有关条文执行。</w:t>
      </w:r>
    </w:p>
    <w:p w14:paraId="59BB6E7D">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第十七条　合同的变更、终止与转让</w:t>
      </w:r>
    </w:p>
    <w:p w14:paraId="21A973D6">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1.除《中华人民共和国政府采购法》第五十条规定的情形外，本合同一经签订，甲乙双方不得擅自变更、中止或终止。</w:t>
      </w:r>
    </w:p>
    <w:p w14:paraId="60339393">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both"/>
        <w:textAlignment w:val="auto"/>
        <w:rPr>
          <w:rFonts w:hint="eastAsia" w:ascii="宋体" w:hAnsi="宋体" w:eastAsia="宋体" w:cs="宋体"/>
          <w:b/>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2.乙方不得擅自转让（无进口资格的供应商委托进口货物除外）其应履行的合同义务。</w:t>
      </w:r>
    </w:p>
    <w:p w14:paraId="3C7C2154">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第十八条　签订本合同依据</w:t>
      </w:r>
    </w:p>
    <w:p w14:paraId="0DAB1718">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1.采购招标文件；</w:t>
      </w:r>
    </w:p>
    <w:p w14:paraId="192A322A">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2.乙方提供的投标文件；</w:t>
      </w:r>
    </w:p>
    <w:p w14:paraId="06BAC964">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3.投标承诺书；</w:t>
      </w:r>
    </w:p>
    <w:p w14:paraId="460212FB">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4.中标通知书。</w:t>
      </w:r>
    </w:p>
    <w:p w14:paraId="3083EC4E">
      <w:pPr>
        <w:keepNext w:val="0"/>
        <w:keepLines w:val="0"/>
        <w:pageBreakBefore w:val="0"/>
        <w:widowControl w:val="0"/>
        <w:kinsoku/>
        <w:wordWrap/>
        <w:overflowPunct/>
        <w:topLinePunct w:val="0"/>
        <w:autoSpaceDE/>
        <w:autoSpaceDN/>
        <w:bidi w:val="0"/>
        <w:adjustRightInd w:val="0"/>
        <w:snapToGrid w:val="0"/>
        <w:spacing w:line="380" w:lineRule="exact"/>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第十九条　</w:t>
      </w:r>
      <w:r>
        <w:rPr>
          <w:rFonts w:hint="eastAsia" w:ascii="宋体" w:hAnsi="宋体" w:eastAsia="宋体" w:cs="宋体"/>
          <w:color w:val="auto"/>
          <w:szCs w:val="21"/>
          <w:highlight w:val="none"/>
        </w:rPr>
        <w:t>本合同一式</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份，甲乙</w:t>
      </w:r>
      <w:r>
        <w:rPr>
          <w:rFonts w:hint="eastAsia" w:ascii="宋体" w:hAnsi="宋体" w:eastAsia="宋体" w:cs="宋体"/>
          <w:color w:val="auto"/>
          <w:szCs w:val="21"/>
          <w:highlight w:val="none"/>
          <w:lang w:val="en-US" w:eastAsia="zh-CN"/>
        </w:rPr>
        <w:t>双</w:t>
      </w:r>
      <w:r>
        <w:rPr>
          <w:rFonts w:hint="eastAsia" w:ascii="宋体" w:hAnsi="宋体" w:eastAsia="宋体" w:cs="宋体"/>
          <w:color w:val="auto"/>
          <w:szCs w:val="21"/>
          <w:highlight w:val="none"/>
        </w:rPr>
        <w:t>方</w:t>
      </w:r>
      <w:r>
        <w:rPr>
          <w:rFonts w:hint="eastAsia" w:ascii="宋体" w:hAnsi="宋体" w:eastAsia="宋体" w:cs="宋体"/>
          <w:color w:val="auto"/>
          <w:szCs w:val="21"/>
          <w:highlight w:val="none"/>
          <w:lang w:val="en-US" w:eastAsia="zh-CN"/>
        </w:rPr>
        <w:t>各</w:t>
      </w:r>
      <w:r>
        <w:rPr>
          <w:rFonts w:hint="eastAsia" w:ascii="宋体" w:hAnsi="宋体" w:eastAsia="宋体" w:cs="宋体"/>
          <w:color w:val="auto"/>
          <w:szCs w:val="21"/>
          <w:highlight w:val="none"/>
        </w:rPr>
        <w:t>二份（可根据需要另增加）。</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14:paraId="70D5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4" w:hRule="atLeast"/>
          <w:jc w:val="center"/>
        </w:trPr>
        <w:tc>
          <w:tcPr>
            <w:tcW w:w="4516" w:type="dxa"/>
            <w:noWrap w:val="0"/>
            <w:vAlign w:val="center"/>
          </w:tcPr>
          <w:p w14:paraId="15E9FACA">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甲方（章）</w:t>
            </w:r>
          </w:p>
        </w:tc>
        <w:tc>
          <w:tcPr>
            <w:tcW w:w="4772" w:type="dxa"/>
            <w:noWrap w:val="0"/>
            <w:vAlign w:val="center"/>
          </w:tcPr>
          <w:p w14:paraId="412C1EEA">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乙方（章）</w:t>
            </w:r>
          </w:p>
        </w:tc>
      </w:tr>
      <w:tr w14:paraId="32A7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exact"/>
          <w:jc w:val="center"/>
        </w:trPr>
        <w:tc>
          <w:tcPr>
            <w:tcW w:w="4516" w:type="dxa"/>
            <w:noWrap w:val="0"/>
            <w:vAlign w:val="center"/>
          </w:tcPr>
          <w:p w14:paraId="5626A0A9">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c>
          <w:tcPr>
            <w:tcW w:w="4772" w:type="dxa"/>
            <w:noWrap w:val="0"/>
            <w:vAlign w:val="center"/>
          </w:tcPr>
          <w:p w14:paraId="517A0915">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tc>
      </w:tr>
      <w:tr w14:paraId="70E0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4516" w:type="dxa"/>
            <w:noWrap w:val="0"/>
            <w:vAlign w:val="center"/>
          </w:tcPr>
          <w:p w14:paraId="7102690F">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w:t>
            </w:r>
          </w:p>
        </w:tc>
        <w:tc>
          <w:tcPr>
            <w:tcW w:w="4772" w:type="dxa"/>
            <w:noWrap w:val="0"/>
            <w:vAlign w:val="center"/>
          </w:tcPr>
          <w:p w14:paraId="40B5D7E7">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w:t>
            </w:r>
          </w:p>
        </w:tc>
      </w:tr>
      <w:tr w14:paraId="4B769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4516" w:type="dxa"/>
            <w:noWrap w:val="0"/>
            <w:vAlign w:val="center"/>
          </w:tcPr>
          <w:p w14:paraId="1364F200">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科室负责人</w:t>
            </w:r>
            <w:r>
              <w:rPr>
                <w:rFonts w:hint="eastAsia" w:ascii="宋体" w:hAnsi="宋体" w:eastAsia="宋体" w:cs="宋体"/>
                <w:color w:val="auto"/>
                <w:szCs w:val="21"/>
                <w:highlight w:val="none"/>
              </w:rPr>
              <w:t>：</w:t>
            </w:r>
          </w:p>
        </w:tc>
        <w:tc>
          <w:tcPr>
            <w:tcW w:w="4772" w:type="dxa"/>
            <w:noWrap w:val="0"/>
            <w:vAlign w:val="center"/>
          </w:tcPr>
          <w:p w14:paraId="07BE48AA">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p>
        </w:tc>
      </w:tr>
      <w:tr w14:paraId="65827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exact"/>
          <w:jc w:val="center"/>
        </w:trPr>
        <w:tc>
          <w:tcPr>
            <w:tcW w:w="4516" w:type="dxa"/>
            <w:noWrap w:val="0"/>
            <w:vAlign w:val="center"/>
          </w:tcPr>
          <w:p w14:paraId="37672DE2">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772" w:type="dxa"/>
            <w:noWrap w:val="0"/>
            <w:vAlign w:val="center"/>
          </w:tcPr>
          <w:p w14:paraId="2C2CFCC2">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r>
      <w:tr w14:paraId="7E5E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exact"/>
          <w:jc w:val="center"/>
        </w:trPr>
        <w:tc>
          <w:tcPr>
            <w:tcW w:w="4516" w:type="dxa"/>
            <w:noWrap w:val="0"/>
            <w:vAlign w:val="center"/>
          </w:tcPr>
          <w:p w14:paraId="41EFE963">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4772" w:type="dxa"/>
            <w:noWrap w:val="0"/>
            <w:vAlign w:val="center"/>
          </w:tcPr>
          <w:p w14:paraId="197BAA83">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r>
      <w:tr w14:paraId="73B1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exact"/>
          <w:jc w:val="center"/>
        </w:trPr>
        <w:tc>
          <w:tcPr>
            <w:tcW w:w="4516" w:type="dxa"/>
            <w:noWrap w:val="0"/>
            <w:vAlign w:val="center"/>
          </w:tcPr>
          <w:p w14:paraId="01F940BB">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4772" w:type="dxa"/>
            <w:noWrap w:val="0"/>
            <w:vAlign w:val="center"/>
          </w:tcPr>
          <w:p w14:paraId="1DECD042">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r>
      <w:tr w14:paraId="74C27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14:paraId="7E8FCD8F">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772" w:type="dxa"/>
            <w:noWrap w:val="0"/>
            <w:vAlign w:val="center"/>
          </w:tcPr>
          <w:p w14:paraId="4B16A928">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r>
      <w:tr w14:paraId="4E03C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16" w:type="dxa"/>
            <w:noWrap w:val="0"/>
            <w:vAlign w:val="center"/>
          </w:tcPr>
          <w:p w14:paraId="0714A383">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4772" w:type="dxa"/>
            <w:noWrap w:val="0"/>
            <w:vAlign w:val="center"/>
          </w:tcPr>
          <w:p w14:paraId="04B5D296">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r>
      <w:tr w14:paraId="79EA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9288" w:type="dxa"/>
            <w:gridSpan w:val="2"/>
            <w:noWrap w:val="0"/>
            <w:vAlign w:val="top"/>
          </w:tcPr>
          <w:p w14:paraId="519D1C7E">
            <w:pPr>
              <w:keepNext w:val="0"/>
              <w:keepLines w:val="0"/>
              <w:pageBreakBefore w:val="0"/>
              <w:widowControl w:val="0"/>
              <w:kinsoku/>
              <w:wordWrap/>
              <w:overflowPunct/>
              <w:topLinePunct w:val="0"/>
              <w:autoSpaceDE/>
              <w:autoSpaceDN/>
              <w:bidi w:val="0"/>
              <w:snapToGrid w:val="0"/>
              <w:spacing w:line="38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经手人</w:t>
            </w:r>
            <w:r>
              <w:rPr>
                <w:rFonts w:hint="eastAsia" w:ascii="宋体" w:hAnsi="宋体" w:cs="宋体"/>
                <w:color w:val="auto"/>
                <w:szCs w:val="21"/>
                <w:highlight w:val="none"/>
                <w:lang w:eastAsia="zh-CN"/>
              </w:rPr>
              <w:t>：</w:t>
            </w:r>
          </w:p>
          <w:p w14:paraId="4B2F2764">
            <w:pPr>
              <w:keepNext w:val="0"/>
              <w:keepLines w:val="0"/>
              <w:pageBreakBefore w:val="0"/>
              <w:widowControl w:val="0"/>
              <w:kinsoku/>
              <w:wordWrap/>
              <w:overflowPunct/>
              <w:topLinePunct w:val="0"/>
              <w:autoSpaceDE/>
              <w:autoSpaceDN/>
              <w:bidi w:val="0"/>
              <w:snapToGrid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签订地点：                    签订时间:     年    月    日</w:t>
            </w:r>
          </w:p>
        </w:tc>
      </w:tr>
    </w:tbl>
    <w:p w14:paraId="190C532E">
      <w:pPr>
        <w:snapToGrid w:val="0"/>
        <w:spacing w:line="360" w:lineRule="exact"/>
        <w:ind w:left="420" w:hanging="420" w:hangingChars="200"/>
        <w:outlineLvl w:val="9"/>
        <w:rPr>
          <w:rFonts w:hint="eastAsia" w:ascii="宋体" w:hAnsi="宋体" w:eastAsia="宋体" w:cs="宋体"/>
          <w:color w:val="auto"/>
          <w:szCs w:val="21"/>
          <w:highlight w:val="none"/>
        </w:rPr>
      </w:pPr>
    </w:p>
    <w:p w14:paraId="63ADBE0F">
      <w:pPr>
        <w:snapToGrid w:val="0"/>
        <w:spacing w:line="360" w:lineRule="exact"/>
        <w:jc w:val="both"/>
        <w:outlineLvl w:val="9"/>
        <w:rPr>
          <w:rFonts w:hint="eastAsia" w:ascii="宋体" w:hAnsi="宋体" w:eastAsia="宋体" w:cs="宋体"/>
          <w:b/>
          <w:color w:val="auto"/>
          <w:szCs w:val="21"/>
          <w:highlight w:val="none"/>
        </w:rPr>
      </w:pPr>
    </w:p>
    <w:p w14:paraId="2615D720">
      <w:pPr>
        <w:keepNext w:val="0"/>
        <w:keepLines/>
        <w:pageBreakBefore/>
        <w:widowControl w:val="0"/>
        <w:kinsoku/>
        <w:wordWrap/>
        <w:overflowPunct/>
        <w:topLinePunct w:val="0"/>
        <w:autoSpaceDE/>
        <w:autoSpaceDN/>
        <w:bidi w:val="0"/>
        <w:adjustRightInd/>
        <w:snapToGrid w:val="0"/>
        <w:spacing w:line="600" w:lineRule="exact"/>
        <w:jc w:val="center"/>
        <w:textAlignment w:val="auto"/>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合 同 附 件</w:t>
      </w:r>
    </w:p>
    <w:p w14:paraId="63C7E139">
      <w:pPr>
        <w:snapToGrid w:val="0"/>
        <w:spacing w:line="360" w:lineRule="exact"/>
        <w:outlineLvl w:val="9"/>
        <w:rPr>
          <w:rFonts w:hint="eastAsia" w:ascii="宋体" w:hAnsi="宋体" w:eastAsia="宋体" w:cs="宋体"/>
          <w:color w:val="auto"/>
          <w:szCs w:val="21"/>
          <w:highlight w:val="none"/>
        </w:rPr>
      </w:pPr>
    </w:p>
    <w:p w14:paraId="3A6C66DA">
      <w:pPr>
        <w:snapToGrid w:val="0"/>
        <w:spacing w:line="360" w:lineRule="exact"/>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一般货物类</w:t>
      </w:r>
    </w:p>
    <w:tbl>
      <w:tblPr>
        <w:tblStyle w:val="62"/>
        <w:tblW w:w="0" w:type="auto"/>
        <w:jc w:val="center"/>
        <w:tblLayout w:type="fixed"/>
        <w:tblCellMar>
          <w:top w:w="0" w:type="dxa"/>
          <w:left w:w="108" w:type="dxa"/>
          <w:bottom w:w="0" w:type="dxa"/>
          <w:right w:w="108" w:type="dxa"/>
        </w:tblCellMar>
      </w:tblPr>
      <w:tblGrid>
        <w:gridCol w:w="4788"/>
        <w:gridCol w:w="4680"/>
      </w:tblGrid>
      <w:tr w14:paraId="0F464D76">
        <w:tblPrEx>
          <w:tblCellMar>
            <w:top w:w="0" w:type="dxa"/>
            <w:left w:w="108" w:type="dxa"/>
            <w:bottom w:w="0" w:type="dxa"/>
            <w:right w:w="108" w:type="dxa"/>
          </w:tblCellMar>
        </w:tblPrEx>
        <w:trPr>
          <w:trHeight w:val="2260" w:hRule="atLeast"/>
          <w:jc w:val="center"/>
        </w:trPr>
        <w:tc>
          <w:tcPr>
            <w:tcW w:w="9468" w:type="dxa"/>
            <w:gridSpan w:val="2"/>
            <w:tcBorders>
              <w:top w:val="single" w:color="auto" w:sz="4" w:space="0"/>
              <w:left w:val="single" w:color="auto" w:sz="4" w:space="0"/>
              <w:right w:val="single" w:color="auto" w:sz="4" w:space="0"/>
            </w:tcBorders>
            <w:noWrap w:val="0"/>
            <w:vAlign w:val="top"/>
          </w:tcPr>
          <w:p w14:paraId="18800966">
            <w:pPr>
              <w:snapToGrid w:val="0"/>
              <w:spacing w:line="360" w:lineRule="exact"/>
              <w:outlineLvl w:val="9"/>
              <w:rPr>
                <w:rFonts w:hint="eastAsia" w:ascii="宋体" w:hAnsi="宋体" w:eastAsia="宋体" w:cs="宋体"/>
                <w:color w:val="auto"/>
                <w:szCs w:val="21"/>
                <w:highlight w:val="none"/>
              </w:rPr>
            </w:pPr>
          </w:p>
        </w:tc>
      </w:tr>
      <w:tr w14:paraId="064FF80B">
        <w:tblPrEx>
          <w:tblCellMar>
            <w:top w:w="0" w:type="dxa"/>
            <w:left w:w="108" w:type="dxa"/>
            <w:bottom w:w="0" w:type="dxa"/>
            <w:right w:w="108" w:type="dxa"/>
          </w:tblCellMar>
        </w:tblPrEx>
        <w:trPr>
          <w:trHeight w:val="1728" w:hRule="atLeast"/>
          <w:jc w:val="center"/>
        </w:trPr>
        <w:tc>
          <w:tcPr>
            <w:tcW w:w="9468" w:type="dxa"/>
            <w:gridSpan w:val="2"/>
            <w:tcBorders>
              <w:top w:val="single" w:color="auto" w:sz="4" w:space="0"/>
              <w:left w:val="single" w:color="auto" w:sz="4" w:space="0"/>
              <w:right w:val="single" w:color="auto" w:sz="4" w:space="0"/>
            </w:tcBorders>
            <w:noWrap w:val="0"/>
            <w:vAlign w:val="top"/>
          </w:tcPr>
          <w:p w14:paraId="0D5A8A91">
            <w:pPr>
              <w:snapToGrid w:val="0"/>
              <w:spacing w:line="360" w:lineRule="exact"/>
              <w:outlineLvl w:val="9"/>
              <w:rPr>
                <w:rFonts w:hint="eastAsia" w:ascii="宋体" w:hAnsi="宋体" w:eastAsia="宋体" w:cs="宋体"/>
                <w:color w:val="auto"/>
                <w:szCs w:val="21"/>
                <w:highlight w:val="none"/>
              </w:rPr>
            </w:pPr>
          </w:p>
        </w:tc>
      </w:tr>
      <w:tr w14:paraId="642BC487">
        <w:tblPrEx>
          <w:tblCellMar>
            <w:top w:w="0" w:type="dxa"/>
            <w:left w:w="108" w:type="dxa"/>
            <w:bottom w:w="0" w:type="dxa"/>
            <w:right w:w="108" w:type="dxa"/>
          </w:tblCellMar>
        </w:tblPrEx>
        <w:trPr>
          <w:trHeight w:val="1644" w:hRule="atLeast"/>
          <w:jc w:val="center"/>
        </w:trPr>
        <w:tc>
          <w:tcPr>
            <w:tcW w:w="9468" w:type="dxa"/>
            <w:gridSpan w:val="2"/>
            <w:tcBorders>
              <w:top w:val="single" w:color="auto" w:sz="4" w:space="0"/>
              <w:left w:val="single" w:color="auto" w:sz="4" w:space="0"/>
              <w:right w:val="single" w:color="auto" w:sz="4" w:space="0"/>
            </w:tcBorders>
            <w:noWrap w:val="0"/>
            <w:vAlign w:val="top"/>
          </w:tcPr>
          <w:p w14:paraId="6243C6CA">
            <w:pPr>
              <w:snapToGrid w:val="0"/>
              <w:spacing w:line="360" w:lineRule="exact"/>
              <w:outlineLvl w:val="9"/>
              <w:rPr>
                <w:rFonts w:hint="eastAsia" w:ascii="宋体" w:hAnsi="宋体" w:eastAsia="宋体" w:cs="宋体"/>
                <w:color w:val="auto"/>
                <w:szCs w:val="21"/>
                <w:highlight w:val="none"/>
              </w:rPr>
            </w:pPr>
          </w:p>
        </w:tc>
      </w:tr>
      <w:tr w14:paraId="453915F9">
        <w:tblPrEx>
          <w:tblCellMar>
            <w:top w:w="0" w:type="dxa"/>
            <w:left w:w="108" w:type="dxa"/>
            <w:bottom w:w="0" w:type="dxa"/>
            <w:right w:w="108" w:type="dxa"/>
          </w:tblCellMar>
        </w:tblPrEx>
        <w:trPr>
          <w:trHeight w:val="1810" w:hRule="atLeast"/>
          <w:jc w:val="center"/>
        </w:trPr>
        <w:tc>
          <w:tcPr>
            <w:tcW w:w="9468" w:type="dxa"/>
            <w:gridSpan w:val="2"/>
            <w:tcBorders>
              <w:top w:val="single" w:color="auto" w:sz="4" w:space="0"/>
              <w:left w:val="single" w:color="auto" w:sz="4" w:space="0"/>
              <w:right w:val="single" w:color="auto" w:sz="4" w:space="0"/>
            </w:tcBorders>
            <w:noWrap w:val="0"/>
            <w:vAlign w:val="top"/>
          </w:tcPr>
          <w:p w14:paraId="3BA9D32D">
            <w:pPr>
              <w:snapToGrid w:val="0"/>
              <w:spacing w:line="360" w:lineRule="exact"/>
              <w:outlineLvl w:val="9"/>
              <w:rPr>
                <w:rFonts w:hint="eastAsia" w:ascii="宋体" w:hAnsi="宋体" w:eastAsia="宋体" w:cs="宋体"/>
                <w:color w:val="auto"/>
                <w:szCs w:val="21"/>
                <w:highlight w:val="none"/>
              </w:rPr>
            </w:pPr>
          </w:p>
        </w:tc>
      </w:tr>
      <w:tr w14:paraId="3D19E5E6">
        <w:tblPrEx>
          <w:tblCellMar>
            <w:top w:w="0" w:type="dxa"/>
            <w:left w:w="108" w:type="dxa"/>
            <w:bottom w:w="0" w:type="dxa"/>
            <w:right w:w="108" w:type="dxa"/>
          </w:tblCellMar>
        </w:tblPrEx>
        <w:trPr>
          <w:trHeight w:val="2577" w:hRule="atLeast"/>
          <w:jc w:val="center"/>
        </w:trPr>
        <w:tc>
          <w:tcPr>
            <w:tcW w:w="4788" w:type="dxa"/>
            <w:tcBorders>
              <w:top w:val="single" w:color="auto" w:sz="4" w:space="0"/>
              <w:left w:val="single" w:color="auto" w:sz="4" w:space="0"/>
              <w:bottom w:val="single" w:color="auto" w:sz="4" w:space="0"/>
              <w:right w:val="single" w:color="auto" w:sz="4" w:space="0"/>
            </w:tcBorders>
            <w:noWrap w:val="0"/>
            <w:vAlign w:val="center"/>
          </w:tcPr>
          <w:p w14:paraId="716B5BB6">
            <w:pPr>
              <w:snapToGrid w:val="0"/>
              <w:spacing w:line="36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甲方（章）</w:t>
            </w:r>
          </w:p>
          <w:p w14:paraId="6263D410">
            <w:pPr>
              <w:snapToGrid w:val="0"/>
              <w:spacing w:line="360" w:lineRule="exact"/>
              <w:outlineLvl w:val="9"/>
              <w:rPr>
                <w:rFonts w:hint="eastAsia" w:ascii="宋体" w:hAnsi="宋体" w:eastAsia="宋体" w:cs="宋体"/>
                <w:color w:val="auto"/>
                <w:szCs w:val="21"/>
                <w:highlight w:val="none"/>
              </w:rPr>
            </w:pPr>
          </w:p>
          <w:p w14:paraId="5D1DE161">
            <w:pPr>
              <w:snapToGrid w:val="0"/>
              <w:spacing w:line="360" w:lineRule="exact"/>
              <w:outlineLvl w:val="9"/>
              <w:rPr>
                <w:rFonts w:hint="eastAsia" w:ascii="宋体" w:hAnsi="宋体" w:eastAsia="宋体" w:cs="宋体"/>
                <w:color w:val="auto"/>
                <w:szCs w:val="21"/>
                <w:highlight w:val="none"/>
              </w:rPr>
            </w:pPr>
          </w:p>
          <w:p w14:paraId="23FCB419">
            <w:pPr>
              <w:snapToGrid w:val="0"/>
              <w:spacing w:line="360" w:lineRule="exact"/>
              <w:outlineLvl w:val="9"/>
              <w:rPr>
                <w:rFonts w:hint="eastAsia" w:ascii="宋体" w:hAnsi="宋体" w:eastAsia="宋体" w:cs="宋体"/>
                <w:color w:val="auto"/>
                <w:szCs w:val="21"/>
                <w:highlight w:val="none"/>
              </w:rPr>
            </w:pPr>
          </w:p>
          <w:p w14:paraId="483177B9">
            <w:pPr>
              <w:snapToGrid w:val="0"/>
              <w:spacing w:line="360" w:lineRule="exact"/>
              <w:outlineLvl w:val="9"/>
              <w:rPr>
                <w:rFonts w:hint="eastAsia" w:ascii="宋体" w:hAnsi="宋体" w:eastAsia="宋体" w:cs="宋体"/>
                <w:color w:val="auto"/>
                <w:szCs w:val="21"/>
                <w:highlight w:val="none"/>
              </w:rPr>
            </w:pPr>
          </w:p>
          <w:p w14:paraId="53DBDE9C">
            <w:pPr>
              <w:snapToGrid w:val="0"/>
              <w:spacing w:line="360" w:lineRule="exact"/>
              <w:outlineLvl w:val="9"/>
              <w:rPr>
                <w:rFonts w:hint="eastAsia" w:ascii="宋体" w:hAnsi="宋体" w:eastAsia="宋体" w:cs="宋体"/>
                <w:color w:val="auto"/>
                <w:szCs w:val="21"/>
                <w:highlight w:val="none"/>
              </w:rPr>
            </w:pPr>
          </w:p>
          <w:p w14:paraId="3AF19CB6">
            <w:pPr>
              <w:snapToGrid w:val="0"/>
              <w:spacing w:line="360" w:lineRule="exact"/>
              <w:outlineLvl w:val="9"/>
              <w:rPr>
                <w:rFonts w:hint="eastAsia" w:ascii="宋体" w:hAnsi="宋体" w:eastAsia="宋体" w:cs="宋体"/>
                <w:color w:val="auto"/>
                <w:szCs w:val="21"/>
                <w:highlight w:val="none"/>
              </w:rPr>
            </w:pPr>
          </w:p>
          <w:p w14:paraId="7716B5FC">
            <w:pPr>
              <w:snapToGrid w:val="0"/>
              <w:spacing w:line="360" w:lineRule="exact"/>
              <w:ind w:firstLine="42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 </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4C783E18">
            <w:pPr>
              <w:snapToGrid w:val="0"/>
              <w:spacing w:line="36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乙方（章）</w:t>
            </w:r>
          </w:p>
          <w:p w14:paraId="3DFE5D4D">
            <w:pPr>
              <w:snapToGrid w:val="0"/>
              <w:spacing w:line="360" w:lineRule="exact"/>
              <w:outlineLvl w:val="9"/>
              <w:rPr>
                <w:rFonts w:hint="eastAsia" w:ascii="宋体" w:hAnsi="宋体" w:eastAsia="宋体" w:cs="宋体"/>
                <w:color w:val="auto"/>
                <w:szCs w:val="21"/>
                <w:highlight w:val="none"/>
              </w:rPr>
            </w:pPr>
          </w:p>
          <w:p w14:paraId="58E25B8F">
            <w:pPr>
              <w:snapToGrid w:val="0"/>
              <w:spacing w:line="360" w:lineRule="exact"/>
              <w:outlineLvl w:val="9"/>
              <w:rPr>
                <w:rFonts w:hint="eastAsia" w:ascii="宋体" w:hAnsi="宋体" w:eastAsia="宋体" w:cs="宋体"/>
                <w:color w:val="auto"/>
                <w:szCs w:val="21"/>
                <w:highlight w:val="none"/>
              </w:rPr>
            </w:pPr>
          </w:p>
          <w:p w14:paraId="778EA825">
            <w:pPr>
              <w:snapToGrid w:val="0"/>
              <w:spacing w:line="360" w:lineRule="exact"/>
              <w:outlineLvl w:val="9"/>
              <w:rPr>
                <w:rFonts w:hint="eastAsia" w:ascii="宋体" w:hAnsi="宋体" w:eastAsia="宋体" w:cs="宋体"/>
                <w:color w:val="auto"/>
                <w:szCs w:val="21"/>
                <w:highlight w:val="none"/>
              </w:rPr>
            </w:pPr>
          </w:p>
          <w:p w14:paraId="52A56C5E">
            <w:pPr>
              <w:snapToGrid w:val="0"/>
              <w:spacing w:line="360" w:lineRule="exact"/>
              <w:outlineLvl w:val="9"/>
              <w:rPr>
                <w:rFonts w:hint="eastAsia" w:ascii="宋体" w:hAnsi="宋体" w:eastAsia="宋体" w:cs="宋体"/>
                <w:color w:val="auto"/>
                <w:szCs w:val="21"/>
                <w:highlight w:val="none"/>
              </w:rPr>
            </w:pPr>
          </w:p>
          <w:p w14:paraId="6A7285C7">
            <w:pPr>
              <w:snapToGrid w:val="0"/>
              <w:spacing w:line="360" w:lineRule="exact"/>
              <w:outlineLvl w:val="9"/>
              <w:rPr>
                <w:rFonts w:hint="eastAsia" w:ascii="宋体" w:hAnsi="宋体" w:eastAsia="宋体" w:cs="宋体"/>
                <w:color w:val="auto"/>
                <w:szCs w:val="21"/>
                <w:highlight w:val="none"/>
              </w:rPr>
            </w:pPr>
          </w:p>
          <w:p w14:paraId="7C63AE8C">
            <w:pPr>
              <w:snapToGrid w:val="0"/>
              <w:spacing w:line="360" w:lineRule="exact"/>
              <w:outlineLvl w:val="9"/>
              <w:rPr>
                <w:rFonts w:hint="eastAsia" w:ascii="宋体" w:hAnsi="宋体" w:eastAsia="宋体" w:cs="宋体"/>
                <w:color w:val="auto"/>
                <w:szCs w:val="21"/>
                <w:highlight w:val="none"/>
              </w:rPr>
            </w:pPr>
          </w:p>
          <w:p w14:paraId="342003EE">
            <w:pPr>
              <w:snapToGrid w:val="0"/>
              <w:spacing w:line="360" w:lineRule="exact"/>
              <w:ind w:firstLine="42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tc>
      </w:tr>
    </w:tbl>
    <w:p w14:paraId="6E1A3B45">
      <w:pPr>
        <w:pStyle w:val="23"/>
        <w:ind w:left="479" w:leftChars="114" w:hanging="240" w:hangingChars="100"/>
        <w:rPr>
          <w:rFonts w:hint="eastAsia" w:ascii="宋体" w:hAnsi="宋体" w:cs="宋体"/>
          <w:b/>
          <w:bCs/>
          <w:szCs w:val="21"/>
        </w:rPr>
      </w:pPr>
      <w:r>
        <w:rPr>
          <w:rFonts w:hint="eastAsia" w:ascii="宋体" w:hAnsi="宋体" w:eastAsia="宋体" w:cs="宋体"/>
          <w:color w:val="auto"/>
          <w:szCs w:val="21"/>
          <w:highlight w:val="none"/>
        </w:rPr>
        <w:t>注：售后服务事项填不下时可另加附页</w:t>
      </w:r>
    </w:p>
    <w:p w14:paraId="292A74E6">
      <w:pPr>
        <w:widowControl/>
        <w:jc w:val="left"/>
        <w:rPr>
          <w:rFonts w:hint="eastAsia" w:ascii="宋体" w:hAnsi="宋体" w:eastAsia="宋体" w:cs="宋体"/>
          <w:b/>
          <w:bCs/>
          <w:kern w:val="0"/>
          <w:szCs w:val="21"/>
          <w:lang w:eastAsia="zh-CN"/>
        </w:rPr>
      </w:pPr>
      <w:r>
        <w:rPr>
          <w:rFonts w:hint="eastAsia" w:ascii="宋体" w:hAnsi="宋体" w:cs="宋体"/>
          <w:b/>
          <w:bCs/>
          <w:szCs w:val="21"/>
        </w:rPr>
        <w:br w:type="page"/>
      </w:r>
      <w:bookmarkStart w:id="471" w:name="_Toc17183"/>
      <w:r>
        <w:rPr>
          <w:rFonts w:hint="eastAsia" w:ascii="宋体" w:hAnsi="宋体" w:cs="宋体"/>
          <w:b/>
          <w:bCs/>
          <w:kern w:val="0"/>
          <w:szCs w:val="21"/>
        </w:rPr>
        <w:t>合同附件</w:t>
      </w:r>
      <w:bookmarkEnd w:id="471"/>
      <w:r>
        <w:rPr>
          <w:rFonts w:hint="eastAsia" w:ascii="宋体" w:hAnsi="宋体" w:cs="宋体"/>
          <w:b/>
          <w:bCs/>
          <w:kern w:val="0"/>
          <w:szCs w:val="21"/>
          <w:lang w:val="en-US" w:eastAsia="zh-CN"/>
        </w:rPr>
        <w:t>1</w:t>
      </w:r>
    </w:p>
    <w:p w14:paraId="4E40A9E4">
      <w:pPr>
        <w:snapToGrid w:val="0"/>
        <w:spacing w:line="360" w:lineRule="exact"/>
        <w:jc w:val="center"/>
        <w:rPr>
          <w:rFonts w:hint="eastAsia" w:ascii="宋体" w:hAnsi="宋体" w:cs="宋体"/>
          <w:b/>
          <w:bCs/>
          <w:szCs w:val="21"/>
        </w:rPr>
      </w:pPr>
      <w:bookmarkStart w:id="472" w:name="_Hlk80978015"/>
    </w:p>
    <w:p w14:paraId="33DC3B66">
      <w:pPr>
        <w:snapToGrid w:val="0"/>
        <w:spacing w:line="360" w:lineRule="exact"/>
        <w:jc w:val="center"/>
        <w:rPr>
          <w:rFonts w:hint="eastAsia" w:ascii="宋体" w:hAnsi="宋体" w:cs="宋体"/>
          <w:b/>
          <w:bCs/>
          <w:szCs w:val="21"/>
        </w:rPr>
      </w:pPr>
      <w:bookmarkStart w:id="473" w:name="_Hlk77607667"/>
      <w:r>
        <w:rPr>
          <w:rFonts w:hint="eastAsia" w:ascii="宋体" w:hAnsi="宋体" w:cs="宋体"/>
          <w:b/>
          <w:bCs/>
          <w:szCs w:val="21"/>
        </w:rPr>
        <w:t>履约验收方案</w:t>
      </w:r>
    </w:p>
    <w:p w14:paraId="485183C9">
      <w:pPr>
        <w:widowControl/>
        <w:jc w:val="left"/>
        <w:rPr>
          <w:rFonts w:hint="eastAsia" w:ascii="宋体" w:hAnsi="宋体" w:cs="宋体"/>
          <w:szCs w:val="21"/>
        </w:rPr>
      </w:pPr>
    </w:p>
    <w:p w14:paraId="1CA2A854">
      <w:pPr>
        <w:pStyle w:val="962"/>
        <w:ind w:firstLineChars="0"/>
        <w:rPr>
          <w:rFonts w:hint="eastAsia" w:ascii="宋体" w:hAnsi="宋体" w:eastAsia="宋体" w:cs="宋体"/>
          <w:kern w:val="2"/>
          <w:sz w:val="21"/>
          <w:szCs w:val="21"/>
        </w:rPr>
      </w:pPr>
    </w:p>
    <w:p w14:paraId="55CAB912">
      <w:pPr>
        <w:spacing w:before="120" w:line="320" w:lineRule="exact"/>
        <w:jc w:val="left"/>
        <w:rPr>
          <w:rFonts w:hint="eastAsia" w:ascii="宋体" w:hAnsi="宋体" w:cs="宋体"/>
          <w:b/>
          <w:bCs/>
          <w:szCs w:val="21"/>
        </w:rPr>
      </w:pPr>
      <w:r>
        <w:rPr>
          <w:rFonts w:hint="eastAsia" w:ascii="宋体" w:hAnsi="宋体" w:cs="宋体"/>
          <w:b/>
          <w:bCs/>
          <w:szCs w:val="21"/>
        </w:rPr>
        <w:t>1.履约验收工作参加人员</w:t>
      </w:r>
    </w:p>
    <w:p w14:paraId="6F539EDB">
      <w:pPr>
        <w:spacing w:before="120" w:line="320" w:lineRule="exact"/>
        <w:jc w:val="left"/>
        <w:rPr>
          <w:rFonts w:hint="eastAsia" w:ascii="宋体" w:hAnsi="宋体" w:cs="宋体"/>
          <w:szCs w:val="21"/>
        </w:rPr>
      </w:pPr>
      <w:r>
        <w:rPr>
          <w:rFonts w:hint="eastAsia" w:ascii="宋体" w:hAnsi="宋体" w:cs="宋体"/>
          <w:b/>
          <w:bCs/>
          <w:szCs w:val="21"/>
        </w:rPr>
        <w:t>1.1履约验收主体单位</w:t>
      </w:r>
    </w:p>
    <w:p w14:paraId="4B0EB826">
      <w:pPr>
        <w:spacing w:before="120" w:line="320" w:lineRule="exact"/>
        <w:ind w:firstLine="420" w:firstLineChars="200"/>
        <w:jc w:val="left"/>
        <w:rPr>
          <w:rFonts w:hint="eastAsia" w:ascii="宋体" w:hAnsi="宋体" w:cs="宋体"/>
          <w:szCs w:val="21"/>
          <w:u w:val="single"/>
        </w:rPr>
      </w:pPr>
      <w:r>
        <w:rPr>
          <w:rStyle w:val="78"/>
          <w:rFonts w:hint="eastAsia" w:ascii="宋体" w:hAnsi="宋体" w:cs="宋体"/>
        </w:rPr>
        <w:t>采购人或采购人委托的机构</w:t>
      </w:r>
    </w:p>
    <w:p w14:paraId="2FE1A08A">
      <w:pPr>
        <w:spacing w:before="120" w:line="320" w:lineRule="exact"/>
        <w:jc w:val="left"/>
        <w:rPr>
          <w:rFonts w:hint="eastAsia" w:ascii="宋体" w:hAnsi="宋体" w:cs="宋体"/>
          <w:szCs w:val="21"/>
        </w:rPr>
      </w:pPr>
      <w:r>
        <w:rPr>
          <w:rFonts w:hint="eastAsia" w:ascii="宋体" w:hAnsi="宋体" w:cs="宋体"/>
          <w:b/>
          <w:bCs/>
          <w:szCs w:val="21"/>
        </w:rPr>
        <w:t>1.2履约验收参加人员</w:t>
      </w:r>
    </w:p>
    <w:p w14:paraId="253C225F">
      <w:pPr>
        <w:spacing w:before="120" w:line="320" w:lineRule="exact"/>
        <w:ind w:firstLine="420" w:firstLineChars="200"/>
        <w:jc w:val="left"/>
        <w:rPr>
          <w:rFonts w:hint="eastAsia" w:ascii="宋体" w:hAnsi="宋体" w:cs="宋体"/>
          <w:szCs w:val="21"/>
          <w:u w:val="single"/>
        </w:rPr>
      </w:pPr>
      <w:r>
        <w:rPr>
          <w:rFonts w:hint="eastAsia" w:ascii="宋体" w:hAnsi="宋体" w:cs="宋体"/>
        </w:rPr>
        <w:t>采购人代表、委托机构代表、</w:t>
      </w:r>
      <w:r>
        <w:rPr>
          <w:rFonts w:hint="eastAsia" w:ascii="宋体" w:hAnsi="宋体" w:cs="宋体"/>
          <w:lang w:val="en-US" w:eastAsia="zh-CN"/>
        </w:rPr>
        <w:t>中标</w:t>
      </w:r>
      <w:r>
        <w:rPr>
          <w:rFonts w:hint="eastAsia" w:ascii="宋体" w:hAnsi="宋体" w:cs="宋体"/>
        </w:rPr>
        <w:t>供应商代表及采购人邀请的其他人员</w:t>
      </w:r>
    </w:p>
    <w:p w14:paraId="75A30709">
      <w:pPr>
        <w:spacing w:before="120" w:line="320" w:lineRule="exact"/>
        <w:jc w:val="left"/>
        <w:rPr>
          <w:rFonts w:hint="eastAsia" w:ascii="宋体" w:hAnsi="宋体" w:cs="宋体"/>
          <w:b/>
          <w:bCs/>
          <w:szCs w:val="21"/>
        </w:rPr>
      </w:pPr>
      <w:r>
        <w:rPr>
          <w:rFonts w:hint="eastAsia" w:ascii="宋体" w:hAnsi="宋体" w:cs="宋体"/>
          <w:b/>
          <w:bCs/>
          <w:szCs w:val="21"/>
        </w:rPr>
        <w:t>2.履约验收时间</w:t>
      </w:r>
    </w:p>
    <w:p w14:paraId="134361EA">
      <w:pPr>
        <w:spacing w:before="120" w:line="320" w:lineRule="exact"/>
        <w:jc w:val="left"/>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年  月  日</w:t>
      </w:r>
    </w:p>
    <w:p w14:paraId="543B354A">
      <w:pPr>
        <w:spacing w:before="120" w:line="320" w:lineRule="exact"/>
        <w:jc w:val="left"/>
        <w:rPr>
          <w:rFonts w:hint="eastAsia" w:ascii="宋体" w:hAnsi="宋体" w:cs="宋体"/>
          <w:b/>
          <w:bCs/>
          <w:szCs w:val="21"/>
        </w:rPr>
      </w:pPr>
      <w:r>
        <w:rPr>
          <w:rFonts w:hint="eastAsia" w:ascii="宋体" w:hAnsi="宋体" w:cs="宋体"/>
          <w:b/>
          <w:bCs/>
          <w:szCs w:val="21"/>
        </w:rPr>
        <w:t>3.履约验收地点</w:t>
      </w:r>
    </w:p>
    <w:p w14:paraId="71424502">
      <w:pPr>
        <w:spacing w:before="120" w:line="320" w:lineRule="exact"/>
        <w:jc w:val="left"/>
        <w:rPr>
          <w:rFonts w:hint="eastAsia" w:ascii="宋体" w:hAnsi="宋体" w:cs="宋体"/>
          <w:kern w:val="0"/>
          <w:szCs w:val="21"/>
        </w:rPr>
      </w:pPr>
      <w:r>
        <w:rPr>
          <w:rFonts w:hint="eastAsia" w:ascii="宋体" w:hAnsi="宋体" w:cs="宋体"/>
        </w:rPr>
        <w:t>采购人指定地点</w:t>
      </w:r>
      <w:r>
        <w:rPr>
          <w:rFonts w:hint="eastAsia" w:ascii="宋体" w:hAnsi="宋体" w:cs="宋体"/>
          <w:kern w:val="0"/>
          <w:szCs w:val="21"/>
        </w:rPr>
        <w:t> </w:t>
      </w:r>
    </w:p>
    <w:p w14:paraId="0EFBFB4C">
      <w:pPr>
        <w:spacing w:before="120" w:line="320" w:lineRule="exact"/>
        <w:jc w:val="left"/>
        <w:rPr>
          <w:rFonts w:hint="eastAsia" w:ascii="宋体" w:hAnsi="宋体" w:cs="宋体"/>
          <w:b/>
          <w:bCs/>
          <w:szCs w:val="21"/>
        </w:rPr>
      </w:pPr>
      <w:r>
        <w:rPr>
          <w:rFonts w:hint="eastAsia" w:ascii="宋体" w:hAnsi="宋体" w:cs="宋体"/>
          <w:b/>
          <w:bCs/>
          <w:szCs w:val="21"/>
        </w:rPr>
        <w:t>4.履约验收方式</w:t>
      </w:r>
    </w:p>
    <w:p w14:paraId="08E5CBB8">
      <w:pPr>
        <w:spacing w:before="120" w:line="320" w:lineRule="exact"/>
        <w:jc w:val="left"/>
        <w:rPr>
          <w:rFonts w:hint="eastAsia" w:ascii="宋体" w:hAnsi="宋体" w:cs="宋体"/>
          <w:b/>
          <w:bCs/>
          <w:szCs w:val="21"/>
        </w:rPr>
      </w:pPr>
      <w:r>
        <w:rPr>
          <w:rFonts w:hint="eastAsia" w:ascii="宋体" w:hAnsi="宋体" w:cs="宋体"/>
          <w:szCs w:val="21"/>
        </w:rPr>
        <w:t>采购人自行验收</w:t>
      </w:r>
    </w:p>
    <w:p w14:paraId="1F70E41B">
      <w:pPr>
        <w:spacing w:before="120" w:line="320" w:lineRule="exact"/>
        <w:jc w:val="left"/>
        <w:rPr>
          <w:rFonts w:hint="eastAsia" w:ascii="宋体" w:hAnsi="宋体" w:cs="宋体"/>
          <w:b/>
          <w:bCs/>
          <w:szCs w:val="21"/>
        </w:rPr>
      </w:pPr>
      <w:r>
        <w:rPr>
          <w:rFonts w:hint="eastAsia" w:ascii="宋体" w:hAnsi="宋体" w:cs="宋体"/>
          <w:b/>
          <w:bCs/>
          <w:szCs w:val="21"/>
        </w:rPr>
        <w:t>5.履约验收程序</w:t>
      </w:r>
    </w:p>
    <w:p w14:paraId="59D6DDBC">
      <w:pPr>
        <w:spacing w:before="120" w:line="320" w:lineRule="exact"/>
        <w:jc w:val="left"/>
        <w:rPr>
          <w:rFonts w:hint="eastAsia" w:ascii="宋体" w:hAnsi="宋体" w:cs="宋体"/>
          <w:b/>
          <w:bCs/>
          <w:szCs w:val="21"/>
        </w:rPr>
      </w:pPr>
      <w:r>
        <w:rPr>
          <w:rFonts w:hint="eastAsia" w:ascii="宋体" w:hAnsi="宋体" w:cs="宋体"/>
          <w:b/>
          <w:bCs/>
          <w:szCs w:val="21"/>
        </w:rPr>
        <w:t>5.1成立验收小组</w:t>
      </w:r>
    </w:p>
    <w:p w14:paraId="78E62BB3">
      <w:pPr>
        <w:spacing w:before="120" w:line="320" w:lineRule="exact"/>
        <w:jc w:val="left"/>
        <w:rPr>
          <w:rFonts w:hint="eastAsia" w:ascii="宋体" w:hAnsi="宋体" w:cs="宋体"/>
          <w:b/>
          <w:bCs/>
          <w:szCs w:val="21"/>
        </w:rPr>
      </w:pPr>
      <w:r>
        <w:rPr>
          <w:rFonts w:hint="eastAsia" w:ascii="宋体" w:hAnsi="宋体" w:cs="宋体"/>
          <w:b/>
          <w:bCs/>
          <w:szCs w:val="21"/>
        </w:rPr>
        <w:t>5.2量化验收标准</w:t>
      </w:r>
    </w:p>
    <w:p w14:paraId="4E338629">
      <w:pPr>
        <w:spacing w:before="120" w:line="320" w:lineRule="exact"/>
        <w:jc w:val="left"/>
        <w:rPr>
          <w:rFonts w:hint="eastAsia" w:ascii="宋体" w:hAnsi="宋体" w:cs="宋体"/>
          <w:b/>
          <w:bCs/>
          <w:szCs w:val="21"/>
        </w:rPr>
      </w:pPr>
      <w:r>
        <w:rPr>
          <w:rFonts w:hint="eastAsia" w:ascii="宋体" w:hAnsi="宋体" w:cs="宋体"/>
          <w:b/>
          <w:bCs/>
          <w:szCs w:val="21"/>
        </w:rPr>
        <w:t>5.3组织验收</w:t>
      </w:r>
    </w:p>
    <w:p w14:paraId="6B8E9709">
      <w:pPr>
        <w:spacing w:before="120" w:line="320" w:lineRule="exact"/>
        <w:jc w:val="left"/>
        <w:rPr>
          <w:rFonts w:hint="eastAsia" w:ascii="宋体" w:hAnsi="宋体" w:cs="宋体"/>
          <w:b/>
          <w:bCs/>
          <w:szCs w:val="21"/>
        </w:rPr>
      </w:pPr>
      <w:r>
        <w:rPr>
          <w:rFonts w:hint="eastAsia" w:ascii="宋体" w:hAnsi="宋体" w:cs="宋体"/>
          <w:b/>
          <w:bCs/>
          <w:szCs w:val="21"/>
        </w:rPr>
        <w:t>5.4出具验收报告</w:t>
      </w:r>
    </w:p>
    <w:p w14:paraId="781E965E">
      <w:pPr>
        <w:spacing w:before="120" w:line="320" w:lineRule="exact"/>
        <w:jc w:val="left"/>
        <w:rPr>
          <w:rFonts w:hint="eastAsia" w:ascii="宋体" w:hAnsi="宋体" w:cs="宋体"/>
          <w:b/>
          <w:bCs/>
          <w:szCs w:val="21"/>
        </w:rPr>
      </w:pPr>
      <w:r>
        <w:rPr>
          <w:rFonts w:hint="eastAsia" w:ascii="宋体" w:hAnsi="宋体" w:cs="宋体"/>
          <w:b/>
          <w:bCs/>
          <w:szCs w:val="21"/>
        </w:rPr>
        <w:t>5.5验收结果公告</w:t>
      </w:r>
    </w:p>
    <w:p w14:paraId="039FE154">
      <w:pPr>
        <w:spacing w:before="120" w:line="320" w:lineRule="exact"/>
        <w:jc w:val="left"/>
        <w:rPr>
          <w:rFonts w:hint="eastAsia" w:ascii="宋体" w:hAnsi="宋体" w:cs="宋体"/>
          <w:b/>
          <w:bCs/>
          <w:szCs w:val="21"/>
        </w:rPr>
      </w:pPr>
      <w:r>
        <w:rPr>
          <w:rFonts w:hint="eastAsia" w:ascii="宋体" w:hAnsi="宋体" w:cs="宋体"/>
          <w:b/>
          <w:bCs/>
          <w:szCs w:val="21"/>
        </w:rPr>
        <w:t>5.6验收资料归档</w:t>
      </w:r>
    </w:p>
    <w:p w14:paraId="68400A22">
      <w:pPr>
        <w:spacing w:before="120" w:line="320" w:lineRule="exact"/>
        <w:ind w:firstLine="420" w:firstLineChars="200"/>
        <w:jc w:val="left"/>
        <w:rPr>
          <w:rFonts w:hint="eastAsia" w:ascii="宋体" w:hAnsi="宋体" w:cs="宋体"/>
          <w:szCs w:val="21"/>
        </w:rPr>
      </w:pPr>
      <w:r>
        <w:rPr>
          <w:rFonts w:hint="eastAsia" w:ascii="宋体" w:hAnsi="宋体" w:cs="宋体"/>
          <w:szCs w:val="21"/>
        </w:rPr>
        <w:t>采购合同项目完成验收后，采购人整理好验收原始记录、验收书等资料后妥善保管，不得变造、隐匿或者销毁，验收资料保存期为采购结束之日起至少保存15年。</w:t>
      </w:r>
    </w:p>
    <w:p w14:paraId="709786C2">
      <w:pPr>
        <w:spacing w:before="120" w:line="320" w:lineRule="exact"/>
        <w:jc w:val="left"/>
        <w:rPr>
          <w:rFonts w:hint="eastAsia" w:ascii="宋体" w:hAnsi="宋体" w:cs="宋体"/>
          <w:b/>
          <w:bCs/>
          <w:iCs/>
          <w:szCs w:val="21"/>
        </w:rPr>
      </w:pPr>
      <w:r>
        <w:rPr>
          <w:rFonts w:hint="eastAsia" w:ascii="宋体" w:hAnsi="宋体" w:cs="宋体"/>
          <w:b/>
          <w:bCs/>
          <w:szCs w:val="21"/>
        </w:rPr>
        <w:t>6.履约验收内容</w:t>
      </w:r>
    </w:p>
    <w:p w14:paraId="540AD247">
      <w:pPr>
        <w:spacing w:before="120" w:line="320" w:lineRule="exact"/>
        <w:jc w:val="left"/>
        <w:rPr>
          <w:rFonts w:hint="eastAsia" w:ascii="宋体" w:hAnsi="宋体" w:cs="宋体"/>
          <w:iCs/>
          <w:szCs w:val="21"/>
        </w:rPr>
      </w:pPr>
      <w:r>
        <w:rPr>
          <w:rFonts w:hint="eastAsia" w:ascii="宋体" w:hAnsi="宋体" w:cs="宋体"/>
          <w:b/>
          <w:bCs/>
          <w:szCs w:val="21"/>
        </w:rPr>
        <w:t>6.1商务验收内容</w:t>
      </w:r>
    </w:p>
    <w:p w14:paraId="7C6F84EC">
      <w:pPr>
        <w:spacing w:before="120" w:line="320" w:lineRule="exact"/>
        <w:ind w:firstLine="420" w:firstLineChars="200"/>
        <w:jc w:val="left"/>
        <w:rPr>
          <w:rFonts w:hint="eastAsia" w:ascii="宋体" w:hAnsi="宋体" w:cs="宋体"/>
          <w:szCs w:val="21"/>
          <w:u w:val="single"/>
        </w:rPr>
      </w:pPr>
      <w:r>
        <w:rPr>
          <w:rFonts w:hint="eastAsia" w:ascii="宋体" w:hAnsi="宋体" w:cs="宋体"/>
          <w:szCs w:val="21"/>
        </w:rPr>
        <w:t>对采购标的交付的情况、财务和服务要求，包括交付（实施）的时间（期限）和地点（范围），付款条件（进度和方式），包装和运输，售后服务，保险等进行验收。</w:t>
      </w:r>
    </w:p>
    <w:p w14:paraId="64ACC5CC">
      <w:pPr>
        <w:spacing w:before="120" w:line="320" w:lineRule="exact"/>
        <w:jc w:val="left"/>
        <w:rPr>
          <w:rFonts w:hint="eastAsia" w:ascii="宋体" w:hAnsi="宋体" w:cs="宋体"/>
          <w:iCs/>
          <w:szCs w:val="21"/>
        </w:rPr>
      </w:pPr>
      <w:r>
        <w:rPr>
          <w:rFonts w:hint="eastAsia" w:ascii="宋体" w:hAnsi="宋体" w:cs="宋体"/>
          <w:b/>
          <w:bCs/>
          <w:szCs w:val="21"/>
        </w:rPr>
        <w:t>6.2技术验收内容</w:t>
      </w:r>
    </w:p>
    <w:p w14:paraId="66685FBE">
      <w:pPr>
        <w:spacing w:before="120" w:line="320" w:lineRule="exact"/>
        <w:ind w:firstLine="420" w:firstLineChars="200"/>
        <w:jc w:val="left"/>
        <w:rPr>
          <w:rFonts w:hint="eastAsia" w:ascii="宋体" w:hAnsi="宋体" w:cs="宋体"/>
          <w:szCs w:val="21"/>
          <w:u w:val="single"/>
        </w:rPr>
      </w:pPr>
      <w:r>
        <w:rPr>
          <w:rFonts w:hint="eastAsia" w:ascii="宋体" w:hAnsi="宋体" w:cs="宋体"/>
          <w:szCs w:val="21"/>
        </w:rPr>
        <w:t>对采购标的的功能和质量要求，包括性能、材料、结构、外观、安全，或者服务内容和标准等进行验收。</w:t>
      </w:r>
    </w:p>
    <w:p w14:paraId="1961623B">
      <w:pPr>
        <w:spacing w:before="120" w:line="320" w:lineRule="exact"/>
        <w:jc w:val="left"/>
        <w:rPr>
          <w:rFonts w:hint="eastAsia" w:ascii="宋体" w:hAnsi="宋体" w:cs="宋体"/>
          <w:b/>
          <w:bCs/>
          <w:szCs w:val="21"/>
        </w:rPr>
      </w:pPr>
      <w:r>
        <w:rPr>
          <w:rFonts w:hint="eastAsia" w:ascii="宋体" w:hAnsi="宋体" w:cs="宋体"/>
          <w:b/>
          <w:bCs/>
          <w:szCs w:val="21"/>
        </w:rPr>
        <w:t>7.履约验收标准</w:t>
      </w:r>
    </w:p>
    <w:p w14:paraId="5644A4AA">
      <w:pPr>
        <w:pStyle w:val="962"/>
        <w:spacing w:before="120" w:line="320" w:lineRule="exact"/>
        <w:ind w:firstLine="420"/>
        <w:rPr>
          <w:rFonts w:hint="eastAsia" w:ascii="宋体" w:hAnsi="宋体" w:eastAsia="宋体" w:cs="宋体"/>
          <w:sz w:val="21"/>
          <w:szCs w:val="21"/>
        </w:rPr>
      </w:pPr>
      <w:r>
        <w:rPr>
          <w:rFonts w:hint="eastAsia" w:ascii="宋体" w:hAnsi="宋体" w:eastAsia="宋体" w:cs="宋体"/>
          <w:sz w:val="21"/>
          <w:szCs w:val="21"/>
        </w:rPr>
        <w:t>货物（服务）类验收标准：</w:t>
      </w:r>
    </w:p>
    <w:p w14:paraId="3FF350B2">
      <w:pPr>
        <w:pStyle w:val="962"/>
        <w:spacing w:before="120" w:line="320" w:lineRule="exact"/>
        <w:ind w:firstLine="420"/>
        <w:rPr>
          <w:rFonts w:hint="eastAsia" w:ascii="宋体" w:hAnsi="宋体" w:eastAsia="宋体" w:cs="宋体"/>
          <w:sz w:val="21"/>
          <w:szCs w:val="21"/>
        </w:rPr>
      </w:pPr>
      <w:r>
        <w:rPr>
          <w:rFonts w:hint="eastAsia" w:ascii="宋体" w:hAnsi="宋体" w:eastAsia="宋体" w:cs="宋体"/>
          <w:sz w:val="21"/>
          <w:szCs w:val="21"/>
        </w:rPr>
        <w:t>（1）中标（成交）供应商应提供完备的技术或服务资料、装箱单和合格证等，并派遣专业人员进行现场安装调试。验收合格条件如下：</w:t>
      </w:r>
    </w:p>
    <w:p w14:paraId="03B29525">
      <w:pPr>
        <w:spacing w:before="120" w:line="320" w:lineRule="exact"/>
        <w:rPr>
          <w:rFonts w:hint="eastAsia" w:ascii="宋体" w:hAnsi="宋体" w:cs="宋体"/>
          <w:szCs w:val="21"/>
        </w:rPr>
      </w:pPr>
      <w:r>
        <w:rPr>
          <w:rFonts w:hint="eastAsia" w:ascii="宋体" w:hAnsi="宋体" w:cs="宋体"/>
          <w:szCs w:val="21"/>
        </w:rPr>
        <w:t>货物或服务技术参数与</w:t>
      </w:r>
      <w:r>
        <w:rPr>
          <w:rFonts w:hint="eastAsia" w:ascii="宋体" w:hAnsi="宋体" w:cs="宋体"/>
          <w:szCs w:val="21"/>
          <w:lang w:eastAsia="zh-CN"/>
        </w:rPr>
        <w:t>投标文件</w:t>
      </w:r>
      <w:r>
        <w:rPr>
          <w:rFonts w:hint="eastAsia" w:ascii="宋体" w:hAnsi="宋体" w:cs="宋体"/>
          <w:szCs w:val="21"/>
        </w:rPr>
        <w:t>中响应表或证明材料一致，性能或指标达到规定的标准。否则，以实际货物或服务技术参数与</w:t>
      </w:r>
      <w:r>
        <w:rPr>
          <w:rFonts w:hint="eastAsia" w:ascii="宋体" w:hAnsi="宋体" w:cs="宋体"/>
          <w:szCs w:val="21"/>
          <w:lang w:eastAsia="zh-CN"/>
        </w:rPr>
        <w:t>投标文件</w:t>
      </w:r>
      <w:r>
        <w:rPr>
          <w:rFonts w:hint="eastAsia" w:ascii="宋体" w:hAnsi="宋体" w:cs="宋体"/>
          <w:szCs w:val="21"/>
        </w:rPr>
        <w:t>响应表参数或证明材料比较，按如下情况处理：</w:t>
      </w:r>
    </w:p>
    <w:p w14:paraId="654458F5">
      <w:pPr>
        <w:spacing w:before="120" w:line="320" w:lineRule="exact"/>
        <w:rPr>
          <w:rFonts w:hint="eastAsia" w:ascii="宋体" w:hAnsi="宋体" w:cs="宋体"/>
          <w:szCs w:val="21"/>
        </w:rPr>
      </w:pPr>
      <w:r>
        <w:rPr>
          <w:rFonts w:hint="eastAsia" w:ascii="宋体" w:hAnsi="宋体" w:cs="宋体"/>
          <w:szCs w:val="21"/>
        </w:rPr>
        <w:t>①供应商</w:t>
      </w:r>
      <w:r>
        <w:rPr>
          <w:rFonts w:hint="eastAsia" w:ascii="宋体" w:hAnsi="宋体" w:cs="宋体"/>
          <w:szCs w:val="21"/>
          <w:lang w:eastAsia="zh-CN"/>
        </w:rPr>
        <w:t>投标文件</w:t>
      </w:r>
      <w:r>
        <w:rPr>
          <w:rFonts w:hint="eastAsia" w:ascii="宋体" w:hAnsi="宋体" w:cs="宋体"/>
          <w:szCs w:val="21"/>
        </w:rPr>
        <w:t>响应表或证明材料中满足或优于的技术参数，在验收时实际不满足技术参数要求的，视为供货商违约，采购人有权终止合同拒收货物，并追究供应商责任，同时报财政部门备案。</w:t>
      </w:r>
    </w:p>
    <w:p w14:paraId="3A3EEB2D">
      <w:pPr>
        <w:spacing w:before="120" w:line="320" w:lineRule="exact"/>
        <w:rPr>
          <w:rFonts w:hint="eastAsia" w:ascii="宋体" w:hAnsi="宋体" w:cs="宋体"/>
          <w:szCs w:val="21"/>
        </w:rPr>
      </w:pPr>
      <w:r>
        <w:rPr>
          <w:rFonts w:hint="eastAsia" w:ascii="宋体" w:hAnsi="宋体" w:cs="宋体"/>
          <w:szCs w:val="21"/>
        </w:rPr>
        <w:t>②供应商</w:t>
      </w:r>
      <w:r>
        <w:rPr>
          <w:rFonts w:hint="eastAsia" w:ascii="宋体" w:hAnsi="宋体" w:cs="宋体"/>
          <w:szCs w:val="21"/>
          <w:lang w:eastAsia="zh-CN"/>
        </w:rPr>
        <w:t>投标文件</w:t>
      </w:r>
      <w:r>
        <w:rPr>
          <w:rFonts w:hint="eastAsia" w:ascii="宋体" w:hAnsi="宋体" w:cs="宋体"/>
          <w:szCs w:val="21"/>
        </w:rPr>
        <w:t>响应表或证明材料中优于的技术参数，在验收时实际仅满足并未优于技术参数要求的，视为供货商违约，采购人有权终止合同拒收货物，并追究供应商责任，同时报财政部门备案。</w:t>
      </w:r>
    </w:p>
    <w:p w14:paraId="42E59E59">
      <w:pPr>
        <w:spacing w:before="120" w:line="320" w:lineRule="exact"/>
        <w:rPr>
          <w:rFonts w:hint="eastAsia" w:ascii="宋体" w:hAnsi="宋体" w:cs="宋体"/>
          <w:szCs w:val="21"/>
        </w:rPr>
      </w:pPr>
      <w:r>
        <w:rPr>
          <w:rFonts w:hint="eastAsia" w:ascii="宋体" w:hAnsi="宋体" w:cs="宋体"/>
          <w:szCs w:val="21"/>
        </w:rPr>
        <w:t>③供应商</w:t>
      </w:r>
      <w:r>
        <w:rPr>
          <w:rFonts w:hint="eastAsia" w:ascii="宋体" w:hAnsi="宋体" w:cs="宋体"/>
          <w:szCs w:val="21"/>
          <w:lang w:eastAsia="zh-CN"/>
        </w:rPr>
        <w:t>投标文件</w:t>
      </w:r>
      <w:r>
        <w:rPr>
          <w:rFonts w:hint="eastAsia" w:ascii="宋体" w:hAnsi="宋体" w:cs="宋体"/>
          <w:szCs w:val="21"/>
        </w:rPr>
        <w:t xml:space="preserve">响应表或证明材料中不满足的技术参数，在验收时实际满足技术参数的要求，以满足技术参数的要求验收。 </w:t>
      </w:r>
    </w:p>
    <w:p w14:paraId="5B152B70">
      <w:pPr>
        <w:spacing w:before="120" w:line="320" w:lineRule="exact"/>
        <w:rPr>
          <w:rFonts w:hint="eastAsia" w:ascii="宋体" w:hAnsi="宋体" w:cs="宋体"/>
          <w:szCs w:val="21"/>
        </w:rPr>
      </w:pPr>
      <w:r>
        <w:rPr>
          <w:rFonts w:hint="eastAsia" w:ascii="宋体" w:hAnsi="宋体" w:cs="宋体"/>
          <w:szCs w:val="21"/>
        </w:rPr>
        <w:t>④供应商</w:t>
      </w:r>
      <w:r>
        <w:rPr>
          <w:rFonts w:hint="eastAsia" w:ascii="宋体" w:hAnsi="宋体" w:cs="宋体"/>
          <w:szCs w:val="21"/>
          <w:lang w:eastAsia="zh-CN"/>
        </w:rPr>
        <w:t>投标文件</w:t>
      </w:r>
      <w:r>
        <w:rPr>
          <w:rFonts w:hint="eastAsia" w:ascii="宋体" w:hAnsi="宋体" w:cs="宋体"/>
          <w:szCs w:val="21"/>
        </w:rPr>
        <w:t>响应表或证明材料中满足的技术参数，在验收时实际优于技术参数的要求，以满足技术参数的要求验收。</w:t>
      </w:r>
    </w:p>
    <w:p w14:paraId="6594889F">
      <w:pPr>
        <w:spacing w:before="120" w:line="320" w:lineRule="exact"/>
        <w:rPr>
          <w:rFonts w:hint="eastAsia" w:ascii="宋体" w:hAnsi="宋体" w:cs="宋体"/>
          <w:szCs w:val="21"/>
        </w:rPr>
      </w:pPr>
      <w:r>
        <w:rPr>
          <w:rFonts w:hint="eastAsia" w:ascii="宋体" w:hAnsi="宋体" w:cs="宋体"/>
          <w:szCs w:val="21"/>
        </w:rPr>
        <w:t>⑤供应商</w:t>
      </w:r>
      <w:r>
        <w:rPr>
          <w:rFonts w:hint="eastAsia" w:ascii="宋体" w:hAnsi="宋体" w:cs="宋体"/>
          <w:szCs w:val="21"/>
          <w:lang w:eastAsia="zh-CN"/>
        </w:rPr>
        <w:t>投标文件</w:t>
      </w:r>
      <w:r>
        <w:rPr>
          <w:rFonts w:hint="eastAsia" w:ascii="宋体" w:hAnsi="宋体" w:cs="宋体"/>
          <w:szCs w:val="21"/>
        </w:rPr>
        <w:t>响应表或证明材料中优于的技术参数，在验收时实际也优于技术参数的要求，但没有达到响应表或证明材料中优于的程度，由采购人与供应商协商按是否满足要求验收。</w:t>
      </w:r>
    </w:p>
    <w:p w14:paraId="3A488C8A">
      <w:pPr>
        <w:spacing w:before="120" w:line="320" w:lineRule="exact"/>
        <w:rPr>
          <w:rFonts w:hint="eastAsia" w:ascii="宋体" w:hAnsi="宋体" w:cs="宋体"/>
          <w:szCs w:val="21"/>
        </w:rPr>
      </w:pPr>
      <w:r>
        <w:rPr>
          <w:rFonts w:hint="eastAsia" w:ascii="宋体" w:hAnsi="宋体" w:cs="宋体"/>
          <w:szCs w:val="21"/>
        </w:rPr>
        <w:t>⑥实际货物与响应货物型号不一致的，验收时不论实际是优于还是满足技术参数的要求，采购人均有权终止合同拒收货物。如影响货物或服务的使用、质量、档次及采购人需求的，还可视为供货商违约，追究供应商责任，同时报财政部门备案。</w:t>
      </w:r>
    </w:p>
    <w:p w14:paraId="1F338768">
      <w:pPr>
        <w:spacing w:before="120" w:line="320" w:lineRule="exact"/>
        <w:ind w:firstLine="420" w:firstLineChars="200"/>
        <w:jc w:val="left"/>
        <w:rPr>
          <w:rFonts w:hint="eastAsia" w:ascii="宋体" w:hAnsi="宋体" w:cs="宋体"/>
          <w:szCs w:val="21"/>
        </w:rPr>
      </w:pPr>
      <w:r>
        <w:rPr>
          <w:rFonts w:hint="eastAsia" w:ascii="宋体" w:hAnsi="宋体" w:cs="宋体"/>
          <w:szCs w:val="21"/>
        </w:rPr>
        <w:t>（2）技术资料、装箱单、合格证等资料齐全。</w:t>
      </w:r>
    </w:p>
    <w:p w14:paraId="12F373EF">
      <w:pPr>
        <w:spacing w:before="120" w:line="320" w:lineRule="exact"/>
        <w:ind w:firstLine="420" w:firstLineChars="200"/>
        <w:jc w:val="left"/>
        <w:rPr>
          <w:rFonts w:hint="eastAsia" w:ascii="宋体" w:hAnsi="宋体" w:cs="宋体"/>
          <w:szCs w:val="21"/>
        </w:rPr>
      </w:pPr>
      <w:r>
        <w:rPr>
          <w:rFonts w:hint="eastAsia" w:ascii="宋体" w:hAnsi="宋体" w:cs="宋体"/>
          <w:szCs w:val="21"/>
        </w:rPr>
        <w:t>（3）在测试或试运行期间所出现的问题得到解决，并运行或工作正常。</w:t>
      </w:r>
    </w:p>
    <w:p w14:paraId="0DD82CAA">
      <w:pPr>
        <w:spacing w:before="120" w:line="320" w:lineRule="exact"/>
        <w:ind w:firstLine="420" w:firstLineChars="200"/>
        <w:jc w:val="left"/>
        <w:rPr>
          <w:rFonts w:hint="eastAsia" w:ascii="宋体" w:hAnsi="宋体" w:cs="宋体"/>
          <w:szCs w:val="21"/>
        </w:rPr>
      </w:pPr>
      <w:r>
        <w:rPr>
          <w:rFonts w:hint="eastAsia" w:ascii="宋体" w:hAnsi="宋体" w:cs="宋体"/>
          <w:szCs w:val="21"/>
        </w:rPr>
        <w:t>（4）在规定时间内完成交货及验收，并经采购人确认。</w:t>
      </w:r>
    </w:p>
    <w:p w14:paraId="0195AFA1">
      <w:pPr>
        <w:spacing w:before="120" w:line="320" w:lineRule="exact"/>
        <w:ind w:firstLine="420" w:firstLineChars="200"/>
        <w:jc w:val="left"/>
        <w:rPr>
          <w:rFonts w:hint="eastAsia" w:ascii="宋体" w:hAnsi="宋体" w:cs="宋体"/>
          <w:szCs w:val="21"/>
        </w:rPr>
      </w:pPr>
      <w:r>
        <w:rPr>
          <w:rFonts w:hint="eastAsia" w:ascii="宋体" w:hAnsi="宋体" w:cs="宋体"/>
          <w:szCs w:val="21"/>
        </w:rPr>
        <w:t>（5）货物或服务在安装调试并试运行符合要求后，才作为最终验收。</w:t>
      </w:r>
    </w:p>
    <w:p w14:paraId="78485E05">
      <w:pPr>
        <w:spacing w:before="120" w:line="320" w:lineRule="exact"/>
        <w:ind w:firstLine="420" w:firstLineChars="200"/>
        <w:jc w:val="left"/>
        <w:rPr>
          <w:rFonts w:hint="eastAsia" w:ascii="宋体" w:hAnsi="宋体" w:cs="宋体"/>
          <w:szCs w:val="21"/>
        </w:rPr>
      </w:pPr>
      <w:r>
        <w:rPr>
          <w:rFonts w:hint="eastAsia" w:ascii="宋体" w:hAnsi="宋体" w:cs="宋体"/>
          <w:szCs w:val="21"/>
        </w:rPr>
        <w:t>（6）成交供应商提供的货物或服务未达到招标文件规定要求，且对采购人造成损失的，由成交供应商承担一切责任，并赔偿所造成的损失。</w:t>
      </w:r>
    </w:p>
    <w:p w14:paraId="75C3578C">
      <w:pPr>
        <w:spacing w:before="120" w:line="320" w:lineRule="exact"/>
        <w:ind w:firstLine="420" w:firstLineChars="200"/>
        <w:jc w:val="left"/>
        <w:rPr>
          <w:rFonts w:hint="eastAsia" w:ascii="宋体" w:hAnsi="宋体" w:cs="宋体"/>
          <w:szCs w:val="21"/>
        </w:rPr>
      </w:pPr>
      <w:r>
        <w:rPr>
          <w:rFonts w:hint="eastAsia" w:ascii="宋体" w:hAnsi="宋体" w:cs="宋体"/>
          <w:szCs w:val="21"/>
        </w:rPr>
        <w:t>（7）采购人需要制造商对成交供应商交付的产品或服务（包括质量、参数等）进行确认的，制造商应予以配合并出具书面意见，相关配合事项由成交供应商与制造商协调。</w:t>
      </w:r>
    </w:p>
    <w:p w14:paraId="21FB58F7">
      <w:pPr>
        <w:spacing w:before="120" w:line="320" w:lineRule="exact"/>
        <w:ind w:firstLine="420" w:firstLineChars="200"/>
        <w:jc w:val="left"/>
        <w:rPr>
          <w:rFonts w:hint="eastAsia" w:ascii="宋体" w:hAnsi="宋体" w:cs="宋体"/>
          <w:szCs w:val="21"/>
        </w:rPr>
      </w:pPr>
      <w:r>
        <w:rPr>
          <w:rFonts w:hint="eastAsia" w:ascii="宋体" w:hAnsi="宋体" w:cs="宋体"/>
          <w:szCs w:val="21"/>
        </w:rPr>
        <w:t>（8）产品包装材料归采购人所有。</w:t>
      </w:r>
    </w:p>
    <w:p w14:paraId="3B2DB8D7">
      <w:pPr>
        <w:spacing w:before="120" w:line="320" w:lineRule="exact"/>
        <w:ind w:firstLine="420" w:firstLineChars="200"/>
        <w:jc w:val="left"/>
        <w:rPr>
          <w:rFonts w:hint="eastAsia" w:ascii="宋体" w:hAnsi="宋体" w:cs="宋体"/>
          <w:szCs w:val="21"/>
        </w:rPr>
      </w:pPr>
      <w:r>
        <w:rPr>
          <w:rFonts w:hint="eastAsia" w:ascii="宋体" w:hAnsi="宋体" w:cs="宋体"/>
          <w:szCs w:val="21"/>
        </w:rPr>
        <w:t>（9）政府采购合同约定的其他要求及投标文件响应的其他标准。</w:t>
      </w:r>
    </w:p>
    <w:p w14:paraId="48238A28">
      <w:pPr>
        <w:spacing w:before="120" w:line="320" w:lineRule="exact"/>
        <w:ind w:firstLine="420" w:firstLineChars="200"/>
        <w:jc w:val="left"/>
        <w:rPr>
          <w:rFonts w:hint="eastAsia" w:ascii="宋体" w:hAnsi="宋体" w:cs="宋体"/>
          <w:szCs w:val="21"/>
        </w:rPr>
      </w:pPr>
      <w:r>
        <w:rPr>
          <w:rFonts w:hint="eastAsia" w:ascii="宋体" w:hAnsi="宋体" w:cs="宋体"/>
          <w:szCs w:val="21"/>
        </w:rPr>
        <w:t>工程类验收标准：</w:t>
      </w:r>
    </w:p>
    <w:p w14:paraId="74947F02">
      <w:pPr>
        <w:spacing w:before="120" w:line="320" w:lineRule="exact"/>
        <w:ind w:firstLine="420" w:firstLineChars="200"/>
        <w:jc w:val="left"/>
        <w:rPr>
          <w:rFonts w:hint="eastAsia" w:ascii="宋体" w:hAnsi="宋体" w:cs="宋体"/>
          <w:b/>
          <w:bCs/>
          <w:szCs w:val="21"/>
        </w:rPr>
      </w:pPr>
      <w:r>
        <w:rPr>
          <w:rFonts w:hint="eastAsia" w:ascii="宋体" w:hAnsi="宋体" w:cs="宋体"/>
          <w:szCs w:val="21"/>
        </w:rPr>
        <w:t>符合行业管理部门规定的标准及规范，达到工程项目设计的要求并通过项目最终竣工验收。</w:t>
      </w:r>
    </w:p>
    <w:p w14:paraId="2084AADC">
      <w:pPr>
        <w:spacing w:before="120" w:line="320" w:lineRule="exact"/>
        <w:jc w:val="left"/>
        <w:rPr>
          <w:rFonts w:hint="eastAsia" w:ascii="宋体" w:hAnsi="宋体" w:cs="宋体"/>
          <w:b/>
          <w:bCs/>
          <w:szCs w:val="21"/>
        </w:rPr>
      </w:pPr>
      <w:r>
        <w:rPr>
          <w:rFonts w:hint="eastAsia" w:ascii="宋体" w:hAnsi="宋体" w:cs="宋体"/>
          <w:b/>
          <w:bCs/>
          <w:szCs w:val="21"/>
        </w:rPr>
        <w:t>8.履约验收其他事项</w:t>
      </w:r>
      <w:bookmarkEnd w:id="472"/>
      <w:bookmarkEnd w:id="473"/>
    </w:p>
    <w:p w14:paraId="002252C5">
      <w:pPr>
        <w:spacing w:before="120" w:line="320" w:lineRule="exact"/>
        <w:jc w:val="left"/>
        <w:rPr>
          <w:rFonts w:hint="eastAsia" w:ascii="宋体" w:hAnsi="宋体" w:eastAsia="宋体" w:cs="宋体"/>
          <w:b/>
          <w:bCs/>
          <w:szCs w:val="21"/>
          <w:lang w:val="en-US" w:eastAsia="zh-CN"/>
        </w:rPr>
      </w:pPr>
      <w:r>
        <w:rPr>
          <w:rFonts w:hint="eastAsia" w:ascii="宋体" w:hAnsi="宋体" w:cs="宋体"/>
          <w:b/>
          <w:bCs/>
          <w:szCs w:val="21"/>
          <w:lang w:val="en-US" w:eastAsia="zh-CN"/>
        </w:rPr>
        <w:t>无</w:t>
      </w:r>
    </w:p>
    <w:p w14:paraId="3C2B7823">
      <w:pPr>
        <w:spacing w:line="360" w:lineRule="auto"/>
        <w:ind w:left="-420" w:leftChars="-200" w:right="-420" w:rightChars="-200"/>
        <w:rPr>
          <w:rFonts w:ascii="宋体" w:hAnsi="宋体" w:cs="宋体"/>
          <w:color w:val="auto"/>
          <w:sz w:val="24"/>
          <w:highlight w:val="none"/>
        </w:rPr>
      </w:pPr>
    </w:p>
    <w:p w14:paraId="6F98D34D">
      <w:pPr>
        <w:bidi w:val="0"/>
      </w:pPr>
      <w:r>
        <w:br w:type="page"/>
      </w:r>
    </w:p>
    <w:p w14:paraId="20DAF704">
      <w:pPr>
        <w:rPr>
          <w:color w:val="auto"/>
          <w:highlight w:val="none"/>
        </w:rPr>
      </w:pPr>
    </w:p>
    <w:p w14:paraId="26BDDF1F">
      <w:pPr>
        <w:spacing w:line="360" w:lineRule="auto"/>
        <w:ind w:left="720" w:firstLine="723" w:firstLineChars="200"/>
        <w:outlineLvl w:val="0"/>
        <w:rPr>
          <w:rFonts w:ascii="宋体" w:hAnsi="宋体" w:cs="宋体"/>
          <w:b/>
          <w:color w:val="auto"/>
          <w:sz w:val="36"/>
          <w:szCs w:val="20"/>
          <w:highlight w:val="none"/>
        </w:rPr>
      </w:pPr>
      <w:bookmarkStart w:id="474" w:name="_Toc176185126"/>
      <w:bookmarkStart w:id="475" w:name="_Toc176343853"/>
      <w:r>
        <w:rPr>
          <w:rFonts w:hint="eastAsia" w:ascii="宋体" w:hAnsi="宋体" w:cs="宋体"/>
          <w:b/>
          <w:color w:val="auto"/>
          <w:sz w:val="36"/>
          <w:szCs w:val="20"/>
          <w:highlight w:val="none"/>
        </w:rPr>
        <w:t>第六部分</w:t>
      </w:r>
      <w:bookmarkEnd w:id="465"/>
      <w:r>
        <w:rPr>
          <w:rFonts w:hint="eastAsia" w:ascii="宋体" w:hAnsi="宋体" w:cs="宋体"/>
          <w:b/>
          <w:color w:val="auto"/>
          <w:sz w:val="36"/>
          <w:szCs w:val="20"/>
          <w:highlight w:val="none"/>
        </w:rPr>
        <w:t xml:space="preserve"> </w:t>
      </w:r>
      <w:bookmarkEnd w:id="466"/>
      <w:r>
        <w:rPr>
          <w:rFonts w:hint="eastAsia" w:ascii="宋体" w:hAnsi="宋体" w:cs="宋体"/>
          <w:b/>
          <w:color w:val="auto"/>
          <w:sz w:val="36"/>
          <w:szCs w:val="20"/>
          <w:highlight w:val="none"/>
        </w:rPr>
        <w:t xml:space="preserve"> 应提交的有关格式范例</w:t>
      </w:r>
      <w:bookmarkEnd w:id="474"/>
      <w:bookmarkEnd w:id="475"/>
    </w:p>
    <w:p w14:paraId="29D670B7">
      <w:pPr>
        <w:pStyle w:val="84"/>
        <w:rPr>
          <w:color w:val="auto"/>
          <w:highlight w:val="none"/>
        </w:rPr>
      </w:pPr>
    </w:p>
    <w:p w14:paraId="3DB44817">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7CAB21E">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1A08F21">
      <w:pPr>
        <w:pStyle w:val="84"/>
        <w:rPr>
          <w:color w:val="auto"/>
          <w:highlight w:val="none"/>
        </w:rPr>
      </w:pPr>
    </w:p>
    <w:p w14:paraId="686C5F4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5FD8CC18">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C4DC7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870A05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3EEB9F7">
      <w:pPr>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除招标文件规定必须提供以外，投标人认为需要提供的其他证明材料…（页码）</w:t>
      </w:r>
    </w:p>
    <w:p w14:paraId="62229017">
      <w:pPr>
        <w:spacing w:line="360" w:lineRule="auto"/>
        <w:ind w:firstLine="480" w:firstLineChars="200"/>
        <w:rPr>
          <w:rFonts w:ascii="宋体" w:hAnsi="宋体" w:cs="宋体"/>
          <w:color w:val="auto"/>
          <w:sz w:val="24"/>
          <w:highlight w:val="none"/>
        </w:rPr>
      </w:pPr>
    </w:p>
    <w:p w14:paraId="550D3C5D">
      <w:pPr>
        <w:snapToGrid w:val="0"/>
        <w:spacing w:line="360" w:lineRule="auto"/>
        <w:ind w:right="480"/>
        <w:jc w:val="center"/>
        <w:rPr>
          <w:rFonts w:ascii="宋体" w:hAnsi="宋体" w:cs="宋体"/>
          <w:color w:val="auto"/>
          <w:kern w:val="0"/>
          <w:sz w:val="24"/>
          <w:highlight w:val="none"/>
        </w:rPr>
      </w:pPr>
      <w:r>
        <w:rPr>
          <w:rFonts w:hint="eastAsia" w:ascii="宋体" w:hAnsi="宋体" w:cs="宋体"/>
          <w:color w:val="auto"/>
          <w:kern w:val="0"/>
          <w:sz w:val="24"/>
          <w:highlight w:val="none"/>
        </w:rPr>
        <w:br w:type="page"/>
      </w:r>
    </w:p>
    <w:p w14:paraId="2EA01FD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一、 符合参加政府采购活动应当具备的一般条件的承诺函</w:t>
      </w:r>
    </w:p>
    <w:p w14:paraId="34F59809">
      <w:pPr>
        <w:snapToGrid w:val="0"/>
        <w:spacing w:line="360" w:lineRule="auto"/>
        <w:ind w:right="480"/>
        <w:jc w:val="center"/>
        <w:rPr>
          <w:rFonts w:ascii="宋体" w:hAnsi="宋体" w:cs="宋体"/>
          <w:color w:val="auto"/>
          <w:sz w:val="24"/>
          <w:highlight w:val="none"/>
        </w:rPr>
      </w:pPr>
    </w:p>
    <w:p w14:paraId="58328B9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北海市政府采购供应商信用承诺函（格式）</w:t>
      </w:r>
    </w:p>
    <w:p w14:paraId="2A510384">
      <w:pPr>
        <w:snapToGrid w:val="0"/>
        <w:spacing w:line="360" w:lineRule="auto"/>
        <w:rPr>
          <w:rFonts w:ascii="宋体" w:hAnsi="宋体" w:cs="宋体"/>
          <w:color w:val="auto"/>
          <w:sz w:val="24"/>
          <w:highlight w:val="none"/>
        </w:rPr>
      </w:pPr>
    </w:p>
    <w:p w14:paraId="69E651C7">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（采购人）、（采购代理机构） ：</w:t>
      </w:r>
    </w:p>
    <w:p w14:paraId="7C47E185">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供应商名称：</w:t>
      </w:r>
    </w:p>
    <w:p w14:paraId="00E66D05">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统一社会信用代码：</w:t>
      </w:r>
    </w:p>
    <w:p w14:paraId="346F43B7">
      <w:pPr>
        <w:snapToGrid w:val="0"/>
        <w:spacing w:line="360" w:lineRule="auto"/>
        <w:ind w:right="480"/>
        <w:rPr>
          <w:rFonts w:ascii="宋体" w:hAnsi="宋体" w:cs="宋体"/>
          <w:color w:val="auto"/>
          <w:sz w:val="24"/>
          <w:highlight w:val="none"/>
        </w:rPr>
      </w:pPr>
      <w:r>
        <w:rPr>
          <w:rFonts w:hint="eastAsia" w:ascii="宋体" w:hAnsi="宋体" w:cs="宋体"/>
          <w:color w:val="auto"/>
          <w:sz w:val="24"/>
          <w:highlight w:val="none"/>
        </w:rPr>
        <w:t>供应商地址：</w:t>
      </w:r>
    </w:p>
    <w:p w14:paraId="1C4FAD05">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232CC83B">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1.我单位具有符合采购文件资格要求独立承担民事责任的能力。</w:t>
      </w:r>
    </w:p>
    <w:p w14:paraId="10D53763">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2.我单位具有符合采购文件资格要求的财务状况报告。</w:t>
      </w:r>
    </w:p>
    <w:p w14:paraId="738E9F96">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3.我单位具有符合采购文件资格要求的依法缴纳税收和社会保障记录的良好记录。</w:t>
      </w:r>
    </w:p>
    <w:p w14:paraId="79DA6CDB">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4.我单位具有符合采购文件资格要求履行合同所必需的设备和专业技术能力。</w:t>
      </w:r>
    </w:p>
    <w:p w14:paraId="6B44B162">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5798EA6">
      <w:pPr>
        <w:snapToGrid w:val="0"/>
        <w:spacing w:line="360" w:lineRule="auto"/>
        <w:ind w:right="482" w:firstLine="480" w:firstLineChars="200"/>
        <w:rPr>
          <w:rFonts w:ascii="宋体" w:hAnsi="宋体" w:cs="宋体"/>
          <w:color w:val="auto"/>
          <w:sz w:val="24"/>
          <w:highlight w:val="none"/>
        </w:rPr>
      </w:pPr>
      <w:r>
        <w:rPr>
          <w:rFonts w:hint="eastAsia" w:ascii="宋体" w:hAnsi="宋体" w:cs="宋体"/>
          <w:color w:val="auto"/>
          <w:sz w:val="24"/>
          <w:highlight w:val="none"/>
        </w:rPr>
        <w:t>若我单位承诺不实，自愿承担提供虚假材料谋取中标、成交的法律责任。</w:t>
      </w:r>
    </w:p>
    <w:p w14:paraId="2DFB03E2">
      <w:pPr>
        <w:snapToGrid w:val="0"/>
        <w:spacing w:line="360" w:lineRule="auto"/>
        <w:ind w:right="480"/>
        <w:rPr>
          <w:rFonts w:ascii="宋体" w:hAnsi="宋体" w:cs="宋体"/>
          <w:color w:val="auto"/>
          <w:sz w:val="24"/>
          <w:highlight w:val="none"/>
        </w:rPr>
      </w:pPr>
    </w:p>
    <w:p w14:paraId="36EA4158">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52B48889">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532EC7F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3741FE1">
      <w:pPr>
        <w:snapToGrid w:val="0"/>
        <w:spacing w:line="360" w:lineRule="auto"/>
        <w:ind w:right="480"/>
        <w:rPr>
          <w:rFonts w:ascii="宋体" w:hAnsi="宋体" w:cs="宋体"/>
          <w:color w:val="auto"/>
          <w:sz w:val="24"/>
          <w:highlight w:val="none"/>
        </w:rPr>
      </w:pPr>
    </w:p>
    <w:p w14:paraId="34351DCC">
      <w:pPr>
        <w:snapToGrid w:val="0"/>
        <w:spacing w:line="360" w:lineRule="auto"/>
        <w:ind w:right="480"/>
        <w:rPr>
          <w:rFonts w:ascii="宋体" w:hAnsi="宋体" w:cs="宋体"/>
          <w:color w:val="auto"/>
          <w:sz w:val="24"/>
          <w:highlight w:val="none"/>
        </w:rPr>
      </w:pPr>
    </w:p>
    <w:p w14:paraId="24C58FFA">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w:t>
      </w:r>
      <w:r>
        <w:rPr>
          <w:rFonts w:hint="eastAsia" w:ascii="宋体" w:hAnsi="宋体" w:cs="宋体"/>
          <w:b/>
          <w:color w:val="auto"/>
          <w:kern w:val="0"/>
          <w:sz w:val="32"/>
          <w:szCs w:val="32"/>
          <w:highlight w:val="none"/>
          <w:lang w:val="en-US" w:eastAsia="zh-CN"/>
        </w:rPr>
        <w:t>本项目不适用</w:t>
      </w:r>
      <w:r>
        <w:rPr>
          <w:rFonts w:hint="eastAsia" w:ascii="宋体" w:hAnsi="宋体" w:cs="宋体"/>
          <w:b/>
          <w:color w:val="auto"/>
          <w:kern w:val="0"/>
          <w:sz w:val="32"/>
          <w:szCs w:val="32"/>
          <w:highlight w:val="none"/>
        </w:rPr>
        <w:t>）</w:t>
      </w:r>
    </w:p>
    <w:p w14:paraId="1BF50AD8">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82137AE">
      <w:pPr>
        <w:snapToGrid w:val="0"/>
        <w:spacing w:line="360" w:lineRule="auto"/>
        <w:ind w:right="480"/>
        <w:jc w:val="center"/>
        <w:rPr>
          <w:rFonts w:ascii="宋体" w:hAnsi="宋体" w:cs="宋体"/>
          <w:b/>
          <w:color w:val="auto"/>
          <w:kern w:val="0"/>
          <w:sz w:val="32"/>
          <w:szCs w:val="32"/>
          <w:highlight w:val="none"/>
        </w:rPr>
      </w:pPr>
    </w:p>
    <w:p w14:paraId="4C6995AB">
      <w:pPr>
        <w:snapToGrid w:val="0"/>
        <w:spacing w:line="360" w:lineRule="auto"/>
        <w:ind w:right="480"/>
        <w:jc w:val="center"/>
        <w:rPr>
          <w:rFonts w:ascii="宋体" w:hAnsi="宋体" w:cs="宋体"/>
          <w:b/>
          <w:color w:val="auto"/>
          <w:kern w:val="0"/>
          <w:sz w:val="32"/>
          <w:szCs w:val="32"/>
          <w:highlight w:val="none"/>
        </w:rPr>
      </w:pPr>
    </w:p>
    <w:p w14:paraId="22856DD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6063E66">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F1724E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04ADADA1">
      <w:pPr>
        <w:widowControl/>
        <w:spacing w:line="360" w:lineRule="auto"/>
        <w:ind w:firstLine="480"/>
        <w:jc w:val="left"/>
        <w:rPr>
          <w:rFonts w:ascii="宋体" w:hAnsi="宋体" w:cs="宋体"/>
          <w:color w:val="auto"/>
          <w:sz w:val="24"/>
          <w:highlight w:val="none"/>
        </w:rPr>
      </w:pPr>
    </w:p>
    <w:p w14:paraId="689349F9">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28CB2AA3">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5F38A53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20065B6">
      <w:pPr>
        <w:widowControl/>
        <w:spacing w:line="360" w:lineRule="auto"/>
        <w:ind w:left="150"/>
        <w:jc w:val="center"/>
        <w:rPr>
          <w:rFonts w:ascii="宋体" w:hAnsi="宋体" w:cs="宋体"/>
          <w:b/>
          <w:color w:val="auto"/>
          <w:kern w:val="0"/>
          <w:sz w:val="32"/>
          <w:szCs w:val="32"/>
          <w:highlight w:val="none"/>
        </w:rPr>
      </w:pPr>
    </w:p>
    <w:p w14:paraId="4B5C689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76F004F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8266AB5">
      <w:pPr>
        <w:rPr>
          <w:rFonts w:ascii="宋体" w:hAnsi="宋体" w:cs="宋体"/>
          <w:color w:val="auto"/>
          <w:highlight w:val="none"/>
        </w:rPr>
      </w:pPr>
    </w:p>
    <w:p w14:paraId="0813A331">
      <w:pPr>
        <w:widowControl/>
        <w:adjustRightInd/>
        <w:jc w:val="center"/>
        <w:rPr>
          <w:rFonts w:ascii="宋体" w:hAnsi="宋体" w:cs="宋体"/>
          <w:b/>
          <w:color w:val="auto"/>
          <w:kern w:val="0"/>
          <w:sz w:val="32"/>
          <w:szCs w:val="32"/>
          <w:highlight w:val="none"/>
        </w:rPr>
      </w:pPr>
    </w:p>
    <w:p w14:paraId="17BF4E8D">
      <w:pPr>
        <w:widowControl/>
        <w:adjustRightInd/>
        <w:jc w:val="center"/>
        <w:rPr>
          <w:rFonts w:ascii="宋体" w:hAnsi="宋体" w:cs="宋体"/>
          <w:b/>
          <w:color w:val="auto"/>
          <w:kern w:val="0"/>
          <w:sz w:val="32"/>
          <w:szCs w:val="32"/>
          <w:highlight w:val="none"/>
        </w:rPr>
      </w:pPr>
    </w:p>
    <w:p w14:paraId="21571C7D">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五</w:t>
      </w:r>
      <w:r>
        <w:rPr>
          <w:rFonts w:hint="eastAsia" w:ascii="宋体" w:hAnsi="宋体" w:cs="宋体"/>
          <w:b/>
          <w:color w:val="auto"/>
          <w:kern w:val="0"/>
          <w:sz w:val="32"/>
          <w:szCs w:val="32"/>
          <w:highlight w:val="none"/>
        </w:rPr>
        <w:t>、除招标文件规定必须提供以外，投标人认为需要提供的其他证明材料</w:t>
      </w:r>
    </w:p>
    <w:p w14:paraId="3E68FF3B">
      <w:pPr>
        <w:widowControl/>
        <w:adjustRightInd/>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72A0617">
      <w:pPr>
        <w:widowControl/>
        <w:adjustRightInd/>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88F2A03">
      <w:pPr>
        <w:spacing w:line="360" w:lineRule="auto"/>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47194B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7844752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DCC157A">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E1EFCA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78860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4C9923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）承诺函</w:t>
      </w:r>
      <w:r>
        <w:rPr>
          <w:rFonts w:hint="eastAsia" w:ascii="宋体" w:hAnsi="宋体" w:cs="宋体"/>
          <w:color w:val="auto"/>
          <w:highlight w:val="none"/>
        </w:rPr>
        <w:t>……………………………………………………………………………………（页码）</w:t>
      </w:r>
    </w:p>
    <w:p w14:paraId="0023332A">
      <w:pPr>
        <w:pStyle w:val="84"/>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（10）除招标文件规定必须提供以外，投标人认为需要提供的其他证明材料</w:t>
      </w:r>
      <w:r>
        <w:rPr>
          <w:rFonts w:hint="eastAsia" w:ascii="宋体" w:hAnsi="宋体" w:eastAsia="宋体" w:cs="宋体"/>
          <w:color w:val="auto"/>
          <w:kern w:val="2"/>
          <w:sz w:val="21"/>
          <w:szCs w:val="24"/>
          <w:highlight w:val="none"/>
          <w:lang w:val="en-US" w:eastAsia="zh-CN" w:bidi="ar-SA"/>
        </w:rPr>
        <w:t>（页码）</w:t>
      </w:r>
    </w:p>
    <w:p w14:paraId="77DA3BC5">
      <w:pPr>
        <w:snapToGrid w:val="0"/>
        <w:spacing w:line="360" w:lineRule="auto"/>
        <w:jc w:val="center"/>
        <w:rPr>
          <w:rFonts w:ascii="宋体" w:hAnsi="宋体" w:cs="宋体"/>
          <w:b/>
          <w:color w:val="auto"/>
          <w:kern w:val="0"/>
          <w:sz w:val="32"/>
          <w:szCs w:val="32"/>
          <w:highlight w:val="none"/>
        </w:rPr>
      </w:pPr>
    </w:p>
    <w:p w14:paraId="2ABE7EBF">
      <w:pPr>
        <w:snapToGrid w:val="0"/>
        <w:spacing w:line="360" w:lineRule="auto"/>
        <w:jc w:val="center"/>
        <w:rPr>
          <w:rFonts w:ascii="宋体" w:hAnsi="宋体" w:cs="宋体"/>
          <w:b/>
          <w:color w:val="auto"/>
          <w:kern w:val="0"/>
          <w:sz w:val="32"/>
          <w:szCs w:val="32"/>
          <w:highlight w:val="none"/>
          <w:lang w:val="zh-CN"/>
        </w:rPr>
      </w:pPr>
    </w:p>
    <w:p w14:paraId="63DF54D7">
      <w:pPr>
        <w:snapToGrid w:val="0"/>
        <w:spacing w:line="360" w:lineRule="auto"/>
        <w:jc w:val="center"/>
        <w:rPr>
          <w:rFonts w:ascii="宋体" w:hAnsi="宋体" w:cs="宋体"/>
          <w:b/>
          <w:color w:val="auto"/>
          <w:kern w:val="0"/>
          <w:sz w:val="32"/>
          <w:szCs w:val="32"/>
          <w:highlight w:val="none"/>
          <w:lang w:val="zh-CN"/>
        </w:rPr>
      </w:pPr>
    </w:p>
    <w:p w14:paraId="1622A4EF">
      <w:pPr>
        <w:snapToGrid w:val="0"/>
        <w:spacing w:line="360" w:lineRule="auto"/>
        <w:jc w:val="center"/>
        <w:rPr>
          <w:rFonts w:ascii="宋体" w:hAnsi="宋体" w:cs="宋体"/>
          <w:b/>
          <w:color w:val="auto"/>
          <w:kern w:val="0"/>
          <w:sz w:val="32"/>
          <w:szCs w:val="32"/>
          <w:highlight w:val="none"/>
          <w:lang w:val="zh-CN"/>
        </w:rPr>
      </w:pPr>
    </w:p>
    <w:p w14:paraId="09A805C2">
      <w:pPr>
        <w:snapToGrid w:val="0"/>
        <w:spacing w:line="360" w:lineRule="auto"/>
        <w:jc w:val="center"/>
        <w:rPr>
          <w:rFonts w:ascii="宋体" w:hAnsi="宋体" w:cs="宋体"/>
          <w:b/>
          <w:color w:val="auto"/>
          <w:kern w:val="0"/>
          <w:sz w:val="32"/>
          <w:szCs w:val="32"/>
          <w:highlight w:val="none"/>
          <w:lang w:val="zh-CN"/>
        </w:rPr>
      </w:pPr>
    </w:p>
    <w:p w14:paraId="4157D2D6">
      <w:pPr>
        <w:snapToGrid w:val="0"/>
        <w:spacing w:line="360" w:lineRule="auto"/>
        <w:jc w:val="center"/>
        <w:rPr>
          <w:rFonts w:ascii="宋体" w:hAnsi="宋体" w:cs="宋体"/>
          <w:b/>
          <w:color w:val="auto"/>
          <w:kern w:val="0"/>
          <w:sz w:val="32"/>
          <w:szCs w:val="32"/>
          <w:highlight w:val="none"/>
        </w:rPr>
      </w:pPr>
    </w:p>
    <w:p w14:paraId="3D5A8375">
      <w:pPr>
        <w:snapToGrid w:val="0"/>
        <w:spacing w:line="360" w:lineRule="auto"/>
        <w:jc w:val="center"/>
        <w:rPr>
          <w:rFonts w:ascii="宋体" w:hAnsi="宋体" w:cs="宋体"/>
          <w:b/>
          <w:color w:val="auto"/>
          <w:kern w:val="0"/>
          <w:sz w:val="32"/>
          <w:szCs w:val="32"/>
          <w:highlight w:val="none"/>
        </w:rPr>
      </w:pPr>
    </w:p>
    <w:p w14:paraId="4149CA4A">
      <w:pPr>
        <w:rPr>
          <w:rFonts w:ascii="宋体" w:hAnsi="宋体" w:cs="宋体"/>
          <w:color w:val="auto"/>
          <w:highlight w:val="none"/>
        </w:rPr>
      </w:pPr>
    </w:p>
    <w:p w14:paraId="75E05893">
      <w:pPr>
        <w:snapToGrid w:val="0"/>
        <w:spacing w:line="360" w:lineRule="auto"/>
        <w:jc w:val="center"/>
        <w:rPr>
          <w:rFonts w:ascii="宋体" w:hAnsi="宋体" w:cs="宋体"/>
          <w:b/>
          <w:color w:val="auto"/>
          <w:kern w:val="0"/>
          <w:sz w:val="32"/>
          <w:szCs w:val="32"/>
          <w:highlight w:val="none"/>
        </w:rPr>
      </w:pPr>
    </w:p>
    <w:p w14:paraId="22C132B6">
      <w:pPr>
        <w:snapToGrid w:val="0"/>
        <w:spacing w:line="360" w:lineRule="auto"/>
        <w:jc w:val="center"/>
        <w:rPr>
          <w:rFonts w:ascii="宋体" w:hAnsi="宋体" w:cs="宋体"/>
          <w:b/>
          <w:color w:val="auto"/>
          <w:kern w:val="0"/>
          <w:sz w:val="32"/>
          <w:szCs w:val="32"/>
          <w:highlight w:val="none"/>
        </w:rPr>
      </w:pPr>
    </w:p>
    <w:p w14:paraId="3E5064CD">
      <w:pPr>
        <w:pStyle w:val="84"/>
        <w:rPr>
          <w:color w:val="auto"/>
          <w:highlight w:val="none"/>
        </w:rPr>
      </w:pPr>
    </w:p>
    <w:p w14:paraId="4B3FA2F5">
      <w:pPr>
        <w:rPr>
          <w:color w:val="auto"/>
          <w:highlight w:val="none"/>
        </w:rPr>
      </w:pPr>
    </w:p>
    <w:p w14:paraId="175B7830">
      <w:pPr>
        <w:snapToGrid w:val="0"/>
        <w:spacing w:line="360" w:lineRule="auto"/>
        <w:ind w:firstLine="3855" w:firstLineChars="1200"/>
        <w:rPr>
          <w:rFonts w:ascii="宋体" w:hAnsi="宋体" w:cs="宋体"/>
          <w:b/>
          <w:color w:val="auto"/>
          <w:kern w:val="0"/>
          <w:sz w:val="32"/>
          <w:szCs w:val="32"/>
          <w:highlight w:val="none"/>
        </w:rPr>
      </w:pPr>
    </w:p>
    <w:p w14:paraId="7B03B95D">
      <w:pPr>
        <w:snapToGrid w:val="0"/>
        <w:spacing w:line="360" w:lineRule="auto"/>
        <w:ind w:firstLine="3855" w:firstLineChars="1200"/>
        <w:rPr>
          <w:rFonts w:ascii="宋体" w:hAnsi="宋体" w:cs="宋体"/>
          <w:b/>
          <w:color w:val="auto"/>
          <w:kern w:val="0"/>
          <w:sz w:val="32"/>
          <w:szCs w:val="32"/>
          <w:highlight w:val="none"/>
        </w:rPr>
      </w:pPr>
    </w:p>
    <w:p w14:paraId="0C3E3C9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56A2DA5">
      <w:pPr>
        <w:snapToGrid w:val="0"/>
        <w:spacing w:line="360" w:lineRule="auto"/>
        <w:ind w:firstLine="3855" w:firstLineChars="120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8F00B0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46ED3D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7CD5E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天（不少于60天）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A45F6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BD8C90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542343C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8BCC3A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0E039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84F858">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E97539">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2.1.5</w:t>
      </w:r>
      <w:r>
        <w:rPr>
          <w:rFonts w:hint="eastAsia" w:ascii="宋体" w:hAnsi="宋体" w:cs="宋体"/>
          <w:color w:val="auto"/>
          <w:sz w:val="24"/>
          <w:highlight w:val="none"/>
        </w:rPr>
        <w:t>除招标文件规定必须提供以外，投标人认为需要提供的其他证明材料</w:t>
      </w:r>
      <w:r>
        <w:rPr>
          <w:rFonts w:hint="eastAsia" w:ascii="宋体" w:hAnsi="宋体" w:cs="宋体"/>
          <w:color w:val="auto"/>
          <w:sz w:val="24"/>
          <w:highlight w:val="none"/>
          <w:lang w:eastAsia="zh-CN"/>
        </w:rPr>
        <w:t>。</w:t>
      </w:r>
    </w:p>
    <w:p w14:paraId="6530C005">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6DF02D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77E21A8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D7D68F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0C6E38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42A012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0B2CA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77B9CE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4002299">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E6A2105">
      <w:pPr>
        <w:pStyle w:val="84"/>
        <w:ind w:left="420" w:leftChars="200" w:firstLine="480" w:firstLineChars="200"/>
        <w:rPr>
          <w:rFonts w:hint="eastAsia" w:cs="宋体"/>
          <w:color w:val="auto"/>
          <w:highlight w:val="none"/>
          <w:lang w:val="zh-CN"/>
        </w:rPr>
      </w:pPr>
      <w:r>
        <w:rPr>
          <w:rFonts w:hint="eastAsia" w:cs="宋体"/>
          <w:color w:val="auto"/>
          <w:highlight w:val="none"/>
        </w:rPr>
        <w:t>2</w:t>
      </w:r>
      <w:r>
        <w:rPr>
          <w:rFonts w:hint="eastAsia" w:cs="宋体"/>
          <w:color w:val="auto"/>
          <w:highlight w:val="none"/>
          <w:lang w:val="zh-CN"/>
        </w:rPr>
        <w:t>.</w:t>
      </w:r>
      <w:r>
        <w:rPr>
          <w:rFonts w:hint="eastAsia" w:cs="宋体"/>
          <w:color w:val="auto"/>
          <w:highlight w:val="none"/>
        </w:rPr>
        <w:t>2</w:t>
      </w:r>
      <w:r>
        <w:rPr>
          <w:rFonts w:hint="eastAsia" w:cs="宋体"/>
          <w:color w:val="auto"/>
          <w:highlight w:val="none"/>
          <w:lang w:val="zh-CN"/>
        </w:rPr>
        <w:t>.</w:t>
      </w:r>
      <w:r>
        <w:rPr>
          <w:rFonts w:hint="eastAsia" w:cs="宋体"/>
          <w:color w:val="auto"/>
          <w:highlight w:val="none"/>
        </w:rPr>
        <w:t>9</w:t>
      </w:r>
      <w:r>
        <w:rPr>
          <w:rFonts w:hint="eastAsia" w:cs="宋体"/>
          <w:color w:val="auto"/>
          <w:highlight w:val="none"/>
          <w:lang w:val="zh-CN"/>
        </w:rPr>
        <w:t>承诺函；</w:t>
      </w:r>
    </w:p>
    <w:p w14:paraId="54C56447">
      <w:pPr>
        <w:pStyle w:val="84"/>
        <w:ind w:left="420" w:leftChars="200" w:firstLine="480" w:firstLineChars="200"/>
        <w:rPr>
          <w:rFonts w:hint="default" w:eastAsia="宋体" w:cs="宋体"/>
          <w:color w:val="auto"/>
          <w:highlight w:val="none"/>
          <w:lang w:val="en-US" w:eastAsia="zh-CN"/>
        </w:rPr>
      </w:pPr>
      <w:r>
        <w:rPr>
          <w:rFonts w:hint="eastAsia" w:cs="宋体"/>
          <w:color w:val="auto"/>
          <w:highlight w:val="none"/>
          <w:lang w:val="en-US" w:eastAsia="zh-CN"/>
        </w:rPr>
        <w:t>2.2.10</w:t>
      </w:r>
      <w:r>
        <w:rPr>
          <w:rFonts w:hint="eastAsia" w:ascii="宋体" w:hAnsi="宋体" w:eastAsia="宋体" w:cs="宋体"/>
          <w:color w:val="auto"/>
          <w:kern w:val="2"/>
          <w:sz w:val="24"/>
          <w:szCs w:val="24"/>
          <w:highlight w:val="none"/>
          <w:lang w:val="en-US" w:eastAsia="zh-CN" w:bidi="ar-SA"/>
        </w:rPr>
        <w:t>除招标文件规定必须提供以外，投标人认为需要提供的其他证明材料</w:t>
      </w:r>
      <w:r>
        <w:rPr>
          <w:rFonts w:hint="eastAsia" w:cs="宋体"/>
          <w:color w:val="auto"/>
          <w:kern w:val="2"/>
          <w:sz w:val="24"/>
          <w:szCs w:val="24"/>
          <w:highlight w:val="none"/>
          <w:lang w:val="en-US" w:eastAsia="zh-CN" w:bidi="ar-SA"/>
        </w:rPr>
        <w:t>；</w:t>
      </w:r>
    </w:p>
    <w:p w14:paraId="41ABF64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01E0FF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06449B5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35E855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76659F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3AD96D2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9F55D2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B13345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E01B21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BD894E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4577F1A">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718C7EC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22EC5B3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4265848">
      <w:pPr>
        <w:snapToGrid w:val="0"/>
        <w:spacing w:line="360" w:lineRule="auto"/>
        <w:ind w:left="420" w:leftChars="200" w:firstLine="4200" w:firstLineChars="1750"/>
        <w:rPr>
          <w:rFonts w:ascii="宋体" w:hAnsi="宋体" w:cs="宋体"/>
          <w:color w:val="auto"/>
          <w:kern w:val="0"/>
          <w:sz w:val="24"/>
          <w:highlight w:val="none"/>
          <w:u w:val="single"/>
        </w:rPr>
      </w:pPr>
    </w:p>
    <w:p w14:paraId="25CDEFB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ADB9F32">
      <w:pPr>
        <w:snapToGrid w:val="0"/>
        <w:spacing w:line="360" w:lineRule="auto"/>
        <w:jc w:val="center"/>
        <w:rPr>
          <w:rFonts w:ascii="宋体" w:hAnsi="宋体" w:cs="宋体"/>
          <w:b/>
          <w:color w:val="auto"/>
          <w:kern w:val="0"/>
          <w:sz w:val="32"/>
          <w:szCs w:val="32"/>
          <w:highlight w:val="none"/>
        </w:rPr>
      </w:pPr>
    </w:p>
    <w:p w14:paraId="322F5952">
      <w:pPr>
        <w:snapToGrid w:val="0"/>
        <w:spacing w:line="360" w:lineRule="auto"/>
        <w:rPr>
          <w:rFonts w:ascii="宋体" w:hAnsi="宋体" w:cs="宋体"/>
          <w:color w:val="auto"/>
          <w:sz w:val="24"/>
          <w:highlight w:val="none"/>
        </w:rPr>
      </w:pPr>
    </w:p>
    <w:p w14:paraId="75640323">
      <w:pPr>
        <w:jc w:val="center"/>
        <w:rPr>
          <w:rFonts w:ascii="宋体" w:hAnsi="宋体" w:cs="宋体"/>
          <w:b/>
          <w:color w:val="auto"/>
          <w:kern w:val="0"/>
          <w:sz w:val="32"/>
          <w:szCs w:val="32"/>
          <w:highlight w:val="none"/>
        </w:rPr>
      </w:pPr>
    </w:p>
    <w:p w14:paraId="47AADC57">
      <w:pPr>
        <w:jc w:val="center"/>
        <w:rPr>
          <w:rFonts w:ascii="宋体" w:hAnsi="宋体" w:cs="宋体"/>
          <w:b/>
          <w:color w:val="auto"/>
          <w:kern w:val="0"/>
          <w:sz w:val="32"/>
          <w:szCs w:val="32"/>
          <w:highlight w:val="none"/>
        </w:rPr>
      </w:pPr>
    </w:p>
    <w:p w14:paraId="139FC0EF">
      <w:pPr>
        <w:jc w:val="center"/>
        <w:rPr>
          <w:rFonts w:ascii="宋体" w:hAnsi="宋体" w:cs="宋体"/>
          <w:b/>
          <w:color w:val="auto"/>
          <w:kern w:val="0"/>
          <w:sz w:val="32"/>
          <w:szCs w:val="32"/>
          <w:highlight w:val="none"/>
        </w:rPr>
      </w:pPr>
    </w:p>
    <w:p w14:paraId="28AB54A9">
      <w:pPr>
        <w:jc w:val="center"/>
        <w:rPr>
          <w:rFonts w:ascii="宋体" w:hAnsi="宋体" w:cs="宋体"/>
          <w:b/>
          <w:color w:val="auto"/>
          <w:kern w:val="0"/>
          <w:sz w:val="32"/>
          <w:szCs w:val="32"/>
          <w:highlight w:val="none"/>
        </w:rPr>
      </w:pPr>
    </w:p>
    <w:p w14:paraId="1E34C911">
      <w:pPr>
        <w:jc w:val="center"/>
        <w:rPr>
          <w:rFonts w:ascii="宋体" w:hAnsi="宋体" w:cs="宋体"/>
          <w:b/>
          <w:color w:val="auto"/>
          <w:kern w:val="0"/>
          <w:sz w:val="32"/>
          <w:szCs w:val="32"/>
          <w:highlight w:val="none"/>
        </w:rPr>
      </w:pPr>
    </w:p>
    <w:p w14:paraId="7B05C674">
      <w:pPr>
        <w:jc w:val="center"/>
        <w:rPr>
          <w:rFonts w:ascii="宋体" w:hAnsi="宋体" w:cs="宋体"/>
          <w:b/>
          <w:color w:val="auto"/>
          <w:kern w:val="0"/>
          <w:sz w:val="32"/>
          <w:szCs w:val="32"/>
          <w:highlight w:val="none"/>
        </w:rPr>
      </w:pPr>
    </w:p>
    <w:p w14:paraId="3D6724D1">
      <w:pPr>
        <w:jc w:val="center"/>
        <w:rPr>
          <w:rFonts w:ascii="宋体" w:hAnsi="宋体" w:cs="宋体"/>
          <w:b/>
          <w:color w:val="auto"/>
          <w:kern w:val="0"/>
          <w:sz w:val="32"/>
          <w:szCs w:val="32"/>
          <w:highlight w:val="none"/>
        </w:rPr>
      </w:pPr>
    </w:p>
    <w:p w14:paraId="1EEDBDED">
      <w:pPr>
        <w:jc w:val="center"/>
        <w:rPr>
          <w:rFonts w:ascii="宋体" w:hAnsi="宋体" w:cs="宋体"/>
          <w:b/>
          <w:color w:val="auto"/>
          <w:kern w:val="0"/>
          <w:sz w:val="32"/>
          <w:szCs w:val="32"/>
          <w:highlight w:val="none"/>
        </w:rPr>
      </w:pPr>
    </w:p>
    <w:p w14:paraId="0B02A39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1232FA8">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D256FA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63F2ED6">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13EB31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477EC6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310669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D163E4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83D3CA6">
      <w:pPr>
        <w:spacing w:line="360" w:lineRule="auto"/>
        <w:ind w:left="4649" w:leftChars="2214" w:firstLine="3600" w:firstLineChars="1500"/>
        <w:rPr>
          <w:rFonts w:ascii="宋体" w:hAnsi="宋体" w:cs="宋体"/>
          <w:color w:val="auto"/>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sz w:val="24"/>
          <w:highlight w:val="none"/>
        </w:rPr>
        <w:t>投标人名称（公章）：</w:t>
      </w:r>
    </w:p>
    <w:p w14:paraId="6EB28A77">
      <w:pPr>
        <w:snapToGrid w:val="0"/>
        <w:spacing w:line="360" w:lineRule="auto"/>
        <w:ind w:left="4649" w:leftChars="2214"/>
        <w:rPr>
          <w:rFonts w:ascii="宋体" w:hAnsi="宋体" w:cs="宋体"/>
          <w:color w:val="auto"/>
          <w:kern w:val="0"/>
          <w:sz w:val="24"/>
          <w:highlight w:val="none"/>
        </w:rPr>
      </w:pPr>
      <w:r>
        <w:rPr>
          <w:rFonts w:hint="eastAsia" w:ascii="宋体" w:hAnsi="宋体" w:cs="宋体"/>
          <w:color w:val="auto"/>
          <w:sz w:val="24"/>
          <w:highlight w:val="none"/>
        </w:rPr>
        <w:t>法定代表人（负责人） (签名)：</w:t>
      </w:r>
    </w:p>
    <w:p w14:paraId="14A94CB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17F0AE7">
      <w:pPr>
        <w:snapToGrid w:val="0"/>
        <w:spacing w:line="360" w:lineRule="auto"/>
        <w:rPr>
          <w:rFonts w:ascii="宋体" w:hAnsi="宋体" w:cs="宋体"/>
          <w:color w:val="auto"/>
          <w:sz w:val="24"/>
          <w:highlight w:val="none"/>
        </w:rPr>
      </w:pPr>
    </w:p>
    <w:p w14:paraId="19CD08C6">
      <w:pPr>
        <w:snapToGrid w:val="0"/>
        <w:spacing w:line="360" w:lineRule="auto"/>
        <w:rPr>
          <w:rFonts w:ascii="宋体" w:hAnsi="宋体" w:cs="宋体"/>
          <w:color w:val="auto"/>
          <w:sz w:val="24"/>
          <w:highlight w:val="none"/>
        </w:rPr>
      </w:pPr>
    </w:p>
    <w:p w14:paraId="12A6B725">
      <w:pPr>
        <w:snapToGrid w:val="0"/>
        <w:spacing w:line="360" w:lineRule="auto"/>
        <w:rPr>
          <w:rFonts w:ascii="宋体" w:hAnsi="宋体" w:cs="宋体"/>
          <w:color w:val="auto"/>
          <w:sz w:val="24"/>
          <w:highlight w:val="none"/>
        </w:rPr>
      </w:pPr>
    </w:p>
    <w:p w14:paraId="3FF7CBF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A4C1D9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ABDB3D4">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BC3046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E0DE93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743FEF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788CACF7">
      <w:pPr>
        <w:snapToGrid w:val="0"/>
        <w:spacing w:line="360" w:lineRule="auto"/>
        <w:ind w:firstLine="5040" w:firstLineChars="2100"/>
        <w:rPr>
          <w:rStyle w:val="83"/>
          <w:color w:val="auto"/>
          <w:highlight w:val="none"/>
        </w:rPr>
      </w:pPr>
      <w:r>
        <w:rPr>
          <w:rStyle w:val="83"/>
          <w:rFonts w:hint="eastAsia"/>
          <w:color w:val="auto"/>
          <w:highlight w:val="none"/>
        </w:rPr>
        <w:t>法定代表人（负责人） (签名)：</w:t>
      </w:r>
    </w:p>
    <w:p w14:paraId="08135379">
      <w:pPr>
        <w:snapToGrid w:val="0"/>
        <w:spacing w:line="360" w:lineRule="auto"/>
        <w:ind w:firstLine="5040" w:firstLineChars="2100"/>
        <w:rPr>
          <w:rFonts w:ascii="宋体" w:hAnsi="宋体" w:cs="宋体"/>
          <w:color w:val="auto"/>
          <w:kern w:val="0"/>
          <w:sz w:val="24"/>
          <w:highlight w:val="none"/>
          <w:lang w:val="zh-CN"/>
        </w:rPr>
      </w:pPr>
      <w:r>
        <w:rPr>
          <w:rStyle w:val="83"/>
          <w:rFonts w:hint="eastAsia"/>
          <w:color w:val="auto"/>
          <w:highlight w:val="none"/>
        </w:rPr>
        <w:t>联合体成</w:t>
      </w:r>
      <w:r>
        <w:rPr>
          <w:rFonts w:hint="eastAsia" w:ascii="宋体" w:hAnsi="宋体" w:cs="宋体"/>
          <w:color w:val="auto"/>
          <w:kern w:val="0"/>
          <w:sz w:val="24"/>
          <w:highlight w:val="none"/>
          <w:lang w:val="zh-CN"/>
        </w:rPr>
        <w:t>员名称(公章)：</w:t>
      </w:r>
    </w:p>
    <w:p w14:paraId="291CE168">
      <w:pPr>
        <w:pStyle w:val="84"/>
        <w:ind w:firstLine="5040" w:firstLineChars="2100"/>
        <w:rPr>
          <w:color w:val="auto"/>
          <w:highlight w:val="none"/>
        </w:rPr>
      </w:pPr>
      <w:r>
        <w:rPr>
          <w:rFonts w:hint="eastAsia"/>
          <w:color w:val="auto"/>
          <w:highlight w:val="none"/>
        </w:rPr>
        <w:t>法定代表人（负责人） (签名)：</w:t>
      </w:r>
    </w:p>
    <w:p w14:paraId="4D176EDA">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B6E2F14">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7CF5966">
      <w:pP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br w:type="page"/>
      </w:r>
    </w:p>
    <w:p w14:paraId="5F1242C4">
      <w:pPr>
        <w:snapToGrid w:val="0"/>
        <w:spacing w:line="360" w:lineRule="auto"/>
        <w:rPr>
          <w:rFonts w:hint="eastAsia" w:ascii="宋体" w:hAnsi="宋体" w:cs="宋体"/>
          <w:color w:val="auto"/>
          <w:kern w:val="0"/>
          <w:sz w:val="24"/>
          <w:highlight w:val="none"/>
          <w:lang w:val="zh-CN"/>
        </w:rPr>
      </w:pPr>
    </w:p>
    <w:p w14:paraId="591E3FBE">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3FA6B59B">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90C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C8F9AD7">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A62F56">
            <w:pPr>
              <w:pStyle w:val="147"/>
              <w:adjustRightInd w:val="0"/>
              <w:spacing w:line="360" w:lineRule="auto"/>
              <w:rPr>
                <w:rFonts w:hAnsi="宋体" w:cs="宋体"/>
                <w:bCs/>
                <w:color w:val="auto"/>
                <w:sz w:val="24"/>
                <w:highlight w:val="none"/>
              </w:rPr>
            </w:pPr>
          </w:p>
        </w:tc>
      </w:tr>
    </w:tbl>
    <w:p w14:paraId="382A86C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6628C6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投标人名称(公章)：                              </w:t>
      </w:r>
    </w:p>
    <w:p w14:paraId="065DA46F">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6FF49F7">
      <w:pPr>
        <w:jc w:val="center"/>
        <w:rPr>
          <w:rFonts w:ascii="宋体" w:hAnsi="宋体" w:cs="宋体"/>
          <w:b/>
          <w:color w:val="auto"/>
          <w:kern w:val="0"/>
          <w:sz w:val="32"/>
          <w:szCs w:val="32"/>
          <w:highlight w:val="none"/>
        </w:rPr>
      </w:pPr>
    </w:p>
    <w:p w14:paraId="06C8523C">
      <w:pPr>
        <w:jc w:val="center"/>
        <w:rPr>
          <w:rFonts w:ascii="宋体" w:hAnsi="宋体" w:cs="宋体"/>
          <w:b/>
          <w:color w:val="auto"/>
          <w:kern w:val="0"/>
          <w:sz w:val="32"/>
          <w:szCs w:val="32"/>
          <w:highlight w:val="none"/>
        </w:rPr>
      </w:pPr>
    </w:p>
    <w:p w14:paraId="4961333E">
      <w:pPr>
        <w:jc w:val="center"/>
        <w:rPr>
          <w:rFonts w:ascii="宋体" w:hAnsi="宋体" w:cs="宋体"/>
          <w:b/>
          <w:color w:val="auto"/>
          <w:kern w:val="0"/>
          <w:sz w:val="32"/>
          <w:szCs w:val="32"/>
          <w:highlight w:val="none"/>
        </w:rPr>
      </w:pPr>
    </w:p>
    <w:p w14:paraId="6BA7FFC0">
      <w:pPr>
        <w:jc w:val="center"/>
        <w:rPr>
          <w:rFonts w:ascii="宋体" w:hAnsi="宋体" w:cs="宋体"/>
          <w:b/>
          <w:color w:val="auto"/>
          <w:kern w:val="0"/>
          <w:sz w:val="32"/>
          <w:szCs w:val="32"/>
          <w:highlight w:val="none"/>
        </w:rPr>
      </w:pPr>
    </w:p>
    <w:p w14:paraId="011123AF">
      <w:pPr>
        <w:jc w:val="center"/>
        <w:rPr>
          <w:rFonts w:ascii="宋体" w:hAnsi="宋体" w:cs="宋体"/>
          <w:b/>
          <w:color w:val="auto"/>
          <w:kern w:val="0"/>
          <w:sz w:val="32"/>
          <w:szCs w:val="32"/>
          <w:highlight w:val="none"/>
        </w:rPr>
      </w:pPr>
    </w:p>
    <w:p w14:paraId="5D4782C7">
      <w:pPr>
        <w:jc w:val="center"/>
        <w:rPr>
          <w:rFonts w:ascii="宋体" w:hAnsi="宋体" w:cs="宋体"/>
          <w:b/>
          <w:color w:val="auto"/>
          <w:kern w:val="0"/>
          <w:sz w:val="32"/>
          <w:szCs w:val="32"/>
          <w:highlight w:val="none"/>
        </w:rPr>
      </w:pPr>
    </w:p>
    <w:p w14:paraId="56B43E68">
      <w:pPr>
        <w:jc w:val="center"/>
        <w:rPr>
          <w:rFonts w:ascii="宋体" w:hAnsi="宋体" w:cs="宋体"/>
          <w:b/>
          <w:color w:val="auto"/>
          <w:kern w:val="0"/>
          <w:sz w:val="32"/>
          <w:szCs w:val="32"/>
          <w:highlight w:val="none"/>
        </w:rPr>
      </w:pPr>
    </w:p>
    <w:p w14:paraId="63207928">
      <w:pPr>
        <w:jc w:val="center"/>
        <w:rPr>
          <w:rFonts w:ascii="宋体" w:hAnsi="宋体" w:cs="宋体"/>
          <w:b/>
          <w:color w:val="auto"/>
          <w:kern w:val="0"/>
          <w:sz w:val="32"/>
          <w:szCs w:val="32"/>
          <w:highlight w:val="none"/>
        </w:rPr>
      </w:pPr>
    </w:p>
    <w:p w14:paraId="1141BF10">
      <w:pPr>
        <w:jc w:val="center"/>
        <w:rPr>
          <w:rFonts w:ascii="宋体" w:hAnsi="宋体" w:cs="宋体"/>
          <w:b/>
          <w:color w:val="auto"/>
          <w:kern w:val="0"/>
          <w:sz w:val="32"/>
          <w:szCs w:val="32"/>
          <w:highlight w:val="none"/>
        </w:rPr>
      </w:pPr>
    </w:p>
    <w:p w14:paraId="0540310B">
      <w:pPr>
        <w:jc w:val="center"/>
        <w:rPr>
          <w:rFonts w:ascii="宋体" w:hAnsi="宋体" w:cs="宋体"/>
          <w:b/>
          <w:color w:val="auto"/>
          <w:kern w:val="0"/>
          <w:sz w:val="32"/>
          <w:szCs w:val="32"/>
          <w:highlight w:val="none"/>
        </w:rPr>
      </w:pPr>
    </w:p>
    <w:p w14:paraId="03853EFE">
      <w:pPr>
        <w:snapToGrid w:val="0"/>
        <w:spacing w:line="360" w:lineRule="auto"/>
        <w:ind w:right="480"/>
        <w:rPr>
          <w:rFonts w:ascii="宋体" w:hAnsi="宋体" w:cs="宋体"/>
          <w:b/>
          <w:color w:val="auto"/>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32870E36">
      <w:pPr>
        <w:snapToGrid w:val="0"/>
        <w:spacing w:line="360" w:lineRule="auto"/>
        <w:jc w:val="center"/>
        <w:rPr>
          <w:rFonts w:hint="eastAsia" w:ascii="宋体" w:hAnsi="宋体" w:cs="宋体"/>
          <w:b/>
          <w:color w:val="auto"/>
          <w:kern w:val="0"/>
          <w:sz w:val="32"/>
          <w:szCs w:val="32"/>
          <w:highlight w:val="none"/>
        </w:rPr>
      </w:pPr>
    </w:p>
    <w:p w14:paraId="44B14D8A">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r>
        <w:rPr>
          <w:rFonts w:hint="eastAsia" w:ascii="宋体" w:hAnsi="宋体" w:cs="宋体"/>
          <w:b/>
          <w:color w:val="auto"/>
          <w:kern w:val="0"/>
          <w:sz w:val="32"/>
          <w:szCs w:val="32"/>
          <w:highlight w:val="none"/>
          <w:lang w:val="en-US" w:eastAsia="zh-CN"/>
        </w:rPr>
        <w:t>本项目不适用</w:t>
      </w:r>
      <w:r>
        <w:rPr>
          <w:rFonts w:hint="eastAsia" w:ascii="宋体" w:hAnsi="宋体" w:cs="宋体"/>
          <w:b/>
          <w:color w:val="auto"/>
          <w:kern w:val="0"/>
          <w:sz w:val="32"/>
          <w:szCs w:val="32"/>
          <w:highlight w:val="none"/>
        </w:rPr>
        <w:t>）</w:t>
      </w:r>
    </w:p>
    <w:p w14:paraId="3AFE7100">
      <w:pPr>
        <w:widowControl/>
        <w:spacing w:line="360" w:lineRule="auto"/>
        <w:ind w:firstLine="120" w:firstLineChars="50"/>
        <w:jc w:val="left"/>
        <w:rPr>
          <w:rFonts w:ascii="宋体" w:hAnsi="宋体" w:cs="宋体"/>
          <w:color w:val="auto"/>
          <w:sz w:val="24"/>
          <w:highlight w:val="none"/>
        </w:rPr>
      </w:pPr>
      <w:bookmarkStart w:id="476"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76"/>
    <w:p w14:paraId="3E9B6BD6">
      <w:pPr>
        <w:snapToGrid w:val="0"/>
        <w:spacing w:line="360" w:lineRule="auto"/>
        <w:rPr>
          <w:rFonts w:ascii="宋体" w:hAnsi="宋体" w:cs="宋体"/>
          <w:color w:val="auto"/>
          <w:kern w:val="0"/>
          <w:sz w:val="24"/>
          <w:highlight w:val="none"/>
        </w:rPr>
      </w:pPr>
    </w:p>
    <w:p w14:paraId="49E9B0F7">
      <w:pPr>
        <w:jc w:val="center"/>
        <w:rPr>
          <w:rFonts w:ascii="宋体" w:hAnsi="宋体" w:cs="宋体"/>
          <w:b/>
          <w:color w:val="auto"/>
          <w:kern w:val="0"/>
          <w:sz w:val="32"/>
          <w:szCs w:val="32"/>
          <w:highlight w:val="none"/>
        </w:rPr>
      </w:pPr>
    </w:p>
    <w:p w14:paraId="6F780766">
      <w:pPr>
        <w:pStyle w:val="84"/>
        <w:rPr>
          <w:color w:val="auto"/>
          <w:highlight w:val="none"/>
        </w:rPr>
      </w:pPr>
    </w:p>
    <w:p w14:paraId="09004566">
      <w:pPr>
        <w:rPr>
          <w:color w:val="auto"/>
          <w:highlight w:val="none"/>
        </w:rPr>
      </w:pPr>
    </w:p>
    <w:p w14:paraId="1CB1EAB1">
      <w:pPr>
        <w:pStyle w:val="84"/>
        <w:rPr>
          <w:color w:val="auto"/>
          <w:highlight w:val="none"/>
        </w:rPr>
      </w:pPr>
    </w:p>
    <w:p w14:paraId="1C7619E3">
      <w:pPr>
        <w:jc w:val="center"/>
        <w:rPr>
          <w:rFonts w:ascii="宋体" w:hAnsi="宋体" w:cs="宋体"/>
          <w:b/>
          <w:color w:val="auto"/>
          <w:kern w:val="0"/>
          <w:sz w:val="32"/>
          <w:szCs w:val="32"/>
          <w:highlight w:val="none"/>
        </w:rPr>
      </w:pPr>
    </w:p>
    <w:p w14:paraId="48DDE63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33B7931">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E5F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CCCAB8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CBB00C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4702AA3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122197A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84C42B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DF6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CF3A54">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5499D2D1">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0124150">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0305B2F7">
            <w:pPr>
              <w:rPr>
                <w:rFonts w:ascii="宋体" w:hAnsi="宋体" w:cs="宋体"/>
                <w:color w:val="auto"/>
                <w:sz w:val="24"/>
                <w:highlight w:val="none"/>
              </w:rPr>
            </w:pPr>
          </w:p>
          <w:p w14:paraId="68B6B1A1">
            <w:pPr>
              <w:rPr>
                <w:rFonts w:ascii="宋体" w:hAnsi="宋体" w:cs="宋体"/>
                <w:color w:val="auto"/>
                <w:sz w:val="24"/>
                <w:highlight w:val="none"/>
              </w:rPr>
            </w:pPr>
            <w:r>
              <w:rPr>
                <w:rFonts w:hint="eastAsia" w:ascii="宋体" w:hAnsi="宋体" w:cs="宋体"/>
                <w:color w:val="auto"/>
                <w:sz w:val="24"/>
                <w:highlight w:val="none"/>
              </w:rPr>
              <w:t>见投标文件</w:t>
            </w:r>
          </w:p>
          <w:p w14:paraId="7044BE16">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C0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64CD40">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7C419534">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D9A9B4">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3D2D044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3218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9C4C04A">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414F03CA">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7A0488B7">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19F306B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33935B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4E57A2D">
      <w:pPr>
        <w:jc w:val="center"/>
        <w:rPr>
          <w:rFonts w:ascii="宋体" w:hAnsi="宋体" w:cs="宋体"/>
          <w:b/>
          <w:color w:val="auto"/>
          <w:kern w:val="0"/>
          <w:sz w:val="32"/>
          <w:szCs w:val="32"/>
          <w:highlight w:val="none"/>
        </w:rPr>
      </w:pPr>
    </w:p>
    <w:p w14:paraId="7174E82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01323659">
      <w:pPr>
        <w:jc w:val="center"/>
        <w:rPr>
          <w:rFonts w:ascii="宋体" w:hAnsi="宋体" w:cs="宋体"/>
          <w:b/>
          <w:color w:val="auto"/>
          <w:kern w:val="0"/>
          <w:sz w:val="32"/>
          <w:szCs w:val="32"/>
          <w:highlight w:val="none"/>
        </w:rPr>
      </w:pPr>
    </w:p>
    <w:p w14:paraId="26B0C82C">
      <w:pPr>
        <w:jc w:val="center"/>
        <w:rPr>
          <w:rFonts w:ascii="宋体" w:hAnsi="宋体" w:cs="宋体"/>
          <w:b/>
          <w:color w:val="auto"/>
          <w:kern w:val="0"/>
          <w:sz w:val="32"/>
          <w:szCs w:val="32"/>
          <w:highlight w:val="none"/>
        </w:rPr>
      </w:pPr>
    </w:p>
    <w:p w14:paraId="0B407C5A">
      <w:pPr>
        <w:jc w:val="center"/>
        <w:rPr>
          <w:rFonts w:ascii="宋体" w:hAnsi="宋体" w:cs="宋体"/>
          <w:b/>
          <w:color w:val="auto"/>
          <w:kern w:val="0"/>
          <w:sz w:val="32"/>
          <w:szCs w:val="32"/>
          <w:highlight w:val="none"/>
        </w:rPr>
      </w:pPr>
    </w:p>
    <w:p w14:paraId="0F1D77FC">
      <w:pPr>
        <w:jc w:val="center"/>
        <w:rPr>
          <w:rFonts w:ascii="宋体" w:hAnsi="宋体" w:cs="宋体"/>
          <w:b/>
          <w:color w:val="auto"/>
          <w:kern w:val="0"/>
          <w:sz w:val="32"/>
          <w:szCs w:val="32"/>
          <w:highlight w:val="none"/>
        </w:rPr>
      </w:pPr>
    </w:p>
    <w:p w14:paraId="59F6A1F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541281F">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29CA0B4">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33FF8DD">
      <w:pPr>
        <w:jc w:val="center"/>
        <w:rPr>
          <w:rFonts w:ascii="宋体" w:hAnsi="宋体" w:cs="宋体"/>
          <w:b/>
          <w:color w:val="auto"/>
          <w:kern w:val="0"/>
          <w:sz w:val="32"/>
          <w:szCs w:val="32"/>
          <w:highlight w:val="none"/>
        </w:rPr>
      </w:pPr>
    </w:p>
    <w:p w14:paraId="090B8F59">
      <w:pPr>
        <w:jc w:val="center"/>
        <w:rPr>
          <w:rFonts w:ascii="宋体" w:hAnsi="宋体" w:cs="宋体"/>
          <w:b/>
          <w:color w:val="auto"/>
          <w:kern w:val="0"/>
          <w:sz w:val="32"/>
          <w:szCs w:val="32"/>
          <w:highlight w:val="none"/>
        </w:rPr>
      </w:pPr>
    </w:p>
    <w:p w14:paraId="7D1E86CE">
      <w:pPr>
        <w:jc w:val="center"/>
        <w:rPr>
          <w:rFonts w:ascii="宋体" w:hAnsi="宋体" w:cs="宋体"/>
          <w:b/>
          <w:color w:val="auto"/>
          <w:kern w:val="0"/>
          <w:sz w:val="32"/>
          <w:szCs w:val="32"/>
          <w:highlight w:val="none"/>
        </w:rPr>
      </w:pPr>
    </w:p>
    <w:p w14:paraId="5A3F7085">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0AA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BF762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5999B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3EB96DD">
            <w:pPr>
              <w:spacing w:line="360" w:lineRule="auto"/>
              <w:jc w:val="center"/>
              <w:rPr>
                <w:rFonts w:ascii="宋体" w:hAnsi="宋体" w:cs="宋体"/>
                <w:b/>
                <w:color w:val="auto"/>
                <w:sz w:val="24"/>
                <w:highlight w:val="none"/>
              </w:rPr>
            </w:pPr>
          </w:p>
          <w:p w14:paraId="76E626C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3F7248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2E8B3F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AAE8F2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5884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96D99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B55DB1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51B31CD">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87000C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33E7EE7">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F0903CC">
            <w:pPr>
              <w:spacing w:line="360" w:lineRule="auto"/>
              <w:jc w:val="center"/>
              <w:rPr>
                <w:rFonts w:ascii="宋体" w:hAnsi="宋体" w:cs="宋体"/>
                <w:color w:val="auto"/>
                <w:sz w:val="24"/>
                <w:highlight w:val="none"/>
              </w:rPr>
            </w:pPr>
          </w:p>
        </w:tc>
      </w:tr>
      <w:tr w14:paraId="1F4AB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8FAB8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C746C8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B8E672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CD7131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FD0E911">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5C6E6EA">
            <w:pPr>
              <w:spacing w:line="360" w:lineRule="auto"/>
              <w:jc w:val="center"/>
              <w:rPr>
                <w:rFonts w:ascii="宋体" w:hAnsi="宋体" w:cs="宋体"/>
                <w:color w:val="auto"/>
                <w:sz w:val="24"/>
                <w:highlight w:val="none"/>
              </w:rPr>
            </w:pPr>
          </w:p>
        </w:tc>
      </w:tr>
      <w:tr w14:paraId="0ABDD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AA657E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A8C9645">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347073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9B5220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2C7900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5C579BF">
            <w:pPr>
              <w:spacing w:line="360" w:lineRule="auto"/>
              <w:jc w:val="center"/>
              <w:rPr>
                <w:rFonts w:ascii="宋体" w:hAnsi="宋体" w:cs="宋体"/>
                <w:color w:val="auto"/>
                <w:sz w:val="24"/>
                <w:highlight w:val="none"/>
              </w:rPr>
            </w:pPr>
          </w:p>
        </w:tc>
      </w:tr>
    </w:tbl>
    <w:p w14:paraId="03EFBD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D70CCF0">
      <w:pPr>
        <w:jc w:val="center"/>
        <w:rPr>
          <w:rFonts w:ascii="宋体" w:hAnsi="宋体" w:cs="宋体"/>
          <w:b/>
          <w:color w:val="auto"/>
          <w:kern w:val="0"/>
          <w:sz w:val="32"/>
          <w:szCs w:val="32"/>
          <w:highlight w:val="none"/>
        </w:rPr>
      </w:pPr>
    </w:p>
    <w:p w14:paraId="07D3D33C">
      <w:pPr>
        <w:jc w:val="center"/>
        <w:rPr>
          <w:rFonts w:ascii="宋体" w:hAnsi="宋体" w:cs="宋体"/>
          <w:b/>
          <w:color w:val="auto"/>
          <w:kern w:val="0"/>
          <w:sz w:val="32"/>
          <w:szCs w:val="32"/>
          <w:highlight w:val="none"/>
        </w:rPr>
      </w:pPr>
    </w:p>
    <w:p w14:paraId="24BF181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CEF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A36E0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7936A9E8">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2544FFE7">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0A67BF6D">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5166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9B3DE1">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6D74BE0">
            <w:pPr>
              <w:jc w:val="center"/>
              <w:rPr>
                <w:rFonts w:ascii="宋体" w:hAnsi="宋体" w:cs="宋体"/>
                <w:b/>
                <w:color w:val="auto"/>
                <w:kern w:val="0"/>
                <w:sz w:val="32"/>
                <w:szCs w:val="32"/>
                <w:highlight w:val="none"/>
              </w:rPr>
            </w:pPr>
          </w:p>
        </w:tc>
        <w:tc>
          <w:tcPr>
            <w:tcW w:w="3546" w:type="dxa"/>
          </w:tcPr>
          <w:p w14:paraId="75A2785F">
            <w:pPr>
              <w:jc w:val="center"/>
              <w:rPr>
                <w:rFonts w:ascii="宋体" w:hAnsi="宋体" w:cs="宋体"/>
                <w:b/>
                <w:color w:val="auto"/>
                <w:kern w:val="0"/>
                <w:sz w:val="32"/>
                <w:szCs w:val="32"/>
                <w:highlight w:val="none"/>
              </w:rPr>
            </w:pPr>
          </w:p>
        </w:tc>
        <w:tc>
          <w:tcPr>
            <w:tcW w:w="1276" w:type="dxa"/>
          </w:tcPr>
          <w:p w14:paraId="267B9B9C">
            <w:pPr>
              <w:jc w:val="center"/>
              <w:rPr>
                <w:rFonts w:ascii="宋体" w:hAnsi="宋体" w:cs="宋体"/>
                <w:b/>
                <w:color w:val="auto"/>
                <w:kern w:val="0"/>
                <w:sz w:val="32"/>
                <w:szCs w:val="32"/>
                <w:highlight w:val="none"/>
              </w:rPr>
            </w:pPr>
          </w:p>
        </w:tc>
      </w:tr>
      <w:tr w14:paraId="6C7B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0887D1">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07D12A8A">
            <w:pPr>
              <w:jc w:val="center"/>
              <w:rPr>
                <w:rFonts w:ascii="宋体" w:hAnsi="宋体" w:cs="宋体"/>
                <w:b/>
                <w:color w:val="auto"/>
                <w:kern w:val="0"/>
                <w:sz w:val="32"/>
                <w:szCs w:val="32"/>
                <w:highlight w:val="none"/>
              </w:rPr>
            </w:pPr>
          </w:p>
        </w:tc>
        <w:tc>
          <w:tcPr>
            <w:tcW w:w="3546" w:type="dxa"/>
          </w:tcPr>
          <w:p w14:paraId="7E001357">
            <w:pPr>
              <w:jc w:val="center"/>
              <w:rPr>
                <w:rFonts w:ascii="宋体" w:hAnsi="宋体" w:cs="宋体"/>
                <w:b/>
                <w:color w:val="auto"/>
                <w:kern w:val="0"/>
                <w:sz w:val="32"/>
                <w:szCs w:val="32"/>
                <w:highlight w:val="none"/>
              </w:rPr>
            </w:pPr>
          </w:p>
        </w:tc>
        <w:tc>
          <w:tcPr>
            <w:tcW w:w="1276" w:type="dxa"/>
          </w:tcPr>
          <w:p w14:paraId="597B011D">
            <w:pPr>
              <w:jc w:val="center"/>
              <w:rPr>
                <w:rFonts w:ascii="宋体" w:hAnsi="宋体" w:cs="宋体"/>
                <w:b/>
                <w:color w:val="auto"/>
                <w:kern w:val="0"/>
                <w:sz w:val="32"/>
                <w:szCs w:val="32"/>
                <w:highlight w:val="none"/>
              </w:rPr>
            </w:pPr>
          </w:p>
        </w:tc>
      </w:tr>
      <w:tr w14:paraId="5859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BC2166">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704695B">
            <w:pPr>
              <w:jc w:val="center"/>
              <w:rPr>
                <w:rFonts w:ascii="宋体" w:hAnsi="宋体" w:cs="宋体"/>
                <w:b/>
                <w:color w:val="auto"/>
                <w:kern w:val="0"/>
                <w:sz w:val="32"/>
                <w:szCs w:val="32"/>
                <w:highlight w:val="none"/>
              </w:rPr>
            </w:pPr>
          </w:p>
        </w:tc>
        <w:tc>
          <w:tcPr>
            <w:tcW w:w="3546" w:type="dxa"/>
          </w:tcPr>
          <w:p w14:paraId="1AECB70E">
            <w:pPr>
              <w:jc w:val="center"/>
              <w:rPr>
                <w:rFonts w:ascii="宋体" w:hAnsi="宋体" w:cs="宋体"/>
                <w:b/>
                <w:color w:val="auto"/>
                <w:kern w:val="0"/>
                <w:sz w:val="32"/>
                <w:szCs w:val="32"/>
                <w:highlight w:val="none"/>
              </w:rPr>
            </w:pPr>
          </w:p>
        </w:tc>
        <w:tc>
          <w:tcPr>
            <w:tcW w:w="1276" w:type="dxa"/>
          </w:tcPr>
          <w:p w14:paraId="1E7EF4BF">
            <w:pPr>
              <w:jc w:val="center"/>
              <w:rPr>
                <w:rFonts w:ascii="宋体" w:hAnsi="宋体" w:cs="宋体"/>
                <w:b/>
                <w:color w:val="auto"/>
                <w:kern w:val="0"/>
                <w:sz w:val="32"/>
                <w:szCs w:val="32"/>
                <w:highlight w:val="none"/>
              </w:rPr>
            </w:pPr>
          </w:p>
        </w:tc>
      </w:tr>
    </w:tbl>
    <w:p w14:paraId="78557611">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274AF40">
      <w:pPr>
        <w:spacing w:line="360" w:lineRule="auto"/>
        <w:ind w:firstLine="3600" w:firstLineChars="1500"/>
        <w:rPr>
          <w:rFonts w:ascii="宋体" w:hAnsi="宋体" w:cs="宋体"/>
          <w:color w:val="auto"/>
          <w:sz w:val="24"/>
          <w:highlight w:val="none"/>
        </w:rPr>
      </w:pPr>
    </w:p>
    <w:p w14:paraId="0003B522">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387F19B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11A952A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CC30143">
      <w:pPr>
        <w:jc w:val="center"/>
        <w:rPr>
          <w:rFonts w:ascii="宋体" w:hAnsi="宋体" w:cs="宋体"/>
          <w:b/>
          <w:color w:val="auto"/>
          <w:kern w:val="0"/>
          <w:sz w:val="32"/>
          <w:szCs w:val="32"/>
          <w:highlight w:val="none"/>
        </w:rPr>
      </w:pPr>
    </w:p>
    <w:p w14:paraId="698CA65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991145A">
      <w:pPr>
        <w:ind w:firstLine="1911" w:firstLineChars="595"/>
        <w:rPr>
          <w:rFonts w:ascii="宋体" w:hAnsi="宋体" w:cs="宋体"/>
          <w:b/>
          <w:bCs/>
          <w:color w:val="auto"/>
          <w:sz w:val="32"/>
          <w:szCs w:val="32"/>
          <w:highlight w:val="none"/>
        </w:rPr>
      </w:pPr>
    </w:p>
    <w:p w14:paraId="411F6341">
      <w:pPr>
        <w:ind w:firstLine="1911" w:firstLineChars="595"/>
        <w:rPr>
          <w:rFonts w:ascii="宋体" w:hAnsi="宋体" w:cs="宋体"/>
          <w:b/>
          <w:bCs/>
          <w:color w:val="auto"/>
          <w:sz w:val="32"/>
          <w:szCs w:val="32"/>
          <w:highlight w:val="none"/>
        </w:rPr>
      </w:pPr>
    </w:p>
    <w:p w14:paraId="621EE6AA">
      <w:pPr>
        <w:ind w:firstLine="1911" w:firstLineChars="595"/>
        <w:rPr>
          <w:rFonts w:ascii="宋体" w:hAnsi="宋体" w:cs="宋体"/>
          <w:b/>
          <w:bCs/>
          <w:color w:val="auto"/>
          <w:sz w:val="32"/>
          <w:szCs w:val="32"/>
          <w:highlight w:val="none"/>
        </w:rPr>
      </w:pPr>
    </w:p>
    <w:p w14:paraId="43C83916">
      <w:pPr>
        <w:ind w:firstLine="1911" w:firstLineChars="595"/>
        <w:rPr>
          <w:rFonts w:ascii="宋体" w:hAnsi="宋体" w:cs="宋体"/>
          <w:b/>
          <w:bCs/>
          <w:color w:val="auto"/>
          <w:sz w:val="32"/>
          <w:szCs w:val="32"/>
          <w:highlight w:val="none"/>
        </w:rPr>
      </w:pPr>
    </w:p>
    <w:p w14:paraId="72D2CB8E">
      <w:pPr>
        <w:widowControl/>
        <w:adjustRightInd/>
        <w:jc w:val="left"/>
        <w:rPr>
          <w:rFonts w:ascii="宋体" w:hAnsi="宋体" w:cs="宋体"/>
          <w:b/>
          <w:bCs/>
          <w:color w:val="auto"/>
          <w:sz w:val="32"/>
          <w:szCs w:val="32"/>
          <w:highlight w:val="none"/>
        </w:rPr>
      </w:pPr>
    </w:p>
    <w:p w14:paraId="2C4DE63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E803D4D">
      <w:pPr>
        <w:snapToGrid w:val="0"/>
        <w:spacing w:line="360" w:lineRule="auto"/>
        <w:rPr>
          <w:rFonts w:ascii="宋体" w:hAnsi="宋体" w:cs="宋体"/>
          <w:color w:val="auto"/>
          <w:sz w:val="24"/>
          <w:highlight w:val="none"/>
        </w:rPr>
      </w:pPr>
    </w:p>
    <w:p w14:paraId="544CA99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1D5176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EA6E06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190C2C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BD40BC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20917B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FD67DC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394D1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873EAC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1066902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80F851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1AE4C1B">
      <w:pPr>
        <w:autoSpaceDE w:val="0"/>
        <w:autoSpaceDN w:val="0"/>
        <w:spacing w:line="360" w:lineRule="auto"/>
        <w:ind w:left="2"/>
        <w:jc w:val="left"/>
        <w:rPr>
          <w:rFonts w:ascii="宋体" w:hAnsi="宋体" w:cs="宋体"/>
          <w:color w:val="auto"/>
          <w:kern w:val="0"/>
          <w:sz w:val="24"/>
          <w:highlight w:val="none"/>
          <w:lang w:val="zh-CN"/>
        </w:rPr>
      </w:pPr>
    </w:p>
    <w:p w14:paraId="643D859E">
      <w:pPr>
        <w:autoSpaceDE w:val="0"/>
        <w:autoSpaceDN w:val="0"/>
        <w:spacing w:line="360" w:lineRule="auto"/>
        <w:ind w:left="2"/>
        <w:jc w:val="left"/>
        <w:rPr>
          <w:rFonts w:ascii="宋体" w:hAnsi="宋体" w:cs="宋体"/>
          <w:color w:val="auto"/>
          <w:kern w:val="0"/>
          <w:sz w:val="24"/>
          <w:highlight w:val="none"/>
          <w:lang w:val="zh-CN"/>
        </w:rPr>
      </w:pPr>
    </w:p>
    <w:p w14:paraId="29B4E6A0">
      <w:pPr>
        <w:autoSpaceDE w:val="0"/>
        <w:autoSpaceDN w:val="0"/>
        <w:spacing w:line="360" w:lineRule="auto"/>
        <w:ind w:left="2"/>
        <w:jc w:val="left"/>
        <w:rPr>
          <w:rFonts w:ascii="宋体" w:hAnsi="宋体" w:cs="宋体"/>
          <w:color w:val="auto"/>
          <w:kern w:val="0"/>
          <w:sz w:val="24"/>
          <w:highlight w:val="none"/>
          <w:lang w:val="zh-CN"/>
        </w:rPr>
      </w:pPr>
    </w:p>
    <w:p w14:paraId="54A7F4D8">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4618A2A2">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2D4E1C6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38F5670">
      <w:pPr>
        <w:spacing w:line="360" w:lineRule="auto"/>
        <w:ind w:left="4620" w:leftChars="2200"/>
        <w:rPr>
          <w:rFonts w:ascii="宋体" w:hAnsi="宋体" w:cs="宋体"/>
          <w:color w:val="auto"/>
          <w:sz w:val="24"/>
          <w:highlight w:val="none"/>
        </w:rPr>
      </w:pPr>
    </w:p>
    <w:p w14:paraId="0215106D">
      <w:pPr>
        <w:spacing w:line="360" w:lineRule="auto"/>
        <w:jc w:val="center"/>
        <w:rPr>
          <w:rFonts w:ascii="宋体" w:hAnsi="宋体" w:cs="宋体"/>
          <w:b/>
          <w:bCs/>
          <w:color w:val="auto"/>
          <w:sz w:val="24"/>
          <w:highlight w:val="none"/>
        </w:rPr>
      </w:pPr>
    </w:p>
    <w:p w14:paraId="47381F8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B1C0EBC">
      <w:pPr>
        <w:ind w:firstLine="1911" w:firstLineChars="595"/>
        <w:jc w:val="center"/>
        <w:rPr>
          <w:rFonts w:ascii="宋体" w:hAnsi="宋体" w:cs="宋体"/>
          <w:b/>
          <w:bCs/>
          <w:color w:val="auto"/>
          <w:sz w:val="32"/>
          <w:szCs w:val="32"/>
          <w:highlight w:val="none"/>
        </w:rPr>
      </w:pPr>
    </w:p>
    <w:p w14:paraId="0395C1B0">
      <w:pPr>
        <w:ind w:firstLine="1911" w:firstLineChars="595"/>
        <w:jc w:val="center"/>
        <w:rPr>
          <w:rFonts w:ascii="宋体" w:hAnsi="宋体" w:cs="宋体"/>
          <w:b/>
          <w:bCs/>
          <w:color w:val="auto"/>
          <w:sz w:val="32"/>
          <w:szCs w:val="32"/>
          <w:highlight w:val="none"/>
        </w:rPr>
      </w:pPr>
    </w:p>
    <w:p w14:paraId="7F903840">
      <w:pPr>
        <w:jc w:val="center"/>
        <w:rPr>
          <w:rFonts w:ascii="宋体" w:hAnsi="宋体" w:cs="宋体"/>
          <w:b/>
          <w:color w:val="auto"/>
          <w:kern w:val="0"/>
          <w:sz w:val="32"/>
          <w:szCs w:val="21"/>
          <w:highlight w:val="none"/>
        </w:rPr>
      </w:pPr>
      <w:r>
        <w:rPr>
          <w:rFonts w:hint="eastAsia" w:ascii="宋体" w:hAnsi="宋体" w:cs="宋体"/>
          <w:b/>
          <w:bCs/>
          <w:color w:val="auto"/>
          <w:sz w:val="32"/>
          <w:szCs w:val="32"/>
          <w:highlight w:val="none"/>
        </w:rPr>
        <w:t>九</w:t>
      </w:r>
      <w:r>
        <w:rPr>
          <w:rFonts w:hint="eastAsia" w:ascii="宋体" w:hAnsi="宋体" w:cs="宋体"/>
          <w:b/>
          <w:color w:val="auto"/>
          <w:kern w:val="0"/>
          <w:sz w:val="32"/>
          <w:szCs w:val="32"/>
          <w:highlight w:val="none"/>
        </w:rPr>
        <w:t>、</w:t>
      </w:r>
      <w:r>
        <w:rPr>
          <w:rFonts w:hint="eastAsia" w:ascii="宋体" w:hAnsi="宋体" w:cs="宋体"/>
          <w:b/>
          <w:color w:val="auto"/>
          <w:kern w:val="0"/>
          <w:sz w:val="32"/>
          <w:szCs w:val="21"/>
          <w:highlight w:val="none"/>
        </w:rPr>
        <w:t>承诺函</w:t>
      </w:r>
    </w:p>
    <w:p w14:paraId="724A8FB5">
      <w:pPr>
        <w:widowControl/>
        <w:adjustRightInd/>
        <w:ind w:firstLine="640" w:firstLineChars="200"/>
        <w:jc w:val="left"/>
        <w:rPr>
          <w:rFonts w:ascii="宋体" w:hAnsi="宋体" w:cs="宋体"/>
          <w:color w:val="auto"/>
          <w:kern w:val="0"/>
          <w:sz w:val="32"/>
          <w:szCs w:val="21"/>
          <w:highlight w:val="none"/>
        </w:rPr>
      </w:pPr>
    </w:p>
    <w:p w14:paraId="483A115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3433431">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我方作为本次采购项目的投标人，根据招标文件要求，现郑重承诺如下：</w:t>
      </w:r>
    </w:p>
    <w:p w14:paraId="69BD5527">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14:paraId="58363858">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二、参加本次招标采购活动，不存在与单位负责人为同一人或者存在直接控股、管理关系的其他供应商参与同一合同项下的政府采购活动的行为。</w:t>
      </w:r>
    </w:p>
    <w:p w14:paraId="44270828">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三、为采购项目提供整体设计、规范编制或者项目管理、监理、检测等服务的供应商，不得再参加该采购项目的其他采购活动，我方承诺不属于此类禁止参加本项目的供应商。</w:t>
      </w:r>
    </w:p>
    <w:p w14:paraId="3E230985">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四、参加本次招标采购活动，不存在和其他供应商在同一合同项下的采购项目中，同时委托同一个自然人、同一家庭的人员、同一单位的人员作为代理人的行为。</w:t>
      </w:r>
    </w:p>
    <w:p w14:paraId="5D0F719D">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五、投标文件中提供的能够给予我方带来优惠、好处的任何材料资料和技术、服务、商务、响应产品等响应承诺情况都是真实的、有效的、合法的。</w:t>
      </w:r>
    </w:p>
    <w:p w14:paraId="4C4DB542">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14:paraId="2CF98029">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七、国家或行业主管部门对采购产品的技术标准、质量标准和资格资质条件等有强制性规定的，我方承诺符合其要求。</w:t>
      </w:r>
    </w:p>
    <w:p w14:paraId="0B95DCBC">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八、参加本次招标采购活动，我方完全同意招标文件第二部分关于“投标费用”、“合同分包”、“合同转包”、“履约保证金”的实质性要求，并承诺严格按照招标文件要求履行。</w:t>
      </w:r>
    </w:p>
    <w:p w14:paraId="50594570">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01A54DD5">
      <w:pPr>
        <w:widowControl/>
        <w:adjustRightInd/>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我方对上述承诺的内容事项真实性负责。如经查实上述承诺的内容事项存在虚假，我方愿意接受以提供虚假材料谋取中标追究法律责任。</w:t>
      </w:r>
    </w:p>
    <w:p w14:paraId="6C3F724F">
      <w:pPr>
        <w:widowControl/>
        <w:adjustRightInd/>
        <w:spacing w:line="360" w:lineRule="auto"/>
        <w:ind w:firstLine="480" w:firstLineChars="200"/>
        <w:jc w:val="left"/>
        <w:rPr>
          <w:rFonts w:ascii="宋体" w:hAnsi="宋体" w:cs="宋体"/>
          <w:color w:val="auto"/>
          <w:kern w:val="0"/>
          <w:sz w:val="24"/>
          <w:highlight w:val="none"/>
        </w:rPr>
      </w:pPr>
    </w:p>
    <w:p w14:paraId="6FF86FA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投标人名称（公章）：</w:t>
      </w:r>
    </w:p>
    <w:p w14:paraId="6D2AE470">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67C80C9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A613D91">
      <w:pPr>
        <w:spacing w:line="360" w:lineRule="auto"/>
        <w:jc w:val="center"/>
        <w:rPr>
          <w:rFonts w:ascii="宋体" w:hAnsi="宋体" w:cs="宋体"/>
          <w:b/>
          <w:bCs/>
          <w:color w:val="auto"/>
          <w:sz w:val="24"/>
          <w:highlight w:val="none"/>
        </w:rPr>
      </w:pPr>
    </w:p>
    <w:p w14:paraId="02A5FFF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8264714">
      <w:pPr>
        <w:rPr>
          <w:rFonts w:ascii="宋体" w:hAnsi="宋体" w:cs="宋体"/>
          <w:b/>
          <w:bCs/>
          <w:color w:val="auto"/>
          <w:sz w:val="24"/>
          <w:highlight w:val="none"/>
        </w:rPr>
      </w:pPr>
      <w:r>
        <w:rPr>
          <w:rFonts w:ascii="宋体" w:hAnsi="宋体" w:cs="宋体"/>
          <w:b/>
          <w:bCs/>
          <w:color w:val="auto"/>
          <w:sz w:val="24"/>
          <w:highlight w:val="none"/>
        </w:rPr>
        <w:br w:type="page"/>
      </w:r>
    </w:p>
    <w:p w14:paraId="2EE6766A">
      <w:p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十、除招标文件规定必须提供以外，投标人认为需要提供的其他证明材料</w:t>
      </w:r>
    </w:p>
    <w:p w14:paraId="4AF02335">
      <w:pPr>
        <w:widowControl w:val="0"/>
        <w:numPr>
          <w:ilvl w:val="0"/>
          <w:numId w:val="0"/>
        </w:numPr>
        <w:adjustRightInd w:val="0"/>
        <w:spacing w:line="360" w:lineRule="auto"/>
        <w:jc w:val="both"/>
        <w:rPr>
          <w:rFonts w:hint="eastAsia" w:ascii="宋体" w:hAnsi="宋体" w:cs="宋体"/>
          <w:b/>
          <w:bCs/>
          <w:color w:val="auto"/>
          <w:sz w:val="24"/>
          <w:highlight w:val="none"/>
          <w:lang w:val="en-US" w:eastAsia="zh-CN"/>
        </w:rPr>
      </w:pPr>
    </w:p>
    <w:p w14:paraId="7ECB7780">
      <w:pPr>
        <w:widowControl w:val="0"/>
        <w:numPr>
          <w:ilvl w:val="0"/>
          <w:numId w:val="0"/>
        </w:numPr>
        <w:adjustRightInd w:val="0"/>
        <w:spacing w:line="360" w:lineRule="auto"/>
        <w:jc w:val="both"/>
        <w:rPr>
          <w:rFonts w:hint="eastAsia" w:ascii="宋体" w:hAnsi="宋体" w:cs="宋体"/>
          <w:b/>
          <w:bCs/>
          <w:color w:val="auto"/>
          <w:sz w:val="24"/>
          <w:highlight w:val="none"/>
          <w:lang w:val="en-US" w:eastAsia="zh-CN"/>
        </w:rPr>
      </w:pPr>
    </w:p>
    <w:p w14:paraId="6B8DA08E">
      <w:pPr>
        <w:pStyle w:val="3"/>
        <w:rPr>
          <w:color w:val="auto"/>
          <w:highlight w:val="none"/>
          <w:lang w:val="en-US"/>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4C50AC1">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032D6C3">
      <w:pPr>
        <w:spacing w:line="360" w:lineRule="auto"/>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3CE2BB7">
      <w:pPr>
        <w:spacing w:line="360" w:lineRule="auto"/>
        <w:jc w:val="center"/>
        <w:rPr>
          <w:rFonts w:ascii="宋体" w:hAnsi="宋体" w:cs="宋体"/>
          <w:b/>
          <w:color w:val="auto"/>
          <w:kern w:val="0"/>
          <w:sz w:val="36"/>
          <w:szCs w:val="36"/>
          <w:highlight w:val="none"/>
        </w:rPr>
      </w:pPr>
    </w:p>
    <w:p w14:paraId="7948A0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7B08998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1E7BF01B">
      <w:pPr>
        <w:snapToGrid w:val="0"/>
        <w:spacing w:line="360" w:lineRule="auto"/>
        <w:ind w:right="480"/>
        <w:jc w:val="center"/>
        <w:rPr>
          <w:rFonts w:ascii="宋体" w:hAnsi="宋体" w:cs="宋体"/>
          <w:b/>
          <w:color w:val="auto"/>
          <w:kern w:val="0"/>
          <w:sz w:val="32"/>
          <w:szCs w:val="32"/>
          <w:highlight w:val="none"/>
        </w:rPr>
      </w:pPr>
    </w:p>
    <w:p w14:paraId="260A1639">
      <w:pPr>
        <w:snapToGrid w:val="0"/>
        <w:spacing w:line="360" w:lineRule="auto"/>
        <w:ind w:right="480"/>
        <w:jc w:val="center"/>
        <w:rPr>
          <w:rFonts w:ascii="宋体" w:hAnsi="宋体" w:cs="宋体"/>
          <w:b/>
          <w:color w:val="auto"/>
          <w:kern w:val="0"/>
          <w:sz w:val="32"/>
          <w:szCs w:val="32"/>
          <w:highlight w:val="none"/>
        </w:rPr>
      </w:pPr>
    </w:p>
    <w:p w14:paraId="3EE078D0">
      <w:pPr>
        <w:snapToGrid w:val="0"/>
        <w:spacing w:line="360" w:lineRule="auto"/>
        <w:ind w:right="480"/>
        <w:jc w:val="center"/>
        <w:rPr>
          <w:rFonts w:ascii="宋体" w:hAnsi="宋体" w:cs="宋体"/>
          <w:b/>
          <w:color w:val="auto"/>
          <w:kern w:val="0"/>
          <w:sz w:val="32"/>
          <w:szCs w:val="32"/>
          <w:highlight w:val="none"/>
        </w:rPr>
      </w:pPr>
    </w:p>
    <w:p w14:paraId="3DD48AFB">
      <w:pPr>
        <w:snapToGrid w:val="0"/>
        <w:spacing w:line="360" w:lineRule="auto"/>
        <w:ind w:right="480"/>
        <w:jc w:val="center"/>
        <w:rPr>
          <w:rFonts w:ascii="宋体" w:hAnsi="宋体" w:cs="宋体"/>
          <w:b/>
          <w:color w:val="auto"/>
          <w:kern w:val="0"/>
          <w:sz w:val="32"/>
          <w:szCs w:val="32"/>
          <w:highlight w:val="none"/>
        </w:rPr>
      </w:pPr>
    </w:p>
    <w:p w14:paraId="3DFEFFF2">
      <w:pPr>
        <w:snapToGrid w:val="0"/>
        <w:spacing w:line="360" w:lineRule="auto"/>
        <w:ind w:right="480"/>
        <w:jc w:val="center"/>
        <w:rPr>
          <w:rFonts w:ascii="宋体" w:hAnsi="宋体" w:cs="宋体"/>
          <w:b/>
          <w:color w:val="auto"/>
          <w:kern w:val="0"/>
          <w:sz w:val="32"/>
          <w:szCs w:val="32"/>
          <w:highlight w:val="none"/>
        </w:rPr>
      </w:pPr>
    </w:p>
    <w:p w14:paraId="6F8C0738">
      <w:pPr>
        <w:snapToGrid w:val="0"/>
        <w:spacing w:line="360" w:lineRule="auto"/>
        <w:ind w:right="480"/>
        <w:jc w:val="center"/>
        <w:rPr>
          <w:rFonts w:ascii="宋体" w:hAnsi="宋体" w:cs="宋体"/>
          <w:b/>
          <w:color w:val="auto"/>
          <w:kern w:val="0"/>
          <w:sz w:val="32"/>
          <w:szCs w:val="32"/>
          <w:highlight w:val="none"/>
        </w:rPr>
      </w:pPr>
    </w:p>
    <w:p w14:paraId="32394595">
      <w:pPr>
        <w:snapToGrid w:val="0"/>
        <w:spacing w:line="360" w:lineRule="auto"/>
        <w:ind w:right="480"/>
        <w:jc w:val="center"/>
        <w:rPr>
          <w:rFonts w:ascii="宋体" w:hAnsi="宋体" w:cs="宋体"/>
          <w:b/>
          <w:color w:val="auto"/>
          <w:kern w:val="0"/>
          <w:sz w:val="32"/>
          <w:szCs w:val="32"/>
          <w:highlight w:val="none"/>
        </w:rPr>
      </w:pPr>
    </w:p>
    <w:p w14:paraId="09BC7549">
      <w:pPr>
        <w:snapToGrid w:val="0"/>
        <w:spacing w:line="360" w:lineRule="auto"/>
        <w:ind w:right="480"/>
        <w:jc w:val="center"/>
        <w:rPr>
          <w:rFonts w:ascii="宋体" w:hAnsi="宋体" w:cs="宋体"/>
          <w:b/>
          <w:color w:val="auto"/>
          <w:kern w:val="0"/>
          <w:sz w:val="32"/>
          <w:szCs w:val="32"/>
          <w:highlight w:val="none"/>
        </w:rPr>
      </w:pPr>
    </w:p>
    <w:p w14:paraId="6E8E95AD">
      <w:pPr>
        <w:snapToGrid w:val="0"/>
        <w:spacing w:line="360" w:lineRule="auto"/>
        <w:ind w:right="480"/>
        <w:jc w:val="center"/>
        <w:rPr>
          <w:rFonts w:ascii="宋体" w:hAnsi="宋体" w:cs="宋体"/>
          <w:b/>
          <w:color w:val="auto"/>
          <w:kern w:val="0"/>
          <w:sz w:val="32"/>
          <w:szCs w:val="32"/>
          <w:highlight w:val="none"/>
        </w:rPr>
      </w:pPr>
    </w:p>
    <w:p w14:paraId="07DDF7EC">
      <w:pPr>
        <w:snapToGrid w:val="0"/>
        <w:spacing w:line="360" w:lineRule="auto"/>
        <w:ind w:right="480"/>
        <w:jc w:val="center"/>
        <w:rPr>
          <w:rFonts w:ascii="宋体" w:hAnsi="宋体" w:cs="宋体"/>
          <w:b/>
          <w:color w:val="auto"/>
          <w:kern w:val="0"/>
          <w:sz w:val="32"/>
          <w:szCs w:val="32"/>
          <w:highlight w:val="none"/>
        </w:rPr>
      </w:pPr>
    </w:p>
    <w:p w14:paraId="0F37547E">
      <w:pPr>
        <w:snapToGrid w:val="0"/>
        <w:spacing w:line="360" w:lineRule="auto"/>
        <w:ind w:right="480"/>
        <w:jc w:val="center"/>
        <w:rPr>
          <w:rFonts w:ascii="宋体" w:hAnsi="宋体" w:cs="宋体"/>
          <w:b/>
          <w:color w:val="auto"/>
          <w:kern w:val="0"/>
          <w:sz w:val="32"/>
          <w:szCs w:val="32"/>
          <w:highlight w:val="none"/>
        </w:rPr>
      </w:pPr>
    </w:p>
    <w:p w14:paraId="76F0ECCD">
      <w:pPr>
        <w:snapToGrid w:val="0"/>
        <w:spacing w:line="360" w:lineRule="auto"/>
        <w:ind w:right="480"/>
        <w:jc w:val="center"/>
        <w:rPr>
          <w:rFonts w:ascii="宋体" w:hAnsi="宋体" w:cs="宋体"/>
          <w:b/>
          <w:color w:val="auto"/>
          <w:kern w:val="0"/>
          <w:sz w:val="32"/>
          <w:szCs w:val="32"/>
          <w:highlight w:val="none"/>
        </w:rPr>
      </w:pPr>
    </w:p>
    <w:p w14:paraId="25C4BE6C">
      <w:pPr>
        <w:snapToGrid w:val="0"/>
        <w:spacing w:line="360" w:lineRule="auto"/>
        <w:ind w:right="480"/>
        <w:jc w:val="center"/>
        <w:rPr>
          <w:rFonts w:ascii="宋体" w:hAnsi="宋体" w:cs="宋体"/>
          <w:b/>
          <w:color w:val="auto"/>
          <w:kern w:val="0"/>
          <w:sz w:val="32"/>
          <w:szCs w:val="32"/>
          <w:highlight w:val="none"/>
        </w:rPr>
      </w:pPr>
    </w:p>
    <w:p w14:paraId="387DE98F">
      <w:pPr>
        <w:snapToGrid w:val="0"/>
        <w:spacing w:line="360" w:lineRule="auto"/>
        <w:ind w:right="480"/>
        <w:jc w:val="center"/>
        <w:rPr>
          <w:rFonts w:ascii="宋体" w:hAnsi="宋体" w:cs="宋体"/>
          <w:b/>
          <w:color w:val="auto"/>
          <w:kern w:val="0"/>
          <w:sz w:val="32"/>
          <w:szCs w:val="32"/>
          <w:highlight w:val="none"/>
        </w:rPr>
      </w:pPr>
    </w:p>
    <w:p w14:paraId="5426A02A">
      <w:pPr>
        <w:snapToGrid w:val="0"/>
        <w:spacing w:line="360" w:lineRule="auto"/>
        <w:ind w:right="480"/>
        <w:jc w:val="center"/>
        <w:rPr>
          <w:rFonts w:ascii="宋体" w:hAnsi="宋体" w:cs="宋体"/>
          <w:b/>
          <w:color w:val="auto"/>
          <w:kern w:val="0"/>
          <w:sz w:val="32"/>
          <w:szCs w:val="32"/>
          <w:highlight w:val="none"/>
        </w:rPr>
      </w:pPr>
    </w:p>
    <w:p w14:paraId="259A6A6B">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E85FEFB">
      <w:pPr>
        <w:pStyle w:val="84"/>
        <w:jc w:val="center"/>
        <w:rPr>
          <w:b/>
          <w:color w:val="auto"/>
          <w:sz w:val="32"/>
          <w:szCs w:val="32"/>
          <w:highlight w:val="none"/>
        </w:rPr>
      </w:pPr>
      <w:bookmarkStart w:id="477" w:name="_Toc176185127"/>
      <w:r>
        <w:rPr>
          <w:rFonts w:hint="eastAsia"/>
          <w:b/>
          <w:color w:val="auto"/>
          <w:sz w:val="32"/>
          <w:szCs w:val="32"/>
          <w:highlight w:val="none"/>
        </w:rPr>
        <w:t>一、开标一览表（报价表）</w:t>
      </w:r>
      <w:bookmarkEnd w:id="477"/>
    </w:p>
    <w:p w14:paraId="5D21E74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4157F87">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0DCDF15F">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DBD5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14:paraId="2151BAC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28AD4E4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vAlign w:val="center"/>
          </w:tcPr>
          <w:p w14:paraId="7EAEF17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生产厂家、</w:t>
            </w:r>
          </w:p>
          <w:p w14:paraId="316D8E1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37A7C80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1C3F89B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25243BE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4F434C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D8BF447">
            <w:pPr>
              <w:spacing w:line="360" w:lineRule="auto"/>
              <w:jc w:val="center"/>
              <w:rPr>
                <w:rFonts w:ascii="宋体" w:hAnsi="宋体" w:cs="宋体"/>
                <w:b/>
                <w:color w:val="auto"/>
                <w:sz w:val="24"/>
                <w:highlight w:val="none"/>
              </w:rPr>
            </w:pPr>
          </w:p>
          <w:p w14:paraId="6DA0B2D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FC3C6BD">
            <w:pPr>
              <w:spacing w:line="360" w:lineRule="auto"/>
              <w:jc w:val="center"/>
              <w:rPr>
                <w:rFonts w:ascii="宋体" w:hAnsi="宋体" w:cs="宋体"/>
                <w:b/>
                <w:color w:val="auto"/>
                <w:sz w:val="24"/>
                <w:highlight w:val="none"/>
              </w:rPr>
            </w:pPr>
          </w:p>
        </w:tc>
      </w:tr>
      <w:tr w14:paraId="66AF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358E390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E3B7BC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66F61AC5">
            <w:pPr>
              <w:snapToGrid w:val="0"/>
              <w:spacing w:line="360" w:lineRule="auto"/>
              <w:jc w:val="center"/>
              <w:rPr>
                <w:rFonts w:ascii="宋体" w:hAnsi="宋体" w:cs="宋体"/>
                <w:color w:val="auto"/>
                <w:sz w:val="24"/>
                <w:highlight w:val="none"/>
              </w:rPr>
            </w:pPr>
          </w:p>
        </w:tc>
        <w:tc>
          <w:tcPr>
            <w:tcW w:w="3118" w:type="dxa"/>
            <w:vAlign w:val="center"/>
          </w:tcPr>
          <w:p w14:paraId="419EC57A">
            <w:pPr>
              <w:snapToGrid w:val="0"/>
              <w:spacing w:line="360" w:lineRule="auto"/>
              <w:jc w:val="center"/>
              <w:rPr>
                <w:rFonts w:ascii="宋体" w:hAnsi="宋体" w:cs="宋体"/>
                <w:color w:val="auto"/>
                <w:sz w:val="24"/>
                <w:highlight w:val="none"/>
              </w:rPr>
            </w:pPr>
          </w:p>
        </w:tc>
        <w:tc>
          <w:tcPr>
            <w:tcW w:w="993" w:type="dxa"/>
            <w:vAlign w:val="center"/>
          </w:tcPr>
          <w:p w14:paraId="5F9399DF">
            <w:pPr>
              <w:snapToGrid w:val="0"/>
              <w:spacing w:line="360" w:lineRule="auto"/>
              <w:jc w:val="center"/>
              <w:rPr>
                <w:rFonts w:ascii="宋体" w:hAnsi="宋体" w:cs="宋体"/>
                <w:color w:val="auto"/>
                <w:sz w:val="24"/>
                <w:highlight w:val="none"/>
              </w:rPr>
            </w:pPr>
          </w:p>
        </w:tc>
        <w:tc>
          <w:tcPr>
            <w:tcW w:w="1559" w:type="dxa"/>
            <w:vAlign w:val="center"/>
          </w:tcPr>
          <w:p w14:paraId="730588DB">
            <w:pPr>
              <w:spacing w:line="360" w:lineRule="auto"/>
              <w:jc w:val="center"/>
              <w:rPr>
                <w:rFonts w:ascii="宋体" w:hAnsi="宋体" w:cs="宋体"/>
                <w:color w:val="auto"/>
                <w:sz w:val="24"/>
                <w:highlight w:val="none"/>
              </w:rPr>
            </w:pPr>
          </w:p>
        </w:tc>
        <w:tc>
          <w:tcPr>
            <w:tcW w:w="1984" w:type="dxa"/>
            <w:vAlign w:val="center"/>
          </w:tcPr>
          <w:p w14:paraId="5DB37DD3">
            <w:pPr>
              <w:spacing w:line="360" w:lineRule="auto"/>
              <w:jc w:val="center"/>
              <w:rPr>
                <w:rFonts w:ascii="宋体" w:hAnsi="宋体" w:cs="宋体"/>
                <w:color w:val="auto"/>
                <w:sz w:val="24"/>
                <w:highlight w:val="none"/>
              </w:rPr>
            </w:pPr>
          </w:p>
        </w:tc>
        <w:tc>
          <w:tcPr>
            <w:tcW w:w="3119" w:type="dxa"/>
            <w:vAlign w:val="center"/>
          </w:tcPr>
          <w:p w14:paraId="327500B4">
            <w:pPr>
              <w:spacing w:line="360" w:lineRule="auto"/>
              <w:jc w:val="center"/>
              <w:rPr>
                <w:rFonts w:ascii="宋体" w:hAnsi="宋体" w:cs="宋体"/>
                <w:color w:val="auto"/>
                <w:sz w:val="24"/>
                <w:highlight w:val="none"/>
              </w:rPr>
            </w:pPr>
          </w:p>
        </w:tc>
      </w:tr>
      <w:tr w14:paraId="6986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4A15D51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077496D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463B505">
            <w:pPr>
              <w:snapToGrid w:val="0"/>
              <w:spacing w:line="360" w:lineRule="auto"/>
              <w:jc w:val="center"/>
              <w:rPr>
                <w:rFonts w:ascii="宋体" w:hAnsi="宋体" w:cs="宋体"/>
                <w:color w:val="auto"/>
                <w:sz w:val="24"/>
                <w:highlight w:val="none"/>
              </w:rPr>
            </w:pPr>
          </w:p>
        </w:tc>
        <w:tc>
          <w:tcPr>
            <w:tcW w:w="3118" w:type="dxa"/>
            <w:vAlign w:val="center"/>
          </w:tcPr>
          <w:p w14:paraId="0CD54C66">
            <w:pPr>
              <w:snapToGrid w:val="0"/>
              <w:spacing w:line="360" w:lineRule="auto"/>
              <w:jc w:val="center"/>
              <w:rPr>
                <w:rFonts w:ascii="宋体" w:hAnsi="宋体" w:cs="宋体"/>
                <w:color w:val="auto"/>
                <w:sz w:val="24"/>
                <w:highlight w:val="none"/>
              </w:rPr>
            </w:pPr>
          </w:p>
        </w:tc>
        <w:tc>
          <w:tcPr>
            <w:tcW w:w="993" w:type="dxa"/>
            <w:vAlign w:val="center"/>
          </w:tcPr>
          <w:p w14:paraId="7A33C6CF">
            <w:pPr>
              <w:snapToGrid w:val="0"/>
              <w:spacing w:line="360" w:lineRule="auto"/>
              <w:jc w:val="center"/>
              <w:rPr>
                <w:rFonts w:ascii="宋体" w:hAnsi="宋体" w:cs="宋体"/>
                <w:color w:val="auto"/>
                <w:sz w:val="24"/>
                <w:highlight w:val="none"/>
              </w:rPr>
            </w:pPr>
          </w:p>
        </w:tc>
        <w:tc>
          <w:tcPr>
            <w:tcW w:w="1559" w:type="dxa"/>
            <w:vAlign w:val="center"/>
          </w:tcPr>
          <w:p w14:paraId="48F46123">
            <w:pPr>
              <w:spacing w:line="360" w:lineRule="auto"/>
              <w:jc w:val="center"/>
              <w:rPr>
                <w:rFonts w:ascii="宋体" w:hAnsi="宋体" w:cs="宋体"/>
                <w:color w:val="auto"/>
                <w:sz w:val="24"/>
                <w:highlight w:val="none"/>
              </w:rPr>
            </w:pPr>
          </w:p>
        </w:tc>
        <w:tc>
          <w:tcPr>
            <w:tcW w:w="1984" w:type="dxa"/>
            <w:vAlign w:val="center"/>
          </w:tcPr>
          <w:p w14:paraId="0389F80C">
            <w:pPr>
              <w:spacing w:line="360" w:lineRule="auto"/>
              <w:jc w:val="center"/>
              <w:rPr>
                <w:rFonts w:ascii="宋体" w:hAnsi="宋体" w:cs="宋体"/>
                <w:color w:val="auto"/>
                <w:sz w:val="24"/>
                <w:highlight w:val="none"/>
              </w:rPr>
            </w:pPr>
          </w:p>
        </w:tc>
        <w:tc>
          <w:tcPr>
            <w:tcW w:w="3119" w:type="dxa"/>
            <w:vAlign w:val="center"/>
          </w:tcPr>
          <w:p w14:paraId="25AAC123">
            <w:pPr>
              <w:spacing w:line="360" w:lineRule="auto"/>
              <w:jc w:val="center"/>
              <w:rPr>
                <w:rFonts w:ascii="宋体" w:hAnsi="宋体" w:cs="宋体"/>
                <w:color w:val="auto"/>
                <w:sz w:val="24"/>
                <w:highlight w:val="none"/>
              </w:rPr>
            </w:pPr>
          </w:p>
        </w:tc>
      </w:tr>
      <w:tr w14:paraId="0232F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4E6565E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28B76D0C">
            <w:pPr>
              <w:snapToGrid w:val="0"/>
              <w:spacing w:line="360" w:lineRule="auto"/>
              <w:jc w:val="center"/>
              <w:rPr>
                <w:rFonts w:ascii="宋体" w:hAnsi="宋体" w:cs="宋体"/>
                <w:color w:val="auto"/>
                <w:sz w:val="24"/>
                <w:highlight w:val="none"/>
              </w:rPr>
            </w:pPr>
          </w:p>
        </w:tc>
        <w:tc>
          <w:tcPr>
            <w:tcW w:w="1843" w:type="dxa"/>
            <w:vAlign w:val="center"/>
          </w:tcPr>
          <w:p w14:paraId="6E80C594">
            <w:pPr>
              <w:snapToGrid w:val="0"/>
              <w:spacing w:line="360" w:lineRule="auto"/>
              <w:jc w:val="center"/>
              <w:rPr>
                <w:rFonts w:ascii="宋体" w:hAnsi="宋体" w:cs="宋体"/>
                <w:color w:val="auto"/>
                <w:sz w:val="24"/>
                <w:highlight w:val="none"/>
              </w:rPr>
            </w:pPr>
          </w:p>
        </w:tc>
        <w:tc>
          <w:tcPr>
            <w:tcW w:w="3118" w:type="dxa"/>
            <w:vAlign w:val="center"/>
          </w:tcPr>
          <w:p w14:paraId="375ABB08">
            <w:pPr>
              <w:snapToGrid w:val="0"/>
              <w:spacing w:line="360" w:lineRule="auto"/>
              <w:jc w:val="center"/>
              <w:rPr>
                <w:rFonts w:ascii="宋体" w:hAnsi="宋体" w:cs="宋体"/>
                <w:color w:val="auto"/>
                <w:sz w:val="24"/>
                <w:highlight w:val="none"/>
              </w:rPr>
            </w:pPr>
          </w:p>
        </w:tc>
        <w:tc>
          <w:tcPr>
            <w:tcW w:w="993" w:type="dxa"/>
            <w:vAlign w:val="center"/>
          </w:tcPr>
          <w:p w14:paraId="2220A504">
            <w:pPr>
              <w:snapToGrid w:val="0"/>
              <w:spacing w:line="360" w:lineRule="auto"/>
              <w:jc w:val="center"/>
              <w:rPr>
                <w:rFonts w:ascii="宋体" w:hAnsi="宋体" w:cs="宋体"/>
                <w:color w:val="auto"/>
                <w:sz w:val="24"/>
                <w:highlight w:val="none"/>
              </w:rPr>
            </w:pPr>
          </w:p>
        </w:tc>
        <w:tc>
          <w:tcPr>
            <w:tcW w:w="1559" w:type="dxa"/>
            <w:vAlign w:val="center"/>
          </w:tcPr>
          <w:p w14:paraId="2D898D19">
            <w:pPr>
              <w:spacing w:line="360" w:lineRule="auto"/>
              <w:jc w:val="center"/>
              <w:rPr>
                <w:rFonts w:ascii="宋体" w:hAnsi="宋体" w:cs="宋体"/>
                <w:color w:val="auto"/>
                <w:sz w:val="24"/>
                <w:highlight w:val="none"/>
              </w:rPr>
            </w:pPr>
          </w:p>
        </w:tc>
        <w:tc>
          <w:tcPr>
            <w:tcW w:w="1984" w:type="dxa"/>
            <w:vAlign w:val="center"/>
          </w:tcPr>
          <w:p w14:paraId="51C24B4C">
            <w:pPr>
              <w:spacing w:line="360" w:lineRule="auto"/>
              <w:jc w:val="center"/>
              <w:rPr>
                <w:rFonts w:ascii="宋体" w:hAnsi="宋体" w:cs="宋体"/>
                <w:color w:val="auto"/>
                <w:sz w:val="24"/>
                <w:highlight w:val="none"/>
              </w:rPr>
            </w:pPr>
          </w:p>
        </w:tc>
        <w:tc>
          <w:tcPr>
            <w:tcW w:w="3119" w:type="dxa"/>
            <w:vAlign w:val="center"/>
          </w:tcPr>
          <w:p w14:paraId="54C0E400">
            <w:pPr>
              <w:spacing w:line="360" w:lineRule="auto"/>
              <w:jc w:val="center"/>
              <w:rPr>
                <w:rFonts w:ascii="宋体" w:hAnsi="宋体" w:cs="宋体"/>
                <w:color w:val="auto"/>
                <w:sz w:val="24"/>
                <w:highlight w:val="none"/>
              </w:rPr>
            </w:pPr>
          </w:p>
        </w:tc>
      </w:tr>
      <w:tr w14:paraId="74A39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36502657">
            <w:pPr>
              <w:spacing w:line="360" w:lineRule="auto"/>
              <w:jc w:val="center"/>
              <w:rPr>
                <w:rFonts w:ascii="宋体" w:hAnsi="宋体" w:cs="宋体"/>
                <w:color w:val="auto"/>
                <w:sz w:val="24"/>
                <w:highlight w:val="none"/>
              </w:rPr>
            </w:pPr>
          </w:p>
        </w:tc>
        <w:tc>
          <w:tcPr>
            <w:tcW w:w="1417" w:type="dxa"/>
            <w:vAlign w:val="center"/>
          </w:tcPr>
          <w:p w14:paraId="2E4B4E7E">
            <w:pPr>
              <w:snapToGrid w:val="0"/>
              <w:spacing w:line="360" w:lineRule="auto"/>
              <w:jc w:val="center"/>
              <w:rPr>
                <w:rFonts w:ascii="宋体" w:hAnsi="宋体" w:cs="宋体"/>
                <w:color w:val="auto"/>
                <w:sz w:val="24"/>
                <w:highlight w:val="none"/>
              </w:rPr>
            </w:pPr>
          </w:p>
        </w:tc>
        <w:tc>
          <w:tcPr>
            <w:tcW w:w="1843" w:type="dxa"/>
            <w:vAlign w:val="center"/>
          </w:tcPr>
          <w:p w14:paraId="03A1F3BB">
            <w:pPr>
              <w:snapToGrid w:val="0"/>
              <w:spacing w:line="360" w:lineRule="auto"/>
              <w:jc w:val="center"/>
              <w:rPr>
                <w:rFonts w:ascii="宋体" w:hAnsi="宋体" w:cs="宋体"/>
                <w:color w:val="auto"/>
                <w:sz w:val="24"/>
                <w:highlight w:val="none"/>
              </w:rPr>
            </w:pPr>
          </w:p>
        </w:tc>
        <w:tc>
          <w:tcPr>
            <w:tcW w:w="3118" w:type="dxa"/>
            <w:vAlign w:val="center"/>
          </w:tcPr>
          <w:p w14:paraId="3971B495">
            <w:pPr>
              <w:snapToGrid w:val="0"/>
              <w:spacing w:line="360" w:lineRule="auto"/>
              <w:jc w:val="center"/>
              <w:rPr>
                <w:rFonts w:ascii="宋体" w:hAnsi="宋体" w:cs="宋体"/>
                <w:color w:val="auto"/>
                <w:sz w:val="24"/>
                <w:highlight w:val="none"/>
              </w:rPr>
            </w:pPr>
          </w:p>
        </w:tc>
        <w:tc>
          <w:tcPr>
            <w:tcW w:w="993" w:type="dxa"/>
            <w:vAlign w:val="center"/>
          </w:tcPr>
          <w:p w14:paraId="745FC617">
            <w:pPr>
              <w:snapToGrid w:val="0"/>
              <w:spacing w:line="360" w:lineRule="auto"/>
              <w:jc w:val="center"/>
              <w:rPr>
                <w:rFonts w:ascii="宋体" w:hAnsi="宋体" w:cs="宋体"/>
                <w:color w:val="auto"/>
                <w:sz w:val="24"/>
                <w:highlight w:val="none"/>
              </w:rPr>
            </w:pPr>
          </w:p>
        </w:tc>
        <w:tc>
          <w:tcPr>
            <w:tcW w:w="1559" w:type="dxa"/>
            <w:vAlign w:val="center"/>
          </w:tcPr>
          <w:p w14:paraId="100385F2">
            <w:pPr>
              <w:spacing w:line="360" w:lineRule="auto"/>
              <w:jc w:val="center"/>
              <w:rPr>
                <w:rFonts w:ascii="宋体" w:hAnsi="宋体" w:cs="宋体"/>
                <w:color w:val="auto"/>
                <w:sz w:val="24"/>
                <w:highlight w:val="none"/>
              </w:rPr>
            </w:pPr>
          </w:p>
        </w:tc>
        <w:tc>
          <w:tcPr>
            <w:tcW w:w="1984" w:type="dxa"/>
            <w:vAlign w:val="center"/>
          </w:tcPr>
          <w:p w14:paraId="2827B80A">
            <w:pPr>
              <w:spacing w:line="360" w:lineRule="auto"/>
              <w:jc w:val="center"/>
              <w:rPr>
                <w:rFonts w:ascii="宋体" w:hAnsi="宋体" w:cs="宋体"/>
                <w:color w:val="auto"/>
                <w:sz w:val="24"/>
                <w:highlight w:val="none"/>
              </w:rPr>
            </w:pPr>
          </w:p>
        </w:tc>
        <w:tc>
          <w:tcPr>
            <w:tcW w:w="3119" w:type="dxa"/>
            <w:vAlign w:val="center"/>
          </w:tcPr>
          <w:p w14:paraId="1E6DF0D5">
            <w:pPr>
              <w:spacing w:line="360" w:lineRule="auto"/>
              <w:jc w:val="center"/>
              <w:rPr>
                <w:rFonts w:ascii="宋体" w:hAnsi="宋体" w:cs="宋体"/>
                <w:color w:val="auto"/>
                <w:sz w:val="24"/>
                <w:highlight w:val="none"/>
              </w:rPr>
            </w:pPr>
          </w:p>
        </w:tc>
      </w:tr>
      <w:tr w14:paraId="3CC67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27AA1EFD">
            <w:pPr>
              <w:spacing w:line="360" w:lineRule="auto"/>
              <w:jc w:val="center"/>
              <w:rPr>
                <w:rFonts w:ascii="宋体" w:hAnsi="宋体" w:cs="宋体"/>
                <w:color w:val="auto"/>
                <w:sz w:val="24"/>
                <w:highlight w:val="none"/>
              </w:rPr>
            </w:pPr>
          </w:p>
        </w:tc>
        <w:tc>
          <w:tcPr>
            <w:tcW w:w="1417" w:type="dxa"/>
            <w:vAlign w:val="center"/>
          </w:tcPr>
          <w:p w14:paraId="45501B9E">
            <w:pPr>
              <w:snapToGrid w:val="0"/>
              <w:spacing w:line="360" w:lineRule="auto"/>
              <w:jc w:val="center"/>
              <w:rPr>
                <w:rFonts w:ascii="宋体" w:hAnsi="宋体" w:cs="宋体"/>
                <w:color w:val="auto"/>
                <w:sz w:val="24"/>
                <w:highlight w:val="none"/>
              </w:rPr>
            </w:pPr>
          </w:p>
        </w:tc>
        <w:tc>
          <w:tcPr>
            <w:tcW w:w="1843" w:type="dxa"/>
            <w:vAlign w:val="center"/>
          </w:tcPr>
          <w:p w14:paraId="787EF6B7">
            <w:pPr>
              <w:snapToGrid w:val="0"/>
              <w:spacing w:line="360" w:lineRule="auto"/>
              <w:jc w:val="center"/>
              <w:rPr>
                <w:rFonts w:ascii="宋体" w:hAnsi="宋体" w:cs="宋体"/>
                <w:color w:val="auto"/>
                <w:sz w:val="24"/>
                <w:highlight w:val="none"/>
              </w:rPr>
            </w:pPr>
          </w:p>
        </w:tc>
        <w:tc>
          <w:tcPr>
            <w:tcW w:w="3118" w:type="dxa"/>
            <w:vAlign w:val="center"/>
          </w:tcPr>
          <w:p w14:paraId="3DB7250D">
            <w:pPr>
              <w:snapToGrid w:val="0"/>
              <w:spacing w:line="360" w:lineRule="auto"/>
              <w:jc w:val="center"/>
              <w:rPr>
                <w:rFonts w:ascii="宋体" w:hAnsi="宋体" w:cs="宋体"/>
                <w:color w:val="auto"/>
                <w:sz w:val="24"/>
                <w:highlight w:val="none"/>
              </w:rPr>
            </w:pPr>
          </w:p>
        </w:tc>
        <w:tc>
          <w:tcPr>
            <w:tcW w:w="993" w:type="dxa"/>
            <w:vAlign w:val="center"/>
          </w:tcPr>
          <w:p w14:paraId="0D48CD70">
            <w:pPr>
              <w:snapToGrid w:val="0"/>
              <w:spacing w:line="360" w:lineRule="auto"/>
              <w:jc w:val="center"/>
              <w:rPr>
                <w:rFonts w:ascii="宋体" w:hAnsi="宋体" w:cs="宋体"/>
                <w:color w:val="auto"/>
                <w:sz w:val="24"/>
                <w:highlight w:val="none"/>
              </w:rPr>
            </w:pPr>
          </w:p>
        </w:tc>
        <w:tc>
          <w:tcPr>
            <w:tcW w:w="1559" w:type="dxa"/>
            <w:vAlign w:val="center"/>
          </w:tcPr>
          <w:p w14:paraId="6EB3C0FD">
            <w:pPr>
              <w:spacing w:line="360" w:lineRule="auto"/>
              <w:jc w:val="center"/>
              <w:rPr>
                <w:rFonts w:ascii="宋体" w:hAnsi="宋体" w:cs="宋体"/>
                <w:color w:val="auto"/>
                <w:sz w:val="24"/>
                <w:highlight w:val="none"/>
              </w:rPr>
            </w:pPr>
          </w:p>
        </w:tc>
        <w:tc>
          <w:tcPr>
            <w:tcW w:w="1984" w:type="dxa"/>
            <w:vAlign w:val="center"/>
          </w:tcPr>
          <w:p w14:paraId="6E1901F3">
            <w:pPr>
              <w:spacing w:line="360" w:lineRule="auto"/>
              <w:jc w:val="center"/>
              <w:rPr>
                <w:rFonts w:ascii="宋体" w:hAnsi="宋体" w:cs="宋体"/>
                <w:color w:val="auto"/>
                <w:sz w:val="24"/>
                <w:highlight w:val="none"/>
              </w:rPr>
            </w:pPr>
          </w:p>
        </w:tc>
        <w:tc>
          <w:tcPr>
            <w:tcW w:w="3119" w:type="dxa"/>
            <w:vAlign w:val="center"/>
          </w:tcPr>
          <w:p w14:paraId="6E241C3A">
            <w:pPr>
              <w:spacing w:line="360" w:lineRule="auto"/>
              <w:jc w:val="center"/>
              <w:rPr>
                <w:rFonts w:ascii="宋体" w:hAnsi="宋体" w:cs="宋体"/>
                <w:color w:val="auto"/>
                <w:sz w:val="24"/>
                <w:highlight w:val="none"/>
              </w:rPr>
            </w:pPr>
          </w:p>
        </w:tc>
      </w:tr>
      <w:tr w14:paraId="12D08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4"/>
            <w:vAlign w:val="center"/>
          </w:tcPr>
          <w:p w14:paraId="64D4C05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5F1AADCA">
            <w:pPr>
              <w:spacing w:line="360" w:lineRule="auto"/>
              <w:jc w:val="center"/>
              <w:rPr>
                <w:rFonts w:ascii="宋体" w:hAnsi="宋体" w:cs="宋体"/>
                <w:color w:val="auto"/>
                <w:sz w:val="24"/>
                <w:highlight w:val="none"/>
              </w:rPr>
            </w:pPr>
          </w:p>
        </w:tc>
      </w:tr>
      <w:tr w14:paraId="7B0C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4"/>
            <w:vAlign w:val="center"/>
          </w:tcPr>
          <w:p w14:paraId="625268B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6ADE276F">
            <w:pPr>
              <w:spacing w:line="360" w:lineRule="auto"/>
              <w:jc w:val="center"/>
              <w:rPr>
                <w:rFonts w:ascii="宋体" w:hAnsi="宋体" w:cs="宋体"/>
                <w:color w:val="auto"/>
                <w:sz w:val="24"/>
                <w:highlight w:val="none"/>
              </w:rPr>
            </w:pPr>
          </w:p>
        </w:tc>
      </w:tr>
    </w:tbl>
    <w:p w14:paraId="243C7D32">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57B85B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0D9E89B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ED8D2E6">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07F48328">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A7CA816">
      <w:pPr>
        <w:autoSpaceDE w:val="0"/>
        <w:autoSpaceDN w:val="0"/>
        <w:spacing w:line="360" w:lineRule="auto"/>
        <w:ind w:left="2"/>
        <w:jc w:val="left"/>
        <w:rPr>
          <w:rFonts w:ascii="宋体" w:hAnsi="宋体" w:cs="宋体"/>
          <w:color w:val="auto"/>
          <w:kern w:val="0"/>
          <w:sz w:val="24"/>
          <w:highlight w:val="none"/>
          <w:lang w:val="zh-CN"/>
        </w:rPr>
      </w:pPr>
    </w:p>
    <w:p w14:paraId="72F5B9EC">
      <w:pPr>
        <w:spacing w:line="360"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投标人名称（公章）：</w:t>
      </w:r>
    </w:p>
    <w:p w14:paraId="70665159">
      <w:pPr>
        <w:spacing w:line="360"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 xml:space="preserve">法定代表人（负责人）或委托代理人(签名)：                          </w:t>
      </w:r>
    </w:p>
    <w:p w14:paraId="16F03A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D425893">
      <w:pPr>
        <w:spacing w:line="360" w:lineRule="auto"/>
        <w:ind w:firstLine="482" w:firstLineChars="200"/>
        <w:rPr>
          <w:rFonts w:ascii="宋体" w:hAnsi="宋体" w:cs="宋体"/>
          <w:b/>
          <w:color w:val="auto"/>
          <w:kern w:val="0"/>
          <w:sz w:val="24"/>
          <w:highlight w:val="none"/>
        </w:rPr>
      </w:pPr>
    </w:p>
    <w:p w14:paraId="5C171182">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675000B2">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5F7C1373">
      <w:pPr>
        <w:pStyle w:val="84"/>
        <w:jc w:val="center"/>
        <w:rPr>
          <w:b/>
          <w:color w:val="auto"/>
          <w:sz w:val="32"/>
          <w:szCs w:val="32"/>
          <w:highlight w:val="none"/>
        </w:rPr>
      </w:pPr>
      <w:bookmarkStart w:id="478" w:name="_Toc176185128"/>
      <w:r>
        <w:rPr>
          <w:rFonts w:hint="eastAsia"/>
          <w:b/>
          <w:color w:val="auto"/>
          <w:kern w:val="2"/>
          <w:sz w:val="32"/>
          <w:szCs w:val="32"/>
          <w:highlight w:val="none"/>
        </w:rPr>
        <w:t>二、</w:t>
      </w:r>
      <w:r>
        <w:rPr>
          <w:rFonts w:hint="eastAsia"/>
          <w:b/>
          <w:color w:val="auto"/>
          <w:sz w:val="32"/>
          <w:szCs w:val="32"/>
          <w:highlight w:val="none"/>
        </w:rPr>
        <w:t>中小企业声明函</w:t>
      </w:r>
      <w:bookmarkStart w:id="479" w:name="_Hlk101259491"/>
      <w:r>
        <w:rPr>
          <w:rFonts w:hint="eastAsia"/>
          <w:b/>
          <w:color w:val="auto"/>
          <w:sz w:val="32"/>
          <w:szCs w:val="32"/>
          <w:highlight w:val="none"/>
        </w:rPr>
        <w:t>（如果有）</w:t>
      </w:r>
      <w:bookmarkEnd w:id="478"/>
      <w:bookmarkEnd w:id="479"/>
    </w:p>
    <w:p w14:paraId="68299DDE">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[本项目未预留份额专门面向中小企业时，符合《政府采购促进中小企业发展管理办法》规定的小微企业拟享受价格扣除政策的，需提供中小企业声明函（附件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3A0A10C">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1817D88A">
      <w:pPr>
        <w:spacing w:line="360" w:lineRule="auto"/>
        <w:ind w:right="420" w:firstLine="3614" w:firstLineChars="1000"/>
        <w:rPr>
          <w:rFonts w:ascii="宋体" w:hAnsi="宋体" w:cs="宋体"/>
          <w:b/>
          <w:color w:val="auto"/>
          <w:kern w:val="0"/>
          <w:sz w:val="36"/>
          <w:szCs w:val="36"/>
          <w:highlight w:val="none"/>
        </w:rPr>
      </w:pPr>
    </w:p>
    <w:p w14:paraId="1B6A04BC">
      <w:pPr>
        <w:spacing w:line="360" w:lineRule="auto"/>
        <w:ind w:right="420" w:firstLine="3614" w:firstLineChars="1000"/>
        <w:rPr>
          <w:rFonts w:ascii="宋体" w:hAnsi="宋体" w:cs="宋体"/>
          <w:b/>
          <w:color w:val="auto"/>
          <w:kern w:val="0"/>
          <w:sz w:val="36"/>
          <w:szCs w:val="36"/>
          <w:highlight w:val="none"/>
        </w:rPr>
      </w:pPr>
    </w:p>
    <w:p w14:paraId="3233BD94">
      <w:pPr>
        <w:spacing w:line="360" w:lineRule="auto"/>
        <w:ind w:right="420" w:firstLine="3614" w:firstLineChars="1000"/>
        <w:rPr>
          <w:rFonts w:ascii="宋体" w:hAnsi="宋体" w:cs="宋体"/>
          <w:b/>
          <w:color w:val="auto"/>
          <w:kern w:val="0"/>
          <w:sz w:val="36"/>
          <w:szCs w:val="36"/>
          <w:highlight w:val="none"/>
        </w:rPr>
      </w:pPr>
    </w:p>
    <w:p w14:paraId="30625500">
      <w:pPr>
        <w:spacing w:line="360" w:lineRule="auto"/>
        <w:ind w:right="420" w:firstLine="3614" w:firstLineChars="1000"/>
        <w:rPr>
          <w:rFonts w:ascii="宋体" w:hAnsi="宋体" w:cs="宋体"/>
          <w:b/>
          <w:color w:val="auto"/>
          <w:kern w:val="0"/>
          <w:sz w:val="36"/>
          <w:szCs w:val="36"/>
          <w:highlight w:val="none"/>
        </w:rPr>
      </w:pPr>
    </w:p>
    <w:p w14:paraId="06BF70B5">
      <w:pPr>
        <w:spacing w:line="360" w:lineRule="auto"/>
        <w:ind w:right="420" w:firstLine="3614" w:firstLineChars="1000"/>
        <w:rPr>
          <w:rFonts w:ascii="宋体" w:hAnsi="宋体" w:cs="宋体"/>
          <w:b/>
          <w:color w:val="auto"/>
          <w:kern w:val="0"/>
          <w:sz w:val="36"/>
          <w:szCs w:val="36"/>
          <w:highlight w:val="none"/>
        </w:rPr>
      </w:pPr>
    </w:p>
    <w:p w14:paraId="62F38F61">
      <w:pPr>
        <w:spacing w:line="360" w:lineRule="auto"/>
        <w:ind w:right="420" w:firstLine="3614" w:firstLineChars="1000"/>
        <w:rPr>
          <w:rFonts w:ascii="宋体" w:hAnsi="宋体" w:cs="宋体"/>
          <w:b/>
          <w:color w:val="auto"/>
          <w:kern w:val="0"/>
          <w:sz w:val="36"/>
          <w:szCs w:val="36"/>
          <w:highlight w:val="none"/>
        </w:rPr>
      </w:pPr>
    </w:p>
    <w:p w14:paraId="3AE59483">
      <w:pPr>
        <w:spacing w:line="360" w:lineRule="auto"/>
        <w:ind w:right="420" w:firstLine="3614" w:firstLineChars="1000"/>
        <w:rPr>
          <w:rFonts w:ascii="宋体" w:hAnsi="宋体" w:cs="宋体"/>
          <w:b/>
          <w:color w:val="auto"/>
          <w:kern w:val="0"/>
          <w:sz w:val="36"/>
          <w:szCs w:val="36"/>
          <w:highlight w:val="none"/>
        </w:rPr>
      </w:pPr>
    </w:p>
    <w:p w14:paraId="71CF7268">
      <w:pPr>
        <w:spacing w:line="360" w:lineRule="auto"/>
        <w:ind w:right="420" w:firstLine="3614" w:firstLineChars="1000"/>
        <w:rPr>
          <w:rFonts w:ascii="宋体" w:hAnsi="宋体" w:cs="宋体"/>
          <w:b/>
          <w:color w:val="auto"/>
          <w:kern w:val="0"/>
          <w:sz w:val="36"/>
          <w:szCs w:val="36"/>
          <w:highlight w:val="none"/>
        </w:rPr>
      </w:pPr>
    </w:p>
    <w:p w14:paraId="20A01CC3">
      <w:pPr>
        <w:spacing w:line="360" w:lineRule="auto"/>
        <w:ind w:right="420" w:firstLine="3614" w:firstLineChars="1000"/>
        <w:rPr>
          <w:rFonts w:ascii="宋体" w:hAnsi="宋体" w:cs="宋体"/>
          <w:b/>
          <w:color w:val="auto"/>
          <w:kern w:val="0"/>
          <w:sz w:val="36"/>
          <w:szCs w:val="36"/>
          <w:highlight w:val="none"/>
        </w:rPr>
      </w:pPr>
    </w:p>
    <w:p w14:paraId="38E23242">
      <w:pPr>
        <w:spacing w:line="360" w:lineRule="auto"/>
        <w:ind w:right="420" w:firstLine="3614" w:firstLineChars="1000"/>
        <w:rPr>
          <w:rFonts w:ascii="宋体" w:hAnsi="宋体" w:cs="宋体"/>
          <w:b/>
          <w:color w:val="auto"/>
          <w:kern w:val="0"/>
          <w:sz w:val="36"/>
          <w:szCs w:val="36"/>
          <w:highlight w:val="none"/>
        </w:rPr>
      </w:pPr>
    </w:p>
    <w:p w14:paraId="4FBACFBE">
      <w:pPr>
        <w:spacing w:line="360" w:lineRule="auto"/>
        <w:ind w:right="420" w:firstLine="3614" w:firstLineChars="1000"/>
        <w:rPr>
          <w:rFonts w:ascii="宋体" w:hAnsi="宋体" w:cs="宋体"/>
          <w:b/>
          <w:color w:val="auto"/>
          <w:kern w:val="0"/>
          <w:sz w:val="36"/>
          <w:szCs w:val="36"/>
          <w:highlight w:val="none"/>
        </w:rPr>
      </w:pPr>
    </w:p>
    <w:p w14:paraId="5BE31D20">
      <w:pPr>
        <w:spacing w:line="360" w:lineRule="auto"/>
        <w:ind w:right="420" w:firstLine="3614" w:firstLineChars="1000"/>
        <w:rPr>
          <w:rFonts w:ascii="宋体" w:hAnsi="宋体" w:cs="宋体"/>
          <w:b/>
          <w:color w:val="auto"/>
          <w:kern w:val="0"/>
          <w:sz w:val="36"/>
          <w:szCs w:val="36"/>
          <w:highlight w:val="none"/>
        </w:rPr>
      </w:pPr>
    </w:p>
    <w:p w14:paraId="09E491C2">
      <w:pPr>
        <w:spacing w:line="360" w:lineRule="auto"/>
        <w:ind w:right="420" w:firstLine="3614" w:firstLineChars="1000"/>
        <w:rPr>
          <w:rFonts w:ascii="宋体" w:hAnsi="宋体" w:cs="宋体"/>
          <w:b/>
          <w:color w:val="auto"/>
          <w:kern w:val="0"/>
          <w:sz w:val="36"/>
          <w:szCs w:val="36"/>
          <w:highlight w:val="none"/>
        </w:rPr>
      </w:pPr>
    </w:p>
    <w:p w14:paraId="53F1C201">
      <w:pPr>
        <w:spacing w:line="360" w:lineRule="auto"/>
        <w:ind w:right="420" w:firstLine="3614" w:firstLineChars="1000"/>
        <w:rPr>
          <w:rFonts w:ascii="宋体" w:hAnsi="宋体" w:cs="宋体"/>
          <w:b/>
          <w:color w:val="auto"/>
          <w:kern w:val="0"/>
          <w:sz w:val="36"/>
          <w:szCs w:val="36"/>
          <w:highlight w:val="none"/>
        </w:rPr>
      </w:pPr>
    </w:p>
    <w:p w14:paraId="16A273D4">
      <w:pPr>
        <w:spacing w:line="360" w:lineRule="auto"/>
        <w:ind w:right="420" w:firstLine="3614" w:firstLineChars="1000"/>
        <w:rPr>
          <w:rFonts w:ascii="宋体" w:hAnsi="宋体" w:cs="宋体"/>
          <w:b/>
          <w:color w:val="auto"/>
          <w:kern w:val="0"/>
          <w:sz w:val="36"/>
          <w:szCs w:val="36"/>
          <w:highlight w:val="none"/>
        </w:rPr>
      </w:pPr>
    </w:p>
    <w:p w14:paraId="559FCFF7">
      <w:pPr>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EBC31E8">
      <w:pPr>
        <w:spacing w:line="360" w:lineRule="auto"/>
        <w:ind w:right="420" w:firstLine="3614" w:firstLineChars="1000"/>
        <w:rPr>
          <w:rFonts w:ascii="宋体" w:hAnsi="宋体" w:cs="宋体"/>
          <w:b/>
          <w:color w:val="auto"/>
          <w:kern w:val="0"/>
          <w:sz w:val="36"/>
          <w:szCs w:val="36"/>
          <w:highlight w:val="none"/>
        </w:rPr>
      </w:pPr>
    </w:p>
    <w:p w14:paraId="0DF56391">
      <w:pPr>
        <w:pStyle w:val="84"/>
        <w:jc w:val="center"/>
        <w:rPr>
          <w:b/>
          <w:color w:val="auto"/>
          <w:sz w:val="36"/>
          <w:szCs w:val="36"/>
          <w:highlight w:val="none"/>
        </w:rPr>
      </w:pPr>
      <w:bookmarkStart w:id="480" w:name="_Toc465665161"/>
      <w:r>
        <w:rPr>
          <w:rFonts w:hint="eastAsia"/>
          <w:b/>
          <w:color w:val="auto"/>
          <w:sz w:val="36"/>
          <w:szCs w:val="36"/>
          <w:highlight w:val="none"/>
        </w:rPr>
        <w:t>附件</w:t>
      </w:r>
      <w:bookmarkEnd w:id="480"/>
    </w:p>
    <w:p w14:paraId="53C44038">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B86E061">
      <w:pPr>
        <w:spacing w:line="360" w:lineRule="auto"/>
        <w:jc w:val="center"/>
        <w:rPr>
          <w:rFonts w:ascii="宋体" w:hAnsi="宋体" w:cs="宋体"/>
          <w:b/>
          <w:color w:val="auto"/>
          <w:spacing w:val="6"/>
          <w:sz w:val="32"/>
          <w:szCs w:val="32"/>
          <w:highlight w:val="none"/>
        </w:rPr>
      </w:pPr>
      <w:bookmarkStart w:id="481" w:name="OLE_LINK13"/>
      <w:bookmarkStart w:id="482" w:name="OLE_LINK14"/>
      <w:r>
        <w:rPr>
          <w:rFonts w:hint="eastAsia" w:ascii="宋体" w:hAnsi="宋体" w:cs="宋体"/>
          <w:b/>
          <w:color w:val="auto"/>
          <w:spacing w:val="6"/>
          <w:sz w:val="32"/>
          <w:szCs w:val="32"/>
          <w:highlight w:val="none"/>
        </w:rPr>
        <w:t>残疾人福利性单位声明函</w:t>
      </w:r>
    </w:p>
    <w:bookmarkEnd w:id="481"/>
    <w:bookmarkEnd w:id="482"/>
    <w:p w14:paraId="2D051FDB">
      <w:pPr>
        <w:spacing w:line="360" w:lineRule="auto"/>
        <w:rPr>
          <w:rFonts w:ascii="宋体" w:hAnsi="宋体" w:cs="宋体"/>
          <w:b/>
          <w:color w:val="auto"/>
          <w:spacing w:val="6"/>
          <w:sz w:val="30"/>
          <w:szCs w:val="30"/>
          <w:highlight w:val="none"/>
        </w:rPr>
      </w:pPr>
    </w:p>
    <w:p w14:paraId="16C98B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9B042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970303A">
      <w:pPr>
        <w:spacing w:line="360" w:lineRule="auto"/>
        <w:ind w:firstLine="480" w:firstLineChars="200"/>
        <w:rPr>
          <w:rFonts w:ascii="宋体" w:hAnsi="宋体" w:cs="宋体"/>
          <w:color w:val="auto"/>
          <w:sz w:val="24"/>
          <w:highlight w:val="none"/>
        </w:rPr>
      </w:pPr>
    </w:p>
    <w:p w14:paraId="3392CDF4">
      <w:pPr>
        <w:spacing w:line="360" w:lineRule="auto"/>
        <w:ind w:firstLine="480" w:firstLineChars="200"/>
        <w:rPr>
          <w:rFonts w:ascii="宋体" w:hAnsi="宋体" w:cs="宋体"/>
          <w:color w:val="auto"/>
          <w:sz w:val="24"/>
          <w:highlight w:val="none"/>
        </w:rPr>
      </w:pPr>
    </w:p>
    <w:p w14:paraId="696FA72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公章</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p>
    <w:p w14:paraId="3774AAC6">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121957C">
      <w:pPr>
        <w:spacing w:line="360" w:lineRule="auto"/>
        <w:ind w:firstLine="480" w:firstLineChars="200"/>
        <w:rPr>
          <w:rFonts w:ascii="宋体" w:hAnsi="宋体" w:cs="宋体"/>
          <w:color w:val="auto"/>
          <w:sz w:val="24"/>
          <w:highlight w:val="none"/>
        </w:rPr>
      </w:pPr>
    </w:p>
    <w:p w14:paraId="600E8982">
      <w:pPr>
        <w:spacing w:line="360" w:lineRule="auto"/>
        <w:ind w:firstLine="420" w:firstLineChars="200"/>
        <w:rPr>
          <w:rFonts w:ascii="宋体" w:hAnsi="宋体" w:cs="宋体"/>
          <w:color w:val="auto"/>
          <w:highlight w:val="none"/>
        </w:rPr>
      </w:pPr>
    </w:p>
    <w:p w14:paraId="2A1BF379">
      <w:pPr>
        <w:spacing w:line="360" w:lineRule="auto"/>
        <w:ind w:firstLine="420" w:firstLineChars="200"/>
        <w:rPr>
          <w:rFonts w:ascii="宋体" w:hAnsi="宋体" w:cs="宋体"/>
          <w:color w:val="auto"/>
          <w:highlight w:val="none"/>
        </w:rPr>
      </w:pPr>
    </w:p>
    <w:p w14:paraId="7FA497DF">
      <w:pPr>
        <w:spacing w:line="360" w:lineRule="auto"/>
        <w:ind w:firstLine="420" w:firstLineChars="200"/>
        <w:rPr>
          <w:rFonts w:ascii="宋体" w:hAnsi="宋体" w:cs="宋体"/>
          <w:color w:val="auto"/>
          <w:highlight w:val="none"/>
        </w:rPr>
      </w:pPr>
    </w:p>
    <w:p w14:paraId="491DA3E7">
      <w:pPr>
        <w:spacing w:line="360" w:lineRule="auto"/>
        <w:ind w:firstLine="420" w:firstLineChars="200"/>
        <w:rPr>
          <w:rFonts w:ascii="宋体" w:hAnsi="宋体" w:cs="宋体"/>
          <w:color w:val="auto"/>
          <w:highlight w:val="none"/>
        </w:rPr>
      </w:pPr>
    </w:p>
    <w:p w14:paraId="7DA5CF78">
      <w:pPr>
        <w:spacing w:line="360" w:lineRule="auto"/>
        <w:rPr>
          <w:rFonts w:ascii="宋体" w:hAnsi="宋体" w:cs="宋体"/>
          <w:b/>
          <w:color w:val="auto"/>
          <w:sz w:val="24"/>
          <w:highlight w:val="none"/>
        </w:rPr>
      </w:pPr>
    </w:p>
    <w:p w14:paraId="74723194">
      <w:pPr>
        <w:spacing w:line="360" w:lineRule="auto"/>
        <w:rPr>
          <w:rFonts w:ascii="宋体" w:hAnsi="宋体" w:cs="宋体"/>
          <w:b/>
          <w:color w:val="auto"/>
          <w:sz w:val="24"/>
          <w:highlight w:val="none"/>
        </w:rPr>
      </w:pPr>
    </w:p>
    <w:p w14:paraId="67B00246">
      <w:pPr>
        <w:spacing w:line="360" w:lineRule="auto"/>
        <w:rPr>
          <w:rFonts w:ascii="宋体" w:hAnsi="宋体" w:cs="宋体"/>
          <w:b/>
          <w:color w:val="auto"/>
          <w:sz w:val="24"/>
          <w:highlight w:val="none"/>
        </w:rPr>
      </w:pPr>
    </w:p>
    <w:p w14:paraId="3F709460">
      <w:pPr>
        <w:spacing w:line="360" w:lineRule="auto"/>
        <w:rPr>
          <w:rFonts w:ascii="宋体" w:hAnsi="宋体" w:cs="宋体"/>
          <w:b/>
          <w:color w:val="auto"/>
          <w:sz w:val="24"/>
          <w:highlight w:val="none"/>
        </w:rPr>
      </w:pPr>
    </w:p>
    <w:p w14:paraId="66A193FB">
      <w:pPr>
        <w:spacing w:line="360" w:lineRule="auto"/>
        <w:rPr>
          <w:rFonts w:ascii="宋体" w:hAnsi="宋体" w:cs="宋体"/>
          <w:b/>
          <w:color w:val="auto"/>
          <w:sz w:val="24"/>
          <w:highlight w:val="none"/>
        </w:rPr>
      </w:pPr>
    </w:p>
    <w:p w14:paraId="1AA0F47B">
      <w:pPr>
        <w:spacing w:line="360" w:lineRule="auto"/>
        <w:rPr>
          <w:rFonts w:ascii="宋体" w:hAnsi="宋体" w:cs="宋体"/>
          <w:b/>
          <w:color w:val="auto"/>
          <w:sz w:val="24"/>
          <w:highlight w:val="none"/>
        </w:rPr>
      </w:pPr>
    </w:p>
    <w:p w14:paraId="4F1D5619">
      <w:pPr>
        <w:spacing w:line="360" w:lineRule="auto"/>
        <w:rPr>
          <w:rFonts w:ascii="宋体" w:hAnsi="宋体" w:cs="宋体"/>
          <w:b/>
          <w:color w:val="auto"/>
          <w:sz w:val="24"/>
          <w:highlight w:val="none"/>
        </w:rPr>
      </w:pPr>
    </w:p>
    <w:p w14:paraId="377765F1">
      <w:pPr>
        <w:spacing w:line="360" w:lineRule="auto"/>
        <w:rPr>
          <w:rFonts w:ascii="宋体" w:hAnsi="宋体" w:cs="宋体"/>
          <w:b/>
          <w:color w:val="auto"/>
          <w:sz w:val="24"/>
          <w:highlight w:val="none"/>
        </w:rPr>
      </w:pPr>
    </w:p>
    <w:p w14:paraId="1787DA62">
      <w:pPr>
        <w:spacing w:line="360" w:lineRule="auto"/>
        <w:rPr>
          <w:rFonts w:ascii="宋体" w:hAnsi="宋体" w:cs="宋体"/>
          <w:b/>
          <w:color w:val="auto"/>
          <w:sz w:val="24"/>
          <w:highlight w:val="none"/>
        </w:rPr>
      </w:pPr>
    </w:p>
    <w:p w14:paraId="1BA466FF">
      <w:pPr>
        <w:spacing w:line="360" w:lineRule="auto"/>
        <w:jc w:val="left"/>
        <w:rPr>
          <w:rFonts w:ascii="宋体" w:hAnsi="宋体" w:cs="宋体"/>
          <w:b/>
          <w:color w:val="auto"/>
          <w:spacing w:val="6"/>
          <w:sz w:val="32"/>
          <w:szCs w:val="32"/>
          <w:highlight w:val="none"/>
        </w:rPr>
      </w:pPr>
    </w:p>
    <w:p w14:paraId="0B68A2E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B2FFA4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AA67E78">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778B37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59EDC9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C67AD6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36F467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54B526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8D7121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1525A6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323D96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C3A73F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6E6020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1341D3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7C0EC4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FFC162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137290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3708B44">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7F646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B2D7BB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B05E0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96F2AE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BBBFDE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89AD5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64885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E98713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E2D249D">
      <w:pPr>
        <w:spacing w:line="360" w:lineRule="auto"/>
        <w:jc w:val="center"/>
        <w:rPr>
          <w:rFonts w:ascii="宋体" w:hAnsi="宋体" w:cs="宋体"/>
          <w:b/>
          <w:bCs/>
          <w:color w:val="auto"/>
          <w:sz w:val="24"/>
          <w:highlight w:val="none"/>
        </w:rPr>
      </w:pPr>
    </w:p>
    <w:p w14:paraId="5434EE9C">
      <w:pPr>
        <w:spacing w:line="360" w:lineRule="auto"/>
        <w:rPr>
          <w:rFonts w:ascii="宋体" w:hAnsi="宋体" w:cs="宋体"/>
          <w:b/>
          <w:color w:val="auto"/>
          <w:sz w:val="24"/>
          <w:highlight w:val="none"/>
        </w:rPr>
      </w:pPr>
    </w:p>
    <w:p w14:paraId="3D8F23B1">
      <w:pPr>
        <w:spacing w:line="360" w:lineRule="auto"/>
        <w:rPr>
          <w:rFonts w:ascii="宋体" w:hAnsi="宋体" w:cs="宋体"/>
          <w:b/>
          <w:color w:val="auto"/>
          <w:sz w:val="24"/>
          <w:highlight w:val="none"/>
        </w:rPr>
      </w:pPr>
    </w:p>
    <w:p w14:paraId="00F10330">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D7A3C6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D3A251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64003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66A22F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01033D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4A1347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B90C50E">
      <w:pPr>
        <w:widowControl/>
        <w:spacing w:line="360" w:lineRule="auto"/>
        <w:ind w:firstLine="600" w:firstLineChars="200"/>
        <w:jc w:val="left"/>
        <w:rPr>
          <w:rFonts w:ascii="宋体" w:hAnsi="宋体" w:cs="宋体"/>
          <w:color w:val="auto"/>
          <w:sz w:val="30"/>
          <w:szCs w:val="30"/>
          <w:highlight w:val="none"/>
        </w:rPr>
      </w:pPr>
    </w:p>
    <w:p w14:paraId="668143C6">
      <w:pPr>
        <w:spacing w:line="360" w:lineRule="auto"/>
        <w:jc w:val="center"/>
        <w:rPr>
          <w:rFonts w:ascii="宋体" w:hAnsi="宋体" w:cs="宋体"/>
          <w:b/>
          <w:color w:val="auto"/>
          <w:spacing w:val="6"/>
          <w:sz w:val="32"/>
          <w:szCs w:val="32"/>
          <w:highlight w:val="none"/>
        </w:rPr>
      </w:pPr>
    </w:p>
    <w:p w14:paraId="59139AFD">
      <w:pPr>
        <w:spacing w:line="360" w:lineRule="auto"/>
        <w:jc w:val="center"/>
        <w:rPr>
          <w:rFonts w:ascii="宋体" w:hAnsi="宋体" w:cs="宋体"/>
          <w:b/>
          <w:color w:val="auto"/>
          <w:spacing w:val="6"/>
          <w:sz w:val="32"/>
          <w:szCs w:val="32"/>
          <w:highlight w:val="none"/>
        </w:rPr>
      </w:pPr>
    </w:p>
    <w:p w14:paraId="62FBCD1A">
      <w:pPr>
        <w:spacing w:line="360" w:lineRule="auto"/>
        <w:jc w:val="center"/>
        <w:rPr>
          <w:rFonts w:ascii="宋体" w:hAnsi="宋体" w:cs="宋体"/>
          <w:b/>
          <w:color w:val="auto"/>
          <w:spacing w:val="6"/>
          <w:sz w:val="32"/>
          <w:szCs w:val="32"/>
          <w:highlight w:val="none"/>
        </w:rPr>
      </w:pPr>
    </w:p>
    <w:p w14:paraId="7E473998">
      <w:pPr>
        <w:spacing w:line="360" w:lineRule="auto"/>
        <w:jc w:val="center"/>
        <w:rPr>
          <w:rFonts w:ascii="宋体" w:hAnsi="宋体" w:cs="宋体"/>
          <w:b/>
          <w:color w:val="auto"/>
          <w:spacing w:val="6"/>
          <w:sz w:val="32"/>
          <w:szCs w:val="32"/>
          <w:highlight w:val="none"/>
        </w:rPr>
      </w:pPr>
    </w:p>
    <w:p w14:paraId="4F794EE2">
      <w:pPr>
        <w:spacing w:line="360" w:lineRule="auto"/>
        <w:jc w:val="center"/>
        <w:rPr>
          <w:rFonts w:ascii="宋体" w:hAnsi="宋体" w:cs="宋体"/>
          <w:b/>
          <w:color w:val="auto"/>
          <w:spacing w:val="6"/>
          <w:sz w:val="32"/>
          <w:szCs w:val="32"/>
          <w:highlight w:val="none"/>
        </w:rPr>
      </w:pPr>
    </w:p>
    <w:p w14:paraId="080AEED8">
      <w:pPr>
        <w:spacing w:line="360" w:lineRule="auto"/>
        <w:jc w:val="center"/>
        <w:rPr>
          <w:rFonts w:ascii="宋体" w:hAnsi="宋体" w:cs="宋体"/>
          <w:b/>
          <w:color w:val="auto"/>
          <w:spacing w:val="6"/>
          <w:sz w:val="32"/>
          <w:szCs w:val="32"/>
          <w:highlight w:val="none"/>
        </w:rPr>
      </w:pPr>
    </w:p>
    <w:p w14:paraId="02F46A8D">
      <w:pPr>
        <w:spacing w:line="360" w:lineRule="auto"/>
        <w:jc w:val="center"/>
        <w:rPr>
          <w:rFonts w:ascii="宋体" w:hAnsi="宋体" w:cs="宋体"/>
          <w:b/>
          <w:color w:val="auto"/>
          <w:spacing w:val="6"/>
          <w:sz w:val="32"/>
          <w:szCs w:val="32"/>
          <w:highlight w:val="none"/>
        </w:rPr>
      </w:pPr>
    </w:p>
    <w:p w14:paraId="7827B1D8">
      <w:pPr>
        <w:spacing w:line="360" w:lineRule="auto"/>
        <w:jc w:val="center"/>
        <w:rPr>
          <w:rFonts w:ascii="宋体" w:hAnsi="宋体" w:cs="宋体"/>
          <w:b/>
          <w:color w:val="auto"/>
          <w:spacing w:val="6"/>
          <w:sz w:val="32"/>
          <w:szCs w:val="32"/>
          <w:highlight w:val="none"/>
        </w:rPr>
      </w:pPr>
    </w:p>
    <w:p w14:paraId="381014A0">
      <w:pPr>
        <w:spacing w:line="360" w:lineRule="auto"/>
        <w:jc w:val="center"/>
        <w:rPr>
          <w:rFonts w:ascii="宋体" w:hAnsi="宋体" w:cs="宋体"/>
          <w:b/>
          <w:color w:val="auto"/>
          <w:spacing w:val="6"/>
          <w:sz w:val="32"/>
          <w:szCs w:val="32"/>
          <w:highlight w:val="none"/>
        </w:rPr>
      </w:pPr>
    </w:p>
    <w:p w14:paraId="4C48944B">
      <w:pPr>
        <w:spacing w:line="360" w:lineRule="auto"/>
        <w:jc w:val="center"/>
        <w:rPr>
          <w:rFonts w:ascii="宋体" w:hAnsi="宋体" w:cs="宋体"/>
          <w:b/>
          <w:color w:val="auto"/>
          <w:spacing w:val="6"/>
          <w:sz w:val="32"/>
          <w:szCs w:val="32"/>
          <w:highlight w:val="none"/>
        </w:rPr>
      </w:pPr>
    </w:p>
    <w:p w14:paraId="50DA4FDB">
      <w:pPr>
        <w:spacing w:line="360" w:lineRule="auto"/>
        <w:jc w:val="center"/>
        <w:rPr>
          <w:rFonts w:ascii="宋体" w:hAnsi="宋体" w:cs="宋体"/>
          <w:b/>
          <w:color w:val="auto"/>
          <w:spacing w:val="6"/>
          <w:sz w:val="32"/>
          <w:szCs w:val="32"/>
          <w:highlight w:val="none"/>
        </w:rPr>
      </w:pPr>
    </w:p>
    <w:p w14:paraId="1472A56A">
      <w:pPr>
        <w:spacing w:line="360" w:lineRule="auto"/>
        <w:jc w:val="center"/>
        <w:rPr>
          <w:rFonts w:ascii="宋体" w:hAnsi="宋体" w:cs="宋体"/>
          <w:b/>
          <w:color w:val="auto"/>
          <w:spacing w:val="6"/>
          <w:sz w:val="32"/>
          <w:szCs w:val="32"/>
          <w:highlight w:val="none"/>
        </w:rPr>
      </w:pPr>
    </w:p>
    <w:p w14:paraId="29F65792">
      <w:pPr>
        <w:spacing w:line="360" w:lineRule="auto"/>
        <w:jc w:val="left"/>
        <w:rPr>
          <w:rFonts w:ascii="宋体" w:hAnsi="宋体" w:cs="宋体"/>
          <w:b/>
          <w:color w:val="auto"/>
          <w:spacing w:val="6"/>
          <w:sz w:val="32"/>
          <w:szCs w:val="32"/>
          <w:highlight w:val="none"/>
        </w:rPr>
      </w:pPr>
    </w:p>
    <w:p w14:paraId="718F4378">
      <w:pPr>
        <w:spacing w:line="360" w:lineRule="auto"/>
        <w:jc w:val="left"/>
        <w:rPr>
          <w:rFonts w:ascii="宋体" w:hAnsi="宋体" w:cs="宋体"/>
          <w:b/>
          <w:color w:val="auto"/>
          <w:spacing w:val="6"/>
          <w:sz w:val="32"/>
          <w:szCs w:val="32"/>
          <w:highlight w:val="none"/>
        </w:rPr>
      </w:pPr>
    </w:p>
    <w:p w14:paraId="2FDA952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D10DE29">
      <w:pPr>
        <w:spacing w:line="360" w:lineRule="auto"/>
        <w:jc w:val="center"/>
        <w:rPr>
          <w:rFonts w:ascii="宋体" w:hAnsi="宋体" w:cs="宋体"/>
          <w:b/>
          <w:color w:val="auto"/>
          <w:sz w:val="24"/>
          <w:highlight w:val="none"/>
        </w:rPr>
      </w:pPr>
    </w:p>
    <w:p w14:paraId="556F4A3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047B862">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A18C62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13C203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AAC3F5C">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F15F63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FF8608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C4F27C0">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549E19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3B6DD8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DFEDF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42568B">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D7EE68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150FA84">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5CBAFE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47EF84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2363F65">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85C77F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8E42FB6">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44D6549">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EB85170">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173620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082DA67">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84E8BC3">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9336EE3">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D610F6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B22F31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71505C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0C8D65C">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E53302C">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5BE1279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5EA477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EC0398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AC70BEC">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0A26AD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7F849F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0F40642">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B3CC7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B574B7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AAE87B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972E6A5">
      <w:pPr>
        <w:spacing w:line="360" w:lineRule="auto"/>
        <w:rPr>
          <w:rFonts w:ascii="宋体" w:hAnsi="宋体" w:cs="宋体"/>
          <w:b/>
          <w:color w:val="auto"/>
          <w:sz w:val="24"/>
          <w:highlight w:val="none"/>
        </w:rPr>
      </w:pPr>
    </w:p>
    <w:p w14:paraId="485E4095">
      <w:pPr>
        <w:spacing w:line="360" w:lineRule="auto"/>
        <w:rPr>
          <w:rFonts w:ascii="宋体" w:hAnsi="宋体" w:cs="宋体"/>
          <w:b/>
          <w:color w:val="auto"/>
          <w:sz w:val="24"/>
          <w:highlight w:val="none"/>
        </w:rPr>
      </w:pPr>
    </w:p>
    <w:p w14:paraId="3E551B4D">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B3BE3A6">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5FFC86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5971473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718F78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D73CD1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1D63BC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1A54C3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84AF514">
      <w:pPr>
        <w:spacing w:line="360" w:lineRule="auto"/>
        <w:rPr>
          <w:rFonts w:ascii="宋体" w:hAnsi="宋体" w:cs="宋体"/>
          <w:b/>
          <w:color w:val="auto"/>
          <w:sz w:val="24"/>
          <w:highlight w:val="none"/>
        </w:rPr>
      </w:pPr>
    </w:p>
    <w:p w14:paraId="744DE33F">
      <w:pPr>
        <w:autoSpaceDE w:val="0"/>
        <w:autoSpaceDN w:val="0"/>
        <w:jc w:val="center"/>
        <w:rPr>
          <w:rFonts w:ascii="宋体" w:hAnsi="宋体" w:cs="宋体"/>
          <w:b/>
          <w:color w:val="auto"/>
          <w:spacing w:val="6"/>
          <w:sz w:val="32"/>
          <w:szCs w:val="32"/>
          <w:highlight w:val="none"/>
        </w:rPr>
      </w:pPr>
    </w:p>
    <w:p w14:paraId="0708F419">
      <w:pPr>
        <w:autoSpaceDE w:val="0"/>
        <w:autoSpaceDN w:val="0"/>
        <w:jc w:val="center"/>
        <w:rPr>
          <w:rFonts w:ascii="宋体" w:hAnsi="宋体" w:cs="宋体"/>
          <w:b/>
          <w:color w:val="auto"/>
          <w:spacing w:val="6"/>
          <w:sz w:val="32"/>
          <w:szCs w:val="32"/>
          <w:highlight w:val="none"/>
        </w:rPr>
      </w:pPr>
    </w:p>
    <w:p w14:paraId="76A8D87A">
      <w:pPr>
        <w:autoSpaceDE w:val="0"/>
        <w:autoSpaceDN w:val="0"/>
        <w:jc w:val="left"/>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0361E44">
      <w:pPr>
        <w:spacing w:line="360" w:lineRule="auto"/>
        <w:rPr>
          <w:rFonts w:ascii="宋体" w:hAnsi="宋体" w:cs="宋体"/>
          <w:color w:val="auto"/>
          <w:sz w:val="24"/>
          <w:highlight w:val="none"/>
          <w:u w:val="single"/>
        </w:rPr>
      </w:pPr>
    </w:p>
    <w:p w14:paraId="25729989">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631D7BA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0E78A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6449CB0">
      <w:pPr>
        <w:spacing w:line="360" w:lineRule="auto"/>
        <w:ind w:firstLine="494"/>
        <w:rPr>
          <w:rFonts w:ascii="宋体" w:hAnsi="宋体" w:cs="宋体"/>
          <w:color w:val="auto"/>
          <w:sz w:val="24"/>
          <w:highlight w:val="none"/>
        </w:rPr>
      </w:pPr>
    </w:p>
    <w:p w14:paraId="4B827CF5">
      <w:pPr>
        <w:spacing w:line="360" w:lineRule="auto"/>
        <w:ind w:firstLine="494"/>
        <w:rPr>
          <w:rFonts w:ascii="宋体" w:hAnsi="宋体" w:cs="宋体"/>
          <w:color w:val="auto"/>
          <w:sz w:val="24"/>
          <w:highlight w:val="none"/>
        </w:rPr>
      </w:pPr>
    </w:p>
    <w:p w14:paraId="6E2F2FB2">
      <w:pPr>
        <w:spacing w:line="360" w:lineRule="auto"/>
        <w:ind w:firstLine="494"/>
        <w:rPr>
          <w:rFonts w:ascii="宋体" w:hAnsi="宋体" w:cs="宋体"/>
          <w:color w:val="auto"/>
          <w:sz w:val="24"/>
          <w:highlight w:val="none"/>
        </w:rPr>
      </w:pPr>
    </w:p>
    <w:p w14:paraId="66650CF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D9B32A2">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48C7C80D">
      <w:pPr>
        <w:rPr>
          <w:rFonts w:ascii="宋体" w:hAnsi="宋体" w:cs="宋体"/>
          <w:color w:val="auto"/>
          <w:sz w:val="24"/>
          <w:highlight w:val="none"/>
        </w:rPr>
      </w:pPr>
      <w:r>
        <w:rPr>
          <w:rFonts w:hint="eastAsia" w:ascii="宋体" w:hAnsi="宋体" w:cs="宋体"/>
          <w:b/>
          <w:bCs/>
          <w:color w:val="auto"/>
          <w:sz w:val="24"/>
          <w:highlight w:val="none"/>
        </w:rPr>
        <w:t>附：</w:t>
      </w:r>
    </w:p>
    <w:p w14:paraId="07CA6EF5">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anchor="t" anchorCtr="0"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OYhHXAQCAAAmBAAADgAAAGRycy9lMm9Eb2MueG1srVPB&#10;btswDL0P2D8Iui923CbdjDjFkCC7dFuxbh+gyLItTBI1SonTff1oOUnTbocepoMgiuTT4yO1uD1Y&#10;w/YKgwZX8ekk50w5CbV2bcV/fN+8e89ZiMLVwoBTFX9Ugd8u375Z9L5UBXRgaoWMQFwoe1/xLkZf&#10;ZlmQnbIiTMArR84G0IpIJrZZjaIndGuyIs/nWQ9YewSpQqDb9ejkR0R8DSA0jZZqDXJnlYsjKioj&#10;IpUUOu0DXya2TaNk/No0QUVmKk6VxrTTI3TeDnu2XIiyReE7LY8UxGsovKjJCu3o0TPUWkTBdqj/&#10;grJaIgRo4kSCzcZCkiJUxTR/oc1DJ7xKtZDUwZ9FD/8PVn7Z3yPTdcWvOHPCUsO/kWjCtUax6c2g&#10;T+9DSWEP/h6HCoO/A/kzMAerjsLUR0ToOyVqYjUd4rNnCYMRKJVt+89QE7zYRUhSHRq0AyCJwA6p&#10;I4/njqhDZJIui5v8+no+40ySryhmV/PpLL0hylO6xxA/KbBsOFQciX2CF/u7EAc6ojyFJPpgdL3R&#10;xiQD2+3KINsLGo9NWkf0cBlmHOsr/mFWzBLyM1+4hMjT+heE1ZF+jdGWyrgMMu4o2KDRqPUW6kfS&#10;C2EcVvqqdOgAf3PW06BWPPzaCVScCSfpuuLxdFzFcbJ3HnXbUdZTP2h8khTHUR/m89JOJJ6+9/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ZAPP9gAAAAKAQAADwAAAAAAAAABACAAAAAiAAAAZHJz&#10;L2Rvd25yZXYueG1sUEsBAhQAFAAAAAgAh07iQDmIR1wEAgAAJgQAAA4AAAAAAAAAAQAgAAAAJwEA&#10;AGRycy9lMm9Eb2MueG1sUEsFBgAAAAAGAAYAWQEAAJ0FA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anchor="t" anchorCtr="0"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NAC9swQCAAAmBAAADgAAAGRycy9lMm9Eb2MueG1srVPB&#10;btswDL0P2D8Iui9OvCZbjTjFkCC7dFvRbh+gyLItTBI1SomTff1oOUnTroceqoMgiuQT3yM1v9lb&#10;w3YKgwZX8slozJlyEirtmpL/+rn+8JmzEIWrhAGnSn5Qgd8s3r+bd75QObRgKoWMQFwoOl/yNkZf&#10;ZFmQrbIijMArR84a0IpIJjZZhaIjdGuyfDyeZR1g5RGkCoFuV4OTHxHxNYBQ11qqFcitVS4OqKiM&#10;iEQptNoHvkjV1rWS8UddBxWZKTkxjWmnR+i86fdsMRdFg8K3Wh5LEK8p4RknK7SjR89QKxEF26L+&#10;D8pqiRCgjiMJNhuIJEWIxWT8TJuHVniVuJDUwZ9FD28HK7/v7pDpquRXnDlhqeH3JJpwjVFsMuv1&#10;6XwoKOzB32HPMPhbkL8Dc7BsKUx9QYSuVaKiqiZ9fPYkoTcCpbJN9w0qghfbCEmqfY22ByQR2D51&#10;5HDuiNpHJukyn119up5SsyT58nz6cTaZpjdEcUr3GOJXBZb1h5IjVZ/gxe42xL4cUZxCUvlgdLXW&#10;xiQDm83SINsJGo91Wkf0cBlmHOtKfj3Npwn5iS9cQozTegnC6ki/xmhLNC6DjDsK1ms0aL2B6kB6&#10;IQzDSl+VDi3gX846GtSShz9bgYoz4SRdlzyejss4TPbWo25aynrsB41PkuI46v18XtqpiMfvvfg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YxHptgAAAAKAQAADwAAAAAAAAABACAAAAAiAAAAZHJz&#10;L2Rvd25yZXYueG1sUEsBAhQAFAAAAAgAh07iQDQAvbMEAgAAJgQAAA4AAAAAAAAAAQAgAAAAJwEA&#10;AGRycy9lMm9Eb2MueG1sUEsFBgAAAAAGAAYAWQEAAJ0FA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5C331FF2">
      <w:pPr>
        <w:autoSpaceDE w:val="0"/>
        <w:autoSpaceDN w:val="0"/>
        <w:jc w:val="center"/>
        <w:rPr>
          <w:rFonts w:ascii="宋体" w:hAnsi="宋体" w:cs="宋体"/>
          <w:b/>
          <w:color w:val="auto"/>
          <w:spacing w:val="6"/>
          <w:sz w:val="32"/>
          <w:szCs w:val="32"/>
          <w:highlight w:val="none"/>
        </w:rPr>
      </w:pPr>
    </w:p>
    <w:p w14:paraId="5E93B065">
      <w:pPr>
        <w:autoSpaceDE w:val="0"/>
        <w:autoSpaceDN w:val="0"/>
        <w:jc w:val="center"/>
        <w:rPr>
          <w:rFonts w:ascii="宋体" w:hAnsi="宋体" w:cs="宋体"/>
          <w:b/>
          <w:color w:val="auto"/>
          <w:spacing w:val="6"/>
          <w:sz w:val="32"/>
          <w:szCs w:val="32"/>
          <w:highlight w:val="none"/>
        </w:rPr>
      </w:pPr>
    </w:p>
    <w:p w14:paraId="39058F28">
      <w:pPr>
        <w:autoSpaceDE w:val="0"/>
        <w:autoSpaceDN w:val="0"/>
        <w:jc w:val="center"/>
        <w:rPr>
          <w:rFonts w:ascii="宋体" w:hAnsi="宋体" w:cs="宋体"/>
          <w:b/>
          <w:color w:val="auto"/>
          <w:spacing w:val="6"/>
          <w:sz w:val="32"/>
          <w:szCs w:val="32"/>
          <w:highlight w:val="none"/>
        </w:rPr>
      </w:pPr>
    </w:p>
    <w:p w14:paraId="12FE5620">
      <w:pPr>
        <w:autoSpaceDE w:val="0"/>
        <w:autoSpaceDN w:val="0"/>
        <w:jc w:val="center"/>
        <w:rPr>
          <w:rFonts w:ascii="宋体" w:hAnsi="宋体" w:cs="宋体"/>
          <w:b/>
          <w:color w:val="auto"/>
          <w:spacing w:val="6"/>
          <w:sz w:val="32"/>
          <w:szCs w:val="32"/>
          <w:highlight w:val="none"/>
        </w:rPr>
      </w:pPr>
    </w:p>
    <w:p w14:paraId="21AA828E">
      <w:pPr>
        <w:autoSpaceDE w:val="0"/>
        <w:autoSpaceDN w:val="0"/>
        <w:jc w:val="center"/>
        <w:rPr>
          <w:rFonts w:ascii="宋体" w:hAnsi="宋体" w:cs="宋体"/>
          <w:b/>
          <w:color w:val="auto"/>
          <w:spacing w:val="6"/>
          <w:sz w:val="32"/>
          <w:szCs w:val="32"/>
          <w:highlight w:val="none"/>
        </w:rPr>
      </w:pPr>
    </w:p>
    <w:p w14:paraId="5A39FE23">
      <w:pPr>
        <w:autoSpaceDE w:val="0"/>
        <w:autoSpaceDN w:val="0"/>
        <w:jc w:val="center"/>
        <w:rPr>
          <w:rFonts w:ascii="宋体" w:hAnsi="宋体" w:cs="宋体"/>
          <w:b/>
          <w:color w:val="auto"/>
          <w:spacing w:val="6"/>
          <w:sz w:val="32"/>
          <w:szCs w:val="32"/>
          <w:highlight w:val="none"/>
        </w:rPr>
      </w:pPr>
    </w:p>
    <w:p w14:paraId="275C1E22">
      <w:pPr>
        <w:autoSpaceDE w:val="0"/>
        <w:autoSpaceDN w:val="0"/>
        <w:jc w:val="center"/>
        <w:rPr>
          <w:rFonts w:ascii="宋体" w:hAnsi="宋体" w:cs="宋体"/>
          <w:b/>
          <w:color w:val="auto"/>
          <w:spacing w:val="6"/>
          <w:sz w:val="32"/>
          <w:szCs w:val="32"/>
          <w:highlight w:val="none"/>
        </w:rPr>
      </w:pPr>
    </w:p>
    <w:p w14:paraId="1CF2BAF0">
      <w:pPr>
        <w:autoSpaceDE w:val="0"/>
        <w:autoSpaceDN w:val="0"/>
        <w:jc w:val="center"/>
        <w:rPr>
          <w:rFonts w:ascii="宋体" w:hAnsi="宋体" w:cs="宋体"/>
          <w:b/>
          <w:color w:val="auto"/>
          <w:spacing w:val="6"/>
          <w:sz w:val="32"/>
          <w:szCs w:val="32"/>
          <w:highlight w:val="none"/>
        </w:rPr>
      </w:pPr>
    </w:p>
    <w:p w14:paraId="65C3441A">
      <w:pPr>
        <w:autoSpaceDE w:val="0"/>
        <w:autoSpaceDN w:val="0"/>
        <w:jc w:val="center"/>
        <w:rPr>
          <w:rFonts w:ascii="宋体" w:hAnsi="宋体" w:cs="宋体"/>
          <w:b/>
          <w:color w:val="auto"/>
          <w:spacing w:val="6"/>
          <w:sz w:val="32"/>
          <w:szCs w:val="32"/>
          <w:highlight w:val="none"/>
        </w:rPr>
      </w:pPr>
    </w:p>
    <w:p w14:paraId="24971C81">
      <w:pPr>
        <w:autoSpaceDE w:val="0"/>
        <w:autoSpaceDN w:val="0"/>
        <w:jc w:val="center"/>
        <w:rPr>
          <w:rFonts w:ascii="宋体" w:hAnsi="宋体" w:cs="宋体"/>
          <w:b/>
          <w:color w:val="auto"/>
          <w:spacing w:val="6"/>
          <w:sz w:val="32"/>
          <w:szCs w:val="32"/>
          <w:highlight w:val="none"/>
        </w:rPr>
      </w:pPr>
    </w:p>
    <w:p w14:paraId="6CF560DE">
      <w:pPr>
        <w:autoSpaceDE w:val="0"/>
        <w:autoSpaceDN w:val="0"/>
        <w:jc w:val="center"/>
        <w:rPr>
          <w:rFonts w:ascii="宋体" w:hAnsi="宋体" w:cs="宋体"/>
          <w:b/>
          <w:color w:val="auto"/>
          <w:spacing w:val="6"/>
          <w:sz w:val="32"/>
          <w:szCs w:val="32"/>
          <w:highlight w:val="none"/>
        </w:rPr>
      </w:pPr>
    </w:p>
    <w:p w14:paraId="0217FF76">
      <w:pPr>
        <w:autoSpaceDE w:val="0"/>
        <w:autoSpaceDN w:val="0"/>
        <w:jc w:val="center"/>
        <w:rPr>
          <w:rFonts w:ascii="宋体" w:hAnsi="宋体" w:cs="宋体"/>
          <w:b/>
          <w:color w:val="auto"/>
          <w:spacing w:val="6"/>
          <w:sz w:val="32"/>
          <w:szCs w:val="32"/>
          <w:highlight w:val="none"/>
        </w:rPr>
      </w:pPr>
    </w:p>
    <w:p w14:paraId="72B7CE5D">
      <w:pPr>
        <w:autoSpaceDE w:val="0"/>
        <w:autoSpaceDN w:val="0"/>
        <w:jc w:val="center"/>
        <w:rPr>
          <w:rFonts w:ascii="宋体" w:hAnsi="宋体" w:cs="宋体"/>
          <w:b/>
          <w:color w:val="auto"/>
          <w:spacing w:val="6"/>
          <w:sz w:val="32"/>
          <w:szCs w:val="32"/>
          <w:highlight w:val="none"/>
        </w:rPr>
      </w:pPr>
    </w:p>
    <w:p w14:paraId="16F6813E">
      <w:pPr>
        <w:autoSpaceDE w:val="0"/>
        <w:autoSpaceDN w:val="0"/>
        <w:jc w:val="center"/>
        <w:rPr>
          <w:rFonts w:ascii="宋体" w:hAnsi="宋体" w:cs="宋体"/>
          <w:b/>
          <w:color w:val="auto"/>
          <w:spacing w:val="6"/>
          <w:sz w:val="32"/>
          <w:szCs w:val="32"/>
          <w:highlight w:val="none"/>
        </w:rPr>
      </w:pPr>
    </w:p>
    <w:p w14:paraId="352220FE">
      <w:pPr>
        <w:autoSpaceDE w:val="0"/>
        <w:autoSpaceDN w:val="0"/>
        <w:jc w:val="center"/>
        <w:rPr>
          <w:rFonts w:ascii="宋体" w:hAnsi="宋体" w:cs="宋体"/>
          <w:b/>
          <w:color w:val="auto"/>
          <w:spacing w:val="6"/>
          <w:sz w:val="32"/>
          <w:szCs w:val="32"/>
          <w:highlight w:val="none"/>
        </w:rPr>
      </w:pPr>
    </w:p>
    <w:p w14:paraId="5B630689">
      <w:pPr>
        <w:autoSpaceDE w:val="0"/>
        <w:autoSpaceDN w:val="0"/>
        <w:jc w:val="center"/>
        <w:rPr>
          <w:rFonts w:ascii="宋体" w:hAnsi="宋体" w:cs="宋体"/>
          <w:b/>
          <w:color w:val="auto"/>
          <w:spacing w:val="6"/>
          <w:sz w:val="32"/>
          <w:szCs w:val="32"/>
          <w:highlight w:val="none"/>
        </w:rPr>
      </w:pPr>
    </w:p>
    <w:p w14:paraId="53A81936">
      <w:pPr>
        <w:autoSpaceDE w:val="0"/>
        <w:autoSpaceDN w:val="0"/>
        <w:jc w:val="center"/>
        <w:rPr>
          <w:rFonts w:ascii="宋体" w:hAnsi="宋体" w:cs="宋体"/>
          <w:b/>
          <w:color w:val="auto"/>
          <w:spacing w:val="6"/>
          <w:sz w:val="32"/>
          <w:szCs w:val="32"/>
          <w:highlight w:val="none"/>
        </w:rPr>
      </w:pPr>
    </w:p>
    <w:p w14:paraId="426C339E">
      <w:pPr>
        <w:autoSpaceDE w:val="0"/>
        <w:autoSpaceDN w:val="0"/>
        <w:jc w:val="center"/>
        <w:rPr>
          <w:rFonts w:ascii="宋体" w:hAnsi="宋体" w:cs="宋体"/>
          <w:b/>
          <w:color w:val="auto"/>
          <w:spacing w:val="6"/>
          <w:sz w:val="32"/>
          <w:szCs w:val="32"/>
          <w:highlight w:val="none"/>
        </w:rPr>
      </w:pPr>
    </w:p>
    <w:p w14:paraId="48FCD1F4">
      <w:pPr>
        <w:snapToGrid w:val="0"/>
        <w:spacing w:line="360" w:lineRule="auto"/>
        <w:jc w:val="left"/>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r>
        <w:rPr>
          <w:rFonts w:hint="eastAsia" w:ascii="宋体" w:hAnsi="宋体" w:cs="宋体"/>
          <w:b/>
          <w:color w:val="auto"/>
          <w:kern w:val="0"/>
          <w:sz w:val="32"/>
          <w:szCs w:val="32"/>
          <w:highlight w:val="none"/>
          <w:lang w:eastAsia="zh-CN"/>
        </w:rPr>
        <w:t>（</w:t>
      </w:r>
      <w:r>
        <w:rPr>
          <w:rFonts w:hint="eastAsia" w:ascii="宋体" w:hAnsi="宋体" w:cs="宋体"/>
          <w:b/>
          <w:color w:val="auto"/>
          <w:kern w:val="0"/>
          <w:sz w:val="32"/>
          <w:szCs w:val="32"/>
          <w:highlight w:val="none"/>
          <w:lang w:val="en-US" w:eastAsia="zh-CN"/>
        </w:rPr>
        <w:t>本项目不适用</w:t>
      </w:r>
      <w:r>
        <w:rPr>
          <w:rFonts w:hint="eastAsia" w:ascii="宋体" w:hAnsi="宋体" w:cs="宋体"/>
          <w:b/>
          <w:color w:val="auto"/>
          <w:kern w:val="0"/>
          <w:sz w:val="32"/>
          <w:szCs w:val="32"/>
          <w:highlight w:val="none"/>
          <w:lang w:eastAsia="zh-CN"/>
        </w:rPr>
        <w:t>）</w:t>
      </w:r>
    </w:p>
    <w:p w14:paraId="116DF33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2EA41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4B24E1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7F6F2A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B79042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62709F6">
      <w:pPr>
        <w:snapToGrid w:val="0"/>
        <w:spacing w:line="360" w:lineRule="auto"/>
        <w:ind w:firstLine="576"/>
        <w:rPr>
          <w:rFonts w:ascii="宋体" w:hAnsi="宋体" w:cs="宋体"/>
          <w:color w:val="auto"/>
          <w:kern w:val="0"/>
          <w:sz w:val="24"/>
          <w:highlight w:val="none"/>
          <w:lang w:val="zh-CN"/>
        </w:rPr>
      </w:pPr>
      <w:bookmarkStart w:id="48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B7305A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DE59C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83"/>
    <w:p w14:paraId="18951D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A6E533F">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B1E90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44D6A0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E81C3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6AB810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B018B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62E2C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F843C0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联合体成员名称(公章)：</w:t>
      </w:r>
    </w:p>
    <w:p w14:paraId="3A6A1D0A">
      <w:pPr>
        <w:snapToGrid w:val="0"/>
        <w:spacing w:line="360" w:lineRule="auto"/>
        <w:ind w:firstLine="5040" w:firstLineChars="2100"/>
        <w:rPr>
          <w:rStyle w:val="83"/>
          <w:color w:val="auto"/>
          <w:highlight w:val="none"/>
        </w:rPr>
      </w:pPr>
      <w:r>
        <w:rPr>
          <w:rStyle w:val="83"/>
          <w:rFonts w:hint="eastAsia"/>
          <w:color w:val="auto"/>
          <w:highlight w:val="none"/>
        </w:rPr>
        <w:t>法定代表人（负责人） (签名)：</w:t>
      </w:r>
    </w:p>
    <w:p w14:paraId="454126D1">
      <w:pPr>
        <w:snapToGrid w:val="0"/>
        <w:spacing w:line="360" w:lineRule="auto"/>
        <w:ind w:firstLine="5040" w:firstLineChars="2100"/>
        <w:rPr>
          <w:rFonts w:ascii="宋体" w:hAnsi="宋体" w:cs="宋体"/>
          <w:color w:val="auto"/>
          <w:kern w:val="0"/>
          <w:sz w:val="24"/>
          <w:highlight w:val="none"/>
          <w:lang w:val="zh-CN"/>
        </w:rPr>
      </w:pPr>
      <w:r>
        <w:rPr>
          <w:rStyle w:val="83"/>
          <w:rFonts w:hint="eastAsia"/>
          <w:color w:val="auto"/>
          <w:highlight w:val="none"/>
        </w:rPr>
        <w:t>联合体成</w:t>
      </w:r>
      <w:r>
        <w:rPr>
          <w:rFonts w:hint="eastAsia" w:ascii="宋体" w:hAnsi="宋体" w:cs="宋体"/>
          <w:color w:val="auto"/>
          <w:kern w:val="0"/>
          <w:sz w:val="24"/>
          <w:highlight w:val="none"/>
          <w:lang w:val="zh-CN"/>
        </w:rPr>
        <w:t>员名称(公章)：</w:t>
      </w:r>
    </w:p>
    <w:p w14:paraId="1ADA47C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法定代表人（负责人） (签名)：</w:t>
      </w:r>
    </w:p>
    <w:p w14:paraId="49DC1CDE">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4068BEC">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28ED70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BB70BBC">
      <w:pPr>
        <w:autoSpaceDE w:val="0"/>
        <w:autoSpaceDN w:val="0"/>
        <w:jc w:val="center"/>
        <w:rPr>
          <w:rFonts w:ascii="宋体" w:hAnsi="宋体" w:cs="宋体"/>
          <w:b/>
          <w:color w:val="auto"/>
          <w:spacing w:val="6"/>
          <w:sz w:val="32"/>
          <w:szCs w:val="32"/>
          <w:highlight w:val="none"/>
        </w:rPr>
      </w:pPr>
    </w:p>
    <w:p w14:paraId="3C9ABC40">
      <w:pPr>
        <w:autoSpaceDE w:val="0"/>
        <w:autoSpaceDN w:val="0"/>
        <w:jc w:val="center"/>
        <w:rPr>
          <w:rFonts w:ascii="宋体" w:hAnsi="宋体" w:cs="宋体"/>
          <w:b/>
          <w:color w:val="auto"/>
          <w:spacing w:val="6"/>
          <w:sz w:val="32"/>
          <w:szCs w:val="32"/>
          <w:highlight w:val="none"/>
        </w:rPr>
      </w:pPr>
    </w:p>
    <w:p w14:paraId="6E8549E0">
      <w:pPr>
        <w:autoSpaceDE w:val="0"/>
        <w:autoSpaceDN w:val="0"/>
        <w:jc w:val="center"/>
        <w:rPr>
          <w:rFonts w:ascii="宋体" w:hAnsi="宋体" w:cs="宋体"/>
          <w:b/>
          <w:color w:val="auto"/>
          <w:spacing w:val="6"/>
          <w:sz w:val="32"/>
          <w:szCs w:val="32"/>
          <w:highlight w:val="none"/>
        </w:rPr>
      </w:pPr>
    </w:p>
    <w:p w14:paraId="59659FC0">
      <w:pPr>
        <w:autoSpaceDE w:val="0"/>
        <w:autoSpaceDN w:val="0"/>
        <w:jc w:val="center"/>
        <w:rPr>
          <w:rFonts w:ascii="宋体" w:hAnsi="宋体" w:cs="宋体"/>
          <w:b/>
          <w:color w:val="auto"/>
          <w:spacing w:val="6"/>
          <w:sz w:val="32"/>
          <w:szCs w:val="32"/>
          <w:highlight w:val="none"/>
        </w:rPr>
      </w:pPr>
    </w:p>
    <w:p w14:paraId="4ABA1AA3">
      <w:pPr>
        <w:autoSpaceDE w:val="0"/>
        <w:autoSpaceDN w:val="0"/>
        <w:jc w:val="center"/>
        <w:rPr>
          <w:rFonts w:ascii="宋体" w:hAnsi="宋体" w:cs="宋体"/>
          <w:b/>
          <w:color w:val="auto"/>
          <w:spacing w:val="6"/>
          <w:sz w:val="32"/>
          <w:szCs w:val="32"/>
          <w:highlight w:val="none"/>
        </w:rPr>
      </w:pPr>
    </w:p>
    <w:p w14:paraId="123216DD">
      <w:pPr>
        <w:autoSpaceDE w:val="0"/>
        <w:autoSpaceDN w:val="0"/>
        <w:jc w:val="center"/>
        <w:rPr>
          <w:rFonts w:ascii="宋体" w:hAnsi="宋体" w:cs="宋体"/>
          <w:b/>
          <w:color w:val="auto"/>
          <w:spacing w:val="6"/>
          <w:sz w:val="32"/>
          <w:szCs w:val="32"/>
          <w:highlight w:val="none"/>
        </w:rPr>
      </w:pPr>
    </w:p>
    <w:p w14:paraId="4CC26B2F">
      <w:pPr>
        <w:autoSpaceDE w:val="0"/>
        <w:autoSpaceDN w:val="0"/>
        <w:jc w:val="center"/>
        <w:rPr>
          <w:rFonts w:ascii="宋体" w:hAnsi="宋体" w:cs="宋体"/>
          <w:b/>
          <w:color w:val="auto"/>
          <w:spacing w:val="6"/>
          <w:sz w:val="32"/>
          <w:szCs w:val="32"/>
          <w:highlight w:val="none"/>
        </w:rPr>
      </w:pPr>
    </w:p>
    <w:p w14:paraId="7C33EE59">
      <w:pPr>
        <w:autoSpaceDE w:val="0"/>
        <w:autoSpaceDN w:val="0"/>
        <w:jc w:val="center"/>
        <w:rPr>
          <w:rFonts w:ascii="宋体" w:hAnsi="宋体" w:cs="宋体"/>
          <w:b/>
          <w:color w:val="auto"/>
          <w:spacing w:val="6"/>
          <w:sz w:val="32"/>
          <w:szCs w:val="32"/>
          <w:highlight w:val="none"/>
        </w:rPr>
      </w:pPr>
    </w:p>
    <w:p w14:paraId="02191A11">
      <w:pPr>
        <w:autoSpaceDE w:val="0"/>
        <w:autoSpaceDN w:val="0"/>
        <w:jc w:val="center"/>
        <w:rPr>
          <w:rFonts w:ascii="宋体" w:hAnsi="宋体" w:cs="宋体"/>
          <w:b/>
          <w:color w:val="auto"/>
          <w:spacing w:val="6"/>
          <w:sz w:val="32"/>
          <w:szCs w:val="32"/>
          <w:highlight w:val="none"/>
        </w:rPr>
      </w:pPr>
    </w:p>
    <w:p w14:paraId="4932434E">
      <w:pPr>
        <w:autoSpaceDE w:val="0"/>
        <w:autoSpaceDN w:val="0"/>
        <w:jc w:val="center"/>
        <w:rPr>
          <w:rFonts w:ascii="宋体" w:hAnsi="宋体" w:cs="宋体"/>
          <w:b/>
          <w:color w:val="auto"/>
          <w:spacing w:val="6"/>
          <w:sz w:val="32"/>
          <w:szCs w:val="32"/>
          <w:highlight w:val="none"/>
        </w:rPr>
      </w:pPr>
    </w:p>
    <w:p w14:paraId="154BC5F8">
      <w:pPr>
        <w:autoSpaceDE w:val="0"/>
        <w:autoSpaceDN w:val="0"/>
        <w:jc w:val="center"/>
        <w:rPr>
          <w:rFonts w:ascii="宋体" w:hAnsi="宋体" w:cs="宋体"/>
          <w:b/>
          <w:color w:val="auto"/>
          <w:spacing w:val="6"/>
          <w:sz w:val="32"/>
          <w:szCs w:val="32"/>
          <w:highlight w:val="none"/>
        </w:rPr>
      </w:pPr>
    </w:p>
    <w:p w14:paraId="619FFEE9">
      <w:pPr>
        <w:autoSpaceDE w:val="0"/>
        <w:autoSpaceDN w:val="0"/>
        <w:jc w:val="center"/>
        <w:rPr>
          <w:rFonts w:ascii="宋体" w:hAnsi="宋体" w:cs="宋体"/>
          <w:b/>
          <w:color w:val="auto"/>
          <w:spacing w:val="6"/>
          <w:sz w:val="32"/>
          <w:szCs w:val="32"/>
          <w:highlight w:val="none"/>
        </w:rPr>
      </w:pPr>
    </w:p>
    <w:p w14:paraId="3DF4C285">
      <w:pPr>
        <w:autoSpaceDE w:val="0"/>
        <w:autoSpaceDN w:val="0"/>
        <w:jc w:val="center"/>
        <w:rPr>
          <w:rFonts w:ascii="宋体" w:hAnsi="宋体" w:cs="宋体"/>
          <w:b/>
          <w:color w:val="auto"/>
          <w:spacing w:val="6"/>
          <w:sz w:val="32"/>
          <w:szCs w:val="32"/>
          <w:highlight w:val="none"/>
        </w:rPr>
      </w:pPr>
    </w:p>
    <w:p w14:paraId="19E25472">
      <w:pPr>
        <w:autoSpaceDE w:val="0"/>
        <w:autoSpaceDN w:val="0"/>
        <w:jc w:val="center"/>
        <w:rPr>
          <w:rFonts w:ascii="宋体" w:hAnsi="宋体" w:cs="宋体"/>
          <w:b/>
          <w:color w:val="auto"/>
          <w:spacing w:val="6"/>
          <w:sz w:val="32"/>
          <w:szCs w:val="32"/>
          <w:highlight w:val="none"/>
        </w:rPr>
      </w:pPr>
    </w:p>
    <w:p w14:paraId="08E7EDBB">
      <w:pPr>
        <w:autoSpaceDE w:val="0"/>
        <w:autoSpaceDN w:val="0"/>
        <w:jc w:val="center"/>
        <w:rPr>
          <w:rFonts w:ascii="宋体" w:hAnsi="宋体" w:cs="宋体"/>
          <w:b/>
          <w:color w:val="auto"/>
          <w:spacing w:val="6"/>
          <w:sz w:val="32"/>
          <w:szCs w:val="32"/>
          <w:highlight w:val="none"/>
        </w:rPr>
      </w:pPr>
    </w:p>
    <w:p w14:paraId="4CBE9C09">
      <w:pPr>
        <w:autoSpaceDE w:val="0"/>
        <w:autoSpaceDN w:val="0"/>
        <w:jc w:val="center"/>
        <w:rPr>
          <w:rFonts w:ascii="宋体" w:hAnsi="宋体" w:cs="宋体"/>
          <w:b/>
          <w:color w:val="auto"/>
          <w:spacing w:val="6"/>
          <w:sz w:val="32"/>
          <w:szCs w:val="32"/>
          <w:highlight w:val="none"/>
        </w:rPr>
      </w:pPr>
    </w:p>
    <w:p w14:paraId="56EE0422">
      <w:pPr>
        <w:autoSpaceDE w:val="0"/>
        <w:autoSpaceDN w:val="0"/>
        <w:jc w:val="center"/>
        <w:rPr>
          <w:rFonts w:ascii="宋体" w:hAnsi="宋体" w:cs="宋体"/>
          <w:b/>
          <w:color w:val="auto"/>
          <w:spacing w:val="6"/>
          <w:sz w:val="32"/>
          <w:szCs w:val="32"/>
          <w:highlight w:val="none"/>
        </w:rPr>
      </w:pPr>
    </w:p>
    <w:p w14:paraId="0E0C231C">
      <w:pPr>
        <w:autoSpaceDE w:val="0"/>
        <w:autoSpaceDN w:val="0"/>
        <w:jc w:val="center"/>
        <w:rPr>
          <w:rFonts w:ascii="宋体" w:hAnsi="宋体" w:cs="宋体"/>
          <w:b/>
          <w:color w:val="auto"/>
          <w:spacing w:val="6"/>
          <w:sz w:val="32"/>
          <w:szCs w:val="32"/>
          <w:highlight w:val="none"/>
        </w:rPr>
      </w:pPr>
    </w:p>
    <w:p w14:paraId="3C42A601">
      <w:pPr>
        <w:autoSpaceDE w:val="0"/>
        <w:autoSpaceDN w:val="0"/>
        <w:jc w:val="center"/>
        <w:rPr>
          <w:rFonts w:ascii="宋体" w:hAnsi="宋体" w:cs="宋体"/>
          <w:b/>
          <w:color w:val="auto"/>
          <w:spacing w:val="6"/>
          <w:sz w:val="32"/>
          <w:szCs w:val="32"/>
          <w:highlight w:val="none"/>
        </w:rPr>
      </w:pPr>
    </w:p>
    <w:p w14:paraId="62B31D94">
      <w:pPr>
        <w:autoSpaceDE w:val="0"/>
        <w:autoSpaceDN w:val="0"/>
        <w:jc w:val="center"/>
        <w:rPr>
          <w:rFonts w:ascii="宋体" w:hAnsi="宋体" w:cs="宋体"/>
          <w:b/>
          <w:color w:val="auto"/>
          <w:spacing w:val="6"/>
          <w:sz w:val="32"/>
          <w:szCs w:val="32"/>
          <w:highlight w:val="none"/>
        </w:rPr>
      </w:pPr>
    </w:p>
    <w:p w14:paraId="543FB8AC">
      <w:pPr>
        <w:autoSpaceDE w:val="0"/>
        <w:autoSpaceDN w:val="0"/>
        <w:jc w:val="center"/>
        <w:rPr>
          <w:rFonts w:ascii="宋体" w:hAnsi="宋体" w:cs="宋体"/>
          <w:b/>
          <w:color w:val="auto"/>
          <w:spacing w:val="6"/>
          <w:sz w:val="32"/>
          <w:szCs w:val="32"/>
          <w:highlight w:val="none"/>
        </w:rPr>
      </w:pPr>
    </w:p>
    <w:p w14:paraId="77FBE42A">
      <w:pPr>
        <w:autoSpaceDE w:val="0"/>
        <w:autoSpaceDN w:val="0"/>
        <w:jc w:val="center"/>
        <w:rPr>
          <w:rFonts w:ascii="宋体" w:hAnsi="宋体" w:cs="宋体"/>
          <w:b/>
          <w:color w:val="auto"/>
          <w:spacing w:val="6"/>
          <w:sz w:val="32"/>
          <w:szCs w:val="32"/>
          <w:highlight w:val="none"/>
        </w:rPr>
      </w:pPr>
    </w:p>
    <w:p w14:paraId="724BE91D">
      <w:pPr>
        <w:autoSpaceDE w:val="0"/>
        <w:autoSpaceDN w:val="0"/>
        <w:jc w:val="center"/>
        <w:rPr>
          <w:rFonts w:ascii="宋体" w:hAnsi="宋体" w:cs="宋体"/>
          <w:b/>
          <w:color w:val="auto"/>
          <w:spacing w:val="6"/>
          <w:sz w:val="32"/>
          <w:szCs w:val="32"/>
          <w:highlight w:val="none"/>
        </w:rPr>
      </w:pPr>
    </w:p>
    <w:p w14:paraId="5CCC9C8B">
      <w:pPr>
        <w:autoSpaceDE w:val="0"/>
        <w:autoSpaceDN w:val="0"/>
        <w:jc w:val="center"/>
        <w:rPr>
          <w:rFonts w:ascii="宋体" w:hAnsi="宋体" w:cs="宋体"/>
          <w:b/>
          <w:color w:val="auto"/>
          <w:spacing w:val="6"/>
          <w:sz w:val="32"/>
          <w:szCs w:val="32"/>
          <w:highlight w:val="none"/>
        </w:rPr>
      </w:pPr>
    </w:p>
    <w:p w14:paraId="70C69B33">
      <w:pPr>
        <w:autoSpaceDE w:val="0"/>
        <w:autoSpaceDN w:val="0"/>
        <w:jc w:val="center"/>
        <w:rPr>
          <w:rFonts w:ascii="宋体" w:hAnsi="宋体" w:cs="宋体"/>
          <w:b/>
          <w:color w:val="auto"/>
          <w:spacing w:val="6"/>
          <w:sz w:val="32"/>
          <w:szCs w:val="32"/>
          <w:highlight w:val="none"/>
        </w:rPr>
      </w:pPr>
    </w:p>
    <w:p w14:paraId="24567606">
      <w:pPr>
        <w:snapToGrid w:val="0"/>
        <w:spacing w:line="360" w:lineRule="auto"/>
        <w:jc w:val="left"/>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r>
        <w:rPr>
          <w:rFonts w:hint="eastAsia" w:ascii="宋体" w:hAnsi="宋体" w:cs="宋体"/>
          <w:b/>
          <w:color w:val="auto"/>
          <w:kern w:val="0"/>
          <w:sz w:val="32"/>
          <w:szCs w:val="32"/>
          <w:highlight w:val="none"/>
          <w:lang w:eastAsia="zh-CN"/>
        </w:rPr>
        <w:t>（</w:t>
      </w:r>
      <w:r>
        <w:rPr>
          <w:rFonts w:hint="eastAsia" w:ascii="宋体" w:hAnsi="宋体" w:cs="宋体"/>
          <w:b/>
          <w:color w:val="auto"/>
          <w:kern w:val="0"/>
          <w:sz w:val="32"/>
          <w:szCs w:val="32"/>
          <w:highlight w:val="none"/>
          <w:lang w:val="en-US" w:eastAsia="zh-CN"/>
        </w:rPr>
        <w:t>本项目不适用</w:t>
      </w:r>
      <w:r>
        <w:rPr>
          <w:rFonts w:hint="eastAsia" w:ascii="宋体" w:hAnsi="宋体" w:cs="宋体"/>
          <w:b/>
          <w:color w:val="auto"/>
          <w:kern w:val="0"/>
          <w:sz w:val="32"/>
          <w:szCs w:val="32"/>
          <w:highlight w:val="none"/>
          <w:lang w:eastAsia="zh-CN"/>
        </w:rPr>
        <w:t>）</w:t>
      </w:r>
    </w:p>
    <w:p w14:paraId="06D11D3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4422B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68591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D84098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525FE9C2">
      <w:pPr>
        <w:pStyle w:val="84"/>
        <w:rPr>
          <w:color w:val="auto"/>
          <w:highlight w:val="none"/>
        </w:rPr>
      </w:pPr>
      <w:r>
        <w:rPr>
          <w:rFonts w:hint="eastAsia"/>
          <w:color w:val="auto"/>
          <w:highlight w:val="none"/>
        </w:rPr>
        <w:t>……</w:t>
      </w:r>
    </w:p>
    <w:p w14:paraId="5D2C34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68B966A">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031424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8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84"/>
    </w:p>
    <w:p w14:paraId="61FE2F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12C7DFF">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99851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0AF36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23ECC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8DBFCF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EDF93C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F5FFE2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2170C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4B43A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D7C458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投标人名称(公章)：</w:t>
      </w:r>
    </w:p>
    <w:p w14:paraId="78D59F88">
      <w:pPr>
        <w:snapToGrid w:val="0"/>
        <w:spacing w:line="360" w:lineRule="auto"/>
        <w:rPr>
          <w:rStyle w:val="83"/>
          <w:rFonts w:hint="eastAsia"/>
          <w:color w:val="auto"/>
          <w:highlight w:val="none"/>
        </w:rPr>
      </w:pPr>
      <w:r>
        <w:rPr>
          <w:rStyle w:val="83"/>
          <w:rFonts w:hint="eastAsia"/>
          <w:color w:val="auto"/>
          <w:highlight w:val="none"/>
        </w:rPr>
        <w:t xml:space="preserve">                                              法定代表人（负责人） (签名)：</w:t>
      </w:r>
    </w:p>
    <w:p w14:paraId="7752530E">
      <w:pPr>
        <w:snapToGrid w:val="0"/>
        <w:spacing w:line="360" w:lineRule="auto"/>
        <w:ind w:right="480"/>
        <w:rPr>
          <w:rFonts w:hint="eastAsia" w:ascii="宋体" w:hAnsi="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分包供应商名称(公章)：</w:t>
      </w:r>
    </w:p>
    <w:p w14:paraId="78BCC8D8">
      <w:pPr>
        <w:pStyle w:val="84"/>
        <w:ind w:firstLine="5520" w:firstLineChars="2300"/>
        <w:jc w:val="both"/>
        <w:rPr>
          <w:color w:val="auto"/>
          <w:highlight w:val="none"/>
        </w:rPr>
      </w:pPr>
      <w:r>
        <w:rPr>
          <w:rStyle w:val="83"/>
          <w:rFonts w:hint="eastAsia"/>
          <w:color w:val="auto"/>
          <w:highlight w:val="none"/>
        </w:rPr>
        <w:t>法定代表人（负责人） (签名)：</w:t>
      </w:r>
    </w:p>
    <w:p w14:paraId="70BFFB9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707485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1E1434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82E20FB">
      <w:pPr>
        <w:autoSpaceDE w:val="0"/>
        <w:autoSpaceDN w:val="0"/>
        <w:jc w:val="center"/>
        <w:rPr>
          <w:rFonts w:ascii="宋体" w:hAnsi="宋体" w:cs="宋体"/>
          <w:b/>
          <w:color w:val="auto"/>
          <w:spacing w:val="6"/>
          <w:sz w:val="32"/>
          <w:szCs w:val="32"/>
          <w:highlight w:val="none"/>
        </w:rPr>
      </w:pPr>
    </w:p>
    <w:p w14:paraId="1321E89D">
      <w:pPr>
        <w:autoSpaceDE w:val="0"/>
        <w:autoSpaceDN w:val="0"/>
        <w:jc w:val="center"/>
        <w:rPr>
          <w:rFonts w:ascii="宋体" w:hAnsi="宋体" w:cs="宋体"/>
          <w:b/>
          <w:color w:val="auto"/>
          <w:spacing w:val="6"/>
          <w:sz w:val="32"/>
          <w:szCs w:val="32"/>
          <w:highlight w:val="none"/>
        </w:rPr>
      </w:pPr>
    </w:p>
    <w:p w14:paraId="3E38521C">
      <w:pPr>
        <w:autoSpaceDE w:val="0"/>
        <w:autoSpaceDN w:val="0"/>
        <w:jc w:val="center"/>
        <w:rPr>
          <w:rFonts w:ascii="宋体" w:hAnsi="宋体" w:cs="宋体"/>
          <w:b/>
          <w:color w:val="auto"/>
          <w:spacing w:val="6"/>
          <w:sz w:val="32"/>
          <w:szCs w:val="32"/>
          <w:highlight w:val="none"/>
        </w:rPr>
      </w:pPr>
    </w:p>
    <w:p w14:paraId="63324BC5">
      <w:pPr>
        <w:autoSpaceDE w:val="0"/>
        <w:autoSpaceDN w:val="0"/>
        <w:jc w:val="center"/>
        <w:rPr>
          <w:rFonts w:ascii="宋体" w:hAnsi="宋体" w:cs="宋体"/>
          <w:b/>
          <w:color w:val="auto"/>
          <w:spacing w:val="6"/>
          <w:sz w:val="32"/>
          <w:szCs w:val="32"/>
          <w:highlight w:val="none"/>
        </w:rPr>
      </w:pPr>
    </w:p>
    <w:p w14:paraId="25084902">
      <w:pPr>
        <w:autoSpaceDE w:val="0"/>
        <w:autoSpaceDN w:val="0"/>
        <w:jc w:val="center"/>
        <w:rPr>
          <w:rFonts w:ascii="宋体" w:hAnsi="宋体" w:cs="宋体"/>
          <w:b/>
          <w:color w:val="auto"/>
          <w:spacing w:val="6"/>
          <w:sz w:val="32"/>
          <w:szCs w:val="32"/>
          <w:highlight w:val="none"/>
        </w:rPr>
      </w:pPr>
    </w:p>
    <w:p w14:paraId="038F829C">
      <w:pPr>
        <w:autoSpaceDE w:val="0"/>
        <w:autoSpaceDN w:val="0"/>
        <w:jc w:val="center"/>
        <w:rPr>
          <w:rFonts w:ascii="宋体" w:hAnsi="宋体" w:cs="宋体"/>
          <w:b/>
          <w:color w:val="auto"/>
          <w:spacing w:val="6"/>
          <w:sz w:val="32"/>
          <w:szCs w:val="32"/>
          <w:highlight w:val="none"/>
        </w:rPr>
      </w:pPr>
    </w:p>
    <w:p w14:paraId="02AB81CC">
      <w:pPr>
        <w:autoSpaceDE w:val="0"/>
        <w:autoSpaceDN w:val="0"/>
        <w:jc w:val="center"/>
        <w:rPr>
          <w:rFonts w:ascii="宋体" w:hAnsi="宋体" w:cs="宋体"/>
          <w:b/>
          <w:color w:val="auto"/>
          <w:spacing w:val="6"/>
          <w:sz w:val="32"/>
          <w:szCs w:val="32"/>
          <w:highlight w:val="none"/>
        </w:rPr>
      </w:pPr>
    </w:p>
    <w:p w14:paraId="321B7141">
      <w:pPr>
        <w:autoSpaceDE w:val="0"/>
        <w:autoSpaceDN w:val="0"/>
        <w:jc w:val="center"/>
        <w:rPr>
          <w:rFonts w:ascii="宋体" w:hAnsi="宋体" w:cs="宋体"/>
          <w:b/>
          <w:color w:val="auto"/>
          <w:spacing w:val="6"/>
          <w:sz w:val="32"/>
          <w:szCs w:val="32"/>
          <w:highlight w:val="none"/>
        </w:rPr>
      </w:pPr>
    </w:p>
    <w:p w14:paraId="694527DE">
      <w:pPr>
        <w:autoSpaceDE w:val="0"/>
        <w:autoSpaceDN w:val="0"/>
        <w:jc w:val="center"/>
        <w:rPr>
          <w:rFonts w:ascii="宋体" w:hAnsi="宋体" w:cs="宋体"/>
          <w:b/>
          <w:color w:val="auto"/>
          <w:spacing w:val="6"/>
          <w:sz w:val="32"/>
          <w:szCs w:val="32"/>
          <w:highlight w:val="none"/>
        </w:rPr>
      </w:pPr>
    </w:p>
    <w:p w14:paraId="40826D19">
      <w:pPr>
        <w:autoSpaceDE w:val="0"/>
        <w:autoSpaceDN w:val="0"/>
        <w:jc w:val="center"/>
        <w:rPr>
          <w:rFonts w:ascii="宋体" w:hAnsi="宋体" w:cs="宋体"/>
          <w:b/>
          <w:color w:val="auto"/>
          <w:spacing w:val="6"/>
          <w:sz w:val="32"/>
          <w:szCs w:val="32"/>
          <w:highlight w:val="none"/>
        </w:rPr>
      </w:pPr>
    </w:p>
    <w:p w14:paraId="0A5C46D5">
      <w:pPr>
        <w:autoSpaceDE w:val="0"/>
        <w:autoSpaceDN w:val="0"/>
        <w:jc w:val="center"/>
        <w:rPr>
          <w:rFonts w:ascii="宋体" w:hAnsi="宋体" w:cs="宋体"/>
          <w:b/>
          <w:color w:val="auto"/>
          <w:spacing w:val="6"/>
          <w:sz w:val="32"/>
          <w:szCs w:val="32"/>
          <w:highlight w:val="none"/>
        </w:rPr>
      </w:pPr>
    </w:p>
    <w:p w14:paraId="6BB10724">
      <w:pPr>
        <w:autoSpaceDE w:val="0"/>
        <w:autoSpaceDN w:val="0"/>
        <w:jc w:val="center"/>
        <w:rPr>
          <w:rFonts w:ascii="宋体" w:hAnsi="宋体" w:cs="宋体"/>
          <w:b/>
          <w:color w:val="auto"/>
          <w:spacing w:val="6"/>
          <w:sz w:val="32"/>
          <w:szCs w:val="32"/>
          <w:highlight w:val="none"/>
        </w:rPr>
      </w:pPr>
    </w:p>
    <w:p w14:paraId="587B7E52">
      <w:pPr>
        <w:autoSpaceDE w:val="0"/>
        <w:autoSpaceDN w:val="0"/>
        <w:jc w:val="center"/>
        <w:rPr>
          <w:rFonts w:ascii="宋体" w:hAnsi="宋体" w:cs="宋体"/>
          <w:b/>
          <w:color w:val="auto"/>
          <w:spacing w:val="6"/>
          <w:sz w:val="32"/>
          <w:szCs w:val="32"/>
          <w:highlight w:val="none"/>
        </w:rPr>
      </w:pPr>
    </w:p>
    <w:p w14:paraId="0C7F6D2D">
      <w:pPr>
        <w:autoSpaceDE w:val="0"/>
        <w:autoSpaceDN w:val="0"/>
        <w:jc w:val="center"/>
        <w:rPr>
          <w:rFonts w:ascii="宋体" w:hAnsi="宋体" w:cs="宋体"/>
          <w:b/>
          <w:color w:val="auto"/>
          <w:spacing w:val="6"/>
          <w:sz w:val="32"/>
          <w:szCs w:val="32"/>
          <w:highlight w:val="none"/>
        </w:rPr>
      </w:pPr>
    </w:p>
    <w:p w14:paraId="0E2D4D9D">
      <w:pPr>
        <w:autoSpaceDE w:val="0"/>
        <w:autoSpaceDN w:val="0"/>
        <w:jc w:val="center"/>
        <w:rPr>
          <w:rFonts w:ascii="宋体" w:hAnsi="宋体" w:cs="宋体"/>
          <w:b/>
          <w:color w:val="auto"/>
          <w:spacing w:val="6"/>
          <w:sz w:val="32"/>
          <w:szCs w:val="32"/>
          <w:highlight w:val="none"/>
        </w:rPr>
      </w:pPr>
    </w:p>
    <w:p w14:paraId="6A1A3110">
      <w:pPr>
        <w:autoSpaceDE w:val="0"/>
        <w:autoSpaceDN w:val="0"/>
        <w:jc w:val="center"/>
        <w:rPr>
          <w:rFonts w:ascii="宋体" w:hAnsi="宋体" w:cs="宋体"/>
          <w:b/>
          <w:color w:val="auto"/>
          <w:spacing w:val="6"/>
          <w:sz w:val="32"/>
          <w:szCs w:val="32"/>
          <w:highlight w:val="none"/>
        </w:rPr>
      </w:pPr>
    </w:p>
    <w:p w14:paraId="692144AE">
      <w:pPr>
        <w:autoSpaceDE w:val="0"/>
        <w:autoSpaceDN w:val="0"/>
        <w:jc w:val="center"/>
        <w:rPr>
          <w:rFonts w:ascii="宋体" w:hAnsi="宋体" w:cs="宋体"/>
          <w:b/>
          <w:color w:val="auto"/>
          <w:spacing w:val="6"/>
          <w:sz w:val="32"/>
          <w:szCs w:val="32"/>
          <w:highlight w:val="none"/>
        </w:rPr>
      </w:pPr>
    </w:p>
    <w:p w14:paraId="79A7789E">
      <w:pPr>
        <w:autoSpaceDE w:val="0"/>
        <w:autoSpaceDN w:val="0"/>
        <w:jc w:val="center"/>
        <w:rPr>
          <w:rFonts w:ascii="宋体" w:hAnsi="宋体" w:cs="宋体"/>
          <w:b/>
          <w:color w:val="auto"/>
          <w:spacing w:val="6"/>
          <w:sz w:val="32"/>
          <w:szCs w:val="32"/>
          <w:highlight w:val="none"/>
        </w:rPr>
      </w:pPr>
    </w:p>
    <w:p w14:paraId="016E1C23">
      <w:pPr>
        <w:autoSpaceDE w:val="0"/>
        <w:autoSpaceDN w:val="0"/>
        <w:jc w:val="center"/>
        <w:rPr>
          <w:rFonts w:ascii="宋体" w:hAnsi="宋体" w:cs="宋体"/>
          <w:b/>
          <w:color w:val="auto"/>
          <w:spacing w:val="6"/>
          <w:sz w:val="32"/>
          <w:szCs w:val="32"/>
          <w:highlight w:val="none"/>
        </w:rPr>
      </w:pPr>
    </w:p>
    <w:p w14:paraId="45B5CCD2">
      <w:pPr>
        <w:autoSpaceDE w:val="0"/>
        <w:autoSpaceDN w:val="0"/>
        <w:jc w:val="center"/>
        <w:rPr>
          <w:rFonts w:ascii="宋体" w:hAnsi="宋体" w:cs="宋体"/>
          <w:b/>
          <w:color w:val="auto"/>
          <w:spacing w:val="6"/>
          <w:sz w:val="32"/>
          <w:szCs w:val="32"/>
          <w:highlight w:val="none"/>
        </w:rPr>
      </w:pPr>
    </w:p>
    <w:p w14:paraId="3E50DB6F">
      <w:pPr>
        <w:autoSpaceDE w:val="0"/>
        <w:autoSpaceDN w:val="0"/>
        <w:jc w:val="center"/>
        <w:rPr>
          <w:rFonts w:ascii="宋体" w:hAnsi="宋体" w:cs="宋体"/>
          <w:b/>
          <w:color w:val="auto"/>
          <w:spacing w:val="6"/>
          <w:sz w:val="32"/>
          <w:szCs w:val="32"/>
          <w:highlight w:val="none"/>
        </w:rPr>
      </w:pPr>
    </w:p>
    <w:p w14:paraId="1FF2F7F0">
      <w:pPr>
        <w:autoSpaceDE w:val="0"/>
        <w:autoSpaceDN w:val="0"/>
        <w:jc w:val="center"/>
        <w:rPr>
          <w:rFonts w:ascii="宋体" w:hAnsi="宋体" w:cs="宋体"/>
          <w:b/>
          <w:color w:val="auto"/>
          <w:spacing w:val="6"/>
          <w:sz w:val="32"/>
          <w:szCs w:val="32"/>
          <w:highlight w:val="none"/>
        </w:rPr>
      </w:pPr>
    </w:p>
    <w:p w14:paraId="39907EBF">
      <w:pPr>
        <w:autoSpaceDE w:val="0"/>
        <w:autoSpaceDN w:val="0"/>
        <w:jc w:val="center"/>
        <w:rPr>
          <w:rFonts w:ascii="宋体" w:hAnsi="宋体" w:cs="宋体"/>
          <w:b/>
          <w:color w:val="auto"/>
          <w:spacing w:val="6"/>
          <w:sz w:val="32"/>
          <w:szCs w:val="32"/>
          <w:highlight w:val="none"/>
        </w:rPr>
      </w:pPr>
    </w:p>
    <w:p w14:paraId="17DBAF52">
      <w:pPr>
        <w:autoSpaceDE w:val="0"/>
        <w:autoSpaceDN w:val="0"/>
        <w:jc w:val="center"/>
        <w:rPr>
          <w:rFonts w:ascii="宋体" w:hAnsi="宋体" w:cs="宋体"/>
          <w:b/>
          <w:color w:val="auto"/>
          <w:spacing w:val="6"/>
          <w:sz w:val="32"/>
          <w:szCs w:val="32"/>
          <w:highlight w:val="none"/>
        </w:rPr>
      </w:pPr>
    </w:p>
    <w:p w14:paraId="6C433B4C">
      <w:pPr>
        <w:autoSpaceDE w:val="0"/>
        <w:autoSpaceDN w:val="0"/>
        <w:jc w:val="center"/>
        <w:rPr>
          <w:rFonts w:ascii="宋体" w:hAnsi="宋体" w:cs="宋体"/>
          <w:b/>
          <w:color w:val="auto"/>
          <w:spacing w:val="6"/>
          <w:sz w:val="32"/>
          <w:szCs w:val="32"/>
          <w:highlight w:val="none"/>
        </w:rPr>
      </w:pPr>
    </w:p>
    <w:p w14:paraId="3F17117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BC023B3">
      <w:pPr>
        <w:snapToGrid w:val="0"/>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7</w:t>
      </w:r>
      <w:r>
        <w:rPr>
          <w:rFonts w:hint="eastAsia" w:ascii="宋体" w:hAnsi="宋体" w:cs="宋体"/>
          <w:b/>
          <w:color w:val="auto"/>
          <w:kern w:val="0"/>
          <w:sz w:val="32"/>
          <w:szCs w:val="32"/>
          <w:highlight w:val="none"/>
        </w:rPr>
        <w:t>：中小企业声明函</w:t>
      </w:r>
    </w:p>
    <w:p w14:paraId="720FC979">
      <w:pPr>
        <w:spacing w:line="360" w:lineRule="auto"/>
        <w:jc w:val="center"/>
        <w:rPr>
          <w:rFonts w:ascii="宋体" w:hAnsi="宋体" w:cs="宋体"/>
          <w:color w:val="auto"/>
          <w:sz w:val="24"/>
          <w:highlight w:val="none"/>
          <w:u w:val="single"/>
        </w:rPr>
      </w:pPr>
    </w:p>
    <w:p w14:paraId="2E375C57">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6D0390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64F5EB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6FA59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DFC0A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619237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3047C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FD08E4C">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投标人名称(公章)：</w:t>
      </w:r>
    </w:p>
    <w:p w14:paraId="354C8D4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C2B62BC">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11C3359B">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8DABE34">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3F1C8FD">
      <w:pPr>
        <w:spacing w:line="360" w:lineRule="auto"/>
        <w:jc w:val="center"/>
        <w:rPr>
          <w:rFonts w:ascii="宋体" w:hAnsi="宋体" w:cs="宋体"/>
          <w:b/>
          <w:color w:val="auto"/>
          <w:sz w:val="32"/>
          <w:szCs w:val="32"/>
          <w:highlight w:val="none"/>
        </w:rPr>
      </w:pPr>
    </w:p>
    <w:p w14:paraId="118940D8">
      <w:pPr>
        <w:spacing w:line="360" w:lineRule="auto"/>
        <w:jc w:val="center"/>
        <w:rPr>
          <w:rFonts w:ascii="宋体" w:hAnsi="宋体" w:cs="宋体"/>
          <w:b/>
          <w:color w:val="auto"/>
          <w:sz w:val="32"/>
          <w:szCs w:val="32"/>
          <w:highlight w:val="none"/>
        </w:rPr>
      </w:pPr>
    </w:p>
    <w:p w14:paraId="47D4CDC7">
      <w:pPr>
        <w:spacing w:line="360" w:lineRule="auto"/>
        <w:jc w:val="center"/>
        <w:rPr>
          <w:rFonts w:ascii="宋体" w:hAnsi="宋体" w:cs="宋体"/>
          <w:b/>
          <w:color w:val="auto"/>
          <w:sz w:val="32"/>
          <w:szCs w:val="32"/>
          <w:highlight w:val="none"/>
        </w:rPr>
      </w:pPr>
    </w:p>
    <w:p w14:paraId="64A0B282">
      <w:pPr>
        <w:spacing w:line="360" w:lineRule="auto"/>
        <w:jc w:val="center"/>
        <w:rPr>
          <w:rFonts w:ascii="宋体" w:hAnsi="宋体" w:cs="宋体"/>
          <w:b/>
          <w:color w:val="auto"/>
          <w:sz w:val="32"/>
          <w:szCs w:val="32"/>
          <w:highlight w:val="none"/>
        </w:rPr>
      </w:pPr>
    </w:p>
    <w:p w14:paraId="141AFA0F">
      <w:pPr>
        <w:spacing w:line="360" w:lineRule="auto"/>
        <w:jc w:val="center"/>
        <w:rPr>
          <w:rFonts w:ascii="宋体" w:hAnsi="宋体" w:cs="宋体"/>
          <w:b/>
          <w:color w:val="auto"/>
          <w:sz w:val="32"/>
          <w:szCs w:val="32"/>
          <w:highlight w:val="none"/>
        </w:rPr>
      </w:pPr>
    </w:p>
    <w:p w14:paraId="4B9F02D6">
      <w:pPr>
        <w:spacing w:line="360" w:lineRule="auto"/>
        <w:jc w:val="center"/>
        <w:rPr>
          <w:rFonts w:ascii="宋体" w:hAnsi="宋体" w:cs="宋体"/>
          <w:b/>
          <w:color w:val="auto"/>
          <w:sz w:val="32"/>
          <w:szCs w:val="32"/>
          <w:highlight w:val="none"/>
        </w:rPr>
      </w:pPr>
    </w:p>
    <w:p w14:paraId="28798EDC">
      <w:pPr>
        <w:spacing w:line="360" w:lineRule="auto"/>
        <w:jc w:val="center"/>
        <w:rPr>
          <w:rFonts w:ascii="宋体" w:hAnsi="宋体" w:cs="宋体"/>
          <w:b/>
          <w:color w:val="auto"/>
          <w:sz w:val="32"/>
          <w:szCs w:val="32"/>
          <w:highlight w:val="none"/>
        </w:rPr>
      </w:pPr>
    </w:p>
    <w:p w14:paraId="28B6CD3A">
      <w:pPr>
        <w:spacing w:line="360" w:lineRule="auto"/>
        <w:jc w:val="center"/>
        <w:rPr>
          <w:rFonts w:ascii="宋体" w:hAnsi="宋体" w:cs="宋体"/>
          <w:b/>
          <w:color w:val="auto"/>
          <w:sz w:val="32"/>
          <w:szCs w:val="32"/>
          <w:highlight w:val="none"/>
        </w:rPr>
      </w:pPr>
    </w:p>
    <w:p w14:paraId="2181E4E1">
      <w:pPr>
        <w:spacing w:line="360" w:lineRule="auto"/>
        <w:jc w:val="center"/>
        <w:rPr>
          <w:rFonts w:ascii="宋体" w:hAnsi="宋体" w:cs="宋体"/>
          <w:b/>
          <w:color w:val="auto"/>
          <w:sz w:val="32"/>
          <w:szCs w:val="32"/>
          <w:highlight w:val="none"/>
        </w:rPr>
      </w:pPr>
    </w:p>
    <w:p w14:paraId="42CA4E27">
      <w:pPr>
        <w:spacing w:line="360" w:lineRule="auto"/>
        <w:jc w:val="center"/>
        <w:rPr>
          <w:rFonts w:ascii="宋体" w:hAnsi="宋体" w:cs="宋体"/>
          <w:b/>
          <w:color w:val="auto"/>
          <w:sz w:val="32"/>
          <w:szCs w:val="32"/>
          <w:highlight w:val="none"/>
        </w:rPr>
      </w:pPr>
    </w:p>
    <w:p w14:paraId="12BF1082">
      <w:pPr>
        <w:spacing w:line="360" w:lineRule="auto"/>
        <w:jc w:val="center"/>
        <w:rPr>
          <w:rFonts w:ascii="宋体" w:hAnsi="宋体" w:cs="宋体"/>
          <w:b/>
          <w:color w:val="auto"/>
          <w:sz w:val="32"/>
          <w:szCs w:val="32"/>
          <w:highlight w:val="none"/>
        </w:rPr>
      </w:pPr>
    </w:p>
    <w:p w14:paraId="59BEAE96">
      <w:pPr>
        <w:spacing w:line="360" w:lineRule="auto"/>
        <w:jc w:val="center"/>
        <w:rPr>
          <w:rFonts w:ascii="宋体" w:hAnsi="宋体" w:cs="宋体"/>
          <w:b/>
          <w:color w:val="auto"/>
          <w:sz w:val="32"/>
          <w:szCs w:val="32"/>
          <w:highlight w:val="none"/>
        </w:rPr>
      </w:pPr>
    </w:p>
    <w:p w14:paraId="66A189DE">
      <w:pPr>
        <w:spacing w:line="360" w:lineRule="auto"/>
        <w:jc w:val="center"/>
        <w:rPr>
          <w:rFonts w:ascii="宋体" w:hAnsi="宋体" w:cs="宋体"/>
          <w:b/>
          <w:color w:val="auto"/>
          <w:sz w:val="32"/>
          <w:szCs w:val="32"/>
          <w:highlight w:val="none"/>
        </w:rPr>
      </w:pPr>
    </w:p>
    <w:p w14:paraId="3E7250A0">
      <w:pPr>
        <w:spacing w:line="360" w:lineRule="auto"/>
        <w:jc w:val="center"/>
        <w:rPr>
          <w:rFonts w:ascii="宋体" w:hAnsi="宋体" w:cs="宋体"/>
          <w:b/>
          <w:color w:val="auto"/>
          <w:sz w:val="32"/>
          <w:szCs w:val="32"/>
          <w:highlight w:val="none"/>
        </w:rPr>
      </w:pPr>
    </w:p>
    <w:p w14:paraId="624F5079">
      <w:pPr>
        <w:spacing w:line="360" w:lineRule="auto"/>
        <w:jc w:val="center"/>
        <w:rPr>
          <w:rFonts w:ascii="宋体" w:hAnsi="宋体" w:cs="宋体"/>
          <w:b/>
          <w:color w:val="auto"/>
          <w:sz w:val="32"/>
          <w:szCs w:val="32"/>
          <w:highlight w:val="none"/>
        </w:rPr>
      </w:pPr>
    </w:p>
    <w:p w14:paraId="322C3B67">
      <w:pPr>
        <w:spacing w:line="360" w:lineRule="auto"/>
        <w:jc w:val="center"/>
        <w:rPr>
          <w:rFonts w:ascii="宋体" w:hAnsi="宋体" w:cs="宋体"/>
          <w:b/>
          <w:color w:val="auto"/>
          <w:sz w:val="32"/>
          <w:szCs w:val="32"/>
          <w:highlight w:val="none"/>
        </w:rPr>
      </w:pPr>
    </w:p>
    <w:p w14:paraId="47005381">
      <w:pPr>
        <w:spacing w:line="360" w:lineRule="auto"/>
        <w:jc w:val="center"/>
        <w:rPr>
          <w:rFonts w:ascii="宋体" w:hAnsi="宋体" w:cs="宋体"/>
          <w:b/>
          <w:color w:val="auto"/>
          <w:sz w:val="32"/>
          <w:szCs w:val="32"/>
          <w:highlight w:val="none"/>
        </w:rPr>
      </w:pPr>
    </w:p>
    <w:p w14:paraId="4C4B2702">
      <w:pPr>
        <w:spacing w:line="360" w:lineRule="auto"/>
        <w:rPr>
          <w:rFonts w:ascii="宋体" w:hAnsi="宋体" w:cs="宋体"/>
          <w:bCs/>
          <w:color w:val="auto"/>
          <w:sz w:val="24"/>
          <w:highlight w:val="none"/>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8976D">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D9820">
    <w:pPr>
      <w:pStyle w:val="39"/>
      <w:framePr w:wrap="around" w:vAnchor="text" w:hAnchor="margin" w:xAlign="right" w:y="1"/>
      <w:rPr>
        <w:rStyle w:val="72"/>
      </w:rPr>
    </w:pPr>
    <w:r>
      <w:fldChar w:fldCharType="begin"/>
    </w:r>
    <w:r>
      <w:rPr>
        <w:rStyle w:val="72"/>
      </w:rPr>
      <w:instrText xml:space="preserve">PAGE  </w:instrText>
    </w:r>
    <w:r>
      <w:fldChar w:fldCharType="separate"/>
    </w:r>
    <w:r>
      <w:fldChar w:fldCharType="end"/>
    </w:r>
  </w:p>
  <w:p w14:paraId="73B643D2">
    <w:pPr>
      <w:pStyle w:val="3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F2D44">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bookmarkStart w:id="485" w:name="_Toc164085800"/>
    <w:bookmarkStart w:id="486" w:name="_Toc131845147"/>
    <w:bookmarkStart w:id="487" w:name="_Toc91899912"/>
    <w:bookmarkStart w:id="488" w:name="_Toc36110187"/>
    <w:r>
      <w:rPr>
        <w:rFonts w:hint="eastAsia" w:ascii="仿宋_GB2312" w:eastAsia="仿宋_GB2312"/>
        <w:kern w:val="0"/>
        <w:sz w:val="21"/>
        <w:szCs w:val="21"/>
      </w:rPr>
      <w:t xml:space="preserve"> 页</w:t>
    </w:r>
    <w:bookmarkEnd w:id="485"/>
    <w:bookmarkEnd w:id="486"/>
    <w:bookmarkEnd w:id="487"/>
    <w:bookmarkEnd w:id="48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C8175">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E16D2">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20E99983">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1F4B2">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32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32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52DAE57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C02F3">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69</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4A46456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8C478">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509C509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CAAC9">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6ABB062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0012C">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56B35C0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FF26F">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2A8B8">
    <w:pPr>
      <w:pStyle w:val="40"/>
      <w:pBdr>
        <w:bottom w:val="single" w:color="auto" w:sz="6" w:space="4"/>
      </w:pBdr>
      <w:jc w:val="right"/>
      <w:rPr>
        <w:rFonts w:ascii="仿宋_GB2312" w:eastAsia="仿宋_GB2312"/>
        <w:b/>
        <w:i/>
        <w:sz w:val="21"/>
        <w:szCs w:val="21"/>
        <w:u w:val="single"/>
      </w:rPr>
    </w:pPr>
    <w:r>
      <w:t></w:t>
    </w:r>
    <w:r>
      <w:rPr>
        <w:rFonts w:hint="eastAsia"/>
      </w:rPr>
      <w:t xml:space="preserve">            </w:t>
    </w:r>
    <w:r>
      <w:rPr>
        <w:rFonts w:hint="eastAsia"/>
        <w:sz w:val="21"/>
        <w:szCs w:val="21"/>
      </w:rPr>
      <w:t xml:space="preserve"> </w:t>
    </w:r>
    <w:r>
      <w:rPr>
        <w:sz w:val="21"/>
        <w:szCs w:val="21"/>
      </w:rPr>
      <w:t>北海市政府采购公开招标文件</w:t>
    </w:r>
    <w:r>
      <w:pict>
        <v:shape id="ImpTraceLabel" o:spid="_x0000_s2049" o:spt="202" type="#_x0000_t202" style="position:absolute;left:0pt;margin-left:0pt;margin-top:0pt;height:0pt;width:0pt;mso-position-horizontal-relative:page;mso-position-vertical-relative:page;z-index:251659264;mso-width-relative:page;mso-height-relative:page;" filled="f" stroked="f" coordsize="21600,21600">
          <v:path/>
          <v:fill on="f" focussize="0,0"/>
          <v:stroke on="f" joinstyle="miter"/>
          <v:imagedata o:title=""/>
          <o:lock v:ext="edit"/>
          <v:textbox>
            <w:txbxContent>
              <w:p w14:paraId="49A3EDC4">
                <w:r>
                  <w:t>ImpTraceLabel=PD94bWwgdmVyc2lvbj0nMS4wJyBlbmNvZGluZz0nVVRGLTgnPz48dHJhY2U+PGNvbnRlbnQ+PC9jb250ZW50PjxhY2NvdW50PjRrejl5aWljY2ZkcHdsZG5uYmF6ZzQ8L2FjY291bnQ+PG1hY2hpbmVDb2RlPks1MTE3NUowMTU0MzYKPC9tYWNoaW5lQ29kZT48dGltZT4yMDI0LTExLTIxIDE3OjUyOjE1PC90aW1lPjxzeXN0ZW0+TUI8c3lzdGVtPjwvdHJhY2U+</w:t>
                </w:r>
              </w:p>
            </w:txbxContent>
          </v:textbox>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064DC">
    <w:pPr>
      <w:pStyle w:val="40"/>
      <w:rPr>
        <w:sz w:val="21"/>
        <w:szCs w:val="21"/>
      </w:rPr>
    </w:pPr>
    <w:r>
      <w:t></w:t>
    </w:r>
    <w:r>
      <w:rPr>
        <w:rFonts w:hint="eastAsia"/>
      </w:rPr>
      <w:t xml:space="preserve">                </w:t>
    </w:r>
    <w:r>
      <w:rPr>
        <w:rFonts w:hint="eastAsia"/>
        <w:sz w:val="21"/>
        <w:szCs w:val="21"/>
      </w:rPr>
      <w:t xml:space="preserve">                       北海</w:t>
    </w:r>
    <w:r>
      <w:rPr>
        <w:sz w:val="21"/>
        <w:szCs w:val="21"/>
      </w:rP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FCA0E">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sz w:val="21"/>
        <w:szCs w:val="21"/>
        <w:lang w:val="zh-CN"/>
      </w:rPr>
      <w:t>北海市政府采购公开招标文件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90210">
    <w:pPr>
      <w:pStyle w:val="40"/>
      <w:jc w:val="right"/>
      <w:rPr>
        <w:rFonts w:ascii="仿宋_GB2312" w:eastAsia="仿宋_GB2312"/>
        <w:b/>
        <w:i/>
        <w:u w:val="single"/>
      </w:rPr>
    </w:pPr>
    <w:r>
      <w:t></w:t>
    </w:r>
    <w:r>
      <w:rPr>
        <w:rFonts w:hint="eastAsia"/>
      </w:rPr>
      <w:t xml:space="preserve">                                </w:t>
    </w:r>
    <w:r>
      <w:rPr>
        <w:rFonts w:hint="eastAsia"/>
        <w:sz w:val="21"/>
        <w:szCs w:val="21"/>
      </w:rPr>
      <w:t>北海</w:t>
    </w:r>
    <w:r>
      <w:rPr>
        <w:sz w:val="21"/>
        <w:szCs w:val="21"/>
      </w:rPr>
      <w:t>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0E24A">
    <w:pPr>
      <w:pStyle w:val="40"/>
      <w:rPr>
        <w:sz w:val="21"/>
        <w:szCs w:val="21"/>
      </w:rPr>
    </w:pPr>
    <w:r>
      <w:t></w:t>
    </w: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E5CD5">
    <w:pPr>
      <w:pStyle w:val="40"/>
      <w:rPr>
        <w:rFonts w:ascii="仿宋_GB2312" w:eastAsia="仿宋_GB2312"/>
        <w:b/>
        <w:i/>
        <w:sz w:val="21"/>
        <w:szCs w:val="21"/>
        <w:u w:val="single"/>
      </w:rPr>
    </w:pPr>
    <w:r>
      <w:t></w:t>
    </w:r>
    <w:r>
      <w:rPr>
        <w:rFonts w:hint="eastAsia"/>
      </w:rPr>
      <w:t xml:space="preserve">                                                </w:t>
    </w:r>
    <w:r>
      <w:rPr>
        <w:sz w:val="21"/>
        <w:szCs w:val="21"/>
      </w:rPr>
      <w:t xml:space="preserve"> </w:t>
    </w:r>
    <w:r>
      <w:rPr>
        <w:rFonts w:hint="eastAsia"/>
        <w:sz w:val="21"/>
        <w:szCs w:val="21"/>
      </w:rPr>
      <w:t>北海</w:t>
    </w:r>
    <w:r>
      <w:rPr>
        <w:sz w:val="21"/>
        <w:szCs w:val="21"/>
      </w:rPr>
      <w:t>市政府采购公开招标文件</w:t>
    </w:r>
  </w:p>
  <w:p w14:paraId="6249072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72D5A">
    <w:pPr>
      <w:pStyle w:val="40"/>
      <w:jc w:val="right"/>
      <w:rPr>
        <w:sz w:val="21"/>
        <w:szCs w:val="21"/>
      </w:rPr>
    </w:pPr>
    <w:r>
      <w:t></w:t>
    </w:r>
    <w:r>
      <w:rPr>
        <w:rFonts w:hint="eastAsia"/>
      </w:rPr>
      <w:t xml:space="preserve">                                                                    </w:t>
    </w:r>
    <w:r>
      <w:rPr>
        <w:rFonts w:hint="eastAsia"/>
        <w:sz w:val="21"/>
        <w:szCs w:val="21"/>
      </w:rPr>
      <w:t>北海</w:t>
    </w:r>
    <w:r>
      <w:rPr>
        <w:sz w:val="21"/>
        <w:szCs w:val="21"/>
      </w:rP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24B62">
    <w:pPr>
      <w:pStyle w:val="40"/>
      <w:jc w:val="right"/>
      <w:rPr>
        <w:rFonts w:ascii="仿宋_GB2312" w:eastAsia="仿宋_GB2312"/>
        <w:b/>
        <w:i/>
        <w:sz w:val="21"/>
        <w:szCs w:val="21"/>
        <w:u w:val="single"/>
      </w:rPr>
    </w:pPr>
    <w:r>
      <w:rPr>
        <w:rFonts w:hint="eastAsia"/>
      </w:rPr>
      <w:t xml:space="preserve">                                </w:t>
    </w:r>
    <w:r>
      <w:rPr>
        <w:rFonts w:hint="eastAsia"/>
        <w:sz w:val="21"/>
        <w:szCs w:val="21"/>
      </w:rPr>
      <w:t xml:space="preserve">  北海</w:t>
    </w:r>
    <w:r>
      <w:rPr>
        <w:sz w:val="21"/>
        <w:szCs w:val="21"/>
      </w:rPr>
      <w:t>市政府采购公开招标文件</w:t>
    </w:r>
  </w:p>
  <w:p w14:paraId="4112FCA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2BCE1">
    <w:pPr>
      <w:pStyle w:val="40"/>
      <w:jc w:val="right"/>
      <w:rPr>
        <w:sz w:val="21"/>
        <w:szCs w:val="21"/>
      </w:rPr>
    </w:pPr>
    <w:r>
      <w:rPr>
        <w:rFonts w:hint="eastAsia"/>
      </w:rPr>
      <w:t xml:space="preserve">                                                                                                        </w:t>
    </w:r>
    <w:r>
      <w:rPr>
        <w:rFonts w:hint="eastAsia"/>
        <w:sz w:val="21"/>
        <w:szCs w:val="21"/>
      </w:rPr>
      <w:t>北海</w:t>
    </w:r>
    <w:r>
      <w:rPr>
        <w:sz w:val="21"/>
        <w:szCs w:val="21"/>
      </w:rPr>
      <w:t>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780B9">
    <w:pPr>
      <w:pStyle w:val="40"/>
      <w:jc w:val="right"/>
      <w:rPr>
        <w:rFonts w:ascii="仿宋_GB2312" w:eastAsia="仿宋_GB2312"/>
        <w:b/>
        <w:i/>
        <w:iCs/>
        <w:u w:val="single"/>
      </w:rPr>
    </w:pPr>
    <w:r>
      <w:t></w:t>
    </w:r>
    <w:r>
      <w:rPr>
        <w:sz w:val="21"/>
        <w:szCs w:val="21"/>
      </w:rPr>
      <w:t></w:t>
    </w:r>
    <w:r>
      <w:rPr>
        <w:rFonts w:hint="eastAsia"/>
        <w:sz w:val="21"/>
        <w:szCs w:val="21"/>
      </w:rPr>
      <w:t>北海</w:t>
    </w:r>
    <w:r>
      <w:rPr>
        <w:sz w:val="21"/>
        <w:szCs w:val="21"/>
      </w:rP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5CD4F8"/>
    <w:multiLevelType w:val="singleLevel"/>
    <w:tmpl w:val="245CD4F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2MWMyOWY0ZmExNDQ4NjZlZGIzYmFkMGNlZTkyYjAifQ=="/>
  </w:docVars>
  <w:rsids>
    <w:rsidRoot w:val="00000000"/>
    <w:rsid w:val="01A07E55"/>
    <w:rsid w:val="18F81F14"/>
    <w:rsid w:val="19CB72A4"/>
    <w:rsid w:val="1BC81E14"/>
    <w:rsid w:val="29FB6134"/>
    <w:rsid w:val="29FD1886"/>
    <w:rsid w:val="2FCA5737"/>
    <w:rsid w:val="31F77ACF"/>
    <w:rsid w:val="39D65CD0"/>
    <w:rsid w:val="423A4673"/>
    <w:rsid w:val="4A221343"/>
    <w:rsid w:val="4BB23021"/>
    <w:rsid w:val="530835E9"/>
    <w:rsid w:val="552D3A2B"/>
    <w:rsid w:val="5D29313C"/>
    <w:rsid w:val="5DA11422"/>
    <w:rsid w:val="5E4634A1"/>
    <w:rsid w:val="6F613187"/>
    <w:rsid w:val="76D83848"/>
    <w:rsid w:val="7DC10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39"/>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5"/>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9"/>
    <w:qFormat/>
    <w:uiPriority w:val="0"/>
    <w:pPr>
      <w:adjustRightInd/>
      <w:spacing w:after="120" w:line="240" w:lineRule="auto"/>
      <w:ind w:left="420" w:leftChars="200" w:firstLine="210"/>
    </w:pPr>
    <w:rPr>
      <w:sz w:val="21"/>
    </w:rPr>
  </w:style>
  <w:style w:type="table" w:styleId="63">
    <w:name w:val="Table Grid"/>
    <w:basedOn w:val="6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Char"/>
    <w:qFormat/>
    <w:uiPriority w:val="0"/>
    <w:rPr>
      <w:rFonts w:ascii="Arial" w:hAnsi="Arial" w:eastAsia="黑体"/>
      <w:b/>
      <w:kern w:val="2"/>
      <w:sz w:val="32"/>
      <w:lang w:val="en-US" w:eastAsia="zh-CN"/>
    </w:rPr>
  </w:style>
  <w:style w:type="character" w:customStyle="1" w:styleId="80">
    <w:name w:val="标题 4 Char"/>
    <w:qFormat/>
    <w:uiPriority w:val="0"/>
    <w:rPr>
      <w:rFonts w:ascii="Arial" w:hAnsi="Arial" w:eastAsia="黑体"/>
      <w:b/>
      <w:kern w:val="2"/>
      <w:sz w:val="28"/>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5"/>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7"/>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正文-2字符首行缩进"/>
    <w:basedOn w:val="1"/>
    <w:qFormat/>
    <w:uiPriority w:val="0"/>
    <w:pPr>
      <w:widowControl/>
      <w:spacing w:line="360" w:lineRule="auto"/>
      <w:ind w:firstLine="200" w:firstLineChars="200"/>
    </w:pPr>
    <w:rPr>
      <w:rFonts w:ascii="仿宋_GB2312" w:eastAsia="仿宋_GB2312" w:cs="Times New Roman"/>
      <w:kern w:val="0"/>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BD849E-C925-4BF2-80A2-BBDA305462F2}">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108</Pages>
  <Words>3221</Words>
  <Characters>3983</Characters>
  <Lines>379</Lines>
  <Paragraphs>106</Paragraphs>
  <TotalTime>102</TotalTime>
  <ScaleCrop>false</ScaleCrop>
  <LinksUpToDate>false</LinksUpToDate>
  <CharactersWithSpaces>4086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北海市政府采购中心</dc:creator>
  <cp:lastModifiedBy>娇娇</cp:lastModifiedBy>
  <cp:lastPrinted>2024-09-09T12:13:00Z</cp:lastPrinted>
  <dcterms:modified xsi:type="dcterms:W3CDTF">2025-03-11T06:27:09Z</dcterms:modified>
  <dc:title>北海市政府采购中心</dc:title>
  <cp:revision>2613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SEDS_HWMT_d46a6755">
    <vt:lpwstr>f2457d6f_mFV3wj85ICk2PcpOlXv8qsw06JI=_8QYrr2VhfDcyPdtMkXn/ruCF9SbXjqsuRT1EWYdN+PaXKs34pWlbGrclnUJln8EcEDduLncMnr6reYXMNrvy9pkjJg==_920deeff</vt:lpwstr>
  </property>
  <property fmtid="{D5CDD505-2E9C-101B-9397-08002B2CF9AE}" pid="3" name="ICV">
    <vt:lpwstr>3F1B6C3658C1478B8C19F90FCE780B58_13</vt:lpwstr>
  </property>
  <property fmtid="{D5CDD505-2E9C-101B-9397-08002B2CF9AE}" pid="4" name="KSOProductBuildVer">
    <vt:lpwstr>2052-12.1.0.20305</vt:lpwstr>
  </property>
  <property fmtid="{D5CDD505-2E9C-101B-9397-08002B2CF9AE}" pid="5" name="KSOTemplateDocerSaveRecord">
    <vt:lpwstr>eyJoZGlkIjoiYTg0ZGNiNTA5NThjMzBmMTY0NzU4Y2ZiYTdmMjk5NzQiLCJ1c2VySWQiOiIzNDQ1MTY3MTkifQ==</vt:lpwstr>
  </property>
</Properties>
</file>