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745EC">
      <w:pPr>
        <w:pStyle w:val="12"/>
        <w:spacing w:line="20" w:lineRule="exact"/>
        <w:ind w:left="344" w:firstLine="40"/>
        <w:rPr>
          <w:rFonts w:ascii="Times New Roman"/>
          <w:sz w:val="2"/>
        </w:rPr>
      </w:pPr>
      <w:r>
        <w:rPr>
          <w:rFonts w:ascii="Times New Roman"/>
          <w:sz w:val="2"/>
        </w:rPr>
        <mc:AlternateContent>
          <mc:Choice Requires="wpg">
            <w:drawing>
              <wp:inline distT="0" distB="0" distL="114300" distR="114300">
                <wp:extent cx="5904230" cy="9525"/>
                <wp:effectExtent l="0" t="0" r="493495330" b="5796915"/>
                <wp:docPr id="3" name="Group 1"/>
                <wp:cNvGraphicFramePr/>
                <a:graphic xmlns:a="http://schemas.openxmlformats.org/drawingml/2006/main">
                  <a:graphicData uri="http://schemas.microsoft.com/office/word/2010/wordprocessingGroup">
                    <wpg:wgp>
                      <wpg:cNvGrpSpPr/>
                      <wpg:grpSpPr>
                        <a:xfrm>
                          <a:off x="0" y="0"/>
                          <a:ext cx="5904230" cy="9525"/>
                          <a:chOff x="0" y="0"/>
                          <a:chExt cx="5904230" cy="9525"/>
                        </a:xfrm>
                      </wpg:grpSpPr>
                      <wps:wsp>
                        <wps:cNvPr id="2" name="Graphic 2"/>
                        <wps:cNvSpPr/>
                        <wps:spPr>
                          <a:xfrm>
                            <a:off x="0" y="0"/>
                            <a:ext cx="5904230" cy="9525"/>
                          </a:xfrm>
                          <a:custGeom>
                            <a:avLst/>
                            <a:gdLst/>
                            <a:ahLst/>
                            <a:cxnLst/>
                            <a:pathLst>
                              <a:path w="5904230" h="9525">
                                <a:moveTo>
                                  <a:pt x="5904230" y="9144"/>
                                </a:moveTo>
                                <a:lnTo>
                                  <a:pt x="0" y="9144"/>
                                </a:lnTo>
                                <a:lnTo>
                                  <a:pt x="0" y="0"/>
                                </a:lnTo>
                                <a:lnTo>
                                  <a:pt x="5904230" y="0"/>
                                </a:lnTo>
                                <a:lnTo>
                                  <a:pt x="5904230" y="9144"/>
                                </a:lnTo>
                                <a:close/>
                              </a:path>
                            </a:pathLst>
                          </a:custGeom>
                          <a:solidFill>
                            <a:srgbClr val="000000"/>
                          </a:solidFill>
                          <a:ln>
                            <a:noFill/>
                          </a:ln>
                        </wps:spPr>
                        <wps:bodyPr lIns="0" tIns="0" rIns="0" bIns="0" upright="1"/>
                      </wps:wsp>
                    </wpg:wgp>
                  </a:graphicData>
                </a:graphic>
              </wp:inline>
            </w:drawing>
          </mc:Choice>
          <mc:Fallback>
            <w:pict>
              <v:group id="Group 1" o:spid="_x0000_s1026" o:spt="203" style="height:0.75pt;width:464.9pt;" coordsize="5904230,9525" o:gfxdata="UEsDBAoAAAAAAIdO4kAAAAAAAAAAAAAAAAAEAAAAZHJzL1BLAwQUAAAACACHTuJABK/JitQAAAAD&#10;AQAADwAAAGRycy9kb3ducmV2LnhtbE2PQUvDQBCF74L/YZmCN7tJpWLTbIoU9VQEW0G8TbPTJDQ7&#10;G7LbpP33jl7sZeDxHm++l6/OrlUD9aHxbCCdJqCIS28brgx87l7vn0CFiGyx9UwGLhRgVdze5JhZ&#10;P/IHDdtYKSnhkKGBOsYu0zqUNTkMU98Ri3fwvcMosq+07XGUctfqWZI8aocNy4caO1rXVB63J2fg&#10;bcTx+SF9GTbHw/ryvZu/f21SMuZukiZLUJHO8T8Mv/iCDoUw7f2JbVCtARkS/654i9lCZuwlNAdd&#10;5PqavfgBUEsDBBQAAAAIAIdO4kBO/Rz4RwIAANkFAAAOAAAAZHJzL2Uyb0RvYy54bWylVFFv2yAQ&#10;fp+0/4B4X5y4ybRacfqwrNGkaavU9gcQjG0kDAhInPz7HWAcN5WmaPWDOeD47r7vDtYPp06gIzOW&#10;K1nixWyOEZNUVVw2JX59efzyDSPriKyIUJKV+Mwsfth8/rTudcFy1SpRMYMARNqi1yVundNFllna&#10;so7YmdJMwmatTEccTE2TVYb0gN6JLJ/Pv2a9MpU2ijJrYXUbN/GAaG4BVHXNKdsqeuiYdBHVMEEc&#10;ULIt1xZvQrZ1zaj7U9eWOSRKDExd+EMQsPf+n23WpGgM0S2nQwrklhSuOHWESwg6Qm2JI+hg+Duo&#10;jlOjrKrdjKoui0SCIsBiMb/SZmfUQQcuTdE3ehQdCnWl+n/D0t/HJ4N4VeI7jCTpoOAhKlp4aXrd&#10;FOCxM/pZP5lhoYkzz/ZUm86PwAOdgqjnUVR2cojC4up+vszvQG8Ke/erfBU1py0U5t0h2v7417Es&#10;hcx8ZmMivYZWtBd97Mf0eW6JZkF269kP+uQXfWK35FGh4DPKYwsLSn1Im5EkKejBuh1TQWNy/GVd&#10;bNcqWaRNFj3JZGri/LLPwZuon9SgHUrgNzt1ZC8quDlfiLFQvk6L5dLTg1wubkJO3aGibx3Tdhp1&#10;QI1u4aIBWNpLY/SZRr7dc5JjgqNCWRbT9tRD/qMcEH6qp1WCV49cCK+ANc3+uzDoSPw7Eb6B/hs3&#10;Ib2zVP5YDONXoBlT2b21V9UZekb8lNCHQN8lwyRjn4yDNrxp4VEKty3gQB8HxHDjA4HhdfJPynQe&#10;vC4v8uY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BK/JitQAAAADAQAADwAAAAAAAAABACAAAAAi&#10;AAAAZHJzL2Rvd25yZXYueG1sUEsBAhQAFAAAAAgAh07iQE79HPhHAgAA2QUAAA4AAAAAAAAAAQAg&#10;AAAAIwEAAGRycy9lMm9Eb2MueG1sUEsFBgAAAAAGAAYAWQEAANwFAAAAAA==&#10;">
                <o:lock v:ext="edit" aspectratio="f"/>
                <v:shape id="Graphic 2" o:spid="_x0000_s1026" o:spt="100" style="position:absolute;left:0;top:0;height:9525;width:5904230;" fillcolor="#000000" filled="t" stroked="f" coordsize="5904230,9525" o:gfxdata="UEsDBAoAAAAAAIdO4kAAAAAAAAAAAAAAAAAEAAAAZHJzL1BLAwQUAAAACACHTuJALLtLFLwAAADa&#10;AAAADwAAAGRycy9kb3ducmV2LnhtbEWP3YrCMBSE7xd8h3AE79bUn1WpRkFBUHChavH60BzbYnNS&#10;mqj17c3CgpfDzHzDLFatqcSDGldaVjDoRyCIM6tLzhWk5+33DITzyBory6TgRQ5Wy87XAmNtn3yk&#10;x8nnIkDYxaig8L6OpXRZQQZd39bEwbvaxqAPssmlbvAZ4KaSwyiaSIMlh4UCa9oUlN1Od6NgvPud&#10;Jsnh8GPX6ehCk3afJvleqV53EM1BeGr9J/zf3mkFQ/i7Em6AXL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y7SxS8AAAA&#10;2gAAAA8AAAAAAAAAAQAgAAAAIgAAAGRycy9kb3ducmV2LnhtbFBLAQIUABQAAAAIAIdO4kAzLwWe&#10;OwAAADkAAAAQAAAAAAAAAAEAIAAAAAsBAABkcnMvc2hhcGV4bWwueG1sUEsFBgAAAAAGAAYAWwEA&#10;ALUDAAAAAA==&#10;" path="m5904230,9144l0,9144,0,0,5904230,0,5904230,9144xe">
                  <v:fill on="t" focussize="0,0"/>
                  <v:stroke on="f"/>
                  <v:imagedata o:title=""/>
                  <o:lock v:ext="edit" aspectratio="f"/>
                  <v:textbox inset="0mm,0mm,0mm,0mm"/>
                </v:shape>
                <w10:wrap type="none"/>
                <w10:anchorlock/>
              </v:group>
            </w:pict>
          </mc:Fallback>
        </mc:AlternateContent>
      </w:r>
    </w:p>
    <w:p w14:paraId="71F03AE1">
      <w:pPr>
        <w:pStyle w:val="12"/>
        <w:ind w:firstLine="402"/>
        <w:rPr>
          <w:rFonts w:ascii="Times New Roman"/>
          <w:sz w:val="20"/>
        </w:rPr>
      </w:pPr>
    </w:p>
    <w:p w14:paraId="4768A34D">
      <w:pPr>
        <w:pStyle w:val="12"/>
        <w:ind w:firstLine="402"/>
        <w:rPr>
          <w:rFonts w:ascii="Times New Roman"/>
          <w:sz w:val="20"/>
        </w:rPr>
      </w:pPr>
    </w:p>
    <w:p w14:paraId="3F2A88B8">
      <w:pPr>
        <w:pStyle w:val="15"/>
        <w:rPr>
          <w:rFonts w:hAnsi="宋体"/>
          <w:b/>
          <w:bCs/>
          <w:spacing w:val="80"/>
          <w:sz w:val="64"/>
        </w:rPr>
      </w:pPr>
    </w:p>
    <w:p w14:paraId="4C58CE75">
      <w:pPr>
        <w:pStyle w:val="5"/>
        <w:rPr>
          <w:spacing w:val="80"/>
          <w:sz w:val="64"/>
        </w:rPr>
      </w:pPr>
      <w:r>
        <w:rPr>
          <w:rFonts w:hint="eastAsia"/>
          <w:spacing w:val="80"/>
          <w:sz w:val="64"/>
        </w:rPr>
        <w:drawing>
          <wp:anchor distT="0" distB="0" distL="114300" distR="114300" simplePos="0" relativeHeight="251674624" behindDoc="0" locked="0" layoutInCell="1" allowOverlap="1">
            <wp:simplePos x="0" y="0"/>
            <wp:positionH relativeFrom="column">
              <wp:posOffset>2169795</wp:posOffset>
            </wp:positionH>
            <wp:positionV relativeFrom="paragraph">
              <wp:posOffset>146050</wp:posOffset>
            </wp:positionV>
            <wp:extent cx="1370330" cy="836930"/>
            <wp:effectExtent l="0" t="0" r="1270" b="1270"/>
            <wp:wrapSquare wrapText="bothSides"/>
            <wp:docPr id="1" name="Picture 148" descr="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8" descr="图标"/>
                    <pic:cNvPicPr>
                      <a:picLocks noChangeAspect="1"/>
                    </pic:cNvPicPr>
                  </pic:nvPicPr>
                  <pic:blipFill>
                    <a:blip r:embed="rId16"/>
                    <a:stretch>
                      <a:fillRect/>
                    </a:stretch>
                  </pic:blipFill>
                  <pic:spPr>
                    <a:xfrm>
                      <a:off x="0" y="0"/>
                      <a:ext cx="1370330" cy="836930"/>
                    </a:xfrm>
                    <a:prstGeom prst="rect">
                      <a:avLst/>
                    </a:prstGeom>
                    <a:noFill/>
                    <a:ln>
                      <a:noFill/>
                    </a:ln>
                  </pic:spPr>
                </pic:pic>
              </a:graphicData>
            </a:graphic>
          </wp:anchor>
        </w:drawing>
      </w:r>
    </w:p>
    <w:p w14:paraId="1938396E">
      <w:pPr>
        <w:pStyle w:val="13"/>
        <w:ind w:left="1540" w:right="1540"/>
      </w:pPr>
    </w:p>
    <w:p w14:paraId="5BD4D060">
      <w:pPr>
        <w:pStyle w:val="15"/>
        <w:rPr>
          <w:rFonts w:hAnsi="宋体"/>
          <w:b/>
          <w:bCs/>
          <w:spacing w:val="80"/>
          <w:sz w:val="64"/>
        </w:rPr>
      </w:pPr>
    </w:p>
    <w:p w14:paraId="1744F6B1">
      <w:pPr>
        <w:snapToGrid w:val="0"/>
        <w:spacing w:beforeLines="50" w:line="360" w:lineRule="auto"/>
        <w:jc w:val="center"/>
        <w:rPr>
          <w:sz w:val="52"/>
          <w:szCs w:val="52"/>
        </w:rPr>
      </w:pPr>
      <w:r>
        <w:rPr>
          <w:rFonts w:hint="eastAsia"/>
          <w:b/>
          <w:sz w:val="52"/>
          <w:szCs w:val="52"/>
        </w:rPr>
        <w:t>南宁品正建设咨询有限责任公司</w:t>
      </w:r>
    </w:p>
    <w:p w14:paraId="5BA263AF">
      <w:pPr>
        <w:pStyle w:val="12"/>
        <w:spacing w:before="6"/>
        <w:ind w:firstLine="1660"/>
        <w:rPr>
          <w:b/>
          <w:sz w:val="83"/>
        </w:rPr>
      </w:pPr>
    </w:p>
    <w:p w14:paraId="541519C5">
      <w:pPr>
        <w:pStyle w:val="23"/>
        <w:ind w:firstLine="1687"/>
      </w:pPr>
      <w:r>
        <w:t>竞争性磋商文件</w:t>
      </w:r>
    </w:p>
    <w:p w14:paraId="307A80A2">
      <w:pPr>
        <w:pStyle w:val="12"/>
        <w:ind w:firstLine="2460"/>
        <w:rPr>
          <w:rFonts w:ascii="楷体"/>
          <w:b/>
          <w:sz w:val="123"/>
        </w:rPr>
      </w:pPr>
    </w:p>
    <w:p w14:paraId="234A4154">
      <w:pPr>
        <w:spacing w:line="364" w:lineRule="auto"/>
        <w:ind w:right="665"/>
        <w:jc w:val="center"/>
        <w:rPr>
          <w:b/>
          <w:sz w:val="32"/>
        </w:rPr>
      </w:pPr>
      <w:r>
        <w:rPr>
          <w:b/>
          <w:sz w:val="32"/>
        </w:rPr>
        <w:t>项目名称:</w:t>
      </w:r>
      <w:r>
        <w:rPr>
          <w:rFonts w:hint="eastAsia"/>
          <w:b/>
          <w:sz w:val="32"/>
        </w:rPr>
        <w:t>S301线K131+000～K142+000段普通省道安全设施精细化提升工程</w:t>
      </w:r>
    </w:p>
    <w:p w14:paraId="653D3B73">
      <w:pPr>
        <w:spacing w:line="364" w:lineRule="auto"/>
        <w:ind w:left="1276" w:right="665" w:firstLine="643"/>
        <w:rPr>
          <w:b/>
          <w:sz w:val="32"/>
        </w:rPr>
      </w:pPr>
      <w:r>
        <w:rPr>
          <w:b/>
          <w:sz w:val="32"/>
        </w:rPr>
        <w:t>项目编号：GXZC2025-C2-000883-NNPZ</w:t>
      </w:r>
    </w:p>
    <w:p w14:paraId="2339F04A">
      <w:pPr>
        <w:pStyle w:val="12"/>
        <w:ind w:firstLine="640"/>
        <w:rPr>
          <w:b/>
          <w:sz w:val="32"/>
        </w:rPr>
      </w:pPr>
    </w:p>
    <w:p w14:paraId="7DB2D0A1">
      <w:pPr>
        <w:pStyle w:val="12"/>
        <w:ind w:firstLine="640"/>
        <w:rPr>
          <w:b/>
          <w:sz w:val="32"/>
        </w:rPr>
      </w:pPr>
    </w:p>
    <w:p w14:paraId="7F17046A">
      <w:pPr>
        <w:pStyle w:val="12"/>
        <w:ind w:firstLine="640"/>
        <w:rPr>
          <w:b/>
          <w:sz w:val="32"/>
        </w:rPr>
      </w:pPr>
    </w:p>
    <w:p w14:paraId="1E02CE1E">
      <w:pPr>
        <w:pStyle w:val="12"/>
        <w:ind w:firstLine="640"/>
        <w:rPr>
          <w:b/>
          <w:sz w:val="32"/>
        </w:rPr>
      </w:pPr>
    </w:p>
    <w:p w14:paraId="5D8578F9">
      <w:pPr>
        <w:spacing w:line="360" w:lineRule="auto"/>
        <w:ind w:firstLine="1928" w:firstLineChars="600"/>
        <w:rPr>
          <w:b/>
          <w:bCs/>
          <w:sz w:val="32"/>
          <w:szCs w:val="32"/>
        </w:rPr>
      </w:pPr>
      <w:bookmarkStart w:id="0" w:name="采购人：广西壮族自治区龙胜公路养护中心"/>
      <w:bookmarkEnd w:id="0"/>
      <w:r>
        <w:rPr>
          <w:b/>
          <w:bCs/>
          <w:sz w:val="32"/>
          <w:szCs w:val="32"/>
        </w:rPr>
        <w:t>采购人：</w:t>
      </w:r>
      <w:bookmarkStart w:id="1" w:name="采购代理机构：桂林通成工程咨询有限公司"/>
      <w:bookmarkEnd w:id="1"/>
      <w:r>
        <w:rPr>
          <w:rFonts w:hint="eastAsia"/>
          <w:b/>
          <w:sz w:val="32"/>
        </w:rPr>
        <w:t>广西壮族自治区资源公路养护中心</w:t>
      </w:r>
    </w:p>
    <w:p w14:paraId="6CEE1B31">
      <w:pPr>
        <w:spacing w:line="360" w:lineRule="auto"/>
        <w:ind w:firstLine="643"/>
        <w:jc w:val="center"/>
        <w:rPr>
          <w:b/>
          <w:sz w:val="32"/>
          <w:szCs w:val="32"/>
        </w:rPr>
      </w:pPr>
      <w:r>
        <w:rPr>
          <w:b/>
          <w:bCs/>
          <w:sz w:val="32"/>
          <w:szCs w:val="32"/>
        </w:rPr>
        <w:t>购代理机构：</w:t>
      </w:r>
      <w:r>
        <w:rPr>
          <w:rFonts w:hint="eastAsia"/>
          <w:b/>
          <w:sz w:val="32"/>
          <w:szCs w:val="32"/>
        </w:rPr>
        <w:t>南宁品正建设咨询有限责任公司</w:t>
      </w:r>
    </w:p>
    <w:p w14:paraId="5A058300">
      <w:pPr>
        <w:spacing w:line="360" w:lineRule="auto"/>
        <w:ind w:firstLine="643"/>
        <w:jc w:val="center"/>
        <w:rPr>
          <w:b/>
          <w:bCs/>
          <w:sz w:val="32"/>
          <w:szCs w:val="32"/>
        </w:rPr>
      </w:pPr>
      <w:r>
        <w:rPr>
          <w:b/>
          <w:bCs/>
          <w:sz w:val="32"/>
          <w:szCs w:val="32"/>
        </w:rPr>
        <w:t>202</w:t>
      </w:r>
      <w:r>
        <w:rPr>
          <w:rFonts w:hint="eastAsia"/>
          <w:b/>
          <w:bCs/>
          <w:sz w:val="32"/>
          <w:szCs w:val="32"/>
        </w:rPr>
        <w:t>5</w:t>
      </w:r>
      <w:r>
        <w:rPr>
          <w:b/>
          <w:bCs/>
          <w:sz w:val="32"/>
          <w:szCs w:val="32"/>
        </w:rPr>
        <w:t>年</w:t>
      </w:r>
      <w:r>
        <w:rPr>
          <w:rFonts w:hint="eastAsia"/>
          <w:b/>
          <w:bCs/>
          <w:sz w:val="32"/>
          <w:szCs w:val="32"/>
          <w:lang w:val="en-US" w:eastAsia="zh-CN"/>
        </w:rPr>
        <w:t>4</w:t>
      </w:r>
      <w:r>
        <w:rPr>
          <w:b/>
          <w:bCs/>
          <w:sz w:val="32"/>
          <w:szCs w:val="32"/>
        </w:rPr>
        <w:t>月</w:t>
      </w:r>
      <w:r>
        <w:rPr>
          <w:rFonts w:hint="eastAsia"/>
          <w:b/>
          <w:bCs/>
          <w:sz w:val="32"/>
          <w:szCs w:val="32"/>
          <w:lang w:val="en-US" w:eastAsia="zh-CN"/>
        </w:rPr>
        <w:t>22</w:t>
      </w:r>
      <w:r>
        <w:rPr>
          <w:b/>
          <w:bCs/>
          <w:sz w:val="32"/>
          <w:szCs w:val="32"/>
        </w:rPr>
        <w:t>日</w:t>
      </w:r>
    </w:p>
    <w:p w14:paraId="507387E2">
      <w:pPr>
        <w:spacing w:line="360" w:lineRule="auto"/>
        <w:ind w:firstLine="640"/>
        <w:jc w:val="center"/>
        <w:rPr>
          <w:b/>
          <w:bCs/>
          <w:sz w:val="32"/>
          <w:szCs w:val="32"/>
        </w:rPr>
        <w:sectPr>
          <w:type w:val="continuous"/>
          <w:pgSz w:w="11910" w:h="16840"/>
          <w:pgMar w:top="1219" w:right="1219" w:bottom="1219" w:left="1219" w:header="720" w:footer="720" w:gutter="0"/>
          <w:cols w:space="720" w:num="1"/>
        </w:sectPr>
      </w:pPr>
    </w:p>
    <w:p w14:paraId="3C09D848">
      <w:pPr>
        <w:pStyle w:val="12"/>
        <w:spacing w:line="20" w:lineRule="exact"/>
        <w:ind w:left="344" w:firstLine="40"/>
        <w:rPr>
          <w:sz w:val="2"/>
        </w:rPr>
      </w:pPr>
    </w:p>
    <w:p w14:paraId="7DF9D28D">
      <w:pPr>
        <w:pStyle w:val="12"/>
        <w:tabs>
          <w:tab w:val="left" w:pos="9102"/>
        </w:tabs>
        <w:ind w:firstLine="402"/>
        <w:rPr>
          <w:b/>
          <w:sz w:val="20"/>
        </w:rPr>
      </w:pPr>
      <w:r>
        <w:rPr>
          <w:rFonts w:hint="eastAsia"/>
          <w:b/>
          <w:sz w:val="20"/>
        </w:rPr>
        <w:tab/>
      </w:r>
    </w:p>
    <w:p w14:paraId="73603F9A">
      <w:pPr>
        <w:pStyle w:val="12"/>
        <w:ind w:firstLine="400"/>
        <w:rPr>
          <w:b/>
          <w:sz w:val="20"/>
        </w:rPr>
      </w:pPr>
    </w:p>
    <w:p w14:paraId="3390A4E3">
      <w:pPr>
        <w:tabs>
          <w:tab w:val="left" w:pos="1540"/>
        </w:tabs>
        <w:spacing w:before="194"/>
        <w:ind w:right="317" w:firstLine="883"/>
        <w:jc w:val="center"/>
        <w:rPr>
          <w:b/>
          <w:bCs/>
          <w:sz w:val="44"/>
        </w:rPr>
      </w:pPr>
      <w:r>
        <w:rPr>
          <w:b/>
          <w:bCs/>
          <w:sz w:val="44"/>
        </w:rPr>
        <w:t>目</w:t>
      </w:r>
      <w:r>
        <w:rPr>
          <w:b/>
          <w:bCs/>
          <w:sz w:val="44"/>
        </w:rPr>
        <w:tab/>
      </w:r>
      <w:r>
        <w:rPr>
          <w:b/>
          <w:bCs/>
          <w:sz w:val="44"/>
        </w:rPr>
        <w:t>录</w:t>
      </w:r>
    </w:p>
    <w:sdt>
      <w:sdtPr>
        <w:rPr>
          <w:sz w:val="21"/>
        </w:rPr>
        <w:id w:val="147472739"/>
        <w:docPartObj>
          <w:docPartGallery w:val="Table of Contents"/>
          <w:docPartUnique/>
        </w:docPartObj>
      </w:sdtPr>
      <w:sdtEndPr>
        <w:rPr>
          <w:sz w:val="21"/>
        </w:rPr>
      </w:sdtEndPr>
      <w:sdtContent>
        <w:p w14:paraId="25D2B4FE">
          <w:pPr>
            <w:ind w:firstLine="422"/>
            <w:jc w:val="center"/>
          </w:pPr>
        </w:p>
        <w:p w14:paraId="4B28E867">
          <w:pPr>
            <w:pStyle w:val="35"/>
            <w:tabs>
              <w:tab w:val="right" w:leader="dot" w:pos="9460"/>
            </w:tabs>
            <w:spacing w:line="480" w:lineRule="auto"/>
            <w:rPr>
              <w:rFonts w:hint="eastAsia" w:asciiTheme="majorEastAsia" w:hAnsiTheme="majorEastAsia" w:eastAsiaTheme="majorEastAsia" w:cstheme="majorEastAsia"/>
              <w:sz w:val="30"/>
              <w:szCs w:val="30"/>
              <w:lang w:val="en-US" w:eastAsia="zh-CN"/>
            </w:rPr>
          </w:pPr>
          <w:r>
            <w:fldChar w:fldCharType="begin"/>
          </w:r>
          <w:r>
            <w:instrText xml:space="preserve">TOC \o "1-1" \h \u </w:instrText>
          </w:r>
          <w:r>
            <w:fldChar w:fldCharType="separate"/>
          </w:r>
          <w:r>
            <w:fldChar w:fldCharType="begin"/>
          </w:r>
          <w:r>
            <w:instrText xml:space="preserve"> HYPERLINK \l "_Toc4764" </w:instrText>
          </w:r>
          <w:r>
            <w:fldChar w:fldCharType="separate"/>
          </w:r>
          <w:r>
            <w:rPr>
              <w:rFonts w:hint="eastAsia" w:asciiTheme="majorEastAsia" w:hAnsiTheme="majorEastAsia" w:eastAsiaTheme="majorEastAsia" w:cstheme="majorEastAsia"/>
              <w:sz w:val="30"/>
              <w:szCs w:val="30"/>
            </w:rPr>
            <w:t>第一章竞争性磋商公告</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lang w:val="en-US" w:eastAsia="zh-CN"/>
            </w:rPr>
            <w:t>2</w:t>
          </w:r>
        </w:p>
        <w:p w14:paraId="79F26826">
          <w:pPr>
            <w:pStyle w:val="35"/>
            <w:tabs>
              <w:tab w:val="right" w:leader="dot" w:pos="9460"/>
            </w:tabs>
            <w:spacing w:line="480" w:lineRule="auto"/>
            <w:rPr>
              <w:rFonts w:asciiTheme="majorEastAsia" w:hAnsiTheme="majorEastAsia" w:eastAsiaTheme="majorEastAsia" w:cstheme="majorEastAsia"/>
              <w:sz w:val="30"/>
              <w:szCs w:val="30"/>
            </w:rPr>
          </w:pPr>
          <w:r>
            <w:fldChar w:fldCharType="begin"/>
          </w:r>
          <w:r>
            <w:instrText xml:space="preserve"> HYPERLINK \l "_Toc17173" </w:instrText>
          </w:r>
          <w:r>
            <w:fldChar w:fldCharType="separate"/>
          </w:r>
          <w:r>
            <w:rPr>
              <w:rFonts w:hint="eastAsia" w:asciiTheme="majorEastAsia" w:hAnsiTheme="majorEastAsia" w:eastAsiaTheme="majorEastAsia" w:cstheme="majorEastAsia"/>
              <w:sz w:val="30"/>
              <w:szCs w:val="30"/>
            </w:rPr>
            <w:t>第二章供应商须知</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_Toc17173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5</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p>
        <w:p w14:paraId="51E9117B">
          <w:pPr>
            <w:pStyle w:val="35"/>
            <w:tabs>
              <w:tab w:val="right" w:leader="dot" w:pos="9460"/>
            </w:tabs>
            <w:spacing w:line="480" w:lineRule="auto"/>
            <w:rPr>
              <w:rFonts w:asciiTheme="majorEastAsia" w:hAnsiTheme="majorEastAsia" w:eastAsiaTheme="majorEastAsia" w:cstheme="majorEastAsia"/>
              <w:sz w:val="30"/>
              <w:szCs w:val="30"/>
            </w:rPr>
          </w:pPr>
          <w:r>
            <w:fldChar w:fldCharType="begin"/>
          </w:r>
          <w:r>
            <w:instrText xml:space="preserve"> HYPERLINK \l "_Toc22621" </w:instrText>
          </w:r>
          <w:r>
            <w:fldChar w:fldCharType="separate"/>
          </w:r>
          <w:r>
            <w:rPr>
              <w:rFonts w:hint="eastAsia" w:asciiTheme="majorEastAsia" w:hAnsiTheme="majorEastAsia" w:eastAsiaTheme="majorEastAsia" w:cstheme="majorEastAsia"/>
              <w:sz w:val="30"/>
              <w:szCs w:val="30"/>
            </w:rPr>
            <w:t>第三章采购需求</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t>2</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t>8</w:t>
          </w:r>
        </w:p>
        <w:p w14:paraId="4D8DDC67">
          <w:pPr>
            <w:pStyle w:val="35"/>
            <w:tabs>
              <w:tab w:val="right" w:leader="dot" w:pos="9460"/>
            </w:tabs>
            <w:spacing w:line="480" w:lineRule="auto"/>
            <w:rPr>
              <w:rFonts w:asciiTheme="majorEastAsia" w:hAnsiTheme="majorEastAsia" w:eastAsiaTheme="majorEastAsia" w:cstheme="majorEastAsia"/>
              <w:sz w:val="30"/>
              <w:szCs w:val="30"/>
            </w:rPr>
          </w:pPr>
          <w:r>
            <w:fldChar w:fldCharType="begin"/>
          </w:r>
          <w:r>
            <w:instrText xml:space="preserve"> HYPERLINK \l "_Toc349" </w:instrText>
          </w:r>
          <w:r>
            <w:fldChar w:fldCharType="separate"/>
          </w:r>
          <w:r>
            <w:rPr>
              <w:rFonts w:hint="eastAsia" w:asciiTheme="majorEastAsia" w:hAnsiTheme="majorEastAsia" w:eastAsiaTheme="majorEastAsia" w:cstheme="majorEastAsia"/>
              <w:sz w:val="30"/>
              <w:szCs w:val="30"/>
            </w:rPr>
            <w:t>第四章评审办法</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t>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t>0</w:t>
          </w:r>
        </w:p>
        <w:p w14:paraId="006A3A69">
          <w:pPr>
            <w:pStyle w:val="35"/>
            <w:tabs>
              <w:tab w:val="right" w:leader="dot" w:pos="9460"/>
            </w:tabs>
            <w:spacing w:line="480" w:lineRule="auto"/>
            <w:rPr>
              <w:rFonts w:hint="eastAsia" w:asciiTheme="majorEastAsia" w:hAnsiTheme="majorEastAsia" w:eastAsiaTheme="majorEastAsia" w:cstheme="majorEastAsia"/>
              <w:sz w:val="30"/>
              <w:szCs w:val="30"/>
              <w:lang w:val="en-US" w:eastAsia="zh-CN"/>
            </w:rPr>
          </w:pPr>
          <w:r>
            <w:fldChar w:fldCharType="begin"/>
          </w:r>
          <w:r>
            <w:instrText xml:space="preserve"> HYPERLINK \l "_Toc29957" </w:instrText>
          </w:r>
          <w:r>
            <w:fldChar w:fldCharType="separate"/>
          </w:r>
          <w:r>
            <w:rPr>
              <w:rFonts w:hint="eastAsia" w:asciiTheme="majorEastAsia" w:hAnsiTheme="majorEastAsia" w:eastAsiaTheme="majorEastAsia" w:cstheme="majorEastAsia"/>
              <w:sz w:val="30"/>
              <w:szCs w:val="30"/>
            </w:rPr>
            <w:t>第五章合同条款及格式</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_Toc29957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3</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lang w:val="en-US" w:eastAsia="zh-CN"/>
            </w:rPr>
            <w:t>4</w:t>
          </w:r>
        </w:p>
        <w:p w14:paraId="3AB4061C">
          <w:pPr>
            <w:pStyle w:val="35"/>
            <w:tabs>
              <w:tab w:val="right" w:leader="dot" w:pos="9460"/>
            </w:tabs>
            <w:spacing w:line="480" w:lineRule="auto"/>
            <w:rPr>
              <w:rFonts w:hint="eastAsia" w:asciiTheme="majorEastAsia" w:hAnsiTheme="majorEastAsia" w:eastAsiaTheme="majorEastAsia" w:cstheme="majorEastAsia"/>
              <w:sz w:val="30"/>
              <w:szCs w:val="30"/>
              <w:lang w:val="en-US" w:eastAsia="zh-CN"/>
            </w:rPr>
          </w:pPr>
          <w:r>
            <w:fldChar w:fldCharType="begin"/>
          </w:r>
          <w:r>
            <w:instrText xml:space="preserve"> HYPERLINK \l "_Toc4745" </w:instrText>
          </w:r>
          <w:r>
            <w:fldChar w:fldCharType="separate"/>
          </w:r>
          <w:r>
            <w:rPr>
              <w:rFonts w:hint="eastAsia" w:asciiTheme="majorEastAsia" w:hAnsiTheme="majorEastAsia" w:eastAsiaTheme="majorEastAsia" w:cstheme="majorEastAsia"/>
              <w:sz w:val="30"/>
              <w:szCs w:val="30"/>
            </w:rPr>
            <w:t>第六章工程量清单</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_Toc4745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6</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lang w:val="en-US" w:eastAsia="zh-CN"/>
            </w:rPr>
            <w:t>5</w:t>
          </w:r>
        </w:p>
        <w:p w14:paraId="02CB4C54">
          <w:pPr>
            <w:pStyle w:val="35"/>
            <w:tabs>
              <w:tab w:val="right" w:leader="dot" w:pos="9460"/>
            </w:tabs>
            <w:spacing w:line="480" w:lineRule="auto"/>
            <w:rPr>
              <w:rFonts w:hint="eastAsia" w:asciiTheme="majorEastAsia" w:hAnsiTheme="majorEastAsia" w:eastAsiaTheme="majorEastAsia" w:cstheme="majorEastAsia"/>
              <w:sz w:val="30"/>
              <w:szCs w:val="30"/>
              <w:lang w:val="en-US" w:eastAsia="zh-CN"/>
            </w:rPr>
          </w:pPr>
          <w:r>
            <w:fldChar w:fldCharType="begin"/>
          </w:r>
          <w:r>
            <w:instrText xml:space="preserve"> HYPERLINK \l "_Toc17206" </w:instrText>
          </w:r>
          <w:r>
            <w:fldChar w:fldCharType="separate"/>
          </w:r>
          <w:r>
            <w:rPr>
              <w:rFonts w:hint="eastAsia" w:asciiTheme="majorEastAsia" w:hAnsiTheme="majorEastAsia" w:eastAsiaTheme="majorEastAsia" w:cstheme="majorEastAsia"/>
              <w:sz w:val="30"/>
              <w:szCs w:val="30"/>
            </w:rPr>
            <w:t>第七章图纸</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_Toc17206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6</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lang w:val="en-US" w:eastAsia="zh-CN"/>
            </w:rPr>
            <w:t>6</w:t>
          </w:r>
        </w:p>
        <w:p w14:paraId="392C9B92">
          <w:pPr>
            <w:pStyle w:val="35"/>
            <w:tabs>
              <w:tab w:val="right" w:leader="dot" w:pos="9460"/>
            </w:tabs>
            <w:spacing w:line="480" w:lineRule="auto"/>
            <w:rPr>
              <w:rFonts w:eastAsiaTheme="majorEastAsia"/>
            </w:rPr>
          </w:pPr>
          <w:r>
            <w:fldChar w:fldCharType="begin"/>
          </w:r>
          <w:r>
            <w:instrText xml:space="preserve"> HYPERLINK \l "_Toc32116" </w:instrText>
          </w:r>
          <w:r>
            <w:fldChar w:fldCharType="separate"/>
          </w:r>
          <w:r>
            <w:rPr>
              <w:rFonts w:hint="eastAsia" w:asciiTheme="majorEastAsia" w:hAnsiTheme="majorEastAsia" w:eastAsiaTheme="majorEastAsia" w:cstheme="majorEastAsia"/>
              <w:sz w:val="30"/>
              <w:szCs w:val="30"/>
            </w:rPr>
            <w:t>第八章响应文件（格式）</w:t>
          </w:r>
          <w:r>
            <w:rPr>
              <w:rFonts w:hint="eastAsia" w:asciiTheme="majorEastAsia" w:hAnsiTheme="majorEastAsia" w:eastAsiaTheme="majorEastAsia" w:cstheme="majorEastAsia"/>
              <w:sz w:val="30"/>
              <w:szCs w:val="30"/>
            </w:rPr>
            <w:tab/>
          </w: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PAGEREF _Toc32116 \h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6</w:t>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fldChar w:fldCharType="end"/>
          </w:r>
          <w:r>
            <w:rPr>
              <w:rFonts w:hint="eastAsia" w:asciiTheme="majorEastAsia" w:hAnsiTheme="majorEastAsia" w:eastAsiaTheme="majorEastAsia" w:cstheme="majorEastAsia"/>
              <w:sz w:val="30"/>
              <w:szCs w:val="30"/>
            </w:rPr>
            <w:t>7</w:t>
          </w:r>
        </w:p>
        <w:p w14:paraId="10A57AF1">
          <w:pPr>
            <w:ind w:firstLine="422"/>
          </w:pPr>
          <w:r>
            <w:fldChar w:fldCharType="end"/>
          </w:r>
        </w:p>
      </w:sdtContent>
    </w:sdt>
    <w:p w14:paraId="142DE71A">
      <w:pPr>
        <w:pStyle w:val="22"/>
        <w:ind w:firstLine="0" w:firstLineChars="0"/>
      </w:pPr>
    </w:p>
    <w:p w14:paraId="2B1DB5C1">
      <w:pPr>
        <w:ind w:firstLine="422"/>
      </w:pPr>
    </w:p>
    <w:p w14:paraId="4BD43BCE">
      <w:pPr>
        <w:pStyle w:val="12"/>
      </w:pPr>
    </w:p>
    <w:p w14:paraId="318C6215">
      <w:pPr>
        <w:ind w:firstLine="422"/>
      </w:pPr>
    </w:p>
    <w:p w14:paraId="0993A451">
      <w:pPr>
        <w:pStyle w:val="12"/>
      </w:pPr>
    </w:p>
    <w:p w14:paraId="3210D417">
      <w:pPr>
        <w:ind w:firstLine="422"/>
      </w:pPr>
    </w:p>
    <w:p w14:paraId="5C413621">
      <w:pPr>
        <w:pStyle w:val="12"/>
      </w:pPr>
    </w:p>
    <w:p w14:paraId="67B25AB4">
      <w:pPr>
        <w:ind w:firstLine="422"/>
      </w:pPr>
    </w:p>
    <w:p w14:paraId="14641E89">
      <w:pPr>
        <w:pStyle w:val="12"/>
      </w:pPr>
    </w:p>
    <w:p w14:paraId="1D7AE864">
      <w:pPr>
        <w:ind w:firstLine="422"/>
      </w:pPr>
    </w:p>
    <w:p w14:paraId="208655F7">
      <w:pPr>
        <w:pStyle w:val="12"/>
      </w:pPr>
    </w:p>
    <w:p w14:paraId="0E865977">
      <w:pPr>
        <w:ind w:firstLine="422"/>
      </w:pPr>
    </w:p>
    <w:p w14:paraId="4DBEA899">
      <w:pPr>
        <w:pStyle w:val="12"/>
      </w:pPr>
    </w:p>
    <w:p w14:paraId="22EF18E4">
      <w:pPr>
        <w:ind w:firstLine="422"/>
      </w:pPr>
    </w:p>
    <w:p w14:paraId="3E08F409">
      <w:pPr>
        <w:pStyle w:val="12"/>
      </w:pPr>
    </w:p>
    <w:p w14:paraId="5B500F70">
      <w:pPr>
        <w:ind w:firstLine="422"/>
      </w:pPr>
    </w:p>
    <w:p w14:paraId="6B99C949">
      <w:pPr>
        <w:pStyle w:val="12"/>
      </w:pPr>
    </w:p>
    <w:p w14:paraId="263EE66E">
      <w:pPr>
        <w:ind w:firstLine="422"/>
      </w:pPr>
    </w:p>
    <w:p w14:paraId="13F6ACF4">
      <w:pPr>
        <w:pStyle w:val="12"/>
      </w:pPr>
    </w:p>
    <w:p w14:paraId="4E930ABD">
      <w:pPr>
        <w:ind w:firstLine="422"/>
      </w:pPr>
    </w:p>
    <w:p w14:paraId="2300AFA9">
      <w:pPr>
        <w:pStyle w:val="12"/>
      </w:pPr>
    </w:p>
    <w:p w14:paraId="0B00FF0A">
      <w:pPr>
        <w:pStyle w:val="2"/>
        <w:spacing w:before="27"/>
        <w:ind w:right="322" w:firstLine="643"/>
        <w:jc w:val="center"/>
      </w:pPr>
      <w:r>
        <w:t>第一章竞争性磋商公告</w:t>
      </w:r>
    </w:p>
    <w:p w14:paraId="0D8EE72B">
      <w:pPr>
        <w:ind w:firstLine="422"/>
      </w:pPr>
      <w:r>
        <mc:AlternateContent>
          <mc:Choice Requires="wps">
            <w:drawing>
              <wp:anchor distT="0" distB="0" distL="114300" distR="114300" simplePos="0" relativeHeight="251663360" behindDoc="1" locked="0" layoutInCell="1" allowOverlap="1">
                <wp:simplePos x="0" y="0"/>
                <wp:positionH relativeFrom="page">
                  <wp:posOffset>774065</wp:posOffset>
                </wp:positionH>
                <wp:positionV relativeFrom="paragraph">
                  <wp:posOffset>208915</wp:posOffset>
                </wp:positionV>
                <wp:extent cx="6011545" cy="836295"/>
                <wp:effectExtent l="5080" t="4445" r="18415" b="12700"/>
                <wp:wrapTopAndBottom/>
                <wp:docPr id="7" name="Textbox 7"/>
                <wp:cNvGraphicFramePr/>
                <a:graphic xmlns:a="http://schemas.openxmlformats.org/drawingml/2006/main">
                  <a:graphicData uri="http://schemas.microsoft.com/office/word/2010/wordprocessingShape">
                    <wps:wsp>
                      <wps:cNvSpPr txBox="1"/>
                      <wps:spPr>
                        <a:xfrm>
                          <a:off x="0" y="0"/>
                          <a:ext cx="6011545" cy="1130935"/>
                        </a:xfrm>
                        <a:prstGeom prst="rect">
                          <a:avLst/>
                        </a:prstGeom>
                        <a:noFill/>
                        <a:ln w="6096">
                          <a:solidFill>
                            <a:srgbClr val="000000"/>
                          </a:solidFill>
                          <a:prstDash val="solid"/>
                        </a:ln>
                        <a:effectLst/>
                      </wps:spPr>
                      <wps:txbx>
                        <w:txbxContent>
                          <w:p w14:paraId="790AC11E">
                            <w:pPr>
                              <w:spacing w:line="360" w:lineRule="auto"/>
                              <w:rPr>
                                <w:sz w:val="21"/>
                                <w:szCs w:val="21"/>
                              </w:rPr>
                            </w:pPr>
                            <w:r>
                              <w:rPr>
                                <w:sz w:val="21"/>
                                <w:szCs w:val="21"/>
                              </w:rPr>
                              <w:t>项目概况</w:t>
                            </w:r>
                          </w:p>
                          <w:p w14:paraId="39EC4235">
                            <w:pPr>
                              <w:spacing w:line="360" w:lineRule="auto"/>
                              <w:ind w:firstLine="420" w:firstLineChars="200"/>
                              <w:rPr>
                                <w:sz w:val="21"/>
                                <w:szCs w:val="21"/>
                              </w:rPr>
                            </w:pPr>
                            <w:r>
                              <w:rPr>
                                <w:rFonts w:hint="eastAsia"/>
                                <w:sz w:val="21"/>
                                <w:szCs w:val="21"/>
                                <w:u w:val="single"/>
                              </w:rPr>
                              <w:t>S301线K131+000～K142+000段普通省道安全设施精细化提升工程</w:t>
                            </w:r>
                            <w:r>
                              <w:rPr>
                                <w:sz w:val="21"/>
                                <w:szCs w:val="21"/>
                              </w:rPr>
                              <w:t>的潜在供应商应在广西政府采购云平台线上获取采购文件，并于</w:t>
                            </w:r>
                            <w:r>
                              <w:rPr>
                                <w:rFonts w:hint="eastAsia"/>
                                <w:sz w:val="21"/>
                                <w:szCs w:val="21"/>
                                <w:highlight w:val="none"/>
                                <w:u w:val="single"/>
                              </w:rPr>
                              <w:t>2</w:t>
                            </w:r>
                            <w:r>
                              <w:rPr>
                                <w:rFonts w:hint="eastAsia"/>
                                <w:color w:val="auto"/>
                                <w:sz w:val="21"/>
                                <w:szCs w:val="21"/>
                                <w:highlight w:val="none"/>
                                <w:u w:val="single"/>
                              </w:rPr>
                              <w:t>025年</w:t>
                            </w:r>
                            <w:r>
                              <w:rPr>
                                <w:rFonts w:hint="eastAsia"/>
                                <w:color w:val="auto"/>
                                <w:sz w:val="21"/>
                                <w:szCs w:val="21"/>
                                <w:highlight w:val="none"/>
                                <w:u w:val="single"/>
                                <w:lang w:val="en-US" w:eastAsia="zh-CN"/>
                              </w:rPr>
                              <w:t>5</w:t>
                            </w:r>
                            <w:r>
                              <w:rPr>
                                <w:rFonts w:hint="eastAsia"/>
                                <w:color w:val="auto"/>
                                <w:sz w:val="21"/>
                                <w:szCs w:val="21"/>
                                <w:highlight w:val="none"/>
                                <w:u w:val="single"/>
                              </w:rPr>
                              <w:t>月</w:t>
                            </w:r>
                            <w:r>
                              <w:rPr>
                                <w:rFonts w:hint="eastAsia"/>
                                <w:color w:val="auto"/>
                                <w:sz w:val="21"/>
                                <w:szCs w:val="21"/>
                                <w:highlight w:val="none"/>
                                <w:u w:val="single"/>
                                <w:lang w:val="en-US" w:eastAsia="zh-CN"/>
                              </w:rPr>
                              <w:t>7</w:t>
                            </w:r>
                            <w:r>
                              <w:rPr>
                                <w:rFonts w:hint="eastAsia"/>
                                <w:color w:val="auto"/>
                                <w:sz w:val="21"/>
                                <w:szCs w:val="21"/>
                                <w:highlight w:val="none"/>
                                <w:u w:val="single"/>
                              </w:rPr>
                              <w:t>日</w:t>
                            </w:r>
                            <w:r>
                              <w:rPr>
                                <w:color w:val="auto"/>
                                <w:sz w:val="21"/>
                                <w:szCs w:val="21"/>
                                <w:highlight w:val="none"/>
                                <w:u w:val="single"/>
                              </w:rPr>
                              <w:t>上午9时30分（</w:t>
                            </w:r>
                            <w:r>
                              <w:rPr>
                                <w:color w:val="auto"/>
                                <w:sz w:val="21"/>
                                <w:szCs w:val="21"/>
                              </w:rPr>
                              <w:t>北京时</w:t>
                            </w:r>
                            <w:r>
                              <w:rPr>
                                <w:sz w:val="21"/>
                                <w:szCs w:val="21"/>
                              </w:rPr>
                              <w:t>间）前提交响应文件。</w:t>
                            </w:r>
                          </w:p>
                        </w:txbxContent>
                      </wps:txbx>
                      <wps:bodyPr wrap="square" lIns="0" tIns="0" rIns="0" bIns="0" rtlCol="0">
                        <a:noAutofit/>
                      </wps:bodyPr>
                    </wps:wsp>
                  </a:graphicData>
                </a:graphic>
              </wp:anchor>
            </w:drawing>
          </mc:Choice>
          <mc:Fallback>
            <w:pict>
              <v:shape id="Textbox 7" o:spid="_x0000_s1026" o:spt="202" type="#_x0000_t202" style="position:absolute;left:0pt;margin-left:60.95pt;margin-top:16.45pt;height:65.85pt;width:473.35pt;mso-position-horizontal-relative:page;mso-wrap-distance-bottom:0pt;mso-wrap-distance-top:0pt;z-index:-251653120;mso-width-relative:page;mso-height-relative:page;" filled="f" stroked="t" coordsize="21600,21600" o:gfxdata="UEsDBAoAAAAAAIdO4kAAAAAAAAAAAAAAAAAEAAAAZHJzL1BLAwQUAAAACACHTuJAqlbLa9cAAAAL&#10;AQAADwAAAGRycy9kb3ducmV2LnhtbE2PwU7DMBBE70j8g7VI3KiTQKyQxukBtRcOSCn9ADfeJoF4&#10;HcVuU/6e7QlOu6MZzb6tNlc3igvOYfCkIV0lIJBabwfqNBw+d08FiBANWTN6Qg0/GGBT399VprR+&#10;oQYv+9gJLqFQGg19jFMpZWh7dCas/ITE3snPzkSWcyftbBYud6PMkkRJZwbiC72Z8K3H9nt/dhqw&#10;+Rq83xVLM8Xu8B62eb79yLV+fEiTNYiI1/gXhhs+o0PNTEd/JhvEyDpLXzmq4TnjeQskqlAgjryp&#10;FwWyruT/H+pfUEsDBBQAAAAIAIdO4kCm6Ua26gEAAPEDAAAOAAAAZHJzL2Uyb0RvYy54bWytU9Fu&#10;0zAUfUfiHyy/0yQb7VjVdIJVQ0gIkDY+wHGcxpLta3zdJv17rp20g/GyB/qQXvuenOtzfLK5G61h&#10;RxVQg6t5tSg5U05Cq92+5j+fHt594AyjcK0w4FTNTwr53fbtm83g1+oKejCtCoxIHK4HX/M+Rr8u&#10;CpS9sgIX4JWjZgfBikjLsC/aIAZit6a4KstVMUBofQCpEGl3NzX5zBheQwhdp6XagTxY5eLEGpQR&#10;kSRhrz3ybT5t1ykZv3cdqshMzUlpzE8aQnWTnsV2I9b7IHyv5XwE8ZojvNBkhXY09EK1E1GwQ9D/&#10;UFktAyB0cSHBFpOQ7AipqMoX3jz2wqushaxGfzEd/x+t/Hb8EZhua37DmROWLvxJjbGBkd0kcwaP&#10;a8I8ekLF8ROMFJnzPtJm0jx2waZ/UsOoT9aeLtYSF5O0uSqravl+yZmkXlVdl7fXy8RTPL/uA8bP&#10;CixLRc0D3V22VBy/YpygZ0ia5uBBG5Pvzzg2pBG3q/wCgtFtaiYYhn1zbwI7ipSA/Jvn/gVLzDuB&#10;/YTLrRlmXKJROUvzQZIpk/hUxbEZZ6caaE9k1EB5qjn+OoigODNfHF1YCt+5COeiORchmnvIEZ2k&#10;fTxE6HRWnUZMvORWWlASsm9zalPU/lxn1POXuv0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lbL&#10;a9cAAAALAQAADwAAAAAAAAABACAAAAAiAAAAZHJzL2Rvd25yZXYueG1sUEsBAhQAFAAAAAgAh07i&#10;QKbpRrbqAQAA8QMAAA4AAAAAAAAAAQAgAAAAJgEAAGRycy9lMm9Eb2MueG1sUEsFBgAAAAAGAAYA&#10;WQEAAIIFAAAAAA==&#10;">
                <v:fill on="f" focussize="0,0"/>
                <v:stroke weight="0.48pt" color="#000000" joinstyle="round"/>
                <v:imagedata o:title=""/>
                <o:lock v:ext="edit" aspectratio="f"/>
                <v:textbox inset="0mm,0mm,0mm,0mm">
                  <w:txbxContent>
                    <w:p w14:paraId="790AC11E">
                      <w:pPr>
                        <w:spacing w:line="360" w:lineRule="auto"/>
                        <w:rPr>
                          <w:sz w:val="21"/>
                          <w:szCs w:val="21"/>
                        </w:rPr>
                      </w:pPr>
                      <w:r>
                        <w:rPr>
                          <w:sz w:val="21"/>
                          <w:szCs w:val="21"/>
                        </w:rPr>
                        <w:t>项目概况</w:t>
                      </w:r>
                    </w:p>
                    <w:p w14:paraId="39EC4235">
                      <w:pPr>
                        <w:spacing w:line="360" w:lineRule="auto"/>
                        <w:ind w:firstLine="420" w:firstLineChars="200"/>
                        <w:rPr>
                          <w:sz w:val="21"/>
                          <w:szCs w:val="21"/>
                        </w:rPr>
                      </w:pPr>
                      <w:r>
                        <w:rPr>
                          <w:rFonts w:hint="eastAsia"/>
                          <w:sz w:val="21"/>
                          <w:szCs w:val="21"/>
                          <w:u w:val="single"/>
                        </w:rPr>
                        <w:t>S301线K131+000～K142+000段普通省道安全设施精细化提升工程</w:t>
                      </w:r>
                      <w:r>
                        <w:rPr>
                          <w:sz w:val="21"/>
                          <w:szCs w:val="21"/>
                        </w:rPr>
                        <w:t>的潜在供应商应在广西政府采购云平台线上获取采购文件，并于</w:t>
                      </w:r>
                      <w:r>
                        <w:rPr>
                          <w:rFonts w:hint="eastAsia"/>
                          <w:sz w:val="21"/>
                          <w:szCs w:val="21"/>
                          <w:highlight w:val="none"/>
                          <w:u w:val="single"/>
                        </w:rPr>
                        <w:t>2</w:t>
                      </w:r>
                      <w:r>
                        <w:rPr>
                          <w:rFonts w:hint="eastAsia"/>
                          <w:color w:val="auto"/>
                          <w:sz w:val="21"/>
                          <w:szCs w:val="21"/>
                          <w:highlight w:val="none"/>
                          <w:u w:val="single"/>
                        </w:rPr>
                        <w:t>025年</w:t>
                      </w:r>
                      <w:r>
                        <w:rPr>
                          <w:rFonts w:hint="eastAsia"/>
                          <w:color w:val="auto"/>
                          <w:sz w:val="21"/>
                          <w:szCs w:val="21"/>
                          <w:highlight w:val="none"/>
                          <w:u w:val="single"/>
                          <w:lang w:val="en-US" w:eastAsia="zh-CN"/>
                        </w:rPr>
                        <w:t>5</w:t>
                      </w:r>
                      <w:r>
                        <w:rPr>
                          <w:rFonts w:hint="eastAsia"/>
                          <w:color w:val="auto"/>
                          <w:sz w:val="21"/>
                          <w:szCs w:val="21"/>
                          <w:highlight w:val="none"/>
                          <w:u w:val="single"/>
                        </w:rPr>
                        <w:t>月</w:t>
                      </w:r>
                      <w:r>
                        <w:rPr>
                          <w:rFonts w:hint="eastAsia"/>
                          <w:color w:val="auto"/>
                          <w:sz w:val="21"/>
                          <w:szCs w:val="21"/>
                          <w:highlight w:val="none"/>
                          <w:u w:val="single"/>
                          <w:lang w:val="en-US" w:eastAsia="zh-CN"/>
                        </w:rPr>
                        <w:t>7</w:t>
                      </w:r>
                      <w:r>
                        <w:rPr>
                          <w:rFonts w:hint="eastAsia"/>
                          <w:color w:val="auto"/>
                          <w:sz w:val="21"/>
                          <w:szCs w:val="21"/>
                          <w:highlight w:val="none"/>
                          <w:u w:val="single"/>
                        </w:rPr>
                        <w:t>日</w:t>
                      </w:r>
                      <w:r>
                        <w:rPr>
                          <w:color w:val="auto"/>
                          <w:sz w:val="21"/>
                          <w:szCs w:val="21"/>
                          <w:highlight w:val="none"/>
                          <w:u w:val="single"/>
                        </w:rPr>
                        <w:t>上午9时30分（</w:t>
                      </w:r>
                      <w:r>
                        <w:rPr>
                          <w:color w:val="auto"/>
                          <w:sz w:val="21"/>
                          <w:szCs w:val="21"/>
                        </w:rPr>
                        <w:t>北京时</w:t>
                      </w:r>
                      <w:r>
                        <w:rPr>
                          <w:sz w:val="21"/>
                          <w:szCs w:val="21"/>
                        </w:rPr>
                        <w:t>间）前提交响应文件。</w:t>
                      </w:r>
                    </w:p>
                  </w:txbxContent>
                </v:textbox>
                <w10:wrap type="topAndBottom"/>
              </v:shape>
            </w:pict>
          </mc:Fallback>
        </mc:AlternateContent>
      </w:r>
    </w:p>
    <w:p w14:paraId="7E506AF2">
      <w:pPr>
        <w:spacing w:line="360" w:lineRule="auto"/>
        <w:ind w:firstLine="422" w:firstLineChars="200"/>
        <w:rPr>
          <w:b/>
          <w:bCs/>
          <w:sz w:val="21"/>
          <w:szCs w:val="21"/>
        </w:rPr>
      </w:pPr>
      <w:bookmarkStart w:id="2" w:name="一、项目基本情况"/>
      <w:bookmarkEnd w:id="2"/>
      <w:r>
        <w:rPr>
          <w:rFonts w:hint="eastAsia"/>
          <w:b/>
          <w:bCs/>
          <w:sz w:val="21"/>
          <w:szCs w:val="21"/>
        </w:rPr>
        <w:t>一、项目基本情况</w:t>
      </w:r>
    </w:p>
    <w:p w14:paraId="0A8F13C6">
      <w:pPr>
        <w:spacing w:line="360" w:lineRule="auto"/>
        <w:ind w:firstLine="420" w:firstLineChars="200"/>
        <w:rPr>
          <w:sz w:val="21"/>
          <w:szCs w:val="21"/>
          <w:highlight w:val="yellow"/>
        </w:rPr>
      </w:pPr>
      <w:r>
        <w:rPr>
          <w:rFonts w:hint="eastAsia"/>
          <w:sz w:val="21"/>
          <w:szCs w:val="21"/>
        </w:rPr>
        <w:t>1、项目编号</w:t>
      </w:r>
      <w:r>
        <w:rPr>
          <w:rFonts w:hint="eastAsia"/>
          <w:sz w:val="21"/>
          <w:szCs w:val="21"/>
          <w:highlight w:val="none"/>
        </w:rPr>
        <w:t>：GXZC2025-C2-000883-NNPZ</w:t>
      </w:r>
    </w:p>
    <w:p w14:paraId="0050697A">
      <w:pPr>
        <w:spacing w:line="360" w:lineRule="auto"/>
        <w:ind w:firstLine="420" w:firstLineChars="200"/>
        <w:rPr>
          <w:sz w:val="21"/>
          <w:szCs w:val="21"/>
        </w:rPr>
      </w:pPr>
      <w:r>
        <w:rPr>
          <w:rFonts w:hint="eastAsia"/>
          <w:sz w:val="21"/>
          <w:szCs w:val="21"/>
        </w:rPr>
        <w:t>2、项目名称：S301线K131+000～K142+000段普通省道安全设施精细化提升工程</w:t>
      </w:r>
    </w:p>
    <w:p w14:paraId="6A5151AF">
      <w:pPr>
        <w:spacing w:line="360" w:lineRule="auto"/>
        <w:ind w:firstLine="420" w:firstLineChars="200"/>
        <w:rPr>
          <w:sz w:val="21"/>
          <w:szCs w:val="21"/>
        </w:rPr>
      </w:pPr>
      <w:r>
        <w:rPr>
          <w:rFonts w:hint="eastAsia"/>
          <w:sz w:val="21"/>
          <w:szCs w:val="21"/>
        </w:rPr>
        <w:t>3、采购方式：竞争性磋商</w:t>
      </w:r>
    </w:p>
    <w:p w14:paraId="53DA4679">
      <w:pPr>
        <w:spacing w:line="360" w:lineRule="auto"/>
        <w:ind w:firstLine="420" w:firstLineChars="200"/>
        <w:rPr>
          <w:sz w:val="21"/>
          <w:szCs w:val="21"/>
          <w:highlight w:val="none"/>
        </w:rPr>
      </w:pPr>
      <w:r>
        <w:rPr>
          <w:rFonts w:hint="eastAsia"/>
          <w:sz w:val="21"/>
          <w:szCs w:val="21"/>
          <w:highlight w:val="none"/>
        </w:rPr>
        <w:t>4、预算金额：148.5223万元。</w:t>
      </w:r>
    </w:p>
    <w:p w14:paraId="550428A7">
      <w:pPr>
        <w:spacing w:line="360" w:lineRule="auto"/>
        <w:ind w:firstLine="420" w:firstLineChars="200"/>
        <w:rPr>
          <w:sz w:val="21"/>
          <w:szCs w:val="21"/>
          <w:highlight w:val="yellow"/>
        </w:rPr>
      </w:pPr>
      <w:r>
        <w:rPr>
          <w:rFonts w:hint="eastAsia"/>
          <w:sz w:val="21"/>
          <w:szCs w:val="21"/>
          <w:highlight w:val="none"/>
        </w:rPr>
        <w:t>5、最高限价：148.5223万元。</w:t>
      </w:r>
    </w:p>
    <w:p w14:paraId="44681F5C">
      <w:pPr>
        <w:spacing w:line="360" w:lineRule="auto"/>
        <w:ind w:firstLine="420" w:firstLineChars="200"/>
        <w:rPr>
          <w:sz w:val="21"/>
          <w:szCs w:val="21"/>
        </w:rPr>
      </w:pPr>
      <w:r>
        <w:rPr>
          <w:rFonts w:hint="eastAsia"/>
          <w:sz w:val="21"/>
          <w:szCs w:val="21"/>
        </w:rPr>
        <w:t>6、采购需求：施工路段为S301线K131+000～K142+000，位于资源县境内，道路等级为二级公路。主要工程量:新建C25砼边沟84.9</w:t>
      </w:r>
      <w:bookmarkStart w:id="3" w:name="OLE_LINK4"/>
      <w:r>
        <w:rPr>
          <w:rFonts w:hint="eastAsia"/>
          <w:sz w:val="21"/>
          <w:szCs w:val="21"/>
        </w:rPr>
        <w:t>m</w:t>
      </w:r>
      <w:r>
        <w:rPr>
          <w:rFonts w:hint="eastAsia"/>
          <w:sz w:val="21"/>
          <w:szCs w:val="21"/>
          <w:vertAlign w:val="superscript"/>
        </w:rPr>
        <w:t>3</w:t>
      </w:r>
      <w:bookmarkEnd w:id="3"/>
      <w:r>
        <w:rPr>
          <w:rFonts w:hint="eastAsia"/>
          <w:sz w:val="21"/>
          <w:szCs w:val="21"/>
        </w:rPr>
        <w:t>/202m，C25盖板沟150.2m</w:t>
      </w:r>
      <w:r>
        <w:rPr>
          <w:rFonts w:hint="eastAsia"/>
          <w:sz w:val="21"/>
          <w:szCs w:val="21"/>
          <w:vertAlign w:val="superscript"/>
        </w:rPr>
        <w:t>3</w:t>
      </w:r>
      <w:r>
        <w:rPr>
          <w:rFonts w:hint="eastAsia"/>
          <w:sz w:val="21"/>
          <w:szCs w:val="21"/>
        </w:rPr>
        <w:t>/166m，沟底及平台硬化(C20砼)219.9m</w:t>
      </w:r>
      <w:r>
        <w:rPr>
          <w:rFonts w:hint="eastAsia"/>
          <w:sz w:val="21"/>
          <w:szCs w:val="21"/>
          <w:vertAlign w:val="superscript"/>
        </w:rPr>
        <w:t>3</w:t>
      </w:r>
      <w:r>
        <w:rPr>
          <w:rFonts w:hint="eastAsia"/>
          <w:sz w:val="21"/>
          <w:szCs w:val="21"/>
        </w:rPr>
        <w:t>，新建A级埋入式波形梁护栏312m(Gr-A-4C标准段108m,上下游端头段48m,波形梁护栏与混凝土护栏过渡结构段156m)，混凝土护栏端部加高26处/7.982m</w:t>
      </w:r>
      <w:r>
        <w:rPr>
          <w:rFonts w:hint="eastAsia"/>
          <w:sz w:val="21"/>
          <w:szCs w:val="21"/>
          <w:vertAlign w:val="superscript"/>
        </w:rPr>
        <w:t>3</w:t>
      </w:r>
      <w:r>
        <w:rPr>
          <w:rFonts w:hint="eastAsia"/>
          <w:sz w:val="21"/>
          <w:szCs w:val="21"/>
        </w:rPr>
        <w:t>，立面标记492.9m</w:t>
      </w:r>
      <w:r>
        <w:rPr>
          <w:rFonts w:hint="eastAsia"/>
          <w:sz w:val="21"/>
          <w:szCs w:val="21"/>
          <w:vertAlign w:val="superscript"/>
        </w:rPr>
        <w:t>2</w:t>
      </w:r>
      <w:r>
        <w:rPr>
          <w:rFonts w:hint="eastAsia"/>
          <w:sz w:val="21"/>
          <w:szCs w:val="21"/>
        </w:rPr>
        <w:t>/70处，热熔路面标线5280.5m</w:t>
      </w:r>
      <w:r>
        <w:rPr>
          <w:rFonts w:hint="eastAsia"/>
          <w:sz w:val="21"/>
          <w:szCs w:val="21"/>
          <w:vertAlign w:val="superscript"/>
        </w:rPr>
        <w:t>2</w:t>
      </w:r>
      <w:r>
        <w:rPr>
          <w:rFonts w:hint="eastAsia"/>
          <w:sz w:val="21"/>
          <w:szCs w:val="21"/>
        </w:rPr>
        <w:t>，突起路标2202个，太阳能黄闪灯30套，雾天公路行车安全诱导装置10个，弯道会车预警装置1套，详见工程量清单和图纸。</w:t>
      </w:r>
    </w:p>
    <w:p w14:paraId="5417B8CD">
      <w:pPr>
        <w:spacing w:line="360" w:lineRule="auto"/>
        <w:ind w:firstLine="420" w:firstLineChars="200"/>
        <w:rPr>
          <w:sz w:val="21"/>
          <w:szCs w:val="21"/>
        </w:rPr>
      </w:pPr>
      <w:r>
        <w:rPr>
          <w:rFonts w:hint="eastAsia"/>
          <w:sz w:val="21"/>
          <w:szCs w:val="21"/>
        </w:rPr>
        <w:t>7、合同履约期限：</w:t>
      </w:r>
      <w:r>
        <w:rPr>
          <w:rFonts w:hint="eastAsia"/>
          <w:sz w:val="21"/>
          <w:szCs w:val="21"/>
          <w:highlight w:val="none"/>
        </w:rPr>
        <w:t>90日历天。</w:t>
      </w:r>
    </w:p>
    <w:p w14:paraId="5189BD81">
      <w:pPr>
        <w:spacing w:line="360" w:lineRule="auto"/>
        <w:ind w:firstLine="420" w:firstLineChars="200"/>
        <w:rPr>
          <w:sz w:val="21"/>
          <w:szCs w:val="21"/>
        </w:rPr>
      </w:pPr>
      <w:r>
        <w:rPr>
          <w:rFonts w:hint="eastAsia"/>
          <w:sz w:val="21"/>
          <w:szCs w:val="21"/>
        </w:rPr>
        <w:t>8、质量要求：工程交工验收的质量评定：合格；竣工验收的质量评定：优良。</w:t>
      </w:r>
    </w:p>
    <w:p w14:paraId="1543B9E2">
      <w:pPr>
        <w:spacing w:line="360" w:lineRule="auto"/>
        <w:ind w:firstLine="420" w:firstLineChars="200"/>
        <w:rPr>
          <w:sz w:val="21"/>
          <w:szCs w:val="21"/>
        </w:rPr>
      </w:pPr>
      <w:r>
        <w:rPr>
          <w:rFonts w:hint="eastAsia"/>
          <w:sz w:val="21"/>
          <w:szCs w:val="21"/>
        </w:rPr>
        <w:t>9、本项目不接受联合体参与磋商。</w:t>
      </w:r>
    </w:p>
    <w:p w14:paraId="16AE3DF5">
      <w:pPr>
        <w:spacing w:line="360" w:lineRule="auto"/>
        <w:ind w:firstLine="422" w:firstLineChars="200"/>
        <w:rPr>
          <w:sz w:val="21"/>
          <w:szCs w:val="21"/>
        </w:rPr>
      </w:pPr>
      <w:r>
        <w:rPr>
          <w:rFonts w:hint="eastAsia"/>
          <w:b/>
          <w:bCs/>
          <w:sz w:val="21"/>
          <w:szCs w:val="21"/>
        </w:rPr>
        <w:t>二、申请人的资格要求</w:t>
      </w:r>
    </w:p>
    <w:p w14:paraId="21C88FFD">
      <w:pPr>
        <w:spacing w:line="360" w:lineRule="auto"/>
        <w:ind w:firstLine="420" w:firstLineChars="200"/>
        <w:rPr>
          <w:sz w:val="21"/>
          <w:szCs w:val="21"/>
        </w:rPr>
      </w:pPr>
      <w:bookmarkStart w:id="4" w:name="OLE_LINK13"/>
      <w:bookmarkStart w:id="5" w:name="OLE_LINK14"/>
      <w:bookmarkStart w:id="6" w:name="OLE_LINK6"/>
      <w:r>
        <w:rPr>
          <w:rFonts w:hint="eastAsia"/>
          <w:sz w:val="21"/>
          <w:szCs w:val="21"/>
        </w:rPr>
        <w:t>1、必须是在国家工商行政部门注册，具有有效的营业执照、有效的安全生产许可证，并在人员、设备、资金等方面具有相应的施工能力。</w:t>
      </w:r>
    </w:p>
    <w:p w14:paraId="576481E9">
      <w:pPr>
        <w:spacing w:line="360" w:lineRule="auto"/>
        <w:ind w:firstLine="420" w:firstLineChars="200"/>
        <w:rPr>
          <w:sz w:val="21"/>
          <w:szCs w:val="21"/>
        </w:rPr>
      </w:pPr>
      <w:r>
        <w:rPr>
          <w:rFonts w:hint="eastAsia"/>
          <w:sz w:val="21"/>
          <w:szCs w:val="21"/>
        </w:rPr>
        <w:t>2、满足《中华人民共和国政府采购法》第二十二条规定。</w:t>
      </w:r>
    </w:p>
    <w:p w14:paraId="736413E9">
      <w:pPr>
        <w:spacing w:line="360" w:lineRule="auto"/>
        <w:ind w:firstLine="420" w:firstLineChars="200"/>
        <w:rPr>
          <w:sz w:val="21"/>
          <w:szCs w:val="21"/>
        </w:rPr>
      </w:pPr>
      <w:r>
        <w:rPr>
          <w:rFonts w:hint="eastAsia"/>
          <w:sz w:val="21"/>
          <w:szCs w:val="21"/>
        </w:rPr>
        <w:t>3、落实政府采购政策需满足的资格要求：</w:t>
      </w:r>
      <w:r>
        <w:rPr>
          <w:rFonts w:hint="eastAsia"/>
          <w:sz w:val="21"/>
          <w:szCs w:val="21"/>
          <w:lang w:eastAsia="zh-CN"/>
        </w:rPr>
        <w:t>本项目专门面向中小企业采购</w:t>
      </w:r>
      <w:r>
        <w:rPr>
          <w:rFonts w:hint="eastAsia"/>
          <w:sz w:val="21"/>
          <w:szCs w:val="21"/>
        </w:rPr>
        <w:t>。</w:t>
      </w:r>
    </w:p>
    <w:p w14:paraId="054296B5">
      <w:pPr>
        <w:spacing w:line="360" w:lineRule="auto"/>
        <w:ind w:firstLine="422" w:firstLineChars="200"/>
        <w:rPr>
          <w:b/>
          <w:bCs/>
          <w:sz w:val="21"/>
          <w:szCs w:val="21"/>
        </w:rPr>
      </w:pPr>
      <w:r>
        <w:rPr>
          <w:rFonts w:hint="eastAsia"/>
          <w:b/>
          <w:bCs/>
          <w:sz w:val="21"/>
          <w:szCs w:val="21"/>
        </w:rPr>
        <w:t>4、本项目的特定资格要求：供应商资质应同时具备以下条件:</w:t>
      </w:r>
    </w:p>
    <w:bookmarkEnd w:id="4"/>
    <w:bookmarkEnd w:id="5"/>
    <w:p w14:paraId="46A33108">
      <w:pPr>
        <w:spacing w:line="360" w:lineRule="auto"/>
        <w:ind w:firstLine="420" w:firstLineChars="200"/>
        <w:rPr>
          <w:sz w:val="21"/>
          <w:szCs w:val="21"/>
        </w:rPr>
      </w:pPr>
      <w:bookmarkStart w:id="7" w:name="OLE_LINK7"/>
      <w:bookmarkStart w:id="8" w:name="OLE_LINK8"/>
      <w:bookmarkStart w:id="9" w:name="OLE_LINK11"/>
      <w:bookmarkStart w:id="10" w:name="OLE_LINK12"/>
      <w:r>
        <w:rPr>
          <w:rFonts w:hint="eastAsia"/>
          <w:sz w:val="21"/>
          <w:szCs w:val="21"/>
        </w:rPr>
        <w:t>公路安全设施精细化提升工程：</w:t>
      </w:r>
    </w:p>
    <w:p w14:paraId="72794CAF">
      <w:pPr>
        <w:spacing w:line="360" w:lineRule="auto"/>
        <w:ind w:firstLine="420" w:firstLineChars="200"/>
        <w:rPr>
          <w:sz w:val="21"/>
          <w:szCs w:val="21"/>
          <w:highlight w:val="none"/>
        </w:rPr>
      </w:pPr>
      <w:bookmarkStart w:id="11" w:name="OLE_LINK49"/>
      <w:bookmarkStart w:id="12" w:name="OLE_LINK50"/>
      <w:bookmarkStart w:id="13" w:name="OLE_LINK47"/>
      <w:bookmarkStart w:id="14" w:name="OLE_LINK48"/>
      <w:r>
        <w:rPr>
          <w:rFonts w:hint="eastAsia"/>
          <w:sz w:val="21"/>
          <w:szCs w:val="21"/>
          <w:highlight w:val="none"/>
        </w:rPr>
        <w:t>具备有效的</w:t>
      </w:r>
      <w:bookmarkStart w:id="15" w:name="OLE_LINK40"/>
      <w:bookmarkStart w:id="16" w:name="OLE_LINK39"/>
      <w:r>
        <w:rPr>
          <w:rFonts w:hint="eastAsia"/>
          <w:sz w:val="21"/>
          <w:szCs w:val="21"/>
          <w:highlight w:val="none"/>
        </w:rPr>
        <w:t>交通安全设施养护资质</w:t>
      </w:r>
      <w:bookmarkEnd w:id="15"/>
      <w:bookmarkEnd w:id="16"/>
      <w:r>
        <w:rPr>
          <w:rFonts w:hint="eastAsia"/>
          <w:sz w:val="21"/>
          <w:szCs w:val="21"/>
          <w:highlight w:val="none"/>
        </w:rPr>
        <w:t>，同时具备</w:t>
      </w:r>
      <w:bookmarkStart w:id="17" w:name="OLE_LINK42"/>
      <w:bookmarkStart w:id="18" w:name="OLE_LINK41"/>
      <w:r>
        <w:rPr>
          <w:rFonts w:hint="eastAsia"/>
          <w:sz w:val="21"/>
          <w:szCs w:val="21"/>
          <w:highlight w:val="none"/>
        </w:rPr>
        <w:t>路基路面养护乙级以上（含乙级）资质</w:t>
      </w:r>
      <w:bookmarkEnd w:id="17"/>
      <w:bookmarkEnd w:id="18"/>
      <w:r>
        <w:rPr>
          <w:rFonts w:hint="eastAsia"/>
          <w:sz w:val="21"/>
          <w:szCs w:val="21"/>
          <w:highlight w:val="none"/>
        </w:rPr>
        <w:t>。如无路基路面养护乙级以上（含乙级）资质，仅具备有效交通安全设施养护资质的也同样可以进行投标，但必须将路基路面工程量分包给具备路基路面养护乙级以上（含乙级）资质的企业。</w:t>
      </w:r>
    </w:p>
    <w:bookmarkEnd w:id="7"/>
    <w:bookmarkEnd w:id="8"/>
    <w:bookmarkEnd w:id="11"/>
    <w:bookmarkEnd w:id="12"/>
    <w:bookmarkEnd w:id="13"/>
    <w:bookmarkEnd w:id="14"/>
    <w:p w14:paraId="3B0C9189">
      <w:pPr>
        <w:spacing w:line="360" w:lineRule="auto"/>
        <w:ind w:firstLine="420" w:firstLineChars="200"/>
        <w:rPr>
          <w:sz w:val="21"/>
          <w:szCs w:val="21"/>
        </w:rPr>
      </w:pPr>
      <w:bookmarkStart w:id="19" w:name="OLE_LINK9"/>
      <w:bookmarkStart w:id="20" w:name="OLE_LINK10"/>
      <w:r>
        <w:rPr>
          <w:rFonts w:hint="eastAsia"/>
          <w:sz w:val="21"/>
          <w:szCs w:val="21"/>
        </w:rPr>
        <w:t>注：（1）公路养护作业单位资质按照《公路养护作业单位资质管理办法》（中华人民共和国交通运输部令2021年第22号）和《广西壮族自治区交通运输厅关于印发广西公路养护作业单位资质管理实施细则的通知》等文件要求，根据招标项目具体特点和实际情况确定。</w:t>
      </w:r>
    </w:p>
    <w:p w14:paraId="03A0EC35">
      <w:pPr>
        <w:spacing w:line="360" w:lineRule="auto"/>
        <w:ind w:firstLine="420" w:firstLineChars="200"/>
        <w:rPr>
          <w:sz w:val="21"/>
          <w:szCs w:val="21"/>
          <w:highlight w:val="yellow"/>
        </w:rPr>
      </w:pPr>
      <w:r>
        <w:rPr>
          <w:rFonts w:hint="eastAsia"/>
          <w:sz w:val="21"/>
          <w:szCs w:val="21"/>
        </w:rPr>
        <w:t>（2）投标人应进入交通运输部“全国公路建设市场监督管理管理系统（https://hwdms.mot.gov.cn/BMWebSite）”中的公路工程施工资质企业名录，且投标人名称和资质与该名录中的相应企业名称和资质完全一致。</w:t>
      </w:r>
    </w:p>
    <w:bookmarkEnd w:id="6"/>
    <w:bookmarkEnd w:id="9"/>
    <w:bookmarkEnd w:id="10"/>
    <w:bookmarkEnd w:id="19"/>
    <w:bookmarkEnd w:id="20"/>
    <w:p w14:paraId="4DCD6B16">
      <w:pPr>
        <w:spacing w:line="360" w:lineRule="auto"/>
        <w:ind w:firstLine="422" w:firstLineChars="200"/>
        <w:rPr>
          <w:b/>
          <w:bCs/>
          <w:sz w:val="21"/>
          <w:szCs w:val="21"/>
        </w:rPr>
      </w:pPr>
      <w:r>
        <w:rPr>
          <w:rFonts w:hint="eastAsia"/>
          <w:b/>
          <w:bCs/>
          <w:sz w:val="21"/>
          <w:szCs w:val="21"/>
        </w:rPr>
        <w:t>三、获取采购文件</w:t>
      </w:r>
    </w:p>
    <w:p w14:paraId="7908F563">
      <w:pPr>
        <w:spacing w:line="360" w:lineRule="auto"/>
        <w:ind w:firstLine="420" w:firstLineChars="200"/>
        <w:rPr>
          <w:sz w:val="21"/>
          <w:szCs w:val="21"/>
        </w:rPr>
      </w:pPr>
      <w:r>
        <w:rPr>
          <w:rFonts w:hint="eastAsia"/>
          <w:sz w:val="21"/>
          <w:szCs w:val="21"/>
        </w:rPr>
        <w:t>时间：自发布公告之时至磋商截止时间止；地点：广西政府采购云平台线上获取方式：供应商登录广西政府采购云平台https://</w:t>
      </w:r>
      <w:r>
        <w:fldChar w:fldCharType="begin"/>
      </w:r>
      <w:r>
        <w:instrText xml:space="preserve"> HYPERLINK "http://www.gcy.zfcg.gxzf.gov.cn/在线申请获取采购文" \h </w:instrText>
      </w:r>
      <w:r>
        <w:fldChar w:fldCharType="separate"/>
      </w:r>
      <w:r>
        <w:rPr>
          <w:rFonts w:hint="eastAsia"/>
          <w:sz w:val="21"/>
          <w:szCs w:val="21"/>
        </w:rPr>
        <w:t>www.gcy.zfcg.gxzf.gov.cn/在线申请获取采购文</w:t>
      </w:r>
      <w:r>
        <w:rPr>
          <w:rFonts w:hint="eastAsia"/>
          <w:sz w:val="21"/>
          <w:szCs w:val="21"/>
        </w:rPr>
        <w:fldChar w:fldCharType="end"/>
      </w:r>
      <w:r>
        <w:rPr>
          <w:rFonts w:hint="eastAsia"/>
          <w:sz w:val="21"/>
          <w:szCs w:val="21"/>
        </w:rPr>
        <w:t>件（进入“项目采购”应用，在获取采购文件菜单中选择项目，申请获取采购文件）。</w:t>
      </w:r>
    </w:p>
    <w:p w14:paraId="4B676374">
      <w:pPr>
        <w:spacing w:line="360" w:lineRule="auto"/>
        <w:ind w:firstLine="420" w:firstLineChars="200"/>
        <w:rPr>
          <w:sz w:val="21"/>
          <w:szCs w:val="21"/>
          <w:highlight w:val="none"/>
        </w:rPr>
      </w:pPr>
      <w:r>
        <w:rPr>
          <w:rFonts w:hint="eastAsia"/>
          <w:sz w:val="21"/>
          <w:szCs w:val="21"/>
          <w:highlight w:val="none"/>
        </w:rPr>
        <w:t>售价（元）：0</w:t>
      </w:r>
    </w:p>
    <w:p w14:paraId="70EC4441">
      <w:pPr>
        <w:spacing w:line="360" w:lineRule="auto"/>
        <w:ind w:firstLine="422" w:firstLineChars="200"/>
        <w:rPr>
          <w:b/>
          <w:bCs/>
          <w:sz w:val="21"/>
          <w:szCs w:val="21"/>
          <w:highlight w:val="none"/>
        </w:rPr>
      </w:pPr>
      <w:r>
        <w:rPr>
          <w:rFonts w:hint="eastAsia"/>
          <w:b/>
          <w:bCs/>
          <w:sz w:val="21"/>
          <w:szCs w:val="21"/>
          <w:highlight w:val="none"/>
        </w:rPr>
        <w:t>四、响应文件提交</w:t>
      </w:r>
    </w:p>
    <w:p w14:paraId="0DF09FCF">
      <w:pPr>
        <w:spacing w:line="360" w:lineRule="auto"/>
        <w:ind w:firstLine="420" w:firstLineChars="200"/>
        <w:rPr>
          <w:color w:val="auto"/>
          <w:sz w:val="21"/>
          <w:szCs w:val="21"/>
          <w:highlight w:val="none"/>
        </w:rPr>
      </w:pPr>
      <w:r>
        <w:rPr>
          <w:rFonts w:hint="eastAsia"/>
          <w:sz w:val="21"/>
          <w:szCs w:val="21"/>
          <w:highlight w:val="none"/>
        </w:rPr>
        <w:t>截止时间：20</w:t>
      </w:r>
      <w:r>
        <w:rPr>
          <w:rFonts w:hint="eastAsia"/>
          <w:color w:val="auto"/>
          <w:sz w:val="21"/>
          <w:szCs w:val="21"/>
          <w:highlight w:val="none"/>
        </w:rPr>
        <w:t>25年</w:t>
      </w:r>
      <w:r>
        <w:rPr>
          <w:rFonts w:hint="eastAsia"/>
          <w:color w:val="auto"/>
          <w:sz w:val="21"/>
          <w:szCs w:val="21"/>
          <w:highlight w:val="none"/>
          <w:lang w:val="en-US" w:eastAsia="zh-CN"/>
        </w:rPr>
        <w:t>5</w:t>
      </w:r>
      <w:r>
        <w:rPr>
          <w:rFonts w:hint="eastAsia"/>
          <w:color w:val="auto"/>
          <w:sz w:val="21"/>
          <w:szCs w:val="21"/>
          <w:highlight w:val="none"/>
        </w:rPr>
        <w:t>月</w:t>
      </w:r>
      <w:r>
        <w:rPr>
          <w:rFonts w:hint="eastAsia"/>
          <w:color w:val="auto"/>
          <w:sz w:val="21"/>
          <w:szCs w:val="21"/>
          <w:highlight w:val="none"/>
          <w:lang w:val="en-US" w:eastAsia="zh-CN"/>
        </w:rPr>
        <w:t>7</w:t>
      </w:r>
      <w:r>
        <w:rPr>
          <w:rFonts w:hint="eastAsia"/>
          <w:color w:val="auto"/>
          <w:sz w:val="21"/>
          <w:szCs w:val="21"/>
          <w:highlight w:val="none"/>
        </w:rPr>
        <w:t>日上午9时30分（北京时间）</w:t>
      </w:r>
    </w:p>
    <w:p w14:paraId="351A4618">
      <w:pPr>
        <w:spacing w:line="360" w:lineRule="auto"/>
        <w:ind w:firstLine="420" w:firstLineChars="200"/>
        <w:rPr>
          <w:color w:val="auto"/>
          <w:sz w:val="21"/>
          <w:szCs w:val="21"/>
          <w:highlight w:val="none"/>
        </w:rPr>
      </w:pPr>
      <w:r>
        <w:rPr>
          <w:rFonts w:hint="eastAsia"/>
          <w:color w:val="auto"/>
          <w:sz w:val="21"/>
          <w:szCs w:val="21"/>
          <w:highlight w:val="none"/>
        </w:rPr>
        <w:t>地点：请登录广西政府采购云平台投标客户端投标。</w:t>
      </w:r>
    </w:p>
    <w:p w14:paraId="4E9238F1">
      <w:pPr>
        <w:spacing w:line="360" w:lineRule="auto"/>
        <w:ind w:firstLine="422" w:firstLineChars="200"/>
        <w:rPr>
          <w:b/>
          <w:bCs/>
          <w:color w:val="auto"/>
          <w:sz w:val="21"/>
          <w:szCs w:val="21"/>
          <w:highlight w:val="none"/>
        </w:rPr>
      </w:pPr>
      <w:r>
        <w:rPr>
          <w:rFonts w:hint="eastAsia"/>
          <w:b/>
          <w:bCs/>
          <w:color w:val="auto"/>
          <w:sz w:val="21"/>
          <w:szCs w:val="21"/>
          <w:highlight w:val="none"/>
        </w:rPr>
        <w:t>五、开启</w:t>
      </w:r>
    </w:p>
    <w:p w14:paraId="083E4E96">
      <w:pPr>
        <w:spacing w:line="360" w:lineRule="auto"/>
        <w:ind w:firstLine="420" w:firstLineChars="200"/>
        <w:rPr>
          <w:sz w:val="21"/>
          <w:szCs w:val="21"/>
          <w:highlight w:val="none"/>
        </w:rPr>
      </w:pPr>
      <w:r>
        <w:rPr>
          <w:rFonts w:hint="eastAsia"/>
          <w:color w:val="auto"/>
          <w:sz w:val="21"/>
          <w:szCs w:val="21"/>
          <w:highlight w:val="none"/>
        </w:rPr>
        <w:t>时间：2025年</w:t>
      </w:r>
      <w:r>
        <w:rPr>
          <w:rFonts w:hint="eastAsia"/>
          <w:color w:val="auto"/>
          <w:sz w:val="21"/>
          <w:szCs w:val="21"/>
          <w:highlight w:val="none"/>
          <w:lang w:val="en-US" w:eastAsia="zh-CN"/>
        </w:rPr>
        <w:t>5</w:t>
      </w:r>
      <w:r>
        <w:rPr>
          <w:rFonts w:hint="eastAsia"/>
          <w:color w:val="auto"/>
          <w:sz w:val="21"/>
          <w:szCs w:val="21"/>
          <w:highlight w:val="none"/>
        </w:rPr>
        <w:t>月</w:t>
      </w:r>
      <w:r>
        <w:rPr>
          <w:rFonts w:hint="eastAsia"/>
          <w:color w:val="auto"/>
          <w:sz w:val="21"/>
          <w:szCs w:val="21"/>
          <w:highlight w:val="none"/>
          <w:lang w:val="en-US" w:eastAsia="zh-CN"/>
        </w:rPr>
        <w:t>7</w:t>
      </w:r>
      <w:r>
        <w:rPr>
          <w:rFonts w:hint="eastAsia"/>
          <w:color w:val="auto"/>
          <w:sz w:val="21"/>
          <w:szCs w:val="21"/>
          <w:highlight w:val="none"/>
        </w:rPr>
        <w:t>日上午9时30分</w:t>
      </w:r>
      <w:r>
        <w:rPr>
          <w:rFonts w:hint="eastAsia"/>
          <w:sz w:val="21"/>
          <w:szCs w:val="21"/>
          <w:highlight w:val="none"/>
        </w:rPr>
        <w:t>（北京时间）</w:t>
      </w:r>
    </w:p>
    <w:p w14:paraId="460606F6">
      <w:pPr>
        <w:spacing w:line="360" w:lineRule="auto"/>
        <w:ind w:firstLine="420" w:firstLineChars="200"/>
        <w:rPr>
          <w:sz w:val="21"/>
          <w:szCs w:val="21"/>
          <w:highlight w:val="none"/>
        </w:rPr>
      </w:pPr>
      <w:r>
        <w:rPr>
          <w:rFonts w:hint="eastAsia"/>
          <w:sz w:val="21"/>
          <w:szCs w:val="21"/>
          <w:highlight w:val="none"/>
        </w:rPr>
        <w:t>地点：通过广西政府采购云平台实行在线响应。</w:t>
      </w:r>
    </w:p>
    <w:p w14:paraId="168069BF">
      <w:pPr>
        <w:spacing w:line="360" w:lineRule="auto"/>
        <w:ind w:firstLine="422" w:firstLineChars="200"/>
        <w:rPr>
          <w:b/>
          <w:bCs/>
          <w:sz w:val="21"/>
          <w:szCs w:val="21"/>
        </w:rPr>
      </w:pPr>
      <w:r>
        <w:rPr>
          <w:rFonts w:hint="eastAsia"/>
          <w:b/>
          <w:bCs/>
          <w:sz w:val="21"/>
          <w:szCs w:val="21"/>
        </w:rPr>
        <w:t>六、公告期限</w:t>
      </w:r>
    </w:p>
    <w:p w14:paraId="0B3D63FD">
      <w:pPr>
        <w:spacing w:line="360" w:lineRule="auto"/>
        <w:ind w:firstLine="420" w:firstLineChars="200"/>
        <w:rPr>
          <w:sz w:val="21"/>
          <w:szCs w:val="21"/>
        </w:rPr>
      </w:pPr>
      <w:r>
        <w:rPr>
          <w:rFonts w:hint="eastAsia"/>
          <w:sz w:val="21"/>
          <w:szCs w:val="21"/>
        </w:rPr>
        <w:t>自本公告发布之日起5个工作日。</w:t>
      </w:r>
    </w:p>
    <w:p w14:paraId="2ECB7736">
      <w:pPr>
        <w:spacing w:line="360" w:lineRule="auto"/>
        <w:ind w:firstLine="422" w:firstLineChars="200"/>
        <w:rPr>
          <w:sz w:val="21"/>
          <w:szCs w:val="21"/>
        </w:rPr>
      </w:pPr>
      <w:r>
        <w:rPr>
          <w:rFonts w:hint="eastAsia"/>
          <w:b/>
          <w:bCs/>
          <w:sz w:val="21"/>
          <w:szCs w:val="21"/>
        </w:rPr>
        <w:t>七、其他补充事宜</w:t>
      </w:r>
    </w:p>
    <w:p w14:paraId="0AA90E6C">
      <w:pPr>
        <w:spacing w:line="360" w:lineRule="auto"/>
        <w:ind w:firstLine="420" w:firstLineChars="200"/>
        <w:rPr>
          <w:sz w:val="21"/>
          <w:szCs w:val="21"/>
        </w:rPr>
      </w:pPr>
      <w:r>
        <w:rPr>
          <w:rFonts w:hint="eastAsia"/>
          <w:sz w:val="21"/>
          <w:szCs w:val="21"/>
        </w:rPr>
        <w:t>1、信息公告发布媒体：中国政府采购网（</w:t>
      </w:r>
      <w:r>
        <w:fldChar w:fldCharType="begin"/>
      </w:r>
      <w:r>
        <w:instrText xml:space="preserve"> HYPERLINK "http://www.ccgp.gov.cn/" \h </w:instrText>
      </w:r>
      <w:r>
        <w:fldChar w:fldCharType="separate"/>
      </w:r>
      <w:r>
        <w:rPr>
          <w:rFonts w:hint="eastAsia"/>
          <w:sz w:val="21"/>
          <w:szCs w:val="21"/>
        </w:rPr>
        <w:t>www.ccgp.gov.cn</w:t>
      </w:r>
      <w:r>
        <w:rPr>
          <w:rFonts w:hint="eastAsia"/>
          <w:sz w:val="21"/>
          <w:szCs w:val="21"/>
        </w:rPr>
        <w:fldChar w:fldCharType="end"/>
      </w:r>
      <w:r>
        <w:rPr>
          <w:rFonts w:hint="eastAsia"/>
          <w:sz w:val="21"/>
          <w:szCs w:val="21"/>
        </w:rPr>
        <w:t>）、广西壮族自治区政府采购网（zfcg.gxzf.gov.cn）、桂林市政府采购网（zfcg.czj.guilin.gov.cn/）。</w:t>
      </w:r>
    </w:p>
    <w:p w14:paraId="240CCEB7">
      <w:pPr>
        <w:spacing w:line="360" w:lineRule="auto"/>
        <w:ind w:firstLine="420" w:firstLineChars="200"/>
        <w:rPr>
          <w:sz w:val="21"/>
          <w:szCs w:val="21"/>
        </w:rPr>
      </w:pPr>
      <w:r>
        <w:rPr>
          <w:rFonts w:hint="eastAsia"/>
          <w:sz w:val="21"/>
          <w:szCs w:val="21"/>
        </w:rPr>
        <w:t>2、本项目需要落实的政府采购政策：</w:t>
      </w:r>
    </w:p>
    <w:p w14:paraId="3314FAC4">
      <w:pPr>
        <w:spacing w:line="360" w:lineRule="auto"/>
        <w:ind w:firstLine="420" w:firstLineChars="200"/>
        <w:rPr>
          <w:sz w:val="21"/>
          <w:szCs w:val="21"/>
          <w:highlight w:val="none"/>
        </w:rPr>
      </w:pPr>
      <w:r>
        <w:rPr>
          <w:rFonts w:hint="eastAsia"/>
          <w:sz w:val="21"/>
          <w:szCs w:val="21"/>
          <w:highlight w:val="none"/>
        </w:rPr>
        <w:t>政府采购促进中小企业发展；</w:t>
      </w:r>
    </w:p>
    <w:p w14:paraId="7B6159C0">
      <w:pPr>
        <w:spacing w:line="360" w:lineRule="auto"/>
        <w:ind w:firstLine="420" w:firstLineChars="200"/>
        <w:rPr>
          <w:sz w:val="21"/>
          <w:szCs w:val="21"/>
        </w:rPr>
      </w:pPr>
      <w:r>
        <w:rPr>
          <w:rFonts w:hint="eastAsia"/>
          <w:sz w:val="21"/>
          <w:szCs w:val="21"/>
        </w:rPr>
        <w:t>政府采购支持监狱企业发展；</w:t>
      </w:r>
    </w:p>
    <w:p w14:paraId="6B2C7F69">
      <w:pPr>
        <w:spacing w:line="360" w:lineRule="auto"/>
        <w:ind w:firstLine="420" w:firstLineChars="200"/>
        <w:rPr>
          <w:sz w:val="21"/>
          <w:szCs w:val="21"/>
        </w:rPr>
      </w:pPr>
      <w:r>
        <w:rPr>
          <w:rFonts w:hint="eastAsia"/>
          <w:sz w:val="21"/>
          <w:szCs w:val="21"/>
        </w:rPr>
        <w:t>政府采购促进残疾人就业政策；</w:t>
      </w:r>
    </w:p>
    <w:p w14:paraId="0AABBA59">
      <w:pPr>
        <w:spacing w:line="360" w:lineRule="auto"/>
        <w:ind w:firstLine="420" w:firstLineChars="200"/>
        <w:rPr>
          <w:sz w:val="21"/>
          <w:szCs w:val="21"/>
        </w:rPr>
      </w:pPr>
      <w:r>
        <w:rPr>
          <w:rFonts w:hint="eastAsia"/>
          <w:sz w:val="21"/>
          <w:szCs w:val="21"/>
        </w:rPr>
        <w:t>本项目为修复养护工程项目，不涉及强制采购节能产品；</w:t>
      </w:r>
    </w:p>
    <w:p w14:paraId="505378A9">
      <w:pPr>
        <w:spacing w:line="360" w:lineRule="auto"/>
        <w:ind w:firstLine="420" w:firstLineChars="200"/>
        <w:rPr>
          <w:sz w:val="21"/>
          <w:szCs w:val="21"/>
        </w:rPr>
      </w:pPr>
      <w:r>
        <w:rPr>
          <w:rFonts w:hint="eastAsia"/>
          <w:sz w:val="21"/>
          <w:szCs w:val="21"/>
        </w:rPr>
        <w:t>政府采购支持采用本国产品的政策；</w:t>
      </w:r>
    </w:p>
    <w:p w14:paraId="1A683C35">
      <w:pPr>
        <w:spacing w:line="360" w:lineRule="auto"/>
        <w:ind w:firstLine="420" w:firstLineChars="200"/>
        <w:rPr>
          <w:sz w:val="21"/>
          <w:szCs w:val="21"/>
        </w:rPr>
      </w:pPr>
      <w:r>
        <w:rPr>
          <w:rFonts w:hint="eastAsia"/>
          <w:sz w:val="21"/>
          <w:szCs w:val="21"/>
        </w:rPr>
        <w:t>3、本项目采购标的在《中小企业划分标准》所属行业为：建筑业。</w:t>
      </w:r>
    </w:p>
    <w:p w14:paraId="5E2D21F7">
      <w:pPr>
        <w:spacing w:line="360" w:lineRule="auto"/>
        <w:ind w:firstLine="420" w:firstLineChars="200"/>
        <w:rPr>
          <w:sz w:val="21"/>
          <w:szCs w:val="21"/>
        </w:rPr>
      </w:pPr>
      <w:r>
        <w:rPr>
          <w:rFonts w:hint="eastAsia"/>
          <w:sz w:val="21"/>
          <w:szCs w:val="21"/>
        </w:rPr>
        <w:t>4、资格条件特别说明：</w:t>
      </w:r>
    </w:p>
    <w:p w14:paraId="694576D6">
      <w:pPr>
        <w:spacing w:line="360" w:lineRule="auto"/>
        <w:ind w:firstLine="420" w:firstLineChars="200"/>
        <w:rPr>
          <w:sz w:val="21"/>
          <w:szCs w:val="21"/>
        </w:rPr>
      </w:pPr>
      <w:r>
        <w:rPr>
          <w:rFonts w:hint="eastAsia"/>
          <w:sz w:val="21"/>
          <w:szCs w:val="21"/>
        </w:rPr>
        <w:t>（1）与招标人存在利害关系可能影响招标公正性的单位，不得参加投标。单位负责人为同一人或者存在直接控股、管理关系的不同供应商，不得参加同一合同项下的政府采购活动，否则，相关投标均无效。除单一来源采购项目外，为采购项目提供整体设计、规范编制或者项目管理、监理、检测等服务的供应商，不得再参加该采购项目的其他采购活动。</w:t>
      </w:r>
    </w:p>
    <w:p w14:paraId="2A56672F">
      <w:pPr>
        <w:spacing w:line="360" w:lineRule="auto"/>
        <w:ind w:firstLine="420" w:firstLineChars="200"/>
        <w:rPr>
          <w:sz w:val="21"/>
          <w:szCs w:val="21"/>
        </w:rPr>
      </w:pPr>
      <w:r>
        <w:rPr>
          <w:rFonts w:hint="eastAsia"/>
          <w:sz w:val="21"/>
          <w:szCs w:val="21"/>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42124FDA">
      <w:pPr>
        <w:spacing w:line="360" w:lineRule="auto"/>
        <w:ind w:firstLine="420" w:firstLineChars="200"/>
        <w:rPr>
          <w:sz w:val="21"/>
          <w:szCs w:val="21"/>
        </w:rPr>
      </w:pPr>
      <w:r>
        <w:rPr>
          <w:rFonts w:hint="eastAsia"/>
          <w:sz w:val="21"/>
          <w:szCs w:val="21"/>
        </w:rPr>
        <w:t>5、“广西政府采购云平台”电子竞标相关事宜：</w:t>
      </w:r>
    </w:p>
    <w:p w14:paraId="6C8EDD0F">
      <w:pPr>
        <w:spacing w:line="360" w:lineRule="auto"/>
        <w:ind w:firstLine="420" w:firstLineChars="200"/>
        <w:rPr>
          <w:sz w:val="21"/>
          <w:szCs w:val="21"/>
        </w:rPr>
      </w:pPr>
      <w:r>
        <w:rPr>
          <w:rFonts w:hint="eastAsia"/>
          <w:sz w:val="21"/>
          <w:szCs w:val="21"/>
        </w:rPr>
        <w:t>（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广西政府采购云平台电子投客户端”）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47C3F138">
      <w:pPr>
        <w:spacing w:line="360" w:lineRule="auto"/>
        <w:ind w:firstLine="420" w:firstLineChars="200"/>
        <w:rPr>
          <w:sz w:val="21"/>
          <w:szCs w:val="21"/>
        </w:rPr>
      </w:pPr>
      <w:r>
        <w:rPr>
          <w:rFonts w:hint="eastAsia"/>
          <w:sz w:val="21"/>
          <w:szCs w:val="21"/>
        </w:rPr>
        <w:t>（2）电子竞标具体操作流程参考《政府采购项目电子交易管理操作指南-供应商》（详见桂林市政府采购网—采购资讯—重要通知）；如遇平台技术问题详询95763。</w:t>
      </w:r>
    </w:p>
    <w:p w14:paraId="4B71C0B9">
      <w:pPr>
        <w:spacing w:line="360" w:lineRule="auto"/>
        <w:ind w:firstLine="420" w:firstLineChars="200"/>
        <w:rPr>
          <w:sz w:val="21"/>
          <w:szCs w:val="21"/>
        </w:rPr>
      </w:pPr>
      <w:r>
        <w:rPr>
          <w:rFonts w:hint="eastAsia"/>
          <w:sz w:val="21"/>
          <w:szCs w:val="21"/>
        </w:rPr>
        <w:t>（3）电子响应文件的制作、加密、提交、解密等相关事宜详见第二章“供应商须知”。</w:t>
      </w:r>
    </w:p>
    <w:p w14:paraId="33F08144">
      <w:pPr>
        <w:spacing w:line="360" w:lineRule="auto"/>
        <w:ind w:firstLine="422" w:firstLineChars="200"/>
        <w:rPr>
          <w:sz w:val="21"/>
          <w:szCs w:val="21"/>
        </w:rPr>
      </w:pPr>
      <w:r>
        <w:rPr>
          <w:rFonts w:hint="eastAsia"/>
          <w:b/>
          <w:bCs/>
          <w:sz w:val="21"/>
          <w:szCs w:val="21"/>
        </w:rPr>
        <w:t>八、凡对本次采购提出询问，请按以下方式联系</w:t>
      </w:r>
    </w:p>
    <w:p w14:paraId="56C4652D">
      <w:pPr>
        <w:spacing w:line="360" w:lineRule="auto"/>
        <w:ind w:firstLine="420" w:firstLineChars="200"/>
        <w:rPr>
          <w:sz w:val="21"/>
          <w:szCs w:val="21"/>
        </w:rPr>
      </w:pPr>
      <w:r>
        <w:rPr>
          <w:rFonts w:hint="eastAsia"/>
          <w:sz w:val="21"/>
          <w:szCs w:val="21"/>
        </w:rPr>
        <w:t>1.采购人信息</w:t>
      </w:r>
    </w:p>
    <w:p w14:paraId="1FCD42B3">
      <w:pPr>
        <w:spacing w:line="360" w:lineRule="auto"/>
        <w:ind w:firstLine="420" w:firstLineChars="200"/>
        <w:rPr>
          <w:sz w:val="21"/>
          <w:szCs w:val="21"/>
          <w:highlight w:val="yellow"/>
        </w:rPr>
      </w:pPr>
      <w:r>
        <w:rPr>
          <w:rFonts w:hint="eastAsia"/>
          <w:sz w:val="21"/>
          <w:szCs w:val="21"/>
        </w:rPr>
        <w:t>名称：广西壮族自治区资源公路养护中心</w:t>
      </w:r>
    </w:p>
    <w:p w14:paraId="220F0B5E">
      <w:pPr>
        <w:spacing w:line="360" w:lineRule="auto"/>
        <w:ind w:firstLine="420" w:firstLineChars="200"/>
        <w:rPr>
          <w:color w:val="7030A0"/>
          <w:sz w:val="21"/>
          <w:szCs w:val="21"/>
        </w:rPr>
      </w:pPr>
      <w:bookmarkStart w:id="21" w:name="第二章__投标人须知"/>
      <w:bookmarkEnd w:id="21"/>
      <w:r>
        <w:rPr>
          <w:rFonts w:hint="eastAsia"/>
          <w:sz w:val="21"/>
          <w:szCs w:val="21"/>
        </w:rPr>
        <w:t>地址：桂林资源县河西路40号</w:t>
      </w:r>
    </w:p>
    <w:p w14:paraId="487AFD98">
      <w:pPr>
        <w:spacing w:line="360" w:lineRule="auto"/>
        <w:ind w:firstLine="420" w:firstLineChars="200"/>
        <w:rPr>
          <w:sz w:val="21"/>
          <w:szCs w:val="21"/>
        </w:rPr>
      </w:pPr>
      <w:r>
        <w:rPr>
          <w:rFonts w:hint="eastAsia"/>
          <w:sz w:val="21"/>
          <w:szCs w:val="21"/>
        </w:rPr>
        <w:t>联系人：韦工，联系电话：0773-4317188</w:t>
      </w:r>
    </w:p>
    <w:p w14:paraId="4AA16850">
      <w:pPr>
        <w:spacing w:line="360" w:lineRule="auto"/>
        <w:ind w:firstLine="420" w:firstLineChars="200"/>
        <w:rPr>
          <w:sz w:val="21"/>
          <w:szCs w:val="21"/>
        </w:rPr>
      </w:pPr>
      <w:r>
        <w:rPr>
          <w:rFonts w:hint="eastAsia"/>
          <w:sz w:val="21"/>
          <w:szCs w:val="21"/>
        </w:rPr>
        <w:t>2.采购代理机构信息</w:t>
      </w:r>
    </w:p>
    <w:p w14:paraId="0645051B">
      <w:pPr>
        <w:spacing w:line="360" w:lineRule="auto"/>
        <w:ind w:firstLine="420" w:firstLineChars="200"/>
        <w:rPr>
          <w:sz w:val="21"/>
          <w:szCs w:val="21"/>
        </w:rPr>
      </w:pPr>
      <w:r>
        <w:rPr>
          <w:rFonts w:hint="eastAsia"/>
          <w:sz w:val="21"/>
          <w:szCs w:val="21"/>
        </w:rPr>
        <w:t>名称：南宁品正建设咨询有限责任公司</w:t>
      </w:r>
    </w:p>
    <w:p w14:paraId="554816FA">
      <w:pPr>
        <w:spacing w:line="360" w:lineRule="auto"/>
        <w:ind w:firstLine="420" w:firstLineChars="200"/>
        <w:rPr>
          <w:sz w:val="21"/>
          <w:szCs w:val="21"/>
        </w:rPr>
      </w:pPr>
      <w:r>
        <w:rPr>
          <w:rFonts w:hint="eastAsia"/>
          <w:sz w:val="21"/>
          <w:szCs w:val="21"/>
        </w:rPr>
        <w:t>地址：桂林市临桂区鑫隆·公园大地一栋二单元四楼403室</w:t>
      </w:r>
    </w:p>
    <w:p w14:paraId="61FA8B89">
      <w:pPr>
        <w:spacing w:line="360" w:lineRule="auto"/>
        <w:ind w:firstLine="420" w:firstLineChars="200"/>
        <w:rPr>
          <w:sz w:val="21"/>
          <w:szCs w:val="21"/>
        </w:rPr>
      </w:pPr>
      <w:r>
        <w:rPr>
          <w:rFonts w:hint="eastAsia"/>
          <w:sz w:val="21"/>
          <w:szCs w:val="21"/>
        </w:rPr>
        <w:t>联系方式：0773-5580128</w:t>
      </w:r>
    </w:p>
    <w:p w14:paraId="2F613AB2">
      <w:pPr>
        <w:spacing w:line="360" w:lineRule="auto"/>
        <w:ind w:firstLine="420" w:firstLineChars="200"/>
        <w:rPr>
          <w:sz w:val="21"/>
          <w:szCs w:val="21"/>
        </w:rPr>
      </w:pPr>
      <w:r>
        <w:rPr>
          <w:rFonts w:hint="eastAsia"/>
          <w:sz w:val="21"/>
          <w:szCs w:val="21"/>
        </w:rPr>
        <w:t>3.项目联系方式</w:t>
      </w:r>
    </w:p>
    <w:p w14:paraId="6F9E41A1">
      <w:pPr>
        <w:spacing w:line="360" w:lineRule="auto"/>
        <w:ind w:firstLine="420" w:firstLineChars="200"/>
        <w:rPr>
          <w:sz w:val="21"/>
          <w:szCs w:val="21"/>
        </w:rPr>
      </w:pPr>
      <w:r>
        <w:rPr>
          <w:rFonts w:hint="eastAsia"/>
          <w:sz w:val="21"/>
          <w:szCs w:val="21"/>
        </w:rPr>
        <w:t>项目联系人：李旭、周宛姿、马玲玉、龙洁</w:t>
      </w:r>
    </w:p>
    <w:p w14:paraId="461EA3A5">
      <w:pPr>
        <w:spacing w:line="360" w:lineRule="auto"/>
        <w:ind w:firstLine="420" w:firstLineChars="200"/>
        <w:rPr>
          <w:sz w:val="21"/>
          <w:szCs w:val="21"/>
        </w:rPr>
      </w:pPr>
      <w:r>
        <w:rPr>
          <w:rFonts w:hint="eastAsia"/>
          <w:sz w:val="21"/>
          <w:szCs w:val="21"/>
        </w:rPr>
        <w:t>电话：0773-5580128</w:t>
      </w:r>
    </w:p>
    <w:p w14:paraId="33343056">
      <w:pPr>
        <w:pStyle w:val="12"/>
      </w:pPr>
    </w:p>
    <w:p w14:paraId="26221201">
      <w:pPr>
        <w:pStyle w:val="12"/>
      </w:pPr>
    </w:p>
    <w:p w14:paraId="73E5A4C8">
      <w:pPr>
        <w:pStyle w:val="12"/>
        <w:spacing w:before="9"/>
      </w:pPr>
    </w:p>
    <w:p w14:paraId="76F075EE">
      <w:pPr>
        <w:pStyle w:val="12"/>
        <w:spacing w:before="91"/>
        <w:ind w:right="1300"/>
        <w:jc w:val="right"/>
      </w:pPr>
      <w:r>
        <w:rPr>
          <w:rFonts w:hint="eastAsia"/>
        </w:rPr>
        <w:t>南宁品正建设咨询有限责任公司</w:t>
      </w:r>
    </w:p>
    <w:p w14:paraId="3CC6BC97">
      <w:pPr>
        <w:pStyle w:val="12"/>
        <w:spacing w:before="91"/>
        <w:ind w:right="1300"/>
        <w:jc w:val="right"/>
        <w:rPr>
          <w:color w:val="auto"/>
          <w:highlight w:val="none"/>
        </w:rPr>
      </w:pPr>
      <w:r>
        <w:rPr>
          <w:rFonts w:hint="eastAsia"/>
          <w:color w:val="auto"/>
          <w:highlight w:val="none"/>
        </w:rPr>
        <w:t>2025年</w:t>
      </w:r>
      <w:r>
        <w:rPr>
          <w:rFonts w:hint="eastAsia"/>
          <w:color w:val="auto"/>
          <w:highlight w:val="none"/>
          <w:lang w:val="en-US" w:eastAsia="zh-CN"/>
        </w:rPr>
        <w:t>4</w:t>
      </w:r>
      <w:r>
        <w:rPr>
          <w:rFonts w:hint="eastAsia"/>
          <w:color w:val="auto"/>
          <w:highlight w:val="none"/>
        </w:rPr>
        <w:t>月</w:t>
      </w:r>
      <w:r>
        <w:rPr>
          <w:rFonts w:hint="eastAsia"/>
          <w:color w:val="auto"/>
          <w:highlight w:val="none"/>
          <w:lang w:val="en-US" w:eastAsia="zh-CN"/>
        </w:rPr>
        <w:t>22</w:t>
      </w:r>
      <w:r>
        <w:rPr>
          <w:rFonts w:hint="eastAsia"/>
          <w:color w:val="auto"/>
          <w:highlight w:val="none"/>
        </w:rPr>
        <w:t>日</w:t>
      </w:r>
    </w:p>
    <w:p w14:paraId="07B28B75">
      <w:pPr>
        <w:ind w:firstLine="422"/>
        <w:jc w:val="right"/>
        <w:rPr>
          <w:color w:val="auto"/>
          <w:sz w:val="21"/>
          <w:szCs w:val="21"/>
          <w:highlight w:val="none"/>
        </w:rPr>
        <w:sectPr>
          <w:footerReference r:id="rId3" w:type="default"/>
          <w:pgSz w:w="11910" w:h="16840"/>
          <w:pgMar w:top="1219" w:right="1219" w:bottom="1219" w:left="1219" w:header="0" w:footer="720" w:gutter="0"/>
          <w:pgNumType w:start="1"/>
          <w:cols w:space="720" w:num="1"/>
        </w:sectPr>
      </w:pPr>
    </w:p>
    <w:p w14:paraId="360576C5">
      <w:pPr>
        <w:pStyle w:val="2"/>
        <w:keepNext/>
        <w:keepLines/>
        <w:autoSpaceDE/>
        <w:autoSpaceDN/>
        <w:spacing w:before="340" w:after="330"/>
        <w:ind w:firstLine="643"/>
        <w:jc w:val="center"/>
        <w:rPr>
          <w:rFonts w:ascii="Cambria" w:hAnsi="Cambria" w:cs="Times New Roman"/>
          <w:kern w:val="44"/>
        </w:rPr>
      </w:pPr>
      <w:bookmarkStart w:id="22" w:name="_Toc17173"/>
      <w:r>
        <w:rPr>
          <w:rFonts w:hint="eastAsia" w:ascii="Cambria" w:hAnsi="Cambria" w:cs="Times New Roman"/>
          <w:kern w:val="44"/>
        </w:rPr>
        <w:t>第二章供应商须知</w:t>
      </w:r>
      <w:bookmarkEnd w:id="22"/>
    </w:p>
    <w:p w14:paraId="3FB6F66E">
      <w:pPr>
        <w:pStyle w:val="3"/>
        <w:keepNext/>
        <w:keepLines/>
        <w:autoSpaceDE/>
        <w:autoSpaceDN/>
        <w:spacing w:before="260" w:after="260"/>
        <w:ind w:right="0" w:firstLine="643"/>
        <w:rPr>
          <w:rFonts w:ascii="Cambria" w:hAnsi="Cambria" w:cs="Times New Roman"/>
          <w:b/>
          <w:bCs/>
        </w:rPr>
      </w:pPr>
      <w:r>
        <w:rPr>
          <w:rFonts w:hint="eastAsia" w:ascii="Cambria" w:hAnsi="Cambria" w:cs="Times New Roman"/>
          <w:b/>
          <w:bCs/>
        </w:rPr>
        <w:t>供应商须知前附表</w:t>
      </w:r>
    </w:p>
    <w:tbl>
      <w:tblPr>
        <w:tblStyle w:val="2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2"/>
        <w:gridCol w:w="855"/>
        <w:gridCol w:w="1470"/>
        <w:gridCol w:w="6321"/>
      </w:tblGrid>
      <w:tr w14:paraId="606B7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4" w:hRule="atLeast"/>
          <w:jc w:val="center"/>
        </w:trPr>
        <w:tc>
          <w:tcPr>
            <w:tcW w:w="812" w:type="dxa"/>
            <w:vAlign w:val="center"/>
          </w:tcPr>
          <w:p w14:paraId="09151626">
            <w:pPr>
              <w:pStyle w:val="30"/>
              <w:ind w:firstLine="420"/>
              <w:rPr>
                <w:b/>
                <w:sz w:val="21"/>
                <w:szCs w:val="21"/>
              </w:rPr>
            </w:pPr>
          </w:p>
          <w:p w14:paraId="19314580">
            <w:pPr>
              <w:pStyle w:val="30"/>
              <w:spacing w:before="1"/>
              <w:ind w:left="170" w:right="163"/>
              <w:jc w:val="center"/>
              <w:rPr>
                <w:sz w:val="21"/>
                <w:szCs w:val="21"/>
              </w:rPr>
            </w:pPr>
            <w:r>
              <w:rPr>
                <w:sz w:val="21"/>
                <w:szCs w:val="21"/>
              </w:rPr>
              <w:t>序号</w:t>
            </w:r>
          </w:p>
        </w:tc>
        <w:tc>
          <w:tcPr>
            <w:tcW w:w="855" w:type="dxa"/>
            <w:vAlign w:val="center"/>
          </w:tcPr>
          <w:p w14:paraId="65739798">
            <w:pPr>
              <w:pStyle w:val="30"/>
              <w:spacing w:before="77"/>
              <w:ind w:left="183" w:right="176"/>
              <w:jc w:val="center"/>
              <w:rPr>
                <w:sz w:val="21"/>
                <w:szCs w:val="21"/>
              </w:rPr>
            </w:pPr>
            <w:r>
              <w:rPr>
                <w:sz w:val="21"/>
                <w:szCs w:val="21"/>
              </w:rPr>
              <w:t>条款</w:t>
            </w:r>
          </w:p>
          <w:p w14:paraId="5659FCD6">
            <w:pPr>
              <w:pStyle w:val="30"/>
              <w:spacing w:before="91" w:line="263" w:lineRule="exact"/>
              <w:ind w:left="5"/>
              <w:jc w:val="center"/>
              <w:rPr>
                <w:sz w:val="21"/>
                <w:szCs w:val="21"/>
              </w:rPr>
            </w:pPr>
            <w:r>
              <w:rPr>
                <w:rFonts w:hint="eastAsia"/>
                <w:sz w:val="21"/>
                <w:szCs w:val="21"/>
              </w:rPr>
              <w:t>号</w:t>
            </w:r>
          </w:p>
        </w:tc>
        <w:tc>
          <w:tcPr>
            <w:tcW w:w="1470" w:type="dxa"/>
            <w:vAlign w:val="center"/>
          </w:tcPr>
          <w:p w14:paraId="2F6070D5">
            <w:pPr>
              <w:pStyle w:val="30"/>
              <w:ind w:firstLine="420"/>
              <w:rPr>
                <w:b/>
                <w:sz w:val="21"/>
                <w:szCs w:val="21"/>
              </w:rPr>
            </w:pPr>
          </w:p>
          <w:p w14:paraId="06A2B5CC">
            <w:pPr>
              <w:pStyle w:val="30"/>
              <w:spacing w:before="1"/>
              <w:ind w:left="171" w:right="165"/>
              <w:jc w:val="center"/>
              <w:rPr>
                <w:sz w:val="21"/>
                <w:szCs w:val="21"/>
              </w:rPr>
            </w:pPr>
            <w:r>
              <w:rPr>
                <w:sz w:val="21"/>
                <w:szCs w:val="21"/>
              </w:rPr>
              <w:t>条款名称</w:t>
            </w:r>
          </w:p>
        </w:tc>
        <w:tc>
          <w:tcPr>
            <w:tcW w:w="6321" w:type="dxa"/>
            <w:vAlign w:val="center"/>
          </w:tcPr>
          <w:p w14:paraId="2023E13F">
            <w:pPr>
              <w:pStyle w:val="30"/>
              <w:ind w:firstLine="420"/>
              <w:rPr>
                <w:b/>
                <w:sz w:val="21"/>
                <w:szCs w:val="21"/>
              </w:rPr>
            </w:pPr>
          </w:p>
          <w:p w14:paraId="7C5FF1B9">
            <w:pPr>
              <w:pStyle w:val="30"/>
              <w:spacing w:before="1"/>
              <w:ind w:left="120" w:right="115"/>
              <w:jc w:val="center"/>
              <w:rPr>
                <w:sz w:val="21"/>
                <w:szCs w:val="21"/>
              </w:rPr>
            </w:pPr>
            <w:r>
              <w:rPr>
                <w:sz w:val="21"/>
                <w:szCs w:val="21"/>
              </w:rPr>
              <w:t>内容、要求</w:t>
            </w:r>
          </w:p>
        </w:tc>
      </w:tr>
      <w:tr w14:paraId="4F834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12" w:type="dxa"/>
            <w:vAlign w:val="center"/>
          </w:tcPr>
          <w:p w14:paraId="5BA634A6">
            <w:pPr>
              <w:spacing w:line="360" w:lineRule="auto"/>
              <w:ind w:firstLine="422"/>
              <w:jc w:val="both"/>
              <w:rPr>
                <w:sz w:val="21"/>
                <w:szCs w:val="21"/>
              </w:rPr>
            </w:pPr>
            <w:r>
              <w:rPr>
                <w:sz w:val="21"/>
                <w:szCs w:val="21"/>
              </w:rPr>
              <w:t>1</w:t>
            </w:r>
          </w:p>
        </w:tc>
        <w:tc>
          <w:tcPr>
            <w:tcW w:w="855" w:type="dxa"/>
            <w:vAlign w:val="center"/>
          </w:tcPr>
          <w:p w14:paraId="6C6B4158">
            <w:pPr>
              <w:spacing w:line="360" w:lineRule="auto"/>
              <w:jc w:val="center"/>
              <w:rPr>
                <w:sz w:val="21"/>
                <w:szCs w:val="21"/>
              </w:rPr>
            </w:pPr>
            <w:r>
              <w:rPr>
                <w:sz w:val="21"/>
                <w:szCs w:val="21"/>
              </w:rPr>
              <w:t>1.1</w:t>
            </w:r>
          </w:p>
        </w:tc>
        <w:tc>
          <w:tcPr>
            <w:tcW w:w="1470" w:type="dxa"/>
            <w:vAlign w:val="center"/>
          </w:tcPr>
          <w:p w14:paraId="6316A9F8">
            <w:pPr>
              <w:spacing w:line="360" w:lineRule="auto"/>
              <w:jc w:val="center"/>
              <w:rPr>
                <w:sz w:val="21"/>
                <w:szCs w:val="21"/>
              </w:rPr>
            </w:pPr>
            <w:r>
              <w:rPr>
                <w:b/>
                <w:bCs/>
                <w:sz w:val="21"/>
                <w:szCs w:val="21"/>
              </w:rPr>
              <w:t>项目名称及项目编号</w:t>
            </w:r>
          </w:p>
        </w:tc>
        <w:tc>
          <w:tcPr>
            <w:tcW w:w="6321" w:type="dxa"/>
            <w:vAlign w:val="center"/>
          </w:tcPr>
          <w:p w14:paraId="74655F28">
            <w:pPr>
              <w:spacing w:line="360" w:lineRule="auto"/>
              <w:ind w:firstLine="422" w:firstLineChars="200"/>
              <w:rPr>
                <w:sz w:val="21"/>
                <w:szCs w:val="21"/>
              </w:rPr>
            </w:pPr>
            <w:r>
              <w:rPr>
                <w:b/>
                <w:bCs/>
                <w:sz w:val="21"/>
                <w:szCs w:val="21"/>
              </w:rPr>
              <w:t>项目名称</w:t>
            </w:r>
            <w:r>
              <w:rPr>
                <w:sz w:val="21"/>
                <w:szCs w:val="21"/>
              </w:rPr>
              <w:t>：</w:t>
            </w:r>
            <w:r>
              <w:rPr>
                <w:rFonts w:hint="eastAsia"/>
                <w:sz w:val="21"/>
                <w:szCs w:val="21"/>
              </w:rPr>
              <w:t>S301线K131+000～K142+000段普通省道安全设施精细化提升工程</w:t>
            </w:r>
          </w:p>
          <w:p w14:paraId="1536E86A">
            <w:pPr>
              <w:spacing w:line="360" w:lineRule="auto"/>
              <w:ind w:firstLine="422" w:firstLineChars="200"/>
              <w:rPr>
                <w:sz w:val="21"/>
                <w:szCs w:val="21"/>
              </w:rPr>
            </w:pPr>
            <w:r>
              <w:rPr>
                <w:b/>
                <w:bCs/>
                <w:sz w:val="21"/>
                <w:szCs w:val="21"/>
              </w:rPr>
              <w:t>项目编</w:t>
            </w:r>
            <w:r>
              <w:rPr>
                <w:b/>
                <w:bCs/>
                <w:sz w:val="21"/>
                <w:szCs w:val="21"/>
                <w:highlight w:val="none"/>
              </w:rPr>
              <w:t>号：</w:t>
            </w:r>
            <w:r>
              <w:rPr>
                <w:b w:val="0"/>
                <w:bCs w:val="0"/>
                <w:sz w:val="21"/>
                <w:szCs w:val="21"/>
                <w:highlight w:val="none"/>
              </w:rPr>
              <w:t>GXZC2025-C2-000883-NNPZ</w:t>
            </w:r>
          </w:p>
        </w:tc>
      </w:tr>
      <w:tr w14:paraId="79B0B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jc w:val="center"/>
        </w:trPr>
        <w:tc>
          <w:tcPr>
            <w:tcW w:w="812" w:type="dxa"/>
            <w:vAlign w:val="center"/>
          </w:tcPr>
          <w:p w14:paraId="720D232D">
            <w:pPr>
              <w:spacing w:line="360" w:lineRule="auto"/>
              <w:ind w:firstLine="422"/>
              <w:jc w:val="both"/>
              <w:rPr>
                <w:sz w:val="21"/>
                <w:szCs w:val="21"/>
              </w:rPr>
            </w:pPr>
            <w:r>
              <w:rPr>
                <w:rFonts w:hint="eastAsia"/>
                <w:sz w:val="21"/>
                <w:szCs w:val="21"/>
              </w:rPr>
              <w:t>2</w:t>
            </w:r>
          </w:p>
        </w:tc>
        <w:tc>
          <w:tcPr>
            <w:tcW w:w="855" w:type="dxa"/>
            <w:vAlign w:val="center"/>
          </w:tcPr>
          <w:p w14:paraId="0F9F47FA">
            <w:pPr>
              <w:spacing w:line="360" w:lineRule="auto"/>
              <w:jc w:val="center"/>
              <w:rPr>
                <w:sz w:val="21"/>
                <w:szCs w:val="21"/>
              </w:rPr>
            </w:pPr>
            <w:r>
              <w:rPr>
                <w:rFonts w:hint="eastAsia"/>
                <w:sz w:val="21"/>
                <w:szCs w:val="21"/>
              </w:rPr>
              <w:t>1.2</w:t>
            </w:r>
          </w:p>
        </w:tc>
        <w:tc>
          <w:tcPr>
            <w:tcW w:w="1470" w:type="dxa"/>
            <w:vAlign w:val="center"/>
          </w:tcPr>
          <w:p w14:paraId="168819EB">
            <w:pPr>
              <w:spacing w:line="360" w:lineRule="auto"/>
              <w:jc w:val="center"/>
              <w:rPr>
                <w:b/>
                <w:bCs/>
                <w:sz w:val="21"/>
                <w:szCs w:val="21"/>
              </w:rPr>
            </w:pPr>
            <w:r>
              <w:rPr>
                <w:rFonts w:hint="eastAsia"/>
                <w:b/>
                <w:bCs/>
                <w:sz w:val="21"/>
                <w:szCs w:val="21"/>
              </w:rPr>
              <w:t>要求工期及</w:t>
            </w:r>
          </w:p>
          <w:p w14:paraId="081EEA33">
            <w:pPr>
              <w:spacing w:line="360" w:lineRule="auto"/>
              <w:jc w:val="center"/>
              <w:rPr>
                <w:sz w:val="21"/>
                <w:szCs w:val="21"/>
              </w:rPr>
            </w:pPr>
            <w:r>
              <w:rPr>
                <w:rFonts w:hint="eastAsia"/>
                <w:b/>
                <w:bCs/>
                <w:sz w:val="21"/>
                <w:szCs w:val="21"/>
              </w:rPr>
              <w:t>质量标准</w:t>
            </w:r>
          </w:p>
        </w:tc>
        <w:tc>
          <w:tcPr>
            <w:tcW w:w="6321" w:type="dxa"/>
            <w:vAlign w:val="center"/>
          </w:tcPr>
          <w:p w14:paraId="11BDBF67">
            <w:pPr>
              <w:spacing w:line="360" w:lineRule="auto"/>
              <w:ind w:firstLine="420" w:firstLineChars="200"/>
              <w:rPr>
                <w:sz w:val="21"/>
                <w:szCs w:val="21"/>
              </w:rPr>
            </w:pPr>
            <w:bookmarkStart w:id="23" w:name="OLE_LINK18"/>
            <w:r>
              <w:rPr>
                <w:rFonts w:hint="eastAsia"/>
                <w:sz w:val="21"/>
                <w:szCs w:val="21"/>
              </w:rPr>
              <w:t>要求工期：</w:t>
            </w:r>
            <w:r>
              <w:rPr>
                <w:rFonts w:hint="eastAsia"/>
                <w:sz w:val="21"/>
                <w:szCs w:val="21"/>
                <w:highlight w:val="none"/>
              </w:rPr>
              <w:t>90日历天。</w:t>
            </w:r>
          </w:p>
          <w:p w14:paraId="7B2C57FD">
            <w:pPr>
              <w:spacing w:line="360" w:lineRule="auto"/>
              <w:ind w:firstLine="420" w:firstLineChars="200"/>
              <w:rPr>
                <w:sz w:val="21"/>
                <w:szCs w:val="21"/>
              </w:rPr>
            </w:pPr>
            <w:r>
              <w:rPr>
                <w:rFonts w:hint="eastAsia"/>
                <w:sz w:val="21"/>
                <w:szCs w:val="21"/>
              </w:rPr>
              <w:t>质量标准：工程交工验收的质量评定：合格；竣工验收的质量评定：优良。</w:t>
            </w:r>
            <w:bookmarkEnd w:id="23"/>
          </w:p>
        </w:tc>
      </w:tr>
      <w:tr w14:paraId="4B829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2" w:hRule="atLeast"/>
          <w:jc w:val="center"/>
        </w:trPr>
        <w:tc>
          <w:tcPr>
            <w:tcW w:w="812" w:type="dxa"/>
            <w:vAlign w:val="center"/>
          </w:tcPr>
          <w:p w14:paraId="06A0CEBE">
            <w:pPr>
              <w:spacing w:line="360" w:lineRule="auto"/>
              <w:ind w:firstLine="422"/>
              <w:jc w:val="both"/>
              <w:rPr>
                <w:sz w:val="21"/>
                <w:szCs w:val="21"/>
              </w:rPr>
            </w:pPr>
            <w:r>
              <w:rPr>
                <w:rFonts w:hint="eastAsia"/>
                <w:sz w:val="21"/>
                <w:szCs w:val="21"/>
              </w:rPr>
              <w:t>3</w:t>
            </w:r>
          </w:p>
        </w:tc>
        <w:tc>
          <w:tcPr>
            <w:tcW w:w="855" w:type="dxa"/>
            <w:vAlign w:val="center"/>
          </w:tcPr>
          <w:p w14:paraId="7C575BFC">
            <w:pPr>
              <w:spacing w:line="360" w:lineRule="auto"/>
              <w:jc w:val="center"/>
              <w:rPr>
                <w:sz w:val="21"/>
                <w:szCs w:val="21"/>
              </w:rPr>
            </w:pPr>
            <w:r>
              <w:rPr>
                <w:rFonts w:hint="eastAsia"/>
                <w:sz w:val="21"/>
                <w:szCs w:val="21"/>
              </w:rPr>
              <w:t>3</w:t>
            </w:r>
          </w:p>
        </w:tc>
        <w:tc>
          <w:tcPr>
            <w:tcW w:w="1470" w:type="dxa"/>
            <w:vAlign w:val="center"/>
          </w:tcPr>
          <w:p w14:paraId="72590312">
            <w:pPr>
              <w:spacing w:line="360" w:lineRule="exact"/>
              <w:jc w:val="center"/>
              <w:rPr>
                <w:sz w:val="21"/>
                <w:szCs w:val="21"/>
              </w:rPr>
            </w:pPr>
            <w:r>
              <w:rPr>
                <w:rFonts w:hint="eastAsia"/>
                <w:b/>
                <w:bCs/>
                <w:sz w:val="21"/>
                <w:szCs w:val="21"/>
              </w:rPr>
              <w:t>供应商资格</w:t>
            </w:r>
          </w:p>
        </w:tc>
        <w:tc>
          <w:tcPr>
            <w:tcW w:w="6321" w:type="dxa"/>
            <w:vAlign w:val="center"/>
          </w:tcPr>
          <w:p w14:paraId="7CDCF03D">
            <w:pPr>
              <w:spacing w:line="360" w:lineRule="exact"/>
              <w:rPr>
                <w:sz w:val="21"/>
                <w:szCs w:val="21"/>
              </w:rPr>
            </w:pPr>
            <w:r>
              <w:rPr>
                <w:rFonts w:hint="eastAsia"/>
                <w:sz w:val="21"/>
                <w:szCs w:val="21"/>
              </w:rPr>
              <w:t>1、</w:t>
            </w:r>
            <w:bookmarkStart w:id="24" w:name="OLE_LINK2"/>
            <w:r>
              <w:rPr>
                <w:rFonts w:hint="eastAsia"/>
                <w:sz w:val="21"/>
                <w:szCs w:val="21"/>
              </w:rPr>
              <w:t>必须是在国家工商行政部门注册，具有有效的营业执照、有效的安全生产许可证，并在人员、设备、资金等方面具有相应的施工能力。</w:t>
            </w:r>
          </w:p>
          <w:bookmarkEnd w:id="24"/>
          <w:p w14:paraId="2510A81D">
            <w:pPr>
              <w:spacing w:line="360" w:lineRule="exact"/>
              <w:rPr>
                <w:sz w:val="21"/>
                <w:szCs w:val="21"/>
              </w:rPr>
            </w:pPr>
            <w:r>
              <w:rPr>
                <w:rFonts w:hint="eastAsia"/>
                <w:sz w:val="21"/>
                <w:szCs w:val="21"/>
              </w:rPr>
              <w:t>2、满足《中华人民共和国政府采购法》第二十二条规定。</w:t>
            </w:r>
          </w:p>
          <w:p w14:paraId="0521ED18">
            <w:pPr>
              <w:spacing w:line="360" w:lineRule="exact"/>
              <w:rPr>
                <w:sz w:val="21"/>
                <w:szCs w:val="21"/>
              </w:rPr>
            </w:pPr>
            <w:r>
              <w:rPr>
                <w:rFonts w:hint="eastAsia"/>
                <w:sz w:val="21"/>
                <w:szCs w:val="21"/>
              </w:rPr>
              <w:t>3、落实政府采购政策需满足的资格要求：</w:t>
            </w:r>
            <w:r>
              <w:rPr>
                <w:rFonts w:hint="eastAsia"/>
                <w:sz w:val="21"/>
                <w:szCs w:val="21"/>
                <w:lang w:eastAsia="zh-CN"/>
              </w:rPr>
              <w:t>本项目专门面向中小企业采购</w:t>
            </w:r>
            <w:r>
              <w:rPr>
                <w:rFonts w:hint="eastAsia"/>
                <w:sz w:val="21"/>
                <w:szCs w:val="21"/>
              </w:rPr>
              <w:t>。</w:t>
            </w:r>
          </w:p>
          <w:p w14:paraId="6DD9A504">
            <w:pPr>
              <w:spacing w:line="360" w:lineRule="exact"/>
              <w:rPr>
                <w:b/>
                <w:bCs/>
                <w:sz w:val="21"/>
                <w:szCs w:val="21"/>
              </w:rPr>
            </w:pPr>
            <w:r>
              <w:rPr>
                <w:rFonts w:hint="eastAsia"/>
                <w:b/>
                <w:bCs/>
                <w:sz w:val="21"/>
                <w:szCs w:val="21"/>
              </w:rPr>
              <w:t>4、本项目的特定资格要求：供应商资质应同时具备以下条件:</w:t>
            </w:r>
          </w:p>
          <w:p w14:paraId="1506B8AF">
            <w:pPr>
              <w:spacing w:line="360" w:lineRule="auto"/>
              <w:ind w:firstLine="420" w:firstLineChars="200"/>
              <w:rPr>
                <w:sz w:val="21"/>
                <w:szCs w:val="21"/>
                <w:highlight w:val="none"/>
              </w:rPr>
            </w:pPr>
            <w:r>
              <w:rPr>
                <w:rFonts w:hint="eastAsia"/>
                <w:sz w:val="21"/>
                <w:szCs w:val="21"/>
                <w:highlight w:val="none"/>
              </w:rPr>
              <w:t>具备有效的交通安全设施养护资质，同时具备路基路面养护乙级以上（含乙级）资质。如无路基路面养护乙级以上（含乙级）资质，仅具备有效交通安全设施养护资质的也同样可以进行投标，但必须将路基路面工程量分包给具备路基路面养护乙级以上（含乙级）资质的企业。</w:t>
            </w:r>
          </w:p>
          <w:p w14:paraId="6C22A123">
            <w:pPr>
              <w:spacing w:line="360" w:lineRule="exact"/>
              <w:ind w:firstLine="420" w:firstLineChars="200"/>
              <w:rPr>
                <w:sz w:val="21"/>
                <w:szCs w:val="21"/>
              </w:rPr>
            </w:pPr>
            <w:r>
              <w:rPr>
                <w:rFonts w:hint="eastAsia"/>
                <w:sz w:val="21"/>
                <w:szCs w:val="21"/>
              </w:rPr>
              <w:t>注：（1）公路养护作业单位资质按照《公路养护作业单位资质管理办法》（中华人民共和国交通运输部令2021年第22号）和《广西壮族自治区交通运输厅关于印发广西公路养护作业单位资质管理实施细则的通知》等文件要求，根据招标项目具体特点和实际情况确定。</w:t>
            </w:r>
          </w:p>
          <w:p w14:paraId="0D03E5AB">
            <w:pPr>
              <w:spacing w:line="360" w:lineRule="exact"/>
              <w:ind w:firstLine="420" w:firstLineChars="200"/>
              <w:rPr>
                <w:sz w:val="21"/>
                <w:szCs w:val="21"/>
              </w:rPr>
            </w:pPr>
            <w:r>
              <w:rPr>
                <w:rFonts w:hint="eastAsia"/>
                <w:sz w:val="21"/>
                <w:szCs w:val="21"/>
              </w:rPr>
              <w:t>（2）投标人应进入交通运输部“全国公路建设市场监督管理管理系统（https://hwdms.mot.gov.cn/BMWebSite）”中的公路工程施工资质企业名录，且投标人名称和资质与该名录中的相应企业名称和资质完全一致。</w:t>
            </w:r>
          </w:p>
          <w:p w14:paraId="72D30605">
            <w:pPr>
              <w:pStyle w:val="17"/>
              <w:autoSpaceDE/>
              <w:autoSpaceDN/>
              <w:snapToGrid/>
              <w:spacing w:line="400" w:lineRule="exact"/>
              <w:rPr>
                <w:sz w:val="21"/>
                <w:szCs w:val="21"/>
              </w:rPr>
            </w:pPr>
            <w:r>
              <w:rPr>
                <w:rFonts w:hint="eastAsia"/>
                <w:sz w:val="21"/>
                <w:szCs w:val="21"/>
              </w:rPr>
              <w:t>特别说明：</w:t>
            </w:r>
          </w:p>
          <w:p w14:paraId="44F82C14">
            <w:pPr>
              <w:pStyle w:val="17"/>
              <w:autoSpaceDE/>
              <w:autoSpaceDN/>
              <w:snapToGrid/>
              <w:spacing w:line="360" w:lineRule="auto"/>
              <w:rPr>
                <w:sz w:val="21"/>
                <w:szCs w:val="21"/>
              </w:rPr>
            </w:pPr>
            <w:r>
              <w:rPr>
                <w:rFonts w:hint="eastAsia"/>
                <w:sz w:val="21"/>
                <w:szCs w:val="21"/>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506C0625">
            <w:pPr>
              <w:spacing w:line="360" w:lineRule="exact"/>
              <w:ind w:firstLine="420" w:firstLineChars="200"/>
              <w:rPr>
                <w:sz w:val="21"/>
                <w:szCs w:val="21"/>
              </w:rPr>
            </w:pPr>
            <w:r>
              <w:rPr>
                <w:rFonts w:hint="eastAsia"/>
                <w:sz w:val="21"/>
                <w:szCs w:val="21"/>
              </w:rPr>
              <w:t>（2）对在“信用中国”网站(www.creditchina.gov.cn)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22A65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3" w:hRule="atLeast"/>
          <w:jc w:val="center"/>
        </w:trPr>
        <w:tc>
          <w:tcPr>
            <w:tcW w:w="812" w:type="dxa"/>
            <w:vAlign w:val="center"/>
          </w:tcPr>
          <w:p w14:paraId="3B8AECDC">
            <w:pPr>
              <w:spacing w:line="360" w:lineRule="auto"/>
              <w:ind w:firstLine="422"/>
              <w:jc w:val="both"/>
              <w:rPr>
                <w:sz w:val="21"/>
                <w:szCs w:val="21"/>
              </w:rPr>
            </w:pPr>
            <w:r>
              <w:rPr>
                <w:rFonts w:hint="eastAsia"/>
                <w:sz w:val="21"/>
                <w:szCs w:val="21"/>
              </w:rPr>
              <w:t>4</w:t>
            </w:r>
          </w:p>
        </w:tc>
        <w:tc>
          <w:tcPr>
            <w:tcW w:w="855" w:type="dxa"/>
            <w:vAlign w:val="center"/>
          </w:tcPr>
          <w:p w14:paraId="288B3821">
            <w:pPr>
              <w:spacing w:line="360" w:lineRule="auto"/>
              <w:jc w:val="center"/>
              <w:rPr>
                <w:sz w:val="21"/>
                <w:szCs w:val="21"/>
              </w:rPr>
            </w:pPr>
            <w:r>
              <w:rPr>
                <w:rFonts w:hint="eastAsia"/>
                <w:sz w:val="21"/>
                <w:szCs w:val="21"/>
              </w:rPr>
              <w:t>4</w:t>
            </w:r>
          </w:p>
        </w:tc>
        <w:tc>
          <w:tcPr>
            <w:tcW w:w="1470" w:type="dxa"/>
            <w:vAlign w:val="center"/>
          </w:tcPr>
          <w:p w14:paraId="2DD32C09">
            <w:pPr>
              <w:spacing w:line="360" w:lineRule="auto"/>
              <w:jc w:val="center"/>
              <w:rPr>
                <w:b/>
                <w:bCs/>
                <w:sz w:val="21"/>
                <w:szCs w:val="21"/>
              </w:rPr>
            </w:pPr>
            <w:r>
              <w:rPr>
                <w:rFonts w:hint="eastAsia"/>
                <w:b/>
                <w:bCs/>
                <w:sz w:val="21"/>
                <w:szCs w:val="21"/>
              </w:rPr>
              <w:t>参与电子竞</w:t>
            </w:r>
          </w:p>
          <w:p w14:paraId="28F0A5F0">
            <w:pPr>
              <w:spacing w:line="360" w:lineRule="auto"/>
              <w:jc w:val="center"/>
              <w:rPr>
                <w:b/>
                <w:bCs/>
                <w:sz w:val="21"/>
                <w:szCs w:val="21"/>
              </w:rPr>
            </w:pPr>
            <w:r>
              <w:rPr>
                <w:rFonts w:hint="eastAsia"/>
                <w:b/>
                <w:bCs/>
                <w:sz w:val="21"/>
                <w:szCs w:val="21"/>
              </w:rPr>
              <w:t>标的准备</w:t>
            </w:r>
          </w:p>
          <w:p w14:paraId="386C6A5E">
            <w:pPr>
              <w:spacing w:line="360" w:lineRule="auto"/>
              <w:jc w:val="center"/>
              <w:rPr>
                <w:sz w:val="21"/>
                <w:szCs w:val="21"/>
              </w:rPr>
            </w:pPr>
            <w:r>
              <w:rPr>
                <w:rFonts w:hint="eastAsia"/>
                <w:b/>
                <w:bCs/>
                <w:sz w:val="21"/>
                <w:szCs w:val="21"/>
              </w:rPr>
              <w:t>工作</w:t>
            </w:r>
          </w:p>
        </w:tc>
        <w:tc>
          <w:tcPr>
            <w:tcW w:w="6321" w:type="dxa"/>
            <w:vAlign w:val="center"/>
          </w:tcPr>
          <w:p w14:paraId="74A67BA9">
            <w:pPr>
              <w:spacing w:line="360" w:lineRule="auto"/>
              <w:ind w:firstLine="420" w:firstLineChars="200"/>
              <w:rPr>
                <w:sz w:val="21"/>
                <w:szCs w:val="21"/>
              </w:rPr>
            </w:pPr>
            <w:r>
              <w:rPr>
                <w:rFonts w:hint="eastAsia"/>
                <w:sz w:val="21"/>
                <w:szCs w:val="21"/>
              </w:rPr>
              <w:t>4.1本项目实行全流程电子化采购，供应商通过“广西政府采购云平台”参与电子竞标，并应做好以下相关准备工作：①在“广西政采购云平台”注册成为正式供应商（操作方法详见广西壮族自治区府</w:t>
            </w:r>
          </w:p>
          <w:p w14:paraId="38B99483">
            <w:pPr>
              <w:spacing w:line="360" w:lineRule="auto"/>
              <w:ind w:firstLine="422"/>
              <w:rPr>
                <w:sz w:val="21"/>
                <w:szCs w:val="21"/>
              </w:rPr>
            </w:pPr>
            <w:r>
              <w:rPr>
                <w:rFonts w:hint="eastAsia"/>
                <w:sz w:val="21"/>
                <w:szCs w:val="21"/>
              </w:rPr>
              <w:t>采购网—办事服务—办事指南）；②完成CA证书申领和绑定（用</w:t>
            </w:r>
          </w:p>
          <w:p w14:paraId="2FA6277B">
            <w:pPr>
              <w:spacing w:line="360" w:lineRule="auto"/>
              <w:ind w:firstLine="422"/>
              <w:rPr>
                <w:sz w:val="21"/>
                <w:szCs w:val="21"/>
              </w:rPr>
            </w:pPr>
            <w:r>
              <w:rPr>
                <w:rFonts w:hint="eastAsia"/>
                <w:sz w:val="21"/>
                <w:szCs w:val="21"/>
              </w:rPr>
              <w:t>由供应商自行承担，办理流程详见广西壮族自治区政府采购网—事</w:t>
            </w:r>
          </w:p>
          <w:p w14:paraId="767B3519">
            <w:pPr>
              <w:spacing w:line="360" w:lineRule="auto"/>
              <w:ind w:firstLine="422"/>
              <w:rPr>
                <w:sz w:val="21"/>
                <w:szCs w:val="21"/>
              </w:rPr>
            </w:pPr>
            <w:r>
              <w:rPr>
                <w:rFonts w:hint="eastAsia"/>
                <w:sz w:val="21"/>
                <w:szCs w:val="21"/>
              </w:rPr>
              <w:t>服务—下载专区，完成CA证书办理预计一周左右，建议供应商快</w:t>
            </w:r>
          </w:p>
          <w:p w14:paraId="7BD9FFD4">
            <w:pPr>
              <w:spacing w:line="360" w:lineRule="auto"/>
              <w:ind w:firstLine="422"/>
              <w:rPr>
                <w:sz w:val="21"/>
                <w:szCs w:val="21"/>
              </w:rPr>
            </w:pPr>
            <w:r>
              <w:rPr>
                <w:rFonts w:hint="eastAsia"/>
                <w:sz w:val="21"/>
                <w:szCs w:val="21"/>
              </w:rPr>
              <w:t>办理）；③下载“广西壮族自治区全流程电子招投标项目管理系统--供应商客户端”（操作方法详见广西壮族自治区政府采购网—办事服务—下载专区，以下称“广西政府采购云平台电子投标客端”）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13EB9378">
            <w:pPr>
              <w:spacing w:line="360" w:lineRule="auto"/>
              <w:ind w:firstLine="420" w:firstLineChars="200"/>
              <w:rPr>
                <w:sz w:val="21"/>
                <w:szCs w:val="21"/>
              </w:rPr>
            </w:pPr>
            <w:r>
              <w:rPr>
                <w:rFonts w:hint="eastAsia"/>
                <w:sz w:val="21"/>
                <w:szCs w:val="21"/>
              </w:rPr>
              <w:t>4.2电子竞标具体操作流程参考《政府采购项目电子交易管理操作指南-供应商》（详见桂林市政府采购网—采购资讯—重要通知）；如遇平台技术问题详询95763。</w:t>
            </w:r>
          </w:p>
          <w:p w14:paraId="7472D082">
            <w:pPr>
              <w:spacing w:line="360" w:lineRule="auto"/>
              <w:ind w:firstLine="420" w:firstLineChars="200"/>
              <w:rPr>
                <w:sz w:val="21"/>
                <w:szCs w:val="21"/>
              </w:rPr>
            </w:pPr>
            <w:r>
              <w:rPr>
                <w:rFonts w:hint="eastAsia"/>
                <w:sz w:val="21"/>
                <w:szCs w:val="21"/>
              </w:rPr>
              <w:t>4.3不论磋商结果如何，供应商均应自行承担所有与磋商有关的全部费用。</w:t>
            </w:r>
          </w:p>
        </w:tc>
      </w:tr>
      <w:tr w14:paraId="45941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12BE3742">
            <w:pPr>
              <w:spacing w:line="360" w:lineRule="auto"/>
              <w:ind w:firstLine="422"/>
              <w:jc w:val="both"/>
              <w:rPr>
                <w:sz w:val="21"/>
                <w:szCs w:val="21"/>
              </w:rPr>
            </w:pPr>
            <w:r>
              <w:rPr>
                <w:rFonts w:hint="eastAsia"/>
                <w:sz w:val="21"/>
                <w:szCs w:val="21"/>
              </w:rPr>
              <w:t>5</w:t>
            </w:r>
          </w:p>
        </w:tc>
        <w:tc>
          <w:tcPr>
            <w:tcW w:w="855" w:type="dxa"/>
            <w:vAlign w:val="center"/>
          </w:tcPr>
          <w:p w14:paraId="64E2720D">
            <w:pPr>
              <w:spacing w:line="360" w:lineRule="auto"/>
              <w:jc w:val="center"/>
              <w:rPr>
                <w:sz w:val="21"/>
                <w:szCs w:val="21"/>
              </w:rPr>
            </w:pPr>
            <w:r>
              <w:rPr>
                <w:rFonts w:hint="eastAsia"/>
                <w:sz w:val="21"/>
                <w:szCs w:val="21"/>
              </w:rPr>
              <w:t>13</w:t>
            </w:r>
          </w:p>
        </w:tc>
        <w:tc>
          <w:tcPr>
            <w:tcW w:w="1470" w:type="dxa"/>
            <w:vAlign w:val="center"/>
          </w:tcPr>
          <w:p w14:paraId="4B43C64A">
            <w:pPr>
              <w:spacing w:line="360" w:lineRule="auto"/>
              <w:jc w:val="center"/>
              <w:rPr>
                <w:sz w:val="21"/>
                <w:szCs w:val="21"/>
              </w:rPr>
            </w:pPr>
            <w:r>
              <w:rPr>
                <w:rFonts w:hint="eastAsia"/>
                <w:b/>
                <w:bCs/>
                <w:sz w:val="21"/>
                <w:szCs w:val="21"/>
              </w:rPr>
              <w:t>磋商报价及采购预算金额</w:t>
            </w:r>
          </w:p>
        </w:tc>
        <w:tc>
          <w:tcPr>
            <w:tcW w:w="6321" w:type="dxa"/>
            <w:vAlign w:val="center"/>
          </w:tcPr>
          <w:p w14:paraId="335D766F">
            <w:pPr>
              <w:spacing w:line="360" w:lineRule="auto"/>
              <w:ind w:firstLine="420" w:firstLineChars="200"/>
              <w:rPr>
                <w:sz w:val="21"/>
                <w:szCs w:val="21"/>
              </w:rPr>
            </w:pPr>
            <w:r>
              <w:rPr>
                <w:rFonts w:hint="eastAsia"/>
                <w:sz w:val="21"/>
                <w:szCs w:val="21"/>
              </w:rPr>
              <w:t>13.1供应商必须就“项目需求”中的所有内容作完整唯一报价，响应文件只允许有一个报价，有选择的或有条件的报价将不予接受。</w:t>
            </w:r>
          </w:p>
          <w:p w14:paraId="3388C6E5">
            <w:pPr>
              <w:spacing w:line="360" w:lineRule="auto"/>
              <w:ind w:firstLine="422" w:firstLineChars="200"/>
              <w:rPr>
                <w:b/>
                <w:bCs/>
                <w:sz w:val="21"/>
                <w:szCs w:val="21"/>
                <w:highlight w:val="none"/>
              </w:rPr>
            </w:pPr>
            <w:r>
              <w:rPr>
                <w:rFonts w:hint="eastAsia"/>
                <w:b/>
                <w:bCs/>
                <w:sz w:val="21"/>
                <w:szCs w:val="21"/>
                <w:highlight w:val="none"/>
              </w:rPr>
              <w:t>13.2采购预算金额（控制价）（人民币）：</w:t>
            </w:r>
            <w:bookmarkStart w:id="25" w:name="OLE_LINK1"/>
            <w:r>
              <w:rPr>
                <w:rFonts w:hint="eastAsia"/>
                <w:b/>
                <w:bCs/>
                <w:spacing w:val="-4"/>
                <w:szCs w:val="21"/>
                <w:highlight w:val="none"/>
              </w:rPr>
              <w:t>壹佰肆拾捌万伍仟贰佰贰拾叁</w:t>
            </w:r>
            <w:r>
              <w:rPr>
                <w:rFonts w:hint="eastAsia"/>
                <w:b/>
                <w:bCs/>
                <w:sz w:val="21"/>
                <w:szCs w:val="21"/>
                <w:highlight w:val="none"/>
                <w:u w:val="single"/>
              </w:rPr>
              <w:t>元（¥1485223.00元）</w:t>
            </w:r>
            <w:bookmarkEnd w:id="25"/>
            <w:r>
              <w:rPr>
                <w:rFonts w:hint="eastAsia"/>
                <w:b/>
                <w:bCs/>
                <w:sz w:val="21"/>
                <w:szCs w:val="21"/>
                <w:highlight w:val="none"/>
              </w:rPr>
              <w:t>。</w:t>
            </w:r>
          </w:p>
          <w:p w14:paraId="3CA79E17">
            <w:pPr>
              <w:spacing w:line="360" w:lineRule="auto"/>
              <w:ind w:firstLine="422" w:firstLineChars="200"/>
              <w:rPr>
                <w:rFonts w:hint="eastAsia" w:eastAsia="宋体"/>
                <w:b/>
                <w:bCs/>
                <w:color w:val="auto"/>
                <w:sz w:val="21"/>
                <w:szCs w:val="21"/>
                <w:highlight w:val="none"/>
                <w:lang w:eastAsia="zh-CN"/>
              </w:rPr>
            </w:pPr>
            <w:bookmarkStart w:id="26" w:name="OLE_LINK5"/>
            <w:bookmarkStart w:id="27" w:name="OLE_LINK52"/>
            <w:bookmarkStart w:id="28" w:name="OLE_LINK51"/>
            <w:r>
              <w:rPr>
                <w:rFonts w:hint="eastAsia"/>
                <w:b/>
                <w:bCs/>
                <w:color w:val="auto"/>
                <w:sz w:val="21"/>
                <w:szCs w:val="21"/>
                <w:highlight w:val="none"/>
              </w:rPr>
              <w:t>招标人设置最高投标限价及工程量清单全子目的上限价，投标人的投标报价总价不能高于最高投标限价总价、工程量清单子目单价不得高于招标人设置的子目上限价，否则，</w:t>
            </w:r>
            <w:r>
              <w:rPr>
                <w:b/>
                <w:bCs/>
                <w:color w:val="auto"/>
                <w:sz w:val="21"/>
                <w:szCs w:val="21"/>
                <w:highlight w:val="none"/>
              </w:rPr>
              <w:t xml:space="preserve"> 其</w:t>
            </w:r>
            <w:r>
              <w:rPr>
                <w:rFonts w:hint="eastAsia"/>
                <w:b/>
                <w:bCs/>
                <w:color w:val="auto"/>
                <w:sz w:val="21"/>
                <w:szCs w:val="21"/>
                <w:highlight w:val="none"/>
              </w:rPr>
              <w:t>响应文件</w:t>
            </w:r>
            <w:r>
              <w:rPr>
                <w:b/>
                <w:bCs/>
                <w:color w:val="auto"/>
                <w:sz w:val="21"/>
                <w:szCs w:val="21"/>
                <w:highlight w:val="none"/>
              </w:rPr>
              <w:t>将视为无效， 作否决投标处理</w:t>
            </w:r>
            <w:r>
              <w:rPr>
                <w:rStyle w:val="27"/>
                <w:rFonts w:hint="eastAsia"/>
                <w:color w:val="auto"/>
                <w:highlight w:val="none"/>
                <w:lang w:eastAsia="zh-CN"/>
              </w:rPr>
              <w:t>。</w:t>
            </w:r>
          </w:p>
          <w:bookmarkEnd w:id="26"/>
          <w:bookmarkEnd w:id="27"/>
          <w:bookmarkEnd w:id="28"/>
          <w:p w14:paraId="6446A53D">
            <w:pPr>
              <w:pStyle w:val="12"/>
              <w:spacing w:line="360" w:lineRule="auto"/>
              <w:ind w:firstLine="422" w:firstLineChars="200"/>
            </w:pPr>
            <w:r>
              <w:rPr>
                <w:rFonts w:hint="eastAsia"/>
                <w:b/>
              </w:rPr>
              <w:t>承包人必须完成本合同工程路容路貌整治、排水系统整治工作，其费用应视为已分摊在本合同工程的有关子目的单价或总额价之中。</w:t>
            </w:r>
          </w:p>
          <w:p w14:paraId="32C0681C">
            <w:pPr>
              <w:spacing w:line="360" w:lineRule="auto"/>
              <w:ind w:firstLine="420" w:firstLineChars="200"/>
              <w:rPr>
                <w:sz w:val="21"/>
                <w:szCs w:val="21"/>
              </w:rPr>
            </w:pPr>
            <w:r>
              <w:rPr>
                <w:rFonts w:hint="eastAsia"/>
                <w:sz w:val="21"/>
                <w:szCs w:val="21"/>
              </w:rPr>
              <w:t>13.3磋商报价包括各种人力成本、设备成本、资料费、服务费、税费及合同实施过程中的应预见费用等完成合同规定责任和义务，其他相关费用等完成本项目工程所需的一切费用，供应商综合考虑在报价中。</w:t>
            </w:r>
          </w:p>
          <w:p w14:paraId="10C18D3A">
            <w:pPr>
              <w:spacing w:line="360" w:lineRule="auto"/>
              <w:ind w:firstLine="420" w:firstLineChars="200"/>
              <w:rPr>
                <w:sz w:val="21"/>
                <w:szCs w:val="21"/>
              </w:rPr>
            </w:pPr>
            <w:r>
              <w:rPr>
                <w:rFonts w:hint="eastAsia"/>
                <w:sz w:val="21"/>
                <w:szCs w:val="21"/>
              </w:rPr>
              <w:t>13.4未书面退出磋商的供应商必须在规定时间内登录“广西政府采购云平台”在线提交最后报价，其最后报价不得超出采购预算；磋商过程中磋商文件未作实质性变动的，最后报价不得超过首次报价。</w:t>
            </w:r>
            <w:r>
              <w:rPr>
                <w:rFonts w:hint="eastAsia"/>
                <w:b/>
                <w:szCs w:val="21"/>
                <w:highlight w:val="none"/>
              </w:rPr>
              <w:t>注：供应商的第二次磋商报价不得高于该供应商第一次磋商报价，否则做无效竞标处理。如供应商维持磋商报价不变，以原磋商报价作为供应商最后报价；如供应商需要改变原磋商报价时，供应商应预先准备好调整后的完整已标价的工程量清单</w:t>
            </w:r>
            <w:r>
              <w:rPr>
                <w:rFonts w:hint="eastAsia"/>
                <w:b/>
                <w:sz w:val="21"/>
                <w:szCs w:val="21"/>
                <w:highlight w:val="none"/>
              </w:rPr>
              <w:t>（如有，上传到附件）</w:t>
            </w:r>
            <w:r>
              <w:rPr>
                <w:rFonts w:hint="eastAsia"/>
                <w:b/>
                <w:szCs w:val="21"/>
                <w:highlight w:val="none"/>
              </w:rPr>
              <w:t>。如供应商在磋商过程中，改变原报价且未按竞争性磋商文件要求提供调整后的</w:t>
            </w:r>
            <w:r>
              <w:rPr>
                <w:rFonts w:hint="eastAsia"/>
                <w:b/>
                <w:sz w:val="21"/>
                <w:szCs w:val="21"/>
                <w:highlight w:val="none"/>
              </w:rPr>
              <w:t>已标价的工程量清单</w:t>
            </w:r>
            <w:r>
              <w:rPr>
                <w:rFonts w:hint="eastAsia"/>
                <w:b/>
                <w:szCs w:val="21"/>
                <w:highlight w:val="none"/>
              </w:rPr>
              <w:t>，其报价不予认可，视为供应商维持原磋商报价不变。</w:t>
            </w:r>
          </w:p>
        </w:tc>
      </w:tr>
      <w:tr w14:paraId="0DC4F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3A87D869">
            <w:pPr>
              <w:spacing w:line="360" w:lineRule="auto"/>
              <w:ind w:firstLine="422"/>
              <w:jc w:val="both"/>
              <w:rPr>
                <w:sz w:val="21"/>
                <w:szCs w:val="21"/>
              </w:rPr>
            </w:pPr>
            <w:r>
              <w:rPr>
                <w:rFonts w:hint="eastAsia"/>
                <w:sz w:val="21"/>
                <w:szCs w:val="21"/>
              </w:rPr>
              <w:t>6</w:t>
            </w:r>
          </w:p>
        </w:tc>
        <w:tc>
          <w:tcPr>
            <w:tcW w:w="855" w:type="dxa"/>
            <w:vAlign w:val="center"/>
          </w:tcPr>
          <w:p w14:paraId="19D7A353">
            <w:pPr>
              <w:spacing w:line="360" w:lineRule="auto"/>
              <w:jc w:val="center"/>
              <w:rPr>
                <w:sz w:val="21"/>
                <w:szCs w:val="21"/>
              </w:rPr>
            </w:pPr>
            <w:r>
              <w:rPr>
                <w:rFonts w:hint="eastAsia"/>
                <w:sz w:val="21"/>
                <w:szCs w:val="21"/>
              </w:rPr>
              <w:t>14.1</w:t>
            </w:r>
          </w:p>
        </w:tc>
        <w:tc>
          <w:tcPr>
            <w:tcW w:w="1470" w:type="dxa"/>
            <w:vAlign w:val="center"/>
          </w:tcPr>
          <w:p w14:paraId="0B96C8D7">
            <w:pPr>
              <w:spacing w:line="360" w:lineRule="auto"/>
              <w:jc w:val="center"/>
              <w:rPr>
                <w:b/>
                <w:bCs/>
                <w:sz w:val="21"/>
                <w:szCs w:val="21"/>
              </w:rPr>
            </w:pPr>
            <w:r>
              <w:rPr>
                <w:rFonts w:hint="eastAsia"/>
                <w:b/>
                <w:bCs/>
                <w:sz w:val="21"/>
                <w:szCs w:val="21"/>
              </w:rPr>
              <w:t>响应文件</w:t>
            </w:r>
          </w:p>
          <w:p w14:paraId="0893900A">
            <w:pPr>
              <w:spacing w:line="360" w:lineRule="auto"/>
              <w:jc w:val="center"/>
              <w:rPr>
                <w:sz w:val="21"/>
                <w:szCs w:val="21"/>
              </w:rPr>
            </w:pPr>
            <w:r>
              <w:rPr>
                <w:rFonts w:hint="eastAsia"/>
                <w:b/>
                <w:bCs/>
                <w:sz w:val="21"/>
                <w:szCs w:val="21"/>
              </w:rPr>
              <w:t>有效期</w:t>
            </w:r>
          </w:p>
        </w:tc>
        <w:tc>
          <w:tcPr>
            <w:tcW w:w="6321" w:type="dxa"/>
            <w:vAlign w:val="center"/>
          </w:tcPr>
          <w:p w14:paraId="7D059ADD">
            <w:pPr>
              <w:spacing w:line="360" w:lineRule="auto"/>
              <w:ind w:firstLine="420" w:firstLineChars="200"/>
              <w:rPr>
                <w:sz w:val="21"/>
                <w:szCs w:val="21"/>
              </w:rPr>
            </w:pPr>
            <w:r>
              <w:rPr>
                <w:rFonts w:hint="eastAsia"/>
                <w:sz w:val="21"/>
                <w:szCs w:val="21"/>
              </w:rPr>
              <w:t>自响应文件提交截止时间之日起90天，有效期不足的响应文件将被拒绝。</w:t>
            </w:r>
          </w:p>
        </w:tc>
      </w:tr>
      <w:tr w14:paraId="674C2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812" w:type="dxa"/>
            <w:vAlign w:val="center"/>
          </w:tcPr>
          <w:p w14:paraId="72AD657C">
            <w:pPr>
              <w:spacing w:line="360" w:lineRule="auto"/>
              <w:ind w:firstLine="422"/>
              <w:jc w:val="both"/>
              <w:rPr>
                <w:sz w:val="21"/>
                <w:szCs w:val="21"/>
              </w:rPr>
            </w:pPr>
            <w:r>
              <w:rPr>
                <w:rFonts w:hint="eastAsia"/>
                <w:sz w:val="21"/>
                <w:szCs w:val="21"/>
              </w:rPr>
              <w:t>7</w:t>
            </w:r>
          </w:p>
        </w:tc>
        <w:tc>
          <w:tcPr>
            <w:tcW w:w="855" w:type="dxa"/>
            <w:vAlign w:val="center"/>
          </w:tcPr>
          <w:p w14:paraId="7E55B20E">
            <w:pPr>
              <w:spacing w:line="360" w:lineRule="auto"/>
              <w:jc w:val="center"/>
              <w:rPr>
                <w:sz w:val="21"/>
                <w:szCs w:val="21"/>
              </w:rPr>
            </w:pPr>
            <w:r>
              <w:rPr>
                <w:rFonts w:hint="eastAsia"/>
                <w:sz w:val="21"/>
                <w:szCs w:val="21"/>
              </w:rPr>
              <w:t>15</w:t>
            </w:r>
          </w:p>
        </w:tc>
        <w:tc>
          <w:tcPr>
            <w:tcW w:w="1470" w:type="dxa"/>
            <w:vAlign w:val="center"/>
          </w:tcPr>
          <w:p w14:paraId="54CDCC5B">
            <w:pPr>
              <w:spacing w:line="360" w:lineRule="auto"/>
              <w:ind w:firstLine="220"/>
              <w:jc w:val="center"/>
              <w:rPr>
                <w:sz w:val="21"/>
                <w:szCs w:val="21"/>
              </w:rPr>
            </w:pPr>
            <w:r>
              <w:rPr>
                <w:rFonts w:hint="eastAsia"/>
                <w:b/>
                <w:bCs/>
                <w:sz w:val="21"/>
                <w:szCs w:val="21"/>
              </w:rPr>
              <w:t>保证金</w:t>
            </w:r>
          </w:p>
        </w:tc>
        <w:tc>
          <w:tcPr>
            <w:tcW w:w="6321" w:type="dxa"/>
            <w:vAlign w:val="center"/>
          </w:tcPr>
          <w:p w14:paraId="1D6F50BB">
            <w:pPr>
              <w:spacing w:line="360" w:lineRule="auto"/>
              <w:ind w:firstLine="420" w:firstLineChars="200"/>
              <w:rPr>
                <w:sz w:val="21"/>
                <w:szCs w:val="21"/>
              </w:rPr>
            </w:pPr>
            <w:r>
              <w:rPr>
                <w:rFonts w:hint="eastAsia"/>
                <w:sz w:val="21"/>
                <w:szCs w:val="21"/>
              </w:rPr>
              <w:t>本项目无需缴纳磋商保证金</w:t>
            </w:r>
          </w:p>
        </w:tc>
      </w:tr>
      <w:tr w14:paraId="541FA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12" w:type="dxa"/>
            <w:vAlign w:val="center"/>
          </w:tcPr>
          <w:p w14:paraId="2D84B859">
            <w:pPr>
              <w:spacing w:line="360" w:lineRule="auto"/>
              <w:ind w:firstLine="422"/>
              <w:jc w:val="both"/>
              <w:rPr>
                <w:sz w:val="21"/>
                <w:szCs w:val="21"/>
              </w:rPr>
            </w:pPr>
            <w:r>
              <w:rPr>
                <w:rFonts w:hint="eastAsia"/>
                <w:sz w:val="21"/>
                <w:szCs w:val="21"/>
              </w:rPr>
              <w:t>8</w:t>
            </w:r>
          </w:p>
        </w:tc>
        <w:tc>
          <w:tcPr>
            <w:tcW w:w="855" w:type="dxa"/>
            <w:vAlign w:val="center"/>
          </w:tcPr>
          <w:p w14:paraId="3FDE684F">
            <w:pPr>
              <w:spacing w:line="360" w:lineRule="auto"/>
              <w:jc w:val="center"/>
              <w:rPr>
                <w:sz w:val="21"/>
                <w:szCs w:val="21"/>
              </w:rPr>
            </w:pPr>
            <w:r>
              <w:rPr>
                <w:sz w:val="21"/>
                <w:szCs w:val="21"/>
              </w:rPr>
              <w:t>1</w:t>
            </w:r>
            <w:r>
              <w:rPr>
                <w:rFonts w:hint="eastAsia"/>
                <w:sz w:val="21"/>
                <w:szCs w:val="21"/>
              </w:rPr>
              <w:t>6</w:t>
            </w:r>
          </w:p>
        </w:tc>
        <w:tc>
          <w:tcPr>
            <w:tcW w:w="1470" w:type="dxa"/>
            <w:vAlign w:val="center"/>
          </w:tcPr>
          <w:p w14:paraId="17F5ABA5">
            <w:pPr>
              <w:pStyle w:val="30"/>
              <w:spacing w:line="321" w:lineRule="auto"/>
              <w:ind w:right="99"/>
              <w:jc w:val="center"/>
              <w:rPr>
                <w:b/>
                <w:sz w:val="21"/>
              </w:rPr>
            </w:pPr>
            <w:r>
              <w:rPr>
                <w:b/>
                <w:sz w:val="21"/>
              </w:rPr>
              <w:t>电子响应文件的制作</w:t>
            </w:r>
            <w:r>
              <w:rPr>
                <w:rFonts w:hint="eastAsia"/>
                <w:b/>
                <w:sz w:val="21"/>
              </w:rPr>
              <w:t>、</w:t>
            </w:r>
            <w:r>
              <w:rPr>
                <w:b/>
                <w:sz w:val="21"/>
              </w:rPr>
              <w:t>加密</w:t>
            </w:r>
          </w:p>
        </w:tc>
        <w:tc>
          <w:tcPr>
            <w:tcW w:w="6321" w:type="dxa"/>
            <w:vAlign w:val="center"/>
          </w:tcPr>
          <w:p w14:paraId="53AAD2D1">
            <w:pPr>
              <w:pStyle w:val="30"/>
              <w:numPr>
                <w:ilvl w:val="1"/>
                <w:numId w:val="0"/>
              </w:numPr>
              <w:tabs>
                <w:tab w:val="left" w:pos="579"/>
              </w:tabs>
              <w:spacing w:before="94" w:line="338" w:lineRule="auto"/>
              <w:ind w:left="107" w:right="25" w:firstLine="414" w:firstLineChars="200"/>
              <w:jc w:val="both"/>
              <w:rPr>
                <w:sz w:val="21"/>
              </w:rPr>
            </w:pPr>
            <w:r>
              <w:rPr>
                <w:rFonts w:hint="eastAsia"/>
                <w:w w:val="99"/>
                <w:sz w:val="21"/>
                <w:szCs w:val="21"/>
              </w:rPr>
              <w:t>16.1</w:t>
            </w:r>
            <w:r>
              <w:rPr>
                <w:sz w:val="21"/>
              </w:rPr>
              <w:t>供应商制作电子响应文件前，必须登陆“广西政府采购云平台”进行竞争性磋商文件的获取操作。</w:t>
            </w:r>
          </w:p>
          <w:p w14:paraId="13096B33">
            <w:pPr>
              <w:pStyle w:val="30"/>
              <w:numPr>
                <w:ilvl w:val="1"/>
                <w:numId w:val="0"/>
              </w:numPr>
              <w:tabs>
                <w:tab w:val="left" w:pos="579"/>
              </w:tabs>
              <w:spacing w:before="2" w:line="338" w:lineRule="auto"/>
              <w:ind w:left="107" w:right="97" w:firstLine="414" w:firstLineChars="200"/>
              <w:jc w:val="both"/>
              <w:rPr>
                <w:sz w:val="21"/>
              </w:rPr>
            </w:pPr>
            <w:r>
              <w:rPr>
                <w:w w:val="99"/>
                <w:sz w:val="21"/>
                <w:szCs w:val="21"/>
              </w:rPr>
              <w:t>1</w:t>
            </w:r>
            <w:r>
              <w:rPr>
                <w:rFonts w:hint="eastAsia"/>
                <w:w w:val="99"/>
                <w:sz w:val="21"/>
                <w:szCs w:val="21"/>
              </w:rPr>
              <w:t>6</w:t>
            </w:r>
            <w:r>
              <w:rPr>
                <w:w w:val="99"/>
                <w:sz w:val="21"/>
                <w:szCs w:val="21"/>
              </w:rPr>
              <w:t>.2</w:t>
            </w:r>
            <w:r>
              <w:rPr>
                <w:sz w:val="21"/>
              </w:rPr>
              <w:t>供应商下载或获取竞争性磋商文件后，登录“广西政府采购云平台电子投标客户端”，按照本磋商文件规定的响应文件格式、顺序以及“广西政府采购云”平台的要求，通过“广西政府采购云平台电子投标客户端”编制电子响应文件。</w:t>
            </w:r>
          </w:p>
          <w:p w14:paraId="7ADC8B05">
            <w:pPr>
              <w:pStyle w:val="30"/>
              <w:numPr>
                <w:ilvl w:val="1"/>
                <w:numId w:val="0"/>
              </w:numPr>
              <w:tabs>
                <w:tab w:val="left" w:pos="579"/>
              </w:tabs>
              <w:spacing w:before="2" w:line="338" w:lineRule="auto"/>
              <w:ind w:left="107" w:right="97" w:firstLine="414" w:firstLineChars="200"/>
              <w:jc w:val="both"/>
              <w:rPr>
                <w:sz w:val="21"/>
              </w:rPr>
            </w:pPr>
            <w:r>
              <w:rPr>
                <w:w w:val="99"/>
                <w:sz w:val="21"/>
                <w:szCs w:val="21"/>
              </w:rPr>
              <w:t>1</w:t>
            </w:r>
            <w:r>
              <w:rPr>
                <w:rFonts w:hint="eastAsia"/>
                <w:w w:val="99"/>
                <w:sz w:val="21"/>
                <w:szCs w:val="21"/>
              </w:rPr>
              <w:t>6</w:t>
            </w:r>
            <w:r>
              <w:rPr>
                <w:w w:val="99"/>
                <w:sz w:val="21"/>
                <w:szCs w:val="21"/>
              </w:rPr>
              <w:t>.3</w:t>
            </w:r>
            <w:r>
              <w:rPr>
                <w:sz w:val="21"/>
              </w:rPr>
              <w:t>若响应文件中有专门标注的某关联点，并要求供应商在电子投标系统中作出响应的，供应商应进行响应并关联定位，以便评审小组在评审时点击评分项可直接定位到该评分项内容；如对竞争性磋商文件的某项要求，供应商的电子响应文件未能关联定位提供相应的内容与其对应，或者在响应文件其它内容中进行描述，导致磋商小组无法查询，做出对供应商不利的评审，相关后果由供应商自行承担。</w:t>
            </w:r>
          </w:p>
          <w:p w14:paraId="0DB209B5">
            <w:pPr>
              <w:pStyle w:val="30"/>
              <w:numPr>
                <w:ilvl w:val="1"/>
                <w:numId w:val="0"/>
              </w:numPr>
              <w:tabs>
                <w:tab w:val="left" w:pos="579"/>
              </w:tabs>
              <w:spacing w:before="4" w:line="338" w:lineRule="auto"/>
              <w:ind w:left="107" w:right="97" w:firstLine="414" w:firstLineChars="200"/>
              <w:jc w:val="both"/>
              <w:rPr>
                <w:sz w:val="21"/>
              </w:rPr>
            </w:pPr>
            <w:r>
              <w:rPr>
                <w:w w:val="99"/>
                <w:sz w:val="21"/>
                <w:szCs w:val="21"/>
              </w:rPr>
              <w:t>1</w:t>
            </w:r>
            <w:r>
              <w:rPr>
                <w:rFonts w:hint="eastAsia"/>
                <w:w w:val="99"/>
                <w:sz w:val="21"/>
                <w:szCs w:val="21"/>
              </w:rPr>
              <w:t>6</w:t>
            </w:r>
            <w:r>
              <w:rPr>
                <w:w w:val="99"/>
                <w:sz w:val="21"/>
                <w:szCs w:val="21"/>
              </w:rPr>
              <w:t>.4</w:t>
            </w:r>
            <w:r>
              <w:rPr>
                <w:sz w:val="21"/>
              </w:rPr>
              <w:t>电子响应文件不得涂改，若有修改错漏处，须由法定代表人（负责人、自然人）或授权委托代理人通过“广西政府采购云平台电子投标客户端”采用个人CA证书签章，没有办理个人CA证书签章的，在响应文件中响应位置手写签字后扫描或者拍照做成PDF的格式上传。因响应文件字迹潦草、表达不清、内容不完整、编排混乱导致响应文件被误读、漏读，或者在按竞争性磋商文件规定的部位查找不到相关内容的，其不利后果由供应商自行承担。</w:t>
            </w:r>
          </w:p>
          <w:p w14:paraId="2C2D16DA">
            <w:pPr>
              <w:pStyle w:val="30"/>
              <w:numPr>
                <w:ilvl w:val="1"/>
                <w:numId w:val="0"/>
              </w:numPr>
              <w:tabs>
                <w:tab w:val="left" w:pos="579"/>
              </w:tabs>
              <w:spacing w:before="4" w:line="338" w:lineRule="auto"/>
              <w:ind w:left="107" w:right="97" w:firstLine="414" w:firstLineChars="200"/>
              <w:jc w:val="both"/>
              <w:rPr>
                <w:sz w:val="21"/>
              </w:rPr>
            </w:pPr>
            <w:r>
              <w:rPr>
                <w:w w:val="99"/>
                <w:sz w:val="21"/>
                <w:szCs w:val="21"/>
              </w:rPr>
              <w:t>1</w:t>
            </w:r>
            <w:r>
              <w:rPr>
                <w:rFonts w:hint="eastAsia"/>
                <w:w w:val="99"/>
                <w:sz w:val="21"/>
                <w:szCs w:val="21"/>
              </w:rPr>
              <w:t>6</w:t>
            </w:r>
            <w:r>
              <w:rPr>
                <w:w w:val="99"/>
                <w:sz w:val="21"/>
                <w:szCs w:val="21"/>
              </w:rPr>
              <w:t>.5</w:t>
            </w:r>
            <w:r>
              <w:rPr>
                <w:sz w:val="21"/>
              </w:rPr>
              <w:t>供应商编制、生成电子响应文件后应当加密响应文件。供应商未按规定编制并加密的响应文件，“广西政府采购云平台”平台将予以拒收。</w:t>
            </w:r>
          </w:p>
        </w:tc>
      </w:tr>
      <w:tr w14:paraId="21C96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0CF32AF9">
            <w:pPr>
              <w:spacing w:line="360" w:lineRule="auto"/>
              <w:ind w:firstLine="422"/>
              <w:jc w:val="both"/>
              <w:rPr>
                <w:sz w:val="21"/>
                <w:szCs w:val="21"/>
              </w:rPr>
            </w:pPr>
            <w:r>
              <w:rPr>
                <w:rFonts w:hint="eastAsia"/>
                <w:sz w:val="21"/>
                <w:szCs w:val="21"/>
              </w:rPr>
              <w:t>9</w:t>
            </w:r>
          </w:p>
        </w:tc>
        <w:tc>
          <w:tcPr>
            <w:tcW w:w="855" w:type="dxa"/>
            <w:vAlign w:val="center"/>
          </w:tcPr>
          <w:p w14:paraId="5463D783">
            <w:pPr>
              <w:spacing w:line="360" w:lineRule="auto"/>
              <w:jc w:val="center"/>
              <w:rPr>
                <w:sz w:val="21"/>
                <w:szCs w:val="21"/>
              </w:rPr>
            </w:pPr>
            <w:r>
              <w:rPr>
                <w:rFonts w:hint="eastAsia"/>
                <w:sz w:val="21"/>
                <w:szCs w:val="21"/>
              </w:rPr>
              <w:t>16.6</w:t>
            </w:r>
          </w:p>
        </w:tc>
        <w:tc>
          <w:tcPr>
            <w:tcW w:w="1470" w:type="dxa"/>
            <w:vAlign w:val="center"/>
          </w:tcPr>
          <w:p w14:paraId="477FBBC7">
            <w:pPr>
              <w:spacing w:line="360" w:lineRule="auto"/>
              <w:ind w:firstLine="220"/>
              <w:jc w:val="center"/>
              <w:rPr>
                <w:sz w:val="21"/>
                <w:szCs w:val="21"/>
              </w:rPr>
            </w:pPr>
            <w:r>
              <w:rPr>
                <w:rFonts w:hint="eastAsia"/>
                <w:b/>
                <w:bCs/>
                <w:sz w:val="21"/>
                <w:szCs w:val="21"/>
              </w:rPr>
              <w:t>供应商公章及签字</w:t>
            </w:r>
          </w:p>
        </w:tc>
        <w:tc>
          <w:tcPr>
            <w:tcW w:w="6321" w:type="dxa"/>
            <w:vAlign w:val="center"/>
          </w:tcPr>
          <w:p w14:paraId="65F37BBD">
            <w:pPr>
              <w:spacing w:line="360" w:lineRule="auto"/>
              <w:ind w:firstLine="420" w:firstLineChars="200"/>
              <w:rPr>
                <w:sz w:val="21"/>
                <w:szCs w:val="21"/>
              </w:rPr>
            </w:pPr>
            <w:r>
              <w:rPr>
                <w:rFonts w:hint="eastAsia"/>
                <w:sz w:val="21"/>
                <w:szCs w:val="21"/>
              </w:rPr>
              <w:t>16.6.1本竞争性磋商文件中描述供应商的“公章”是指供应商通过指定电子化政府采购平台办理数字证书（CA认证证书）获得的以法定主体行为名称制作的电子印章。</w:t>
            </w:r>
          </w:p>
          <w:p w14:paraId="3422CBA6">
            <w:pPr>
              <w:spacing w:line="360" w:lineRule="auto"/>
              <w:ind w:firstLine="420" w:firstLineChars="200"/>
              <w:rPr>
                <w:sz w:val="21"/>
                <w:szCs w:val="21"/>
              </w:rPr>
            </w:pPr>
            <w:r>
              <w:rPr>
                <w:rFonts w:hint="eastAsia"/>
                <w:sz w:val="21"/>
                <w:szCs w:val="21"/>
              </w:rPr>
              <w:t>16.6.2本竞争性磋商文件中要求供应商对其电子响应文件的相关内容加盖公章的，均指采用CA证书签章。</w:t>
            </w:r>
          </w:p>
          <w:p w14:paraId="1488CBD4">
            <w:pPr>
              <w:spacing w:line="360" w:lineRule="auto"/>
              <w:ind w:firstLine="420" w:firstLineChars="200"/>
              <w:rPr>
                <w:sz w:val="21"/>
                <w:szCs w:val="21"/>
              </w:rPr>
            </w:pPr>
            <w:r>
              <w:rPr>
                <w:rFonts w:hint="eastAsia"/>
                <w:sz w:val="21"/>
                <w:szCs w:val="21"/>
              </w:rPr>
              <w:t>16.6.3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tc>
      </w:tr>
      <w:tr w14:paraId="5E936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3CB54B73">
            <w:pPr>
              <w:spacing w:line="360" w:lineRule="auto"/>
              <w:ind w:firstLine="422"/>
              <w:jc w:val="both"/>
              <w:rPr>
                <w:sz w:val="21"/>
                <w:szCs w:val="21"/>
              </w:rPr>
            </w:pPr>
            <w:r>
              <w:rPr>
                <w:rFonts w:hint="eastAsia"/>
                <w:sz w:val="21"/>
                <w:szCs w:val="21"/>
              </w:rPr>
              <w:t>10</w:t>
            </w:r>
          </w:p>
        </w:tc>
        <w:tc>
          <w:tcPr>
            <w:tcW w:w="855" w:type="dxa"/>
            <w:vAlign w:val="center"/>
          </w:tcPr>
          <w:p w14:paraId="46764ACA">
            <w:pPr>
              <w:spacing w:line="360" w:lineRule="auto"/>
              <w:jc w:val="center"/>
              <w:rPr>
                <w:sz w:val="21"/>
                <w:szCs w:val="21"/>
              </w:rPr>
            </w:pPr>
            <w:r>
              <w:rPr>
                <w:rFonts w:hint="eastAsia"/>
                <w:sz w:val="21"/>
                <w:szCs w:val="21"/>
              </w:rPr>
              <w:t>17</w:t>
            </w:r>
          </w:p>
        </w:tc>
        <w:tc>
          <w:tcPr>
            <w:tcW w:w="1470" w:type="dxa"/>
            <w:vAlign w:val="center"/>
          </w:tcPr>
          <w:p w14:paraId="48EA0B8C">
            <w:pPr>
              <w:spacing w:line="360" w:lineRule="auto"/>
              <w:ind w:firstLine="220"/>
              <w:jc w:val="center"/>
              <w:rPr>
                <w:sz w:val="21"/>
                <w:szCs w:val="21"/>
              </w:rPr>
            </w:pPr>
            <w:r>
              <w:rPr>
                <w:rFonts w:hint="eastAsia"/>
                <w:sz w:val="21"/>
                <w:szCs w:val="21"/>
              </w:rPr>
              <w:t>首次响应文件的提交、撤回、修改</w:t>
            </w:r>
          </w:p>
        </w:tc>
        <w:tc>
          <w:tcPr>
            <w:tcW w:w="6321" w:type="dxa"/>
            <w:vAlign w:val="center"/>
          </w:tcPr>
          <w:p w14:paraId="40390195">
            <w:pPr>
              <w:spacing w:line="360" w:lineRule="auto"/>
              <w:ind w:firstLine="420" w:firstLineChars="200"/>
              <w:rPr>
                <w:sz w:val="21"/>
                <w:szCs w:val="21"/>
                <w:highlight w:val="none"/>
              </w:rPr>
            </w:pPr>
            <w:r>
              <w:rPr>
                <w:rFonts w:hint="eastAsia"/>
                <w:sz w:val="21"/>
                <w:szCs w:val="21"/>
                <w:highlight w:val="none"/>
              </w:rPr>
              <w:t>17.1响应文件的提交截止时间：2025年</w:t>
            </w:r>
            <w:r>
              <w:rPr>
                <w:rFonts w:hint="eastAsia"/>
                <w:sz w:val="21"/>
                <w:szCs w:val="21"/>
                <w:highlight w:val="none"/>
                <w:lang w:val="en-US" w:eastAsia="zh-CN"/>
              </w:rPr>
              <w:t>5</w:t>
            </w:r>
            <w:r>
              <w:rPr>
                <w:rFonts w:hint="eastAsia"/>
                <w:sz w:val="21"/>
                <w:szCs w:val="21"/>
                <w:highlight w:val="none"/>
              </w:rPr>
              <w:t>月</w:t>
            </w:r>
            <w:r>
              <w:rPr>
                <w:rFonts w:hint="eastAsia"/>
                <w:sz w:val="21"/>
                <w:szCs w:val="21"/>
                <w:highlight w:val="none"/>
                <w:lang w:val="en-US" w:eastAsia="zh-CN"/>
              </w:rPr>
              <w:t>7</w:t>
            </w:r>
            <w:r>
              <w:rPr>
                <w:rFonts w:hint="eastAsia"/>
                <w:sz w:val="21"/>
                <w:szCs w:val="21"/>
                <w:highlight w:val="none"/>
              </w:rPr>
              <w:t>日上午9时30分（北京时间）</w:t>
            </w:r>
          </w:p>
          <w:p w14:paraId="72A2B3FE">
            <w:pPr>
              <w:spacing w:line="360" w:lineRule="auto"/>
              <w:ind w:firstLine="420" w:firstLineChars="200"/>
              <w:rPr>
                <w:sz w:val="21"/>
                <w:szCs w:val="21"/>
              </w:rPr>
            </w:pPr>
            <w:r>
              <w:rPr>
                <w:rFonts w:hint="eastAsia"/>
                <w:sz w:val="21"/>
                <w:szCs w:val="21"/>
              </w:rPr>
              <w:t>17.2地点：通过“广西政府采购云平台”在线提交。</w:t>
            </w:r>
          </w:p>
          <w:p w14:paraId="12A206AF">
            <w:pPr>
              <w:spacing w:line="360" w:lineRule="auto"/>
              <w:ind w:firstLine="420" w:firstLineChars="200"/>
              <w:rPr>
                <w:sz w:val="21"/>
                <w:szCs w:val="21"/>
              </w:rPr>
            </w:pPr>
            <w:r>
              <w:rPr>
                <w:rFonts w:hint="eastAsia"/>
                <w:sz w:val="21"/>
                <w:szCs w:val="21"/>
              </w:rPr>
              <w:t>17.3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广西政府采购云平台”的，视为未提交响应文件。</w:t>
            </w:r>
          </w:p>
          <w:p w14:paraId="72ADB618">
            <w:pPr>
              <w:spacing w:line="360" w:lineRule="auto"/>
              <w:ind w:firstLine="420" w:firstLineChars="200"/>
              <w:rPr>
                <w:sz w:val="21"/>
                <w:szCs w:val="21"/>
              </w:rPr>
            </w:pPr>
            <w:r>
              <w:rPr>
                <w:rFonts w:hint="eastAsia"/>
                <w:sz w:val="21"/>
                <w:szCs w:val="21"/>
              </w:rPr>
              <w:t>17.4除竞争性磋商文件另有规定外，供应商所提交的响应文件不予退还。</w:t>
            </w:r>
          </w:p>
        </w:tc>
      </w:tr>
      <w:tr w14:paraId="7B66E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545CB47B">
            <w:pPr>
              <w:spacing w:line="360" w:lineRule="auto"/>
              <w:ind w:firstLine="422"/>
              <w:jc w:val="both"/>
              <w:rPr>
                <w:sz w:val="21"/>
                <w:szCs w:val="21"/>
              </w:rPr>
            </w:pPr>
            <w:r>
              <w:rPr>
                <w:rFonts w:hint="eastAsia"/>
                <w:sz w:val="21"/>
                <w:szCs w:val="21"/>
              </w:rPr>
              <w:t>11</w:t>
            </w:r>
          </w:p>
        </w:tc>
        <w:tc>
          <w:tcPr>
            <w:tcW w:w="855" w:type="dxa"/>
            <w:vAlign w:val="center"/>
          </w:tcPr>
          <w:p w14:paraId="4A60E3AF">
            <w:pPr>
              <w:spacing w:line="360" w:lineRule="auto"/>
              <w:jc w:val="center"/>
              <w:rPr>
                <w:sz w:val="21"/>
                <w:szCs w:val="21"/>
              </w:rPr>
            </w:pPr>
            <w:r>
              <w:rPr>
                <w:rFonts w:hint="eastAsia"/>
                <w:sz w:val="21"/>
                <w:szCs w:val="21"/>
              </w:rPr>
              <w:t>18</w:t>
            </w:r>
          </w:p>
        </w:tc>
        <w:tc>
          <w:tcPr>
            <w:tcW w:w="1470" w:type="dxa"/>
            <w:vAlign w:val="center"/>
          </w:tcPr>
          <w:p w14:paraId="0852AF11">
            <w:pPr>
              <w:spacing w:line="360" w:lineRule="auto"/>
              <w:ind w:firstLine="220"/>
              <w:jc w:val="center"/>
              <w:rPr>
                <w:sz w:val="21"/>
                <w:szCs w:val="21"/>
              </w:rPr>
            </w:pPr>
            <w:r>
              <w:rPr>
                <w:rFonts w:hint="eastAsia"/>
                <w:sz w:val="21"/>
                <w:szCs w:val="21"/>
              </w:rPr>
              <w:t>响应文件</w:t>
            </w:r>
          </w:p>
          <w:p w14:paraId="7CB2AF59">
            <w:pPr>
              <w:spacing w:line="360" w:lineRule="auto"/>
              <w:ind w:firstLine="220"/>
              <w:jc w:val="center"/>
              <w:rPr>
                <w:sz w:val="21"/>
                <w:szCs w:val="21"/>
              </w:rPr>
            </w:pPr>
            <w:r>
              <w:rPr>
                <w:rFonts w:hint="eastAsia"/>
                <w:sz w:val="21"/>
                <w:szCs w:val="21"/>
              </w:rPr>
              <w:t>的解密</w:t>
            </w:r>
          </w:p>
          <w:p w14:paraId="5A8D1411">
            <w:pPr>
              <w:spacing w:line="360" w:lineRule="auto"/>
              <w:ind w:firstLine="422"/>
              <w:jc w:val="center"/>
              <w:rPr>
                <w:sz w:val="21"/>
                <w:szCs w:val="21"/>
              </w:rPr>
            </w:pPr>
          </w:p>
        </w:tc>
        <w:tc>
          <w:tcPr>
            <w:tcW w:w="6321" w:type="dxa"/>
            <w:vAlign w:val="center"/>
          </w:tcPr>
          <w:p w14:paraId="4D89851B">
            <w:pPr>
              <w:spacing w:line="360" w:lineRule="auto"/>
              <w:ind w:firstLine="420" w:firstLineChars="200"/>
              <w:rPr>
                <w:sz w:val="21"/>
                <w:szCs w:val="21"/>
              </w:rPr>
            </w:pPr>
            <w:r>
              <w:rPr>
                <w:rFonts w:hint="eastAsia"/>
                <w:sz w:val="21"/>
                <w:szCs w:val="21"/>
                <w:highlight w:val="none"/>
              </w:rPr>
              <w:t>响应文件提交截止时间后30分钟内（2025年</w:t>
            </w:r>
            <w:r>
              <w:rPr>
                <w:rFonts w:hint="eastAsia"/>
                <w:color w:val="auto"/>
                <w:sz w:val="21"/>
                <w:szCs w:val="21"/>
                <w:highlight w:val="none"/>
                <w:lang w:val="en-US" w:eastAsia="zh-CN"/>
              </w:rPr>
              <w:t>5</w:t>
            </w:r>
            <w:r>
              <w:rPr>
                <w:rFonts w:hint="eastAsia"/>
                <w:color w:val="auto"/>
                <w:sz w:val="21"/>
                <w:szCs w:val="21"/>
                <w:highlight w:val="none"/>
              </w:rPr>
              <w:t>月</w:t>
            </w:r>
            <w:r>
              <w:rPr>
                <w:rFonts w:hint="eastAsia"/>
                <w:color w:val="auto"/>
                <w:sz w:val="21"/>
                <w:szCs w:val="21"/>
                <w:highlight w:val="none"/>
                <w:lang w:val="en-US" w:eastAsia="zh-CN"/>
              </w:rPr>
              <w:t>7</w:t>
            </w:r>
            <w:r>
              <w:rPr>
                <w:rFonts w:hint="eastAsia"/>
                <w:color w:val="auto"/>
                <w:sz w:val="21"/>
                <w:szCs w:val="21"/>
                <w:highlight w:val="none"/>
              </w:rPr>
              <w:t>日上午9时30至10时00分)，供应商登录“广西政府采购云平台”，通过</w:t>
            </w:r>
            <w:r>
              <w:rPr>
                <w:rFonts w:hint="eastAsia"/>
                <w:sz w:val="21"/>
                <w:szCs w:val="21"/>
                <w:highlight w:val="none"/>
              </w:rPr>
              <w:t>“项目采购-开标评标”功能解密电子响应文件。若供应商在上述规定时间内无法解密或解密失败，可以提交电子备份响应文件作为评审依据，在接到无法解密或解密失败的系统通知后，供应商可根据自身实际情况按系统通知要求的时间到达</w:t>
            </w:r>
            <w:r>
              <w:rPr>
                <w:rFonts w:hint="eastAsia"/>
                <w:b/>
                <w:bCs/>
                <w:sz w:val="21"/>
                <w:szCs w:val="21"/>
                <w:highlight w:val="none"/>
              </w:rPr>
              <w:t>桂林市公共资源交易中心</w:t>
            </w:r>
            <w:r>
              <w:rPr>
                <w:rFonts w:hint="eastAsia"/>
                <w:b/>
                <w:bCs/>
                <w:sz w:val="21"/>
                <w:szCs w:val="21"/>
                <w:highlight w:val="none"/>
                <w:lang w:val="en-US" w:eastAsia="zh-CN"/>
              </w:rPr>
              <w:t>5</w:t>
            </w:r>
            <w:r>
              <w:rPr>
                <w:rFonts w:hint="eastAsia"/>
                <w:b/>
                <w:bCs/>
                <w:sz w:val="21"/>
                <w:szCs w:val="21"/>
                <w:highlight w:val="none"/>
              </w:rPr>
              <w:t>号政采开标仓</w:t>
            </w:r>
            <w:r>
              <w:rPr>
                <w:rFonts w:hint="eastAsia"/>
                <w:sz w:val="21"/>
                <w:szCs w:val="21"/>
                <w:highlight w:val="none"/>
              </w:rPr>
              <w:t>现场提交电子备份响应文件或以电子邮件（以系统通知时所告知</w:t>
            </w:r>
            <w:r>
              <w:rPr>
                <w:rFonts w:hint="eastAsia"/>
                <w:sz w:val="21"/>
                <w:szCs w:val="21"/>
              </w:rPr>
              <w:t>的电子邮箱地址为准）的形式提交电子备份响应文件。若磋商供应商在规定时间内无法解密或解密失败且未提供电子备份响应文件的(包含提供的电子备份文件无效或无法解密的情况)，响应文件按无效处理。</w:t>
            </w:r>
          </w:p>
        </w:tc>
      </w:tr>
      <w:tr w14:paraId="6A479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7DB2DA95">
            <w:pPr>
              <w:spacing w:line="360" w:lineRule="auto"/>
              <w:ind w:firstLine="422"/>
              <w:jc w:val="both"/>
              <w:rPr>
                <w:sz w:val="21"/>
                <w:szCs w:val="21"/>
              </w:rPr>
            </w:pPr>
            <w:r>
              <w:rPr>
                <w:rFonts w:hint="eastAsia"/>
                <w:sz w:val="21"/>
                <w:szCs w:val="21"/>
              </w:rPr>
              <w:t>12</w:t>
            </w:r>
          </w:p>
        </w:tc>
        <w:tc>
          <w:tcPr>
            <w:tcW w:w="855" w:type="dxa"/>
            <w:vAlign w:val="center"/>
          </w:tcPr>
          <w:p w14:paraId="773BDD58">
            <w:pPr>
              <w:spacing w:line="360" w:lineRule="auto"/>
              <w:jc w:val="center"/>
              <w:rPr>
                <w:sz w:val="21"/>
                <w:szCs w:val="21"/>
              </w:rPr>
            </w:pPr>
            <w:r>
              <w:rPr>
                <w:sz w:val="21"/>
                <w:szCs w:val="21"/>
              </w:rPr>
              <w:t>1</w:t>
            </w:r>
            <w:r>
              <w:rPr>
                <w:rFonts w:hint="eastAsia"/>
                <w:sz w:val="21"/>
                <w:szCs w:val="21"/>
              </w:rPr>
              <w:t>9</w:t>
            </w:r>
            <w:r>
              <w:rPr>
                <w:sz w:val="21"/>
                <w:szCs w:val="21"/>
              </w:rPr>
              <w:t>.1</w:t>
            </w:r>
          </w:p>
        </w:tc>
        <w:tc>
          <w:tcPr>
            <w:tcW w:w="1470" w:type="dxa"/>
            <w:vAlign w:val="center"/>
          </w:tcPr>
          <w:p w14:paraId="3FE17FF0">
            <w:pPr>
              <w:spacing w:line="360" w:lineRule="auto"/>
              <w:ind w:firstLine="220"/>
              <w:jc w:val="center"/>
              <w:rPr>
                <w:b/>
                <w:bCs/>
                <w:sz w:val="21"/>
                <w:szCs w:val="21"/>
              </w:rPr>
            </w:pPr>
            <w:r>
              <w:rPr>
                <w:b/>
                <w:bCs/>
                <w:sz w:val="21"/>
                <w:szCs w:val="21"/>
              </w:rPr>
              <w:t>磋商小组</w:t>
            </w:r>
          </w:p>
          <w:p w14:paraId="0F938322">
            <w:pPr>
              <w:spacing w:line="360" w:lineRule="auto"/>
              <w:ind w:firstLine="422"/>
              <w:jc w:val="center"/>
              <w:rPr>
                <w:sz w:val="21"/>
                <w:szCs w:val="21"/>
              </w:rPr>
            </w:pPr>
            <w:r>
              <w:rPr>
                <w:b/>
                <w:bCs/>
                <w:sz w:val="21"/>
                <w:szCs w:val="21"/>
              </w:rPr>
              <w:t>组成</w:t>
            </w:r>
          </w:p>
        </w:tc>
        <w:tc>
          <w:tcPr>
            <w:tcW w:w="6321" w:type="dxa"/>
            <w:vAlign w:val="center"/>
          </w:tcPr>
          <w:p w14:paraId="29F73D9B">
            <w:pPr>
              <w:spacing w:line="360" w:lineRule="auto"/>
              <w:ind w:firstLine="440" w:firstLineChars="200"/>
              <w:rPr>
                <w:sz w:val="21"/>
                <w:szCs w:val="21"/>
              </w:rPr>
            </w:pPr>
            <w:r>
              <w:rPr>
                <w:rFonts w:hint="eastAsia"/>
                <w:szCs w:val="21"/>
              </w:rPr>
              <w:t>磋商及评审工作由采购代理机构负责组织，具体磋商、评审工作由依法组建的磋商小组负责，磋商小组由政府采购评审专家库抽取的相关专业的专家组成。磋商小组的构成：3 人。</w:t>
            </w:r>
          </w:p>
        </w:tc>
      </w:tr>
      <w:tr w14:paraId="09386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0B09B699">
            <w:pPr>
              <w:spacing w:line="360" w:lineRule="auto"/>
              <w:ind w:firstLine="422"/>
              <w:jc w:val="both"/>
              <w:rPr>
                <w:sz w:val="21"/>
                <w:szCs w:val="21"/>
              </w:rPr>
            </w:pPr>
            <w:r>
              <w:rPr>
                <w:rFonts w:hint="eastAsia"/>
                <w:sz w:val="21"/>
                <w:szCs w:val="21"/>
              </w:rPr>
              <w:t>13</w:t>
            </w:r>
          </w:p>
        </w:tc>
        <w:tc>
          <w:tcPr>
            <w:tcW w:w="855" w:type="dxa"/>
            <w:vAlign w:val="center"/>
          </w:tcPr>
          <w:p w14:paraId="7B3C910F">
            <w:pPr>
              <w:spacing w:line="360" w:lineRule="auto"/>
              <w:jc w:val="center"/>
              <w:rPr>
                <w:sz w:val="21"/>
                <w:szCs w:val="21"/>
              </w:rPr>
            </w:pPr>
            <w:r>
              <w:rPr>
                <w:rFonts w:hint="eastAsia"/>
                <w:sz w:val="21"/>
                <w:szCs w:val="21"/>
              </w:rPr>
              <w:t>19.2</w:t>
            </w:r>
          </w:p>
        </w:tc>
        <w:tc>
          <w:tcPr>
            <w:tcW w:w="1470" w:type="dxa"/>
            <w:vAlign w:val="center"/>
          </w:tcPr>
          <w:p w14:paraId="5B29795F">
            <w:pPr>
              <w:spacing w:line="360" w:lineRule="auto"/>
              <w:jc w:val="center"/>
              <w:rPr>
                <w:sz w:val="21"/>
                <w:szCs w:val="21"/>
              </w:rPr>
            </w:pPr>
            <w:r>
              <w:rPr>
                <w:rFonts w:hint="eastAsia"/>
                <w:sz w:val="21"/>
                <w:szCs w:val="21"/>
              </w:rPr>
              <w:t>磋商时间、地点、人员</w:t>
            </w:r>
          </w:p>
        </w:tc>
        <w:tc>
          <w:tcPr>
            <w:tcW w:w="6321" w:type="dxa"/>
            <w:vAlign w:val="center"/>
          </w:tcPr>
          <w:p w14:paraId="6E72CC88">
            <w:pPr>
              <w:spacing w:line="360" w:lineRule="auto"/>
              <w:ind w:firstLine="420" w:firstLineChars="200"/>
              <w:rPr>
                <w:sz w:val="21"/>
                <w:szCs w:val="21"/>
              </w:rPr>
            </w:pPr>
            <w:r>
              <w:rPr>
                <w:rFonts w:hint="eastAsia"/>
                <w:sz w:val="21"/>
                <w:szCs w:val="21"/>
              </w:rPr>
              <w:t>磋商时间：首次响应文件提交截止时间后。</w:t>
            </w:r>
          </w:p>
          <w:p w14:paraId="440A5A43">
            <w:pPr>
              <w:spacing w:line="360" w:lineRule="auto"/>
              <w:ind w:firstLine="420" w:firstLineChars="200"/>
              <w:rPr>
                <w:b/>
                <w:bCs/>
                <w:sz w:val="21"/>
                <w:szCs w:val="21"/>
              </w:rPr>
            </w:pPr>
            <w:r>
              <w:rPr>
                <w:rFonts w:hint="eastAsia"/>
                <w:sz w:val="21"/>
                <w:szCs w:val="21"/>
              </w:rPr>
              <w:t>磋商地点：供应商代表在响应文件提交当天实时登陆登录“广西政府采购云平台”，按磋商小组要求在线等候参与磋商及提交最后报价。</w:t>
            </w:r>
            <w:r>
              <w:rPr>
                <w:rFonts w:hint="eastAsia"/>
                <w:b/>
                <w:bCs/>
                <w:sz w:val="21"/>
                <w:szCs w:val="21"/>
              </w:rPr>
              <w:t>因供应商未保持实时在线，导致磋商小组无法及时与其取得联系，从而造成供应商未按规定参与磋商或报价的，其不利后果由供应商自行承担。</w:t>
            </w:r>
          </w:p>
          <w:p w14:paraId="21316914">
            <w:pPr>
              <w:spacing w:line="360" w:lineRule="auto"/>
              <w:ind w:firstLine="420" w:firstLineChars="200"/>
              <w:rPr>
                <w:sz w:val="21"/>
                <w:szCs w:val="21"/>
              </w:rPr>
            </w:pPr>
            <w:r>
              <w:rPr>
                <w:rFonts w:hint="eastAsia"/>
                <w:sz w:val="21"/>
                <w:szCs w:val="21"/>
              </w:rPr>
              <w:t>磋商参加人员：供应商法定代表人(负责人、自然人)或相应的委托代理人参加磋商。请供应商实时登陆登录“广西政府采购云平台”等候在线磋商。</w:t>
            </w:r>
          </w:p>
          <w:p w14:paraId="180F5721">
            <w:pPr>
              <w:spacing w:line="360" w:lineRule="auto"/>
              <w:ind w:firstLine="420" w:firstLineChars="200"/>
              <w:rPr>
                <w:sz w:val="21"/>
                <w:szCs w:val="21"/>
              </w:rPr>
            </w:pPr>
            <w:r>
              <w:rPr>
                <w:rFonts w:hint="eastAsia"/>
                <w:sz w:val="21"/>
                <w:szCs w:val="21"/>
              </w:rPr>
              <w:t>首次响应文件提交截止时间后，登录“广西政府采购云平台”在线解密开启。</w:t>
            </w:r>
          </w:p>
        </w:tc>
      </w:tr>
      <w:tr w14:paraId="34A89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jc w:val="center"/>
        </w:trPr>
        <w:tc>
          <w:tcPr>
            <w:tcW w:w="812" w:type="dxa"/>
            <w:vAlign w:val="center"/>
          </w:tcPr>
          <w:p w14:paraId="3E23B0AE">
            <w:pPr>
              <w:spacing w:line="360" w:lineRule="auto"/>
              <w:ind w:firstLine="422"/>
              <w:jc w:val="both"/>
              <w:rPr>
                <w:sz w:val="21"/>
                <w:szCs w:val="21"/>
              </w:rPr>
            </w:pPr>
            <w:r>
              <w:rPr>
                <w:rFonts w:hint="eastAsia"/>
                <w:sz w:val="21"/>
                <w:szCs w:val="21"/>
              </w:rPr>
              <w:t>14</w:t>
            </w:r>
          </w:p>
        </w:tc>
        <w:tc>
          <w:tcPr>
            <w:tcW w:w="855" w:type="dxa"/>
            <w:vAlign w:val="center"/>
          </w:tcPr>
          <w:p w14:paraId="7CDCF7D6">
            <w:pPr>
              <w:spacing w:line="360" w:lineRule="auto"/>
              <w:jc w:val="center"/>
              <w:rPr>
                <w:sz w:val="21"/>
                <w:szCs w:val="21"/>
              </w:rPr>
            </w:pPr>
            <w:r>
              <w:rPr>
                <w:rFonts w:hint="eastAsia"/>
                <w:sz w:val="21"/>
                <w:szCs w:val="21"/>
              </w:rPr>
              <w:t>20.2</w:t>
            </w:r>
          </w:p>
        </w:tc>
        <w:tc>
          <w:tcPr>
            <w:tcW w:w="1470" w:type="dxa"/>
            <w:vAlign w:val="center"/>
          </w:tcPr>
          <w:p w14:paraId="45DA248A">
            <w:pPr>
              <w:spacing w:line="360" w:lineRule="auto"/>
              <w:ind w:firstLine="220"/>
              <w:jc w:val="center"/>
              <w:rPr>
                <w:b/>
                <w:bCs/>
                <w:sz w:val="21"/>
                <w:szCs w:val="21"/>
              </w:rPr>
            </w:pPr>
            <w:r>
              <w:rPr>
                <w:rFonts w:hint="eastAsia"/>
                <w:b/>
                <w:bCs/>
                <w:sz w:val="21"/>
                <w:szCs w:val="21"/>
              </w:rPr>
              <w:t>评审办法</w:t>
            </w:r>
          </w:p>
        </w:tc>
        <w:tc>
          <w:tcPr>
            <w:tcW w:w="6321" w:type="dxa"/>
            <w:vAlign w:val="center"/>
          </w:tcPr>
          <w:p w14:paraId="7464699C">
            <w:pPr>
              <w:spacing w:line="360" w:lineRule="auto"/>
              <w:ind w:firstLine="422" w:firstLineChars="200"/>
              <w:rPr>
                <w:b/>
                <w:bCs/>
                <w:sz w:val="21"/>
                <w:szCs w:val="21"/>
              </w:rPr>
            </w:pPr>
            <w:r>
              <w:rPr>
                <w:rFonts w:hint="eastAsia"/>
                <w:b/>
                <w:bCs/>
                <w:sz w:val="21"/>
                <w:szCs w:val="21"/>
              </w:rPr>
              <w:t>综合评分法，具体详见第四章“评审办法”。</w:t>
            </w:r>
          </w:p>
        </w:tc>
      </w:tr>
      <w:tr w14:paraId="3C447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3209A60C">
            <w:pPr>
              <w:spacing w:line="360" w:lineRule="auto"/>
              <w:ind w:firstLine="422"/>
              <w:jc w:val="both"/>
              <w:rPr>
                <w:sz w:val="21"/>
                <w:szCs w:val="21"/>
              </w:rPr>
            </w:pPr>
            <w:r>
              <w:rPr>
                <w:rFonts w:hint="eastAsia"/>
                <w:sz w:val="21"/>
                <w:szCs w:val="21"/>
              </w:rPr>
              <w:t>15</w:t>
            </w:r>
          </w:p>
        </w:tc>
        <w:tc>
          <w:tcPr>
            <w:tcW w:w="855" w:type="dxa"/>
            <w:vAlign w:val="center"/>
          </w:tcPr>
          <w:p w14:paraId="02843046">
            <w:pPr>
              <w:spacing w:line="360" w:lineRule="auto"/>
              <w:jc w:val="center"/>
              <w:rPr>
                <w:sz w:val="21"/>
                <w:szCs w:val="21"/>
              </w:rPr>
            </w:pPr>
            <w:r>
              <w:rPr>
                <w:rFonts w:hint="eastAsia"/>
                <w:sz w:val="21"/>
                <w:szCs w:val="21"/>
              </w:rPr>
              <w:t>27</w:t>
            </w:r>
          </w:p>
        </w:tc>
        <w:tc>
          <w:tcPr>
            <w:tcW w:w="1470" w:type="dxa"/>
            <w:vAlign w:val="center"/>
          </w:tcPr>
          <w:p w14:paraId="6AE1CF87">
            <w:pPr>
              <w:spacing w:line="360" w:lineRule="auto"/>
              <w:jc w:val="center"/>
              <w:rPr>
                <w:sz w:val="21"/>
                <w:szCs w:val="21"/>
              </w:rPr>
            </w:pPr>
            <w:r>
              <w:rPr>
                <w:rFonts w:hint="eastAsia"/>
                <w:sz w:val="21"/>
                <w:szCs w:val="21"/>
              </w:rPr>
              <w:t>信用查询</w:t>
            </w:r>
          </w:p>
        </w:tc>
        <w:tc>
          <w:tcPr>
            <w:tcW w:w="6321" w:type="dxa"/>
            <w:vAlign w:val="center"/>
          </w:tcPr>
          <w:p w14:paraId="70B60E55">
            <w:pPr>
              <w:spacing w:line="360" w:lineRule="auto"/>
              <w:ind w:firstLine="420" w:firstLineChars="200"/>
              <w:rPr>
                <w:sz w:val="21"/>
                <w:szCs w:val="21"/>
              </w:rPr>
            </w:pPr>
            <w:r>
              <w:rPr>
                <w:rFonts w:hint="eastAsia"/>
                <w:sz w:val="21"/>
                <w:szCs w:val="21"/>
              </w:rPr>
              <w:t>根据《关于做好政府采购有关信用主体标识码登记及在政府采购活动中查询使用信用记录有关问题的通知》（桂财采〔2016〕37），由采购代理机构对第一成交候选人进行信用查询：</w:t>
            </w:r>
          </w:p>
          <w:p w14:paraId="2647E3E8">
            <w:pPr>
              <w:spacing w:line="360" w:lineRule="auto"/>
              <w:ind w:firstLine="422"/>
              <w:rPr>
                <w:sz w:val="21"/>
                <w:szCs w:val="21"/>
              </w:rPr>
            </w:pPr>
            <w:r>
              <w:rPr>
                <w:rFonts w:hint="eastAsia"/>
                <w:sz w:val="21"/>
                <w:szCs w:val="21"/>
              </w:rPr>
              <w:t>（1）查询渠道：“信用中国”网站(www.creditchina.gov.cn)、中国政府采购网(www.ccgp.gov.cn)等；</w:t>
            </w:r>
          </w:p>
          <w:p w14:paraId="6B2C84CD">
            <w:pPr>
              <w:spacing w:line="360" w:lineRule="auto"/>
              <w:ind w:firstLine="422"/>
              <w:rPr>
                <w:sz w:val="21"/>
                <w:szCs w:val="21"/>
              </w:rPr>
            </w:pPr>
            <w:r>
              <w:rPr>
                <w:rFonts w:hint="eastAsia"/>
                <w:sz w:val="21"/>
                <w:szCs w:val="21"/>
              </w:rPr>
              <w:t>（2）查询截止时间：成交通知书发出前；</w:t>
            </w:r>
          </w:p>
          <w:p w14:paraId="2EE3CDE0">
            <w:pPr>
              <w:spacing w:line="360" w:lineRule="auto"/>
              <w:ind w:firstLine="422"/>
              <w:rPr>
                <w:sz w:val="21"/>
                <w:szCs w:val="21"/>
              </w:rPr>
            </w:pPr>
            <w:r>
              <w:rPr>
                <w:rFonts w:hint="eastAsia"/>
                <w:sz w:val="21"/>
                <w:szCs w:val="21"/>
              </w:rPr>
              <w:t>（3）信用信息查询记录和证据留存方式：在查询网站中直接打印查询记录，打印材料作为采购活动资料保存；</w:t>
            </w:r>
          </w:p>
          <w:p w14:paraId="0E9371F8">
            <w:pPr>
              <w:spacing w:line="360" w:lineRule="auto"/>
              <w:ind w:firstLine="422"/>
              <w:rPr>
                <w:sz w:val="21"/>
                <w:szCs w:val="21"/>
              </w:rPr>
            </w:pPr>
            <w:r>
              <w:rPr>
                <w:rFonts w:hint="eastAsia"/>
                <w:sz w:val="21"/>
                <w:szCs w:val="21"/>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tc>
      </w:tr>
      <w:tr w14:paraId="738D6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5" w:hRule="atLeast"/>
          <w:jc w:val="center"/>
        </w:trPr>
        <w:tc>
          <w:tcPr>
            <w:tcW w:w="812" w:type="dxa"/>
            <w:vAlign w:val="center"/>
          </w:tcPr>
          <w:p w14:paraId="6EB938CF">
            <w:pPr>
              <w:spacing w:line="360" w:lineRule="auto"/>
              <w:ind w:firstLine="422"/>
              <w:jc w:val="both"/>
              <w:rPr>
                <w:sz w:val="21"/>
                <w:szCs w:val="21"/>
              </w:rPr>
            </w:pPr>
            <w:r>
              <w:rPr>
                <w:rFonts w:hint="eastAsia"/>
                <w:sz w:val="21"/>
                <w:szCs w:val="21"/>
              </w:rPr>
              <w:t>16</w:t>
            </w:r>
          </w:p>
        </w:tc>
        <w:tc>
          <w:tcPr>
            <w:tcW w:w="855" w:type="dxa"/>
            <w:vAlign w:val="center"/>
          </w:tcPr>
          <w:p w14:paraId="04148B7F">
            <w:pPr>
              <w:spacing w:line="360" w:lineRule="auto"/>
              <w:jc w:val="center"/>
              <w:rPr>
                <w:sz w:val="21"/>
                <w:szCs w:val="21"/>
              </w:rPr>
            </w:pPr>
            <w:r>
              <w:rPr>
                <w:rFonts w:hint="eastAsia"/>
                <w:sz w:val="21"/>
                <w:szCs w:val="21"/>
              </w:rPr>
              <w:t>28</w:t>
            </w:r>
          </w:p>
        </w:tc>
        <w:tc>
          <w:tcPr>
            <w:tcW w:w="1470" w:type="dxa"/>
            <w:vAlign w:val="center"/>
          </w:tcPr>
          <w:p w14:paraId="4E7DF7C4">
            <w:pPr>
              <w:spacing w:line="360" w:lineRule="auto"/>
              <w:ind w:firstLine="220"/>
              <w:jc w:val="center"/>
              <w:rPr>
                <w:sz w:val="21"/>
                <w:szCs w:val="21"/>
              </w:rPr>
            </w:pPr>
            <w:r>
              <w:rPr>
                <w:rFonts w:hint="eastAsia"/>
                <w:sz w:val="21"/>
                <w:szCs w:val="21"/>
              </w:rPr>
              <w:t>成交公告及成交通知书</w:t>
            </w:r>
          </w:p>
        </w:tc>
        <w:tc>
          <w:tcPr>
            <w:tcW w:w="6321" w:type="dxa"/>
            <w:vAlign w:val="center"/>
          </w:tcPr>
          <w:p w14:paraId="0D1F61FF">
            <w:pPr>
              <w:spacing w:line="360" w:lineRule="auto"/>
              <w:ind w:firstLine="420" w:firstLineChars="200"/>
              <w:rPr>
                <w:sz w:val="21"/>
                <w:szCs w:val="21"/>
              </w:rPr>
            </w:pPr>
            <w:r>
              <w:rPr>
                <w:rFonts w:hint="eastAsia"/>
                <w:sz w:val="21"/>
                <w:szCs w:val="21"/>
              </w:rPr>
              <w:t>27.1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00630BF4">
            <w:pPr>
              <w:spacing w:line="360" w:lineRule="auto"/>
              <w:ind w:firstLine="420" w:firstLineChars="200"/>
              <w:rPr>
                <w:sz w:val="21"/>
                <w:szCs w:val="21"/>
              </w:rPr>
            </w:pPr>
            <w:r>
              <w:rPr>
                <w:rFonts w:hint="eastAsia"/>
                <w:sz w:val="21"/>
                <w:szCs w:val="21"/>
              </w:rPr>
              <w:t>27.3在发布成交公告的同时，采购代理机构向成交供应商发出成交通知书。成交供应商应自接到通知之日起七个工作日内，办理成交通知书领取手续。</w:t>
            </w:r>
          </w:p>
        </w:tc>
      </w:tr>
      <w:tr w14:paraId="0A441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1910CEC6">
            <w:pPr>
              <w:spacing w:line="360" w:lineRule="auto"/>
              <w:ind w:firstLine="422"/>
              <w:jc w:val="both"/>
              <w:rPr>
                <w:sz w:val="21"/>
                <w:szCs w:val="21"/>
              </w:rPr>
            </w:pPr>
            <w:r>
              <w:rPr>
                <w:rFonts w:hint="eastAsia"/>
                <w:sz w:val="21"/>
                <w:szCs w:val="21"/>
              </w:rPr>
              <w:t>17</w:t>
            </w:r>
          </w:p>
        </w:tc>
        <w:tc>
          <w:tcPr>
            <w:tcW w:w="855" w:type="dxa"/>
            <w:vAlign w:val="center"/>
          </w:tcPr>
          <w:p w14:paraId="46DABEFC">
            <w:pPr>
              <w:spacing w:line="360" w:lineRule="auto"/>
              <w:jc w:val="center"/>
              <w:rPr>
                <w:sz w:val="21"/>
                <w:szCs w:val="21"/>
              </w:rPr>
            </w:pPr>
            <w:r>
              <w:rPr>
                <w:rFonts w:hint="eastAsia"/>
                <w:sz w:val="21"/>
                <w:szCs w:val="21"/>
              </w:rPr>
              <w:t>29</w:t>
            </w:r>
          </w:p>
        </w:tc>
        <w:tc>
          <w:tcPr>
            <w:tcW w:w="1470" w:type="dxa"/>
            <w:vAlign w:val="center"/>
          </w:tcPr>
          <w:p w14:paraId="181F0AA8">
            <w:pPr>
              <w:spacing w:line="360" w:lineRule="auto"/>
              <w:jc w:val="center"/>
              <w:rPr>
                <w:b/>
                <w:bCs/>
                <w:sz w:val="21"/>
                <w:szCs w:val="21"/>
              </w:rPr>
            </w:pPr>
            <w:r>
              <w:rPr>
                <w:rFonts w:hint="eastAsia"/>
                <w:b/>
                <w:bCs/>
                <w:sz w:val="21"/>
                <w:szCs w:val="21"/>
              </w:rPr>
              <w:t>履约保证金</w:t>
            </w:r>
          </w:p>
        </w:tc>
        <w:tc>
          <w:tcPr>
            <w:tcW w:w="6321" w:type="dxa"/>
            <w:vAlign w:val="center"/>
          </w:tcPr>
          <w:p w14:paraId="7A95A5E7">
            <w:pPr>
              <w:spacing w:line="360" w:lineRule="auto"/>
              <w:ind w:firstLine="422" w:firstLineChars="200"/>
              <w:rPr>
                <w:b/>
                <w:bCs/>
                <w:sz w:val="21"/>
                <w:szCs w:val="21"/>
              </w:rPr>
            </w:pPr>
            <w:r>
              <w:rPr>
                <w:rFonts w:hint="eastAsia"/>
                <w:b/>
                <w:bCs/>
                <w:sz w:val="21"/>
                <w:szCs w:val="21"/>
              </w:rPr>
              <w:t>履约保证金金额按中标价的1%（人民币，四舍五入到元）缴纳，由成交供应商在与采购人签订合同前将履约保证金以现金、支票、汇票、本票或者金融机构、担保机构出具的保函等形式提交转入采购人履约保证金专户。</w:t>
            </w:r>
          </w:p>
        </w:tc>
      </w:tr>
      <w:tr w14:paraId="58071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jc w:val="center"/>
        </w:trPr>
        <w:tc>
          <w:tcPr>
            <w:tcW w:w="812" w:type="dxa"/>
            <w:vAlign w:val="center"/>
          </w:tcPr>
          <w:p w14:paraId="3FE2B222">
            <w:pPr>
              <w:spacing w:line="360" w:lineRule="auto"/>
              <w:ind w:firstLine="422"/>
              <w:jc w:val="both"/>
              <w:rPr>
                <w:sz w:val="21"/>
                <w:szCs w:val="21"/>
              </w:rPr>
            </w:pPr>
            <w:r>
              <w:rPr>
                <w:rFonts w:hint="eastAsia"/>
                <w:sz w:val="21"/>
                <w:szCs w:val="21"/>
              </w:rPr>
              <w:t>18</w:t>
            </w:r>
          </w:p>
        </w:tc>
        <w:tc>
          <w:tcPr>
            <w:tcW w:w="855" w:type="dxa"/>
            <w:vAlign w:val="center"/>
          </w:tcPr>
          <w:p w14:paraId="2D3B4101">
            <w:pPr>
              <w:spacing w:line="360" w:lineRule="auto"/>
              <w:jc w:val="center"/>
              <w:rPr>
                <w:sz w:val="21"/>
                <w:szCs w:val="21"/>
              </w:rPr>
            </w:pPr>
            <w:r>
              <w:rPr>
                <w:rFonts w:hint="eastAsia"/>
                <w:sz w:val="21"/>
                <w:szCs w:val="21"/>
              </w:rPr>
              <w:t>30.1</w:t>
            </w:r>
          </w:p>
        </w:tc>
        <w:tc>
          <w:tcPr>
            <w:tcW w:w="1470" w:type="dxa"/>
            <w:vAlign w:val="center"/>
          </w:tcPr>
          <w:p w14:paraId="42F71B71">
            <w:pPr>
              <w:spacing w:line="360" w:lineRule="auto"/>
              <w:jc w:val="center"/>
              <w:rPr>
                <w:b/>
                <w:bCs/>
                <w:sz w:val="21"/>
                <w:szCs w:val="21"/>
              </w:rPr>
            </w:pPr>
            <w:r>
              <w:rPr>
                <w:rFonts w:hint="eastAsia"/>
                <w:b/>
                <w:bCs/>
                <w:sz w:val="21"/>
                <w:szCs w:val="21"/>
              </w:rPr>
              <w:t>签订合同时间</w:t>
            </w:r>
          </w:p>
        </w:tc>
        <w:tc>
          <w:tcPr>
            <w:tcW w:w="6321" w:type="dxa"/>
            <w:vAlign w:val="center"/>
          </w:tcPr>
          <w:p w14:paraId="1A319BD5">
            <w:pPr>
              <w:spacing w:line="360" w:lineRule="auto"/>
              <w:ind w:firstLine="422" w:firstLineChars="200"/>
              <w:rPr>
                <w:b/>
                <w:bCs/>
                <w:color w:val="FF0000"/>
                <w:sz w:val="21"/>
                <w:szCs w:val="21"/>
              </w:rPr>
            </w:pPr>
            <w:r>
              <w:rPr>
                <w:rFonts w:hint="eastAsia"/>
                <w:b/>
                <w:bCs/>
                <w:sz w:val="21"/>
                <w:szCs w:val="21"/>
              </w:rPr>
              <w:t>成交通知书发出之日起7日内。成交供应商领取成交通知书后，应按规定与采购人签订合同。</w:t>
            </w:r>
          </w:p>
        </w:tc>
      </w:tr>
      <w:tr w14:paraId="5A5F24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06551B97">
            <w:pPr>
              <w:spacing w:line="360" w:lineRule="auto"/>
              <w:ind w:firstLine="422"/>
              <w:jc w:val="both"/>
              <w:rPr>
                <w:sz w:val="21"/>
                <w:szCs w:val="21"/>
              </w:rPr>
            </w:pPr>
            <w:r>
              <w:rPr>
                <w:rFonts w:hint="eastAsia"/>
                <w:sz w:val="21"/>
                <w:szCs w:val="21"/>
              </w:rPr>
              <w:t>19</w:t>
            </w:r>
          </w:p>
        </w:tc>
        <w:tc>
          <w:tcPr>
            <w:tcW w:w="855" w:type="dxa"/>
            <w:vAlign w:val="center"/>
          </w:tcPr>
          <w:p w14:paraId="7F3C5D72">
            <w:pPr>
              <w:spacing w:line="360" w:lineRule="auto"/>
              <w:jc w:val="center"/>
              <w:rPr>
                <w:sz w:val="21"/>
                <w:szCs w:val="21"/>
              </w:rPr>
            </w:pPr>
            <w:r>
              <w:rPr>
                <w:rFonts w:hint="eastAsia"/>
                <w:sz w:val="21"/>
                <w:szCs w:val="21"/>
              </w:rPr>
              <w:t>30</w:t>
            </w:r>
            <w:r>
              <w:rPr>
                <w:sz w:val="21"/>
                <w:szCs w:val="21"/>
              </w:rPr>
              <w:t>.3</w:t>
            </w:r>
          </w:p>
        </w:tc>
        <w:tc>
          <w:tcPr>
            <w:tcW w:w="1470" w:type="dxa"/>
            <w:vAlign w:val="center"/>
          </w:tcPr>
          <w:p w14:paraId="20A40E28">
            <w:pPr>
              <w:spacing w:line="360" w:lineRule="auto"/>
              <w:jc w:val="center"/>
              <w:rPr>
                <w:sz w:val="21"/>
                <w:szCs w:val="21"/>
              </w:rPr>
            </w:pPr>
            <w:r>
              <w:rPr>
                <w:sz w:val="21"/>
                <w:szCs w:val="21"/>
              </w:rPr>
              <w:t>合同备案</w:t>
            </w:r>
          </w:p>
          <w:p w14:paraId="588F9A71">
            <w:pPr>
              <w:spacing w:line="360" w:lineRule="auto"/>
              <w:jc w:val="center"/>
              <w:rPr>
                <w:sz w:val="21"/>
                <w:szCs w:val="21"/>
              </w:rPr>
            </w:pPr>
            <w:r>
              <w:rPr>
                <w:sz w:val="21"/>
                <w:szCs w:val="21"/>
              </w:rPr>
              <w:t>存档</w:t>
            </w:r>
          </w:p>
        </w:tc>
        <w:tc>
          <w:tcPr>
            <w:tcW w:w="6321" w:type="dxa"/>
            <w:vAlign w:val="center"/>
          </w:tcPr>
          <w:p w14:paraId="0495EE76">
            <w:pPr>
              <w:spacing w:line="360" w:lineRule="auto"/>
              <w:ind w:firstLine="420" w:firstLineChars="200"/>
              <w:rPr>
                <w:sz w:val="21"/>
                <w:szCs w:val="21"/>
              </w:rPr>
            </w:pPr>
            <w:r>
              <w:rPr>
                <w:sz w:val="21"/>
                <w:szCs w:val="21"/>
              </w:rPr>
              <w:t>政府采购合同双方自签订之日起1个工作日内将合同原件两份交采购代理机构，采购代理机构收到政府采购合同原件后在省级以上人民政府财政部门指定媒体上公告并于合同签订之日起7个工作日内将两份合同原件送监督管理机构备案，一份由采购代理机构存档。</w:t>
            </w:r>
          </w:p>
        </w:tc>
      </w:tr>
      <w:tr w14:paraId="3CF90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jc w:val="center"/>
        </w:trPr>
        <w:tc>
          <w:tcPr>
            <w:tcW w:w="812" w:type="dxa"/>
            <w:vAlign w:val="center"/>
          </w:tcPr>
          <w:p w14:paraId="2A8FEA78">
            <w:pPr>
              <w:spacing w:line="360" w:lineRule="auto"/>
              <w:ind w:firstLine="422"/>
              <w:jc w:val="both"/>
              <w:rPr>
                <w:sz w:val="21"/>
                <w:szCs w:val="21"/>
              </w:rPr>
            </w:pPr>
            <w:r>
              <w:rPr>
                <w:rFonts w:hint="eastAsia"/>
                <w:sz w:val="21"/>
                <w:szCs w:val="21"/>
              </w:rPr>
              <w:t>20</w:t>
            </w:r>
          </w:p>
        </w:tc>
        <w:tc>
          <w:tcPr>
            <w:tcW w:w="855" w:type="dxa"/>
            <w:vAlign w:val="center"/>
          </w:tcPr>
          <w:p w14:paraId="60CC5E6C">
            <w:pPr>
              <w:spacing w:line="360" w:lineRule="auto"/>
              <w:jc w:val="center"/>
              <w:rPr>
                <w:sz w:val="21"/>
                <w:szCs w:val="21"/>
              </w:rPr>
            </w:pPr>
            <w:r>
              <w:rPr>
                <w:sz w:val="21"/>
                <w:szCs w:val="21"/>
              </w:rPr>
              <w:t>3</w:t>
            </w:r>
            <w:r>
              <w:rPr>
                <w:rFonts w:hint="eastAsia"/>
                <w:sz w:val="21"/>
                <w:szCs w:val="21"/>
              </w:rPr>
              <w:t>1</w:t>
            </w:r>
            <w:r>
              <w:rPr>
                <w:sz w:val="21"/>
                <w:szCs w:val="21"/>
              </w:rPr>
              <w:t>.1</w:t>
            </w:r>
          </w:p>
        </w:tc>
        <w:tc>
          <w:tcPr>
            <w:tcW w:w="1470" w:type="dxa"/>
            <w:vAlign w:val="center"/>
          </w:tcPr>
          <w:p w14:paraId="5598F7E9">
            <w:pPr>
              <w:spacing w:line="360" w:lineRule="auto"/>
              <w:jc w:val="center"/>
              <w:rPr>
                <w:sz w:val="21"/>
                <w:szCs w:val="21"/>
              </w:rPr>
            </w:pPr>
            <w:r>
              <w:rPr>
                <w:sz w:val="21"/>
                <w:szCs w:val="21"/>
              </w:rPr>
              <w:t>采购代理</w:t>
            </w:r>
          </w:p>
          <w:p w14:paraId="13AB39CF">
            <w:pPr>
              <w:spacing w:line="360" w:lineRule="auto"/>
              <w:ind w:firstLine="220"/>
              <w:jc w:val="center"/>
              <w:rPr>
                <w:sz w:val="21"/>
                <w:szCs w:val="21"/>
              </w:rPr>
            </w:pPr>
            <w:r>
              <w:rPr>
                <w:sz w:val="21"/>
                <w:szCs w:val="21"/>
              </w:rPr>
              <w:t>服务费</w:t>
            </w:r>
          </w:p>
        </w:tc>
        <w:tc>
          <w:tcPr>
            <w:tcW w:w="6321" w:type="dxa"/>
            <w:vAlign w:val="center"/>
          </w:tcPr>
          <w:p w14:paraId="7B2217CB">
            <w:pPr>
              <w:spacing w:line="360" w:lineRule="auto"/>
              <w:ind w:firstLine="440" w:firstLineChars="200"/>
              <w:rPr>
                <w:sz w:val="21"/>
                <w:szCs w:val="21"/>
              </w:rPr>
            </w:pPr>
            <w:r>
              <w:rPr>
                <w:rFonts w:hint="eastAsia"/>
                <w:szCs w:val="21"/>
              </w:rPr>
              <w:t>本项目招标代理服务费由采购人支付</w:t>
            </w:r>
            <w:r>
              <w:rPr>
                <w:rFonts w:hint="eastAsia"/>
                <w:color w:val="0000FF"/>
                <w:szCs w:val="21"/>
              </w:rPr>
              <w:t>。</w:t>
            </w:r>
          </w:p>
        </w:tc>
      </w:tr>
      <w:tr w14:paraId="03D48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0" w:hRule="atLeast"/>
          <w:jc w:val="center"/>
        </w:trPr>
        <w:tc>
          <w:tcPr>
            <w:tcW w:w="812" w:type="dxa"/>
            <w:vAlign w:val="center"/>
          </w:tcPr>
          <w:p w14:paraId="05C43622">
            <w:pPr>
              <w:spacing w:line="360" w:lineRule="auto"/>
              <w:ind w:firstLine="422"/>
              <w:jc w:val="both"/>
              <w:rPr>
                <w:sz w:val="21"/>
                <w:szCs w:val="21"/>
              </w:rPr>
            </w:pPr>
            <w:r>
              <w:rPr>
                <w:rFonts w:hint="eastAsia"/>
                <w:sz w:val="21"/>
                <w:szCs w:val="21"/>
              </w:rPr>
              <w:t>21</w:t>
            </w:r>
          </w:p>
        </w:tc>
        <w:tc>
          <w:tcPr>
            <w:tcW w:w="855" w:type="dxa"/>
            <w:vAlign w:val="center"/>
          </w:tcPr>
          <w:p w14:paraId="331426CD">
            <w:pPr>
              <w:spacing w:line="360" w:lineRule="auto"/>
              <w:jc w:val="center"/>
              <w:rPr>
                <w:sz w:val="21"/>
                <w:szCs w:val="21"/>
              </w:rPr>
            </w:pPr>
            <w:r>
              <w:rPr>
                <w:rFonts w:hint="eastAsia"/>
                <w:sz w:val="21"/>
                <w:szCs w:val="21"/>
              </w:rPr>
              <w:t>33</w:t>
            </w:r>
          </w:p>
        </w:tc>
        <w:tc>
          <w:tcPr>
            <w:tcW w:w="1470" w:type="dxa"/>
            <w:vAlign w:val="center"/>
          </w:tcPr>
          <w:p w14:paraId="416141AB">
            <w:pPr>
              <w:spacing w:line="360" w:lineRule="auto"/>
              <w:jc w:val="center"/>
              <w:rPr>
                <w:sz w:val="21"/>
                <w:szCs w:val="21"/>
              </w:rPr>
            </w:pPr>
            <w:r>
              <w:rPr>
                <w:sz w:val="21"/>
                <w:szCs w:val="21"/>
              </w:rPr>
              <w:t>解释权</w:t>
            </w:r>
          </w:p>
        </w:tc>
        <w:tc>
          <w:tcPr>
            <w:tcW w:w="6321" w:type="dxa"/>
            <w:vAlign w:val="center"/>
          </w:tcPr>
          <w:p w14:paraId="076E1D47">
            <w:pPr>
              <w:spacing w:line="360" w:lineRule="auto"/>
              <w:ind w:firstLine="420" w:firstLineChars="200"/>
              <w:rPr>
                <w:sz w:val="21"/>
                <w:szCs w:val="21"/>
              </w:rPr>
            </w:pPr>
            <w:r>
              <w:rPr>
                <w:sz w:val="21"/>
                <w:szCs w:val="21"/>
              </w:rPr>
              <w:t>本竞争性磋商文件是根据《中华人民共和国政府采购法》、《中华人民共和国政府采购法实施条例》、《政府采购竞争性磋商采购方式管理暂行办法》和政府采购管理有关规定编制。</w:t>
            </w:r>
          </w:p>
        </w:tc>
      </w:tr>
    </w:tbl>
    <w:p w14:paraId="63CA6314">
      <w:pPr>
        <w:spacing w:line="268" w:lineRule="exact"/>
        <w:ind w:firstLine="422"/>
        <w:jc w:val="center"/>
        <w:rPr>
          <w:sz w:val="21"/>
        </w:rPr>
        <w:sectPr>
          <w:pgSz w:w="11910" w:h="16840"/>
          <w:pgMar w:top="1760" w:right="640" w:bottom="900" w:left="960" w:header="0" w:footer="720" w:gutter="0"/>
          <w:cols w:space="720" w:num="1"/>
        </w:sectPr>
      </w:pPr>
    </w:p>
    <w:p w14:paraId="775FF692">
      <w:pPr>
        <w:spacing w:line="263" w:lineRule="exact"/>
        <w:ind w:firstLine="422"/>
        <w:jc w:val="both"/>
        <w:rPr>
          <w:sz w:val="21"/>
        </w:rPr>
        <w:sectPr>
          <w:type w:val="continuous"/>
          <w:pgSz w:w="11910" w:h="16840"/>
          <w:pgMar w:top="1400" w:right="640" w:bottom="900" w:left="960" w:header="0" w:footer="720" w:gutter="0"/>
          <w:cols w:space="720" w:num="1"/>
        </w:sectPr>
      </w:pPr>
    </w:p>
    <w:p w14:paraId="573A5D3E">
      <w:pPr>
        <w:spacing w:line="263" w:lineRule="exact"/>
        <w:ind w:firstLine="422"/>
        <w:rPr>
          <w:sz w:val="21"/>
        </w:rPr>
        <w:sectPr>
          <w:type w:val="continuous"/>
          <w:pgSz w:w="11910" w:h="16840"/>
          <w:pgMar w:top="1400" w:right="640" w:bottom="900" w:left="960" w:header="0" w:footer="720" w:gutter="0"/>
          <w:cols w:space="720" w:num="1"/>
        </w:sectPr>
      </w:pPr>
    </w:p>
    <w:p w14:paraId="7137A88F">
      <w:pPr>
        <w:spacing w:line="360" w:lineRule="exact"/>
        <w:ind w:firstLine="422"/>
        <w:jc w:val="both"/>
        <w:rPr>
          <w:sz w:val="21"/>
        </w:rPr>
        <w:sectPr>
          <w:type w:val="continuous"/>
          <w:pgSz w:w="11910" w:h="16840"/>
          <w:pgMar w:top="1400" w:right="640" w:bottom="900" w:left="960" w:header="0" w:footer="720" w:gutter="0"/>
          <w:cols w:space="720" w:num="1"/>
        </w:sectPr>
      </w:pPr>
    </w:p>
    <w:p w14:paraId="70CF23C2">
      <w:pPr>
        <w:spacing w:line="400" w:lineRule="atLeast"/>
        <w:ind w:firstLine="422"/>
        <w:rPr>
          <w:sz w:val="21"/>
        </w:rPr>
        <w:sectPr>
          <w:type w:val="continuous"/>
          <w:pgSz w:w="11910" w:h="16840"/>
          <w:pgMar w:top="1400" w:right="640" w:bottom="900" w:left="960" w:header="0" w:footer="720" w:gutter="0"/>
          <w:cols w:space="720" w:num="1"/>
        </w:sectPr>
      </w:pPr>
    </w:p>
    <w:p w14:paraId="7A113BF3">
      <w:pPr>
        <w:pStyle w:val="5"/>
        <w:spacing w:before="48"/>
        <w:ind w:left="0" w:right="319" w:firstLine="562"/>
        <w:jc w:val="center"/>
      </w:pPr>
      <w:r>
        <w:t>一、总则</w:t>
      </w:r>
    </w:p>
    <w:p w14:paraId="6C22221F">
      <w:pPr>
        <w:spacing w:line="360" w:lineRule="auto"/>
        <w:ind w:firstLine="422" w:firstLineChars="200"/>
        <w:rPr>
          <w:b/>
          <w:bCs/>
          <w:sz w:val="21"/>
          <w:szCs w:val="21"/>
        </w:rPr>
      </w:pPr>
      <w:r>
        <w:rPr>
          <w:rFonts w:hint="eastAsia"/>
          <w:b/>
          <w:bCs/>
          <w:sz w:val="21"/>
          <w:szCs w:val="21"/>
        </w:rPr>
        <w:t>1.</w:t>
      </w:r>
      <w:r>
        <w:rPr>
          <w:b/>
          <w:bCs/>
          <w:sz w:val="21"/>
          <w:szCs w:val="21"/>
        </w:rPr>
        <w:t>适应范围</w:t>
      </w:r>
    </w:p>
    <w:p w14:paraId="13146C06">
      <w:pPr>
        <w:spacing w:line="360" w:lineRule="auto"/>
        <w:ind w:firstLine="420" w:firstLineChars="200"/>
        <w:rPr>
          <w:sz w:val="21"/>
          <w:szCs w:val="21"/>
        </w:rPr>
      </w:pPr>
      <w:r>
        <w:rPr>
          <w:rFonts w:hint="eastAsia"/>
          <w:sz w:val="21"/>
          <w:szCs w:val="21"/>
        </w:rPr>
        <w:t>1.1</w:t>
      </w:r>
      <w:r>
        <w:rPr>
          <w:sz w:val="21"/>
          <w:szCs w:val="21"/>
        </w:rPr>
        <w:t>项目名称及项目编号：</w:t>
      </w:r>
    </w:p>
    <w:p w14:paraId="4A83D132">
      <w:pPr>
        <w:spacing w:line="360" w:lineRule="auto"/>
        <w:ind w:firstLine="420" w:firstLineChars="200"/>
        <w:rPr>
          <w:color w:val="FF0000"/>
          <w:sz w:val="21"/>
          <w:szCs w:val="21"/>
          <w:highlight w:val="none"/>
        </w:rPr>
      </w:pPr>
      <w:r>
        <w:rPr>
          <w:sz w:val="21"/>
          <w:szCs w:val="21"/>
        </w:rPr>
        <w:t>项目名称：</w:t>
      </w:r>
      <w:r>
        <w:rPr>
          <w:rFonts w:hint="eastAsia"/>
          <w:sz w:val="21"/>
          <w:szCs w:val="21"/>
          <w:highlight w:val="none"/>
        </w:rPr>
        <w:t>详见“供应商须知前附表”。</w:t>
      </w:r>
    </w:p>
    <w:p w14:paraId="1E786288">
      <w:pPr>
        <w:spacing w:line="360" w:lineRule="auto"/>
        <w:ind w:firstLine="420" w:firstLineChars="200"/>
        <w:rPr>
          <w:color w:val="FF0000"/>
          <w:sz w:val="21"/>
          <w:szCs w:val="21"/>
          <w:highlight w:val="none"/>
        </w:rPr>
      </w:pPr>
      <w:r>
        <w:rPr>
          <w:sz w:val="21"/>
          <w:szCs w:val="21"/>
          <w:highlight w:val="none"/>
        </w:rPr>
        <w:t>项目编号：</w:t>
      </w:r>
      <w:r>
        <w:rPr>
          <w:rFonts w:hint="eastAsia"/>
          <w:sz w:val="21"/>
          <w:szCs w:val="21"/>
          <w:highlight w:val="none"/>
        </w:rPr>
        <w:t>详见“供应商须知前附表”。</w:t>
      </w:r>
    </w:p>
    <w:p w14:paraId="5204E064">
      <w:pPr>
        <w:spacing w:line="360" w:lineRule="auto"/>
        <w:ind w:firstLine="420" w:firstLineChars="200"/>
        <w:rPr>
          <w:sz w:val="21"/>
          <w:szCs w:val="21"/>
        </w:rPr>
      </w:pPr>
      <w:r>
        <w:rPr>
          <w:rFonts w:hint="eastAsia"/>
          <w:sz w:val="21"/>
          <w:szCs w:val="21"/>
        </w:rPr>
        <w:t>1.2</w:t>
      </w:r>
      <w:r>
        <w:rPr>
          <w:sz w:val="21"/>
          <w:szCs w:val="21"/>
        </w:rPr>
        <w:t>要求工期</w:t>
      </w:r>
      <w:r>
        <w:rPr>
          <w:rFonts w:hint="eastAsia"/>
          <w:sz w:val="21"/>
          <w:szCs w:val="21"/>
        </w:rPr>
        <w:t>及质量标准</w:t>
      </w:r>
      <w:r>
        <w:rPr>
          <w:sz w:val="21"/>
          <w:szCs w:val="21"/>
        </w:rPr>
        <w:t>：</w:t>
      </w:r>
    </w:p>
    <w:p w14:paraId="06DD2D8A">
      <w:pPr>
        <w:spacing w:line="360" w:lineRule="auto"/>
        <w:ind w:firstLine="420" w:firstLineChars="200"/>
        <w:rPr>
          <w:color w:val="FF0000"/>
          <w:sz w:val="21"/>
          <w:szCs w:val="21"/>
          <w:highlight w:val="none"/>
        </w:rPr>
      </w:pPr>
      <w:r>
        <w:rPr>
          <w:rFonts w:hint="eastAsia"/>
          <w:sz w:val="21"/>
          <w:szCs w:val="21"/>
          <w:highlight w:val="none"/>
        </w:rPr>
        <w:t>要求工期：详见“供应商须知前附表”。</w:t>
      </w:r>
    </w:p>
    <w:p w14:paraId="2036FF49">
      <w:pPr>
        <w:spacing w:line="360" w:lineRule="auto"/>
        <w:ind w:firstLine="420" w:firstLineChars="200"/>
        <w:rPr>
          <w:sz w:val="21"/>
          <w:szCs w:val="21"/>
          <w:highlight w:val="none"/>
        </w:rPr>
      </w:pPr>
      <w:r>
        <w:rPr>
          <w:rFonts w:hint="eastAsia"/>
          <w:sz w:val="21"/>
          <w:szCs w:val="21"/>
          <w:highlight w:val="none"/>
        </w:rPr>
        <w:t>质量标准：详见“供应商须知前附表”。</w:t>
      </w:r>
    </w:p>
    <w:p w14:paraId="320C9FCB">
      <w:pPr>
        <w:spacing w:line="360" w:lineRule="auto"/>
        <w:ind w:firstLine="420" w:firstLineChars="200"/>
        <w:rPr>
          <w:sz w:val="21"/>
          <w:szCs w:val="21"/>
        </w:rPr>
      </w:pPr>
      <w:r>
        <w:rPr>
          <w:rFonts w:hint="eastAsia"/>
          <w:sz w:val="21"/>
          <w:szCs w:val="21"/>
        </w:rPr>
        <w:t>1.3</w:t>
      </w:r>
      <w:r>
        <w:rPr>
          <w:sz w:val="21"/>
          <w:szCs w:val="21"/>
        </w:rPr>
        <w:t>本竞争性磋商文件（以下简称磋商文件）适用于本磋商项目的磋商、评审、合同履约、验收、付款等行为（法律、法规另有规定的，从其规定）。</w:t>
      </w:r>
    </w:p>
    <w:p w14:paraId="06D22AA4">
      <w:pPr>
        <w:spacing w:line="360" w:lineRule="auto"/>
        <w:ind w:firstLine="422" w:firstLineChars="200"/>
        <w:rPr>
          <w:b/>
          <w:bCs/>
          <w:sz w:val="21"/>
          <w:szCs w:val="21"/>
        </w:rPr>
      </w:pPr>
      <w:r>
        <w:rPr>
          <w:rFonts w:hint="eastAsia"/>
          <w:b/>
          <w:bCs/>
          <w:sz w:val="21"/>
          <w:szCs w:val="21"/>
        </w:rPr>
        <w:t>2.</w:t>
      </w:r>
      <w:r>
        <w:rPr>
          <w:b/>
          <w:bCs/>
          <w:sz w:val="21"/>
          <w:szCs w:val="21"/>
        </w:rPr>
        <w:t>定义</w:t>
      </w:r>
    </w:p>
    <w:p w14:paraId="7AFB275E">
      <w:pPr>
        <w:spacing w:line="360" w:lineRule="auto"/>
        <w:ind w:firstLine="420" w:firstLineChars="200"/>
        <w:rPr>
          <w:sz w:val="21"/>
          <w:szCs w:val="21"/>
        </w:rPr>
      </w:pPr>
      <w:r>
        <w:rPr>
          <w:rFonts w:hint="eastAsia"/>
          <w:sz w:val="21"/>
          <w:szCs w:val="21"/>
        </w:rPr>
        <w:t>2.1</w:t>
      </w:r>
      <w:r>
        <w:rPr>
          <w:sz w:val="21"/>
          <w:szCs w:val="21"/>
        </w:rPr>
        <w:t>“供应商”：是指符合本次采购项目的供应商资格并提交响应文件、参加磋商的供应商。如果该供应商在本次磋商中成交，即成为“成交供应商”。</w:t>
      </w:r>
    </w:p>
    <w:p w14:paraId="0C5E71CC">
      <w:pPr>
        <w:spacing w:line="360" w:lineRule="auto"/>
        <w:ind w:firstLine="420" w:firstLineChars="200"/>
        <w:rPr>
          <w:sz w:val="21"/>
          <w:szCs w:val="21"/>
        </w:rPr>
      </w:pPr>
      <w:r>
        <w:rPr>
          <w:rFonts w:hint="eastAsia"/>
          <w:sz w:val="21"/>
          <w:szCs w:val="21"/>
        </w:rPr>
        <w:t>2.2</w:t>
      </w:r>
      <w:r>
        <w:rPr>
          <w:sz w:val="21"/>
          <w:szCs w:val="21"/>
        </w:rPr>
        <w:t>“项目”：系指供应商按磋商文件规定向采购人提供的</w:t>
      </w:r>
      <w:r>
        <w:rPr>
          <w:rFonts w:hint="eastAsia"/>
          <w:sz w:val="21"/>
          <w:szCs w:val="21"/>
        </w:rPr>
        <w:t>工程和</w:t>
      </w:r>
      <w:r>
        <w:rPr>
          <w:sz w:val="21"/>
          <w:szCs w:val="21"/>
        </w:rPr>
        <w:t>服务。</w:t>
      </w:r>
    </w:p>
    <w:p w14:paraId="1C9A08B5">
      <w:pPr>
        <w:spacing w:line="360" w:lineRule="auto"/>
        <w:ind w:firstLine="420" w:firstLineChars="200"/>
        <w:rPr>
          <w:sz w:val="21"/>
          <w:szCs w:val="21"/>
        </w:rPr>
      </w:pPr>
      <w:r>
        <w:rPr>
          <w:rFonts w:hint="eastAsia"/>
          <w:sz w:val="21"/>
          <w:szCs w:val="21"/>
        </w:rPr>
        <w:t>2.3</w:t>
      </w:r>
      <w:r>
        <w:rPr>
          <w:sz w:val="21"/>
          <w:szCs w:val="21"/>
        </w:rPr>
        <w:t>“书面形式”：包括信函、传真、电报等。</w:t>
      </w:r>
    </w:p>
    <w:p w14:paraId="2E523499">
      <w:pPr>
        <w:spacing w:line="360" w:lineRule="auto"/>
        <w:ind w:firstLine="420" w:firstLineChars="200"/>
        <w:rPr>
          <w:sz w:val="21"/>
          <w:szCs w:val="21"/>
        </w:rPr>
      </w:pPr>
      <w:r>
        <w:rPr>
          <w:rFonts w:hint="eastAsia"/>
          <w:sz w:val="21"/>
          <w:szCs w:val="21"/>
        </w:rPr>
        <w:t>2.4</w:t>
      </w:r>
      <w:r>
        <w:rPr>
          <w:sz w:val="21"/>
          <w:szCs w:val="21"/>
        </w:rPr>
        <w:t>“响应文件”：本项目实行全流程电子化采购，供应商通过“广西政府采购云平台”参与电子竞标。响应文件特指供应商按本磋商文件规定提交的电子响应文件（包括因特殊情况无法解密或解密失败提交的电子备份响应文件）。</w:t>
      </w:r>
    </w:p>
    <w:p w14:paraId="68C2E961">
      <w:pPr>
        <w:spacing w:line="360" w:lineRule="auto"/>
        <w:ind w:firstLine="422" w:firstLineChars="200"/>
        <w:rPr>
          <w:b/>
          <w:bCs/>
          <w:sz w:val="21"/>
          <w:szCs w:val="21"/>
        </w:rPr>
      </w:pPr>
      <w:r>
        <w:rPr>
          <w:rFonts w:hint="eastAsia"/>
          <w:b/>
          <w:bCs/>
          <w:sz w:val="21"/>
          <w:szCs w:val="21"/>
        </w:rPr>
        <w:t>2.5</w:t>
      </w:r>
      <w:r>
        <w:rPr>
          <w:b/>
          <w:bCs/>
          <w:sz w:val="21"/>
          <w:szCs w:val="21"/>
        </w:rPr>
        <w:t>实质性要求：</w:t>
      </w:r>
      <w:r>
        <w:rPr>
          <w:rFonts w:hint="eastAsia"/>
          <w:b/>
          <w:bCs/>
          <w:sz w:val="21"/>
          <w:szCs w:val="21"/>
        </w:rPr>
        <w:t>“采购需求”中的所有内容均为实质性要求。</w:t>
      </w:r>
    </w:p>
    <w:p w14:paraId="37CD3490">
      <w:pPr>
        <w:spacing w:line="360" w:lineRule="auto"/>
        <w:ind w:firstLine="422" w:firstLineChars="200"/>
        <w:rPr>
          <w:sz w:val="21"/>
          <w:szCs w:val="21"/>
          <w:highlight w:val="none"/>
        </w:rPr>
      </w:pPr>
      <w:r>
        <w:rPr>
          <w:rFonts w:hint="eastAsia"/>
          <w:b/>
          <w:bCs/>
          <w:sz w:val="21"/>
          <w:szCs w:val="21"/>
        </w:rPr>
        <w:t>3.</w:t>
      </w:r>
      <w:r>
        <w:rPr>
          <w:b/>
          <w:bCs/>
          <w:sz w:val="21"/>
          <w:szCs w:val="21"/>
        </w:rPr>
        <w:t>供应商资格</w:t>
      </w:r>
      <w:r>
        <w:rPr>
          <w:rFonts w:hint="eastAsia"/>
          <w:b/>
          <w:bCs/>
          <w:sz w:val="21"/>
          <w:szCs w:val="21"/>
        </w:rPr>
        <w:t>：</w:t>
      </w:r>
      <w:r>
        <w:rPr>
          <w:rFonts w:hint="eastAsia"/>
          <w:sz w:val="21"/>
          <w:szCs w:val="21"/>
          <w:highlight w:val="none"/>
        </w:rPr>
        <w:t>详见“供应商须知前附表”。</w:t>
      </w:r>
    </w:p>
    <w:p w14:paraId="7DED6DBA">
      <w:pPr>
        <w:spacing w:line="360" w:lineRule="auto"/>
        <w:ind w:firstLine="422" w:firstLineChars="200"/>
        <w:rPr>
          <w:b/>
          <w:bCs/>
          <w:sz w:val="21"/>
          <w:szCs w:val="21"/>
        </w:rPr>
      </w:pPr>
      <w:r>
        <w:rPr>
          <w:rFonts w:hint="eastAsia"/>
          <w:b/>
          <w:bCs/>
          <w:sz w:val="21"/>
          <w:szCs w:val="21"/>
        </w:rPr>
        <w:t>4</w:t>
      </w:r>
      <w:r>
        <w:rPr>
          <w:b/>
          <w:bCs/>
          <w:sz w:val="21"/>
          <w:szCs w:val="21"/>
        </w:rPr>
        <w:t>.参与电子竞标的准备工作</w:t>
      </w:r>
    </w:p>
    <w:p w14:paraId="60EDF041">
      <w:pPr>
        <w:spacing w:line="360" w:lineRule="auto"/>
        <w:ind w:firstLine="420" w:firstLineChars="200"/>
        <w:rPr>
          <w:sz w:val="21"/>
          <w:szCs w:val="21"/>
        </w:rPr>
      </w:pPr>
      <w:r>
        <w:rPr>
          <w:rFonts w:hint="eastAsia"/>
          <w:sz w:val="21"/>
          <w:szCs w:val="21"/>
        </w:rPr>
        <w:t>4.1</w:t>
      </w:r>
      <w:r>
        <w:rPr>
          <w:sz w:val="21"/>
          <w:szCs w:val="21"/>
        </w:rPr>
        <w:t>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广西政府采购云平台电子投标客户端”）并安装成功，供应商应当在响应文件提交截止时间前在“广西政府采购云平台”完成的身份</w:t>
      </w:r>
    </w:p>
    <w:p w14:paraId="5DB447BA">
      <w:pPr>
        <w:spacing w:line="360" w:lineRule="auto"/>
        <w:ind w:firstLine="420" w:firstLineChars="200"/>
        <w:rPr>
          <w:sz w:val="21"/>
          <w:szCs w:val="21"/>
        </w:rPr>
      </w:pPr>
      <w:r>
        <w:rPr>
          <w:sz w:val="21"/>
          <w:szCs w:val="21"/>
        </w:rPr>
        <w:t>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7CD7E0E4">
      <w:pPr>
        <w:spacing w:line="360" w:lineRule="auto"/>
        <w:ind w:firstLine="420" w:firstLineChars="200"/>
        <w:rPr>
          <w:sz w:val="21"/>
          <w:szCs w:val="21"/>
        </w:rPr>
      </w:pPr>
      <w:r>
        <w:rPr>
          <w:rFonts w:hint="eastAsia"/>
          <w:sz w:val="21"/>
          <w:szCs w:val="21"/>
        </w:rPr>
        <w:t>4.2</w:t>
      </w:r>
      <w:r>
        <w:rPr>
          <w:sz w:val="21"/>
          <w:szCs w:val="21"/>
        </w:rPr>
        <w:t>电子竞标具体操作流程参考《政府采购项目电子交易管理操作指南-供应商》（详见桂林市政</w:t>
      </w:r>
    </w:p>
    <w:p w14:paraId="21BFD52B">
      <w:pPr>
        <w:spacing w:line="360" w:lineRule="auto"/>
        <w:ind w:firstLine="420" w:firstLineChars="200"/>
        <w:rPr>
          <w:sz w:val="21"/>
          <w:szCs w:val="21"/>
        </w:rPr>
      </w:pPr>
      <w:r>
        <w:rPr>
          <w:sz w:val="21"/>
          <w:szCs w:val="21"/>
        </w:rPr>
        <w:t>府采购网—采购资讯—重要通知）；如遇平台技术问题详询95763。</w:t>
      </w:r>
    </w:p>
    <w:p w14:paraId="2258445C">
      <w:pPr>
        <w:spacing w:line="360" w:lineRule="auto"/>
        <w:ind w:firstLine="420" w:firstLineChars="200"/>
        <w:rPr>
          <w:sz w:val="21"/>
          <w:szCs w:val="21"/>
        </w:rPr>
      </w:pPr>
      <w:r>
        <w:rPr>
          <w:rFonts w:hint="eastAsia"/>
          <w:sz w:val="21"/>
          <w:szCs w:val="21"/>
        </w:rPr>
        <w:t>4.3</w:t>
      </w:r>
      <w:r>
        <w:rPr>
          <w:sz w:val="21"/>
          <w:szCs w:val="21"/>
        </w:rPr>
        <w:t>不论磋商结果如何，供应商均应自行承担所有与磋商有关的全部费用。</w:t>
      </w:r>
    </w:p>
    <w:p w14:paraId="27758CDC">
      <w:pPr>
        <w:spacing w:line="360" w:lineRule="auto"/>
        <w:ind w:firstLine="422" w:firstLineChars="200"/>
        <w:rPr>
          <w:b/>
          <w:bCs/>
          <w:sz w:val="21"/>
          <w:szCs w:val="21"/>
        </w:rPr>
      </w:pPr>
      <w:r>
        <w:rPr>
          <w:rFonts w:hint="eastAsia"/>
          <w:b/>
          <w:bCs/>
          <w:sz w:val="21"/>
          <w:szCs w:val="21"/>
        </w:rPr>
        <w:t>5.</w:t>
      </w:r>
      <w:r>
        <w:rPr>
          <w:b/>
          <w:bCs/>
          <w:sz w:val="21"/>
          <w:szCs w:val="21"/>
        </w:rPr>
        <w:t>联合体要求：</w:t>
      </w:r>
    </w:p>
    <w:p w14:paraId="15F3777A">
      <w:pPr>
        <w:spacing w:line="360" w:lineRule="auto"/>
        <w:ind w:firstLine="420" w:firstLineChars="200"/>
        <w:rPr>
          <w:sz w:val="21"/>
          <w:szCs w:val="21"/>
        </w:rPr>
      </w:pPr>
      <w:r>
        <w:rPr>
          <w:sz w:val="21"/>
          <w:szCs w:val="21"/>
        </w:rPr>
        <w:t>本项目不接受联合体参与磋商。</w:t>
      </w:r>
    </w:p>
    <w:p w14:paraId="5D6D15FD">
      <w:pPr>
        <w:spacing w:line="360" w:lineRule="auto"/>
        <w:ind w:firstLine="422" w:firstLineChars="200"/>
        <w:rPr>
          <w:b/>
          <w:bCs/>
          <w:sz w:val="21"/>
          <w:szCs w:val="21"/>
        </w:rPr>
      </w:pPr>
      <w:r>
        <w:rPr>
          <w:b/>
          <w:bCs/>
          <w:sz w:val="21"/>
          <w:szCs w:val="21"/>
        </w:rPr>
        <w:t>6.质疑和投诉</w:t>
      </w:r>
    </w:p>
    <w:p w14:paraId="41F5F07D">
      <w:pPr>
        <w:spacing w:line="360" w:lineRule="auto"/>
        <w:ind w:firstLine="420" w:firstLineChars="200"/>
        <w:rPr>
          <w:sz w:val="21"/>
          <w:szCs w:val="21"/>
        </w:rPr>
      </w:pPr>
      <w:r>
        <w:rPr>
          <w:rFonts w:hint="eastAsia"/>
          <w:sz w:val="21"/>
          <w:szCs w:val="21"/>
        </w:rPr>
        <w:t>6.1</w:t>
      </w:r>
      <w:r>
        <w:rPr>
          <w:sz w:val="21"/>
          <w:szCs w:val="21"/>
        </w:rPr>
        <w:t>供应商认为磋商文件使自己的合法权益受到损害的，应当于本项目公告期限届满之日起七个工作日内，以书面形式向采购代理机构提出质疑；供应商认为采购过程或成交结果使自己的合法权益受到损害的，应当在各采购程序环节结束之日或成交公告期限届满之日起七个工作日内，以书面形式向采购代理机构提出质疑。否则，采购代理机构有权拒收。</w:t>
      </w:r>
    </w:p>
    <w:p w14:paraId="41B0936C">
      <w:pPr>
        <w:spacing w:line="360" w:lineRule="auto"/>
        <w:ind w:firstLine="420" w:firstLineChars="200"/>
        <w:rPr>
          <w:sz w:val="21"/>
          <w:szCs w:val="21"/>
        </w:rPr>
      </w:pPr>
      <w:r>
        <w:rPr>
          <w:sz w:val="21"/>
          <w:szCs w:val="21"/>
        </w:rPr>
        <w:t>采购代理机构应认真做好质疑处理工作，对于质疑供应商在法定质疑期内提出的质疑函，应当在收到质疑函后7个工作日内作出答复，并以书面形式通知质疑供应商和其他有关供应商。</w:t>
      </w:r>
    </w:p>
    <w:p w14:paraId="41F0ABC5">
      <w:pPr>
        <w:spacing w:line="360" w:lineRule="auto"/>
        <w:ind w:firstLine="420" w:firstLineChars="200"/>
        <w:rPr>
          <w:sz w:val="21"/>
          <w:szCs w:val="21"/>
        </w:rPr>
      </w:pPr>
      <w:r>
        <w:rPr>
          <w:sz w:val="21"/>
          <w:szCs w:val="21"/>
        </w:rPr>
        <w:t>供应商在法定质疑期内应一次性提出与项目相关的质疑，供应商在提出与项目相关的质疑前应当做好全面且详细的工作，代理机构不再受理供应商针对同一采购程序环节的再次质疑。</w:t>
      </w:r>
      <w:r>
        <w:rPr>
          <w:rFonts w:hint="eastAsia"/>
          <w:sz w:val="21"/>
          <w:szCs w:val="21"/>
        </w:rPr>
        <w:t>（</w:t>
      </w:r>
      <w:r>
        <w:rPr>
          <w:rFonts w:hint="eastAsia"/>
          <w:b/>
          <w:bCs/>
          <w:sz w:val="21"/>
          <w:szCs w:val="21"/>
        </w:rPr>
        <w:t>“质疑函”格式详见附表1</w:t>
      </w:r>
      <w:r>
        <w:rPr>
          <w:rFonts w:hint="eastAsia"/>
          <w:sz w:val="21"/>
          <w:szCs w:val="21"/>
        </w:rPr>
        <w:t>）</w:t>
      </w:r>
    </w:p>
    <w:p w14:paraId="735DE920">
      <w:pPr>
        <w:spacing w:line="360" w:lineRule="auto"/>
        <w:ind w:firstLine="420" w:firstLineChars="200"/>
        <w:rPr>
          <w:sz w:val="21"/>
          <w:szCs w:val="21"/>
        </w:rPr>
      </w:pPr>
      <w:r>
        <w:rPr>
          <w:rFonts w:hint="eastAsia"/>
          <w:sz w:val="21"/>
          <w:szCs w:val="21"/>
        </w:rPr>
        <w:t>6.2</w:t>
      </w:r>
      <w:r>
        <w:rPr>
          <w:sz w:val="21"/>
          <w:szCs w:val="21"/>
        </w:rPr>
        <w:t>供应商对采购代理机构的质疑答复不满意或者采购代理机构未在规定的时间内作出答复的，可以在答复期满后十五个工作日内向行政监督管理机构投诉。</w:t>
      </w:r>
      <w:r>
        <w:rPr>
          <w:rFonts w:hint="eastAsia"/>
          <w:sz w:val="21"/>
          <w:szCs w:val="21"/>
        </w:rPr>
        <w:t>（</w:t>
      </w:r>
      <w:r>
        <w:rPr>
          <w:rFonts w:hint="eastAsia"/>
          <w:b/>
          <w:bCs/>
          <w:sz w:val="21"/>
          <w:szCs w:val="21"/>
        </w:rPr>
        <w:t>“投诉函”格式详见附表2</w:t>
      </w:r>
      <w:r>
        <w:rPr>
          <w:rFonts w:hint="eastAsia"/>
          <w:sz w:val="21"/>
          <w:szCs w:val="21"/>
        </w:rPr>
        <w:t>）</w:t>
      </w:r>
    </w:p>
    <w:p w14:paraId="140EC4AD">
      <w:pPr>
        <w:spacing w:line="360" w:lineRule="auto"/>
        <w:ind w:firstLine="420" w:firstLineChars="200"/>
        <w:rPr>
          <w:sz w:val="21"/>
          <w:szCs w:val="21"/>
        </w:rPr>
      </w:pPr>
      <w:r>
        <w:rPr>
          <w:rFonts w:hint="eastAsia"/>
          <w:sz w:val="21"/>
          <w:szCs w:val="21"/>
        </w:rPr>
        <w:t>6.3</w:t>
      </w:r>
      <w:r>
        <w:rPr>
          <w:sz w:val="21"/>
          <w:szCs w:val="21"/>
        </w:rPr>
        <w:t>质疑、投诉应当采用书面形式，质疑书、投诉书实行实名制，均应明确阐述磋商文件、磋商过程或成交结果中使自己合法权益受到损害的实质性内容，并提供必要的证明材料。</w:t>
      </w:r>
    </w:p>
    <w:p w14:paraId="281453FC">
      <w:pPr>
        <w:spacing w:line="360" w:lineRule="auto"/>
        <w:ind w:firstLine="420" w:firstLineChars="200"/>
        <w:rPr>
          <w:sz w:val="21"/>
          <w:szCs w:val="21"/>
        </w:rPr>
      </w:pPr>
      <w:r>
        <w:rPr>
          <w:sz w:val="21"/>
          <w:szCs w:val="21"/>
        </w:rPr>
        <w:t>供应商提出质疑应当提交质疑函和必要的证明材料，针对同一采购程序环节的质疑必须在法定质疑期内一次性提出。质疑函应当包括下列内容：</w:t>
      </w:r>
    </w:p>
    <w:p w14:paraId="59E42A2E">
      <w:pPr>
        <w:spacing w:line="360" w:lineRule="auto"/>
        <w:ind w:firstLine="420" w:firstLineChars="200"/>
        <w:rPr>
          <w:sz w:val="21"/>
          <w:szCs w:val="21"/>
        </w:rPr>
      </w:pPr>
      <w:r>
        <w:rPr>
          <w:rFonts w:hint="eastAsia"/>
          <w:sz w:val="21"/>
          <w:szCs w:val="21"/>
        </w:rPr>
        <w:t>（1）</w:t>
      </w:r>
      <w:r>
        <w:rPr>
          <w:sz w:val="21"/>
          <w:szCs w:val="21"/>
        </w:rPr>
        <w:t>供应商的姓名或者名称、地址、邮编、联系人及联系电话；</w:t>
      </w:r>
    </w:p>
    <w:p w14:paraId="2C017E23">
      <w:pPr>
        <w:spacing w:line="360" w:lineRule="auto"/>
        <w:ind w:firstLine="420" w:firstLineChars="200"/>
        <w:rPr>
          <w:sz w:val="21"/>
          <w:szCs w:val="21"/>
        </w:rPr>
      </w:pPr>
      <w:r>
        <w:rPr>
          <w:rFonts w:hint="eastAsia"/>
          <w:sz w:val="21"/>
          <w:szCs w:val="21"/>
        </w:rPr>
        <w:t>（2）</w:t>
      </w:r>
      <w:r>
        <w:rPr>
          <w:sz w:val="21"/>
          <w:szCs w:val="21"/>
        </w:rPr>
        <w:t>质疑项目的名称、编号；</w:t>
      </w:r>
    </w:p>
    <w:p w14:paraId="451FC955">
      <w:pPr>
        <w:spacing w:line="360" w:lineRule="auto"/>
        <w:ind w:firstLine="420" w:firstLineChars="200"/>
        <w:rPr>
          <w:sz w:val="21"/>
          <w:szCs w:val="21"/>
        </w:rPr>
      </w:pPr>
      <w:r>
        <w:rPr>
          <w:rFonts w:hint="eastAsia"/>
          <w:sz w:val="21"/>
          <w:szCs w:val="21"/>
        </w:rPr>
        <w:t>（3）</w:t>
      </w:r>
      <w:r>
        <w:rPr>
          <w:sz w:val="21"/>
          <w:szCs w:val="21"/>
        </w:rPr>
        <w:t>具体、明确的质疑事项和与质疑事项相关的请求；</w:t>
      </w:r>
    </w:p>
    <w:p w14:paraId="570FA861">
      <w:pPr>
        <w:spacing w:line="360" w:lineRule="auto"/>
        <w:ind w:firstLine="420" w:firstLineChars="200"/>
        <w:rPr>
          <w:sz w:val="21"/>
          <w:szCs w:val="21"/>
        </w:rPr>
      </w:pPr>
      <w:r>
        <w:rPr>
          <w:rFonts w:hint="eastAsia"/>
          <w:sz w:val="21"/>
          <w:szCs w:val="21"/>
        </w:rPr>
        <w:t>（4）</w:t>
      </w:r>
      <w:r>
        <w:rPr>
          <w:sz w:val="21"/>
          <w:szCs w:val="21"/>
        </w:rPr>
        <w:t>事实依据；</w:t>
      </w:r>
    </w:p>
    <w:p w14:paraId="750CFD09">
      <w:pPr>
        <w:spacing w:line="360" w:lineRule="auto"/>
        <w:ind w:firstLine="420" w:firstLineChars="200"/>
        <w:rPr>
          <w:sz w:val="21"/>
          <w:szCs w:val="21"/>
        </w:rPr>
      </w:pPr>
      <w:r>
        <w:rPr>
          <w:rFonts w:hint="eastAsia"/>
          <w:sz w:val="21"/>
          <w:szCs w:val="21"/>
        </w:rPr>
        <w:t>（5）</w:t>
      </w:r>
      <w:r>
        <w:rPr>
          <w:sz w:val="21"/>
          <w:szCs w:val="21"/>
        </w:rPr>
        <w:t>必要的法律依据；</w:t>
      </w:r>
    </w:p>
    <w:p w14:paraId="712BE3C4">
      <w:pPr>
        <w:spacing w:line="360" w:lineRule="auto"/>
        <w:ind w:firstLine="420" w:firstLineChars="200"/>
        <w:rPr>
          <w:sz w:val="21"/>
          <w:szCs w:val="21"/>
        </w:rPr>
      </w:pPr>
      <w:r>
        <w:rPr>
          <w:rFonts w:hint="eastAsia"/>
          <w:sz w:val="21"/>
          <w:szCs w:val="21"/>
        </w:rPr>
        <w:t>（6）</w:t>
      </w:r>
      <w:r>
        <w:rPr>
          <w:sz w:val="21"/>
          <w:szCs w:val="21"/>
        </w:rPr>
        <w:t>提出质疑的日期。</w:t>
      </w:r>
    </w:p>
    <w:p w14:paraId="00D9EE7D">
      <w:pPr>
        <w:spacing w:line="360" w:lineRule="auto"/>
        <w:ind w:firstLine="420" w:firstLineChars="200"/>
        <w:rPr>
          <w:sz w:val="21"/>
          <w:szCs w:val="21"/>
        </w:rPr>
      </w:pPr>
      <w:r>
        <w:rPr>
          <w:sz w:val="21"/>
          <w:szCs w:val="21"/>
        </w:rPr>
        <w:t>供应商为自然人的，应当由本人签字；供应商为法人或者其他组织的，应当由法定代表人、主要负责人，或者其授权代表签字或者盖章，并加盖公章。</w:t>
      </w:r>
    </w:p>
    <w:p w14:paraId="095CD68B">
      <w:pPr>
        <w:spacing w:line="360" w:lineRule="auto"/>
        <w:ind w:firstLine="420" w:firstLineChars="200"/>
        <w:rPr>
          <w:sz w:val="21"/>
          <w:szCs w:val="21"/>
        </w:rPr>
      </w:pPr>
      <w:r>
        <w:rPr>
          <w:sz w:val="21"/>
          <w:szCs w:val="21"/>
        </w:rPr>
        <w:t>接收质疑函方式：以书面形式</w:t>
      </w:r>
    </w:p>
    <w:p w14:paraId="777C06B8">
      <w:pPr>
        <w:spacing w:line="360" w:lineRule="auto"/>
        <w:ind w:firstLine="422" w:firstLineChars="200"/>
        <w:rPr>
          <w:b/>
          <w:bCs/>
          <w:sz w:val="21"/>
          <w:szCs w:val="21"/>
        </w:rPr>
      </w:pPr>
      <w:r>
        <w:rPr>
          <w:b/>
          <w:bCs/>
          <w:sz w:val="21"/>
          <w:szCs w:val="21"/>
        </w:rPr>
        <w:t>7.转包与分包</w:t>
      </w:r>
    </w:p>
    <w:p w14:paraId="46AB7888">
      <w:pPr>
        <w:spacing w:line="360" w:lineRule="auto"/>
        <w:ind w:firstLine="420" w:firstLineChars="200"/>
        <w:rPr>
          <w:sz w:val="21"/>
          <w:szCs w:val="21"/>
        </w:rPr>
      </w:pPr>
      <w:r>
        <w:rPr>
          <w:rFonts w:hint="eastAsia"/>
          <w:sz w:val="21"/>
          <w:szCs w:val="21"/>
        </w:rPr>
        <w:t>7.1</w:t>
      </w:r>
      <w:r>
        <w:rPr>
          <w:sz w:val="21"/>
          <w:szCs w:val="21"/>
        </w:rPr>
        <w:t>本项目不允许转包。</w:t>
      </w:r>
    </w:p>
    <w:p w14:paraId="544CF999">
      <w:pPr>
        <w:spacing w:line="360" w:lineRule="auto"/>
        <w:ind w:firstLine="420" w:firstLineChars="200"/>
        <w:rPr>
          <w:sz w:val="21"/>
          <w:szCs w:val="21"/>
        </w:rPr>
      </w:pPr>
      <w:r>
        <w:rPr>
          <w:rFonts w:hint="eastAsia"/>
          <w:sz w:val="21"/>
          <w:szCs w:val="21"/>
        </w:rPr>
        <w:t>7.2</w:t>
      </w:r>
      <w:r>
        <w:rPr>
          <w:sz w:val="21"/>
          <w:szCs w:val="21"/>
        </w:rPr>
        <w:t>本项目可以分包</w:t>
      </w:r>
      <w:r>
        <w:rPr>
          <w:rFonts w:hint="eastAsia"/>
          <w:sz w:val="21"/>
          <w:szCs w:val="21"/>
        </w:rPr>
        <w:t>（交通安全设施工程量部分）</w:t>
      </w:r>
      <w:r>
        <w:rPr>
          <w:sz w:val="21"/>
          <w:szCs w:val="21"/>
        </w:rPr>
        <w:t>。</w:t>
      </w:r>
    </w:p>
    <w:p w14:paraId="5BDFA6BE">
      <w:pPr>
        <w:spacing w:line="360" w:lineRule="auto"/>
        <w:ind w:firstLine="422" w:firstLineChars="200"/>
        <w:rPr>
          <w:b/>
          <w:bCs/>
          <w:sz w:val="21"/>
          <w:szCs w:val="21"/>
        </w:rPr>
      </w:pPr>
      <w:r>
        <w:rPr>
          <w:b/>
          <w:bCs/>
          <w:sz w:val="21"/>
          <w:szCs w:val="21"/>
        </w:rPr>
        <w:t>8.特别说明</w:t>
      </w:r>
    </w:p>
    <w:p w14:paraId="5157A025">
      <w:pPr>
        <w:spacing w:line="360" w:lineRule="auto"/>
        <w:ind w:firstLine="420" w:firstLineChars="200"/>
        <w:rPr>
          <w:sz w:val="21"/>
          <w:szCs w:val="21"/>
        </w:rPr>
      </w:pPr>
      <w:r>
        <w:rPr>
          <w:sz w:val="21"/>
          <w:szCs w:val="21"/>
        </w:rPr>
        <w:t>关联供应商不得参加同一合同项下政府采购活动，否则响应文件将被视为无效：</w:t>
      </w:r>
    </w:p>
    <w:p w14:paraId="71555EF8">
      <w:pPr>
        <w:spacing w:line="360" w:lineRule="auto"/>
        <w:ind w:firstLine="420" w:firstLineChars="200"/>
        <w:rPr>
          <w:sz w:val="21"/>
          <w:szCs w:val="21"/>
        </w:rPr>
      </w:pPr>
      <w:r>
        <w:rPr>
          <w:rFonts w:hint="eastAsia"/>
          <w:sz w:val="21"/>
          <w:szCs w:val="21"/>
        </w:rPr>
        <w:t>（1）</w:t>
      </w:r>
      <w:r>
        <w:rPr>
          <w:sz w:val="21"/>
          <w:szCs w:val="21"/>
        </w:rPr>
        <w:t>单位负责人为同一人或者存在直接控股、管理关系的不同供应商，不得参加同一合同项下的政府采购活动。</w:t>
      </w:r>
    </w:p>
    <w:p w14:paraId="2320DC5F">
      <w:pPr>
        <w:spacing w:line="360" w:lineRule="auto"/>
        <w:ind w:firstLine="420" w:firstLineChars="200"/>
        <w:rPr>
          <w:sz w:val="21"/>
          <w:szCs w:val="21"/>
        </w:rPr>
      </w:pPr>
      <w:r>
        <w:rPr>
          <w:rFonts w:hint="eastAsia"/>
          <w:sz w:val="21"/>
          <w:szCs w:val="21"/>
        </w:rPr>
        <w:t>（2）</w:t>
      </w:r>
      <w:r>
        <w:rPr>
          <w:sz w:val="21"/>
          <w:szCs w:val="21"/>
        </w:rPr>
        <w:t>为本采购项目提供整体设计、规范编制或者项目管理、监理、检测等服务的供应商，不得再参加本次采购活动。</w:t>
      </w:r>
    </w:p>
    <w:p w14:paraId="08748C74">
      <w:pPr>
        <w:pStyle w:val="12"/>
        <w:spacing w:before="6"/>
        <w:ind w:firstLine="381"/>
        <w:rPr>
          <w:sz w:val="19"/>
        </w:rPr>
      </w:pPr>
    </w:p>
    <w:p w14:paraId="58C31682">
      <w:pPr>
        <w:pStyle w:val="5"/>
        <w:spacing w:before="62"/>
        <w:ind w:left="897" w:right="780" w:firstLine="562"/>
        <w:jc w:val="center"/>
      </w:pPr>
      <w:r>
        <w:t>二、磋商文件</w:t>
      </w:r>
    </w:p>
    <w:p w14:paraId="35A90D41">
      <w:pPr>
        <w:spacing w:line="360" w:lineRule="auto"/>
        <w:ind w:firstLine="422" w:firstLineChars="200"/>
        <w:rPr>
          <w:b/>
          <w:bCs/>
          <w:sz w:val="21"/>
          <w:szCs w:val="21"/>
        </w:rPr>
      </w:pPr>
      <w:r>
        <w:rPr>
          <w:b/>
          <w:bCs/>
          <w:sz w:val="21"/>
          <w:szCs w:val="21"/>
        </w:rPr>
        <w:t>9.磋商文件的构成</w:t>
      </w:r>
    </w:p>
    <w:p w14:paraId="4894D47A">
      <w:pPr>
        <w:spacing w:line="360" w:lineRule="auto"/>
        <w:ind w:firstLine="420" w:firstLineChars="200"/>
        <w:rPr>
          <w:sz w:val="21"/>
          <w:szCs w:val="21"/>
        </w:rPr>
      </w:pPr>
      <w:r>
        <w:rPr>
          <w:sz w:val="21"/>
          <w:szCs w:val="21"/>
        </w:rPr>
        <w:t>（1）竞争性磋商公告；</w:t>
      </w:r>
    </w:p>
    <w:p w14:paraId="7FFFBE05">
      <w:pPr>
        <w:spacing w:line="360" w:lineRule="auto"/>
        <w:ind w:firstLine="420" w:firstLineChars="200"/>
        <w:rPr>
          <w:sz w:val="21"/>
          <w:szCs w:val="21"/>
        </w:rPr>
      </w:pPr>
      <w:r>
        <w:rPr>
          <w:sz w:val="21"/>
          <w:szCs w:val="21"/>
        </w:rPr>
        <w:t>（2）供应商须知；</w:t>
      </w:r>
    </w:p>
    <w:p w14:paraId="19F9DAAD">
      <w:pPr>
        <w:spacing w:line="360" w:lineRule="auto"/>
        <w:ind w:firstLine="420" w:firstLineChars="200"/>
        <w:rPr>
          <w:sz w:val="21"/>
          <w:szCs w:val="21"/>
        </w:rPr>
      </w:pPr>
      <w:r>
        <w:rPr>
          <w:sz w:val="21"/>
          <w:szCs w:val="21"/>
        </w:rPr>
        <w:t>（3）</w:t>
      </w:r>
      <w:r>
        <w:rPr>
          <w:rFonts w:hint="eastAsia"/>
          <w:sz w:val="21"/>
          <w:szCs w:val="21"/>
        </w:rPr>
        <w:t>采购</w:t>
      </w:r>
      <w:r>
        <w:rPr>
          <w:sz w:val="21"/>
          <w:szCs w:val="21"/>
        </w:rPr>
        <w:t>需求；</w:t>
      </w:r>
    </w:p>
    <w:p w14:paraId="35D9BAA8">
      <w:pPr>
        <w:spacing w:line="360" w:lineRule="auto"/>
        <w:ind w:firstLine="420" w:firstLineChars="200"/>
        <w:rPr>
          <w:sz w:val="21"/>
          <w:szCs w:val="21"/>
        </w:rPr>
      </w:pPr>
      <w:r>
        <w:rPr>
          <w:sz w:val="21"/>
          <w:szCs w:val="21"/>
        </w:rPr>
        <w:t>（4）评审办法；</w:t>
      </w:r>
    </w:p>
    <w:p w14:paraId="114C2FFE">
      <w:pPr>
        <w:spacing w:line="360" w:lineRule="auto"/>
        <w:ind w:firstLine="420" w:firstLineChars="200"/>
        <w:rPr>
          <w:sz w:val="21"/>
          <w:szCs w:val="21"/>
        </w:rPr>
      </w:pPr>
      <w:r>
        <w:rPr>
          <w:sz w:val="21"/>
          <w:szCs w:val="21"/>
        </w:rPr>
        <w:t>（5）合同主要条款及格式；</w:t>
      </w:r>
    </w:p>
    <w:p w14:paraId="202B882F">
      <w:pPr>
        <w:spacing w:line="360" w:lineRule="auto"/>
        <w:ind w:firstLine="420" w:firstLineChars="200"/>
        <w:rPr>
          <w:sz w:val="21"/>
          <w:szCs w:val="21"/>
        </w:rPr>
      </w:pPr>
      <w:r>
        <w:rPr>
          <w:sz w:val="21"/>
          <w:szCs w:val="21"/>
        </w:rPr>
        <w:t>（6）</w:t>
      </w:r>
      <w:r>
        <w:rPr>
          <w:rFonts w:hint="eastAsia"/>
          <w:sz w:val="21"/>
          <w:szCs w:val="21"/>
        </w:rPr>
        <w:t>工程量清单；</w:t>
      </w:r>
    </w:p>
    <w:p w14:paraId="7AE9478E">
      <w:pPr>
        <w:spacing w:line="360" w:lineRule="auto"/>
        <w:ind w:firstLine="420" w:firstLineChars="200"/>
        <w:rPr>
          <w:sz w:val="21"/>
          <w:szCs w:val="21"/>
        </w:rPr>
      </w:pPr>
      <w:r>
        <w:rPr>
          <w:sz w:val="21"/>
          <w:szCs w:val="21"/>
        </w:rPr>
        <w:t>（7）</w:t>
      </w:r>
      <w:r>
        <w:rPr>
          <w:rFonts w:hint="eastAsia"/>
          <w:sz w:val="21"/>
          <w:szCs w:val="21"/>
        </w:rPr>
        <w:t>图纸；</w:t>
      </w:r>
    </w:p>
    <w:p w14:paraId="60659A1E">
      <w:pPr>
        <w:spacing w:line="360" w:lineRule="auto"/>
        <w:ind w:firstLine="420" w:firstLineChars="200"/>
        <w:rPr>
          <w:sz w:val="21"/>
          <w:szCs w:val="21"/>
        </w:rPr>
      </w:pPr>
      <w:r>
        <w:rPr>
          <w:sz w:val="21"/>
          <w:szCs w:val="21"/>
        </w:rPr>
        <w:t>（8）响应文件（格式）。</w:t>
      </w:r>
    </w:p>
    <w:p w14:paraId="1B8BE63E">
      <w:pPr>
        <w:spacing w:line="360" w:lineRule="auto"/>
        <w:ind w:firstLine="422" w:firstLineChars="200"/>
        <w:rPr>
          <w:b/>
          <w:bCs/>
          <w:sz w:val="21"/>
          <w:szCs w:val="21"/>
        </w:rPr>
      </w:pPr>
      <w:r>
        <w:rPr>
          <w:b/>
          <w:bCs/>
          <w:sz w:val="21"/>
          <w:szCs w:val="21"/>
        </w:rPr>
        <w:t>10.磋商文件的澄清与修改</w:t>
      </w:r>
    </w:p>
    <w:p w14:paraId="19F64EB3">
      <w:pPr>
        <w:spacing w:line="360" w:lineRule="auto"/>
        <w:ind w:firstLine="420" w:firstLineChars="200"/>
        <w:rPr>
          <w:sz w:val="21"/>
          <w:szCs w:val="21"/>
        </w:rPr>
      </w:pPr>
      <w:r>
        <w:rPr>
          <w:rFonts w:hint="eastAsia"/>
          <w:sz w:val="21"/>
          <w:szCs w:val="21"/>
        </w:rPr>
        <w:t>10.1</w:t>
      </w:r>
      <w:r>
        <w:rPr>
          <w:sz w:val="21"/>
          <w:szCs w:val="21"/>
        </w:rPr>
        <w:t>提交首次响应文件截止之日前，采购代理机构可以对已发出的磋商文件进行必要澄清或者修改，澄清或者修改的内容可能影响响应文件编制的，采购代理机构应当在提交首次响应文件提交截止时间五日前在本项目竞争性磋商公告发布的同一媒体上发布更正公告，不足五日的，应当顺延首次响应文件提交截止时间。</w:t>
      </w:r>
    </w:p>
    <w:p w14:paraId="50B775CF">
      <w:pPr>
        <w:spacing w:line="360" w:lineRule="auto"/>
        <w:ind w:firstLine="420" w:firstLineChars="200"/>
        <w:rPr>
          <w:sz w:val="21"/>
          <w:szCs w:val="21"/>
        </w:rPr>
      </w:pPr>
      <w:r>
        <w:rPr>
          <w:rFonts w:hint="eastAsia"/>
          <w:sz w:val="21"/>
          <w:szCs w:val="21"/>
        </w:rPr>
        <w:t>10.2</w:t>
      </w:r>
      <w:r>
        <w:rPr>
          <w:sz w:val="21"/>
          <w:szCs w:val="21"/>
        </w:rPr>
        <w:t>供应商应实时关注本项目信息公告发布媒体相关网站了解澄清、修改等与项目有关的内容，如因供应商未及时登录本项目信息公告发布媒体相关网站了解澄清、修改等与项目有关的内容，从而导致响应文件无效的，由供应商自行承担责任。</w:t>
      </w:r>
    </w:p>
    <w:p w14:paraId="307AEF60">
      <w:pPr>
        <w:spacing w:line="360" w:lineRule="auto"/>
        <w:ind w:firstLine="420" w:firstLineChars="200"/>
        <w:rPr>
          <w:sz w:val="21"/>
          <w:szCs w:val="21"/>
        </w:rPr>
      </w:pPr>
      <w:r>
        <w:rPr>
          <w:rFonts w:hint="eastAsia"/>
          <w:sz w:val="21"/>
          <w:szCs w:val="21"/>
        </w:rPr>
        <w:t>10.3</w:t>
      </w:r>
      <w:r>
        <w:rPr>
          <w:sz w:val="21"/>
          <w:szCs w:val="21"/>
        </w:rPr>
        <w:t>澄清或者修改的内容为磋商文件的组成部分。当澄清或者修改通知就同一内容的表述不一致时，以最后发出的书面文件为准。</w:t>
      </w:r>
    </w:p>
    <w:p w14:paraId="7C18545A">
      <w:pPr>
        <w:spacing w:line="360" w:lineRule="auto"/>
        <w:ind w:firstLine="420" w:firstLineChars="200"/>
        <w:rPr>
          <w:sz w:val="21"/>
          <w:szCs w:val="21"/>
        </w:rPr>
      </w:pPr>
      <w:r>
        <w:rPr>
          <w:rFonts w:hint="eastAsia"/>
          <w:sz w:val="21"/>
          <w:szCs w:val="21"/>
        </w:rPr>
        <w:t>10.4</w:t>
      </w:r>
      <w:r>
        <w:rPr>
          <w:sz w:val="21"/>
          <w:szCs w:val="21"/>
        </w:rPr>
        <w:t>磋商文件的澄清或者修改都应该通过本项目采购代理机构以法定形式发布，采购人非通过本机构，不得擅自澄清、答复、修改或补充磋商文件。</w:t>
      </w:r>
    </w:p>
    <w:p w14:paraId="4D7B8A5F">
      <w:pPr>
        <w:spacing w:line="360" w:lineRule="auto"/>
        <w:ind w:firstLine="420" w:firstLineChars="200"/>
        <w:rPr>
          <w:sz w:val="21"/>
          <w:szCs w:val="21"/>
        </w:rPr>
      </w:pPr>
      <w:r>
        <w:rPr>
          <w:rFonts w:hint="eastAsia"/>
          <w:sz w:val="21"/>
          <w:szCs w:val="21"/>
        </w:rPr>
        <w:t>10.5</w:t>
      </w:r>
      <w:r>
        <w:rPr>
          <w:sz w:val="21"/>
          <w:szCs w:val="21"/>
        </w:rPr>
        <w:t>采购代理机构可以视采购具体情况，延长响应文件提交截止时间和磋商时间，并在本项目竞争性磋商公告发布的同一媒体上发布变更公告。</w:t>
      </w:r>
    </w:p>
    <w:p w14:paraId="7D30A2D2">
      <w:pPr>
        <w:pStyle w:val="12"/>
        <w:spacing w:before="1"/>
        <w:ind w:firstLine="482"/>
        <w:rPr>
          <w:sz w:val="24"/>
        </w:rPr>
      </w:pPr>
    </w:p>
    <w:p w14:paraId="04CE9CFB">
      <w:pPr>
        <w:pStyle w:val="5"/>
        <w:spacing w:line="360" w:lineRule="auto"/>
        <w:ind w:left="894" w:right="780" w:firstLine="562"/>
        <w:jc w:val="center"/>
      </w:pPr>
      <w:r>
        <w:t>三、响应文件的编制</w:t>
      </w:r>
    </w:p>
    <w:p w14:paraId="6F34AE9F">
      <w:pPr>
        <w:spacing w:line="360" w:lineRule="auto"/>
        <w:ind w:firstLine="422" w:firstLineChars="200"/>
        <w:rPr>
          <w:b/>
          <w:bCs/>
          <w:sz w:val="21"/>
          <w:szCs w:val="21"/>
        </w:rPr>
      </w:pPr>
      <w:r>
        <w:rPr>
          <w:rFonts w:hint="eastAsia"/>
          <w:b/>
          <w:bCs/>
          <w:sz w:val="21"/>
          <w:szCs w:val="21"/>
        </w:rPr>
        <w:t>11.响应文件（以下简称响应文件）的组成及要求</w:t>
      </w:r>
    </w:p>
    <w:p w14:paraId="743E9374">
      <w:pPr>
        <w:spacing w:line="360" w:lineRule="auto"/>
        <w:ind w:firstLine="420" w:firstLineChars="200"/>
        <w:rPr>
          <w:sz w:val="21"/>
          <w:szCs w:val="21"/>
        </w:rPr>
      </w:pPr>
      <w:r>
        <w:rPr>
          <w:rFonts w:hint="eastAsia"/>
          <w:sz w:val="21"/>
          <w:szCs w:val="21"/>
        </w:rPr>
        <w:t>11.1响应文件组成【格式见第六章“响应文件（格式）”】</w:t>
      </w:r>
    </w:p>
    <w:p w14:paraId="23172F76">
      <w:pPr>
        <w:spacing w:line="360" w:lineRule="auto"/>
        <w:ind w:firstLine="422" w:firstLineChars="200"/>
        <w:rPr>
          <w:b/>
          <w:bCs/>
          <w:sz w:val="21"/>
          <w:szCs w:val="21"/>
        </w:rPr>
      </w:pPr>
      <w:r>
        <w:rPr>
          <w:rFonts w:hint="eastAsia"/>
          <w:b/>
          <w:bCs/>
          <w:sz w:val="21"/>
          <w:szCs w:val="21"/>
        </w:rPr>
        <w:t>11.1.1资格性响应证明材料：</w:t>
      </w:r>
    </w:p>
    <w:p w14:paraId="04A991C2">
      <w:pPr>
        <w:spacing w:line="360" w:lineRule="auto"/>
        <w:ind w:firstLine="420" w:firstLineChars="200"/>
        <w:rPr>
          <w:sz w:val="21"/>
          <w:szCs w:val="21"/>
        </w:rPr>
      </w:pPr>
      <w:r>
        <w:rPr>
          <w:rFonts w:hint="eastAsia"/>
          <w:sz w:val="21"/>
          <w:szCs w:val="21"/>
        </w:rPr>
        <w:t>（1）供应商相应的法定代表人(负责人、自然人)身份证正反两面复印件（</w:t>
      </w:r>
      <w:r>
        <w:rPr>
          <w:rFonts w:hint="eastAsia"/>
          <w:b/>
          <w:bCs/>
          <w:sz w:val="21"/>
          <w:szCs w:val="21"/>
        </w:rPr>
        <w:t>必须提供</w:t>
      </w:r>
      <w:r>
        <w:rPr>
          <w:rFonts w:hint="eastAsia"/>
          <w:sz w:val="21"/>
          <w:szCs w:val="21"/>
        </w:rPr>
        <w:t>）；</w:t>
      </w:r>
    </w:p>
    <w:p w14:paraId="17C297F3">
      <w:pPr>
        <w:spacing w:line="360" w:lineRule="auto"/>
        <w:ind w:firstLine="420" w:firstLineChars="200"/>
        <w:rPr>
          <w:sz w:val="21"/>
          <w:szCs w:val="21"/>
        </w:rPr>
      </w:pPr>
      <w:r>
        <w:rPr>
          <w:rFonts w:hint="eastAsia"/>
          <w:sz w:val="21"/>
          <w:szCs w:val="21"/>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69DD292F">
      <w:pPr>
        <w:spacing w:line="360" w:lineRule="auto"/>
        <w:ind w:firstLine="420" w:firstLineChars="200"/>
        <w:rPr>
          <w:sz w:val="21"/>
          <w:szCs w:val="21"/>
        </w:rPr>
      </w:pPr>
      <w:r>
        <w:rPr>
          <w:rFonts w:hint="eastAsia"/>
          <w:sz w:val="21"/>
          <w:szCs w:val="21"/>
        </w:rPr>
        <w:t>①如供应商为截标时间前60日以内成立的公司，可以提供供应商与委托代理人签订的劳动合同复印件代替社保证明复印件；</w:t>
      </w:r>
    </w:p>
    <w:p w14:paraId="7575F617">
      <w:pPr>
        <w:spacing w:line="360" w:lineRule="auto"/>
        <w:ind w:firstLine="420" w:firstLineChars="200"/>
        <w:rPr>
          <w:sz w:val="21"/>
          <w:szCs w:val="21"/>
        </w:rPr>
      </w:pPr>
      <w:r>
        <w:rPr>
          <w:rFonts w:hint="eastAsia"/>
          <w:sz w:val="21"/>
          <w:szCs w:val="21"/>
        </w:rPr>
        <w:t>②如供应商为事业单位，可以提供事业单位机构编制管理证复印件或事业单位机构为其发放工资的工资条复印件代替社保证明复印件；</w:t>
      </w:r>
    </w:p>
    <w:p w14:paraId="42AD83B6">
      <w:pPr>
        <w:spacing w:line="360" w:lineRule="auto"/>
        <w:ind w:firstLine="420" w:firstLineChars="200"/>
        <w:rPr>
          <w:sz w:val="21"/>
          <w:szCs w:val="21"/>
        </w:rPr>
      </w:pPr>
      <w:r>
        <w:rPr>
          <w:rFonts w:hint="eastAsia"/>
          <w:sz w:val="21"/>
          <w:szCs w:val="21"/>
        </w:rPr>
        <w:t>③如委托代理人为免缴纳社保人员，提供免缴纳社保的证明材料复印件及供应商与委托代理人签订的劳动合同复印件代替社保证明复印件。</w:t>
      </w:r>
    </w:p>
    <w:p w14:paraId="25344173">
      <w:pPr>
        <w:spacing w:line="360" w:lineRule="auto"/>
        <w:ind w:firstLine="420" w:firstLineChars="200"/>
        <w:rPr>
          <w:sz w:val="21"/>
          <w:szCs w:val="21"/>
        </w:rPr>
      </w:pPr>
      <w:r>
        <w:rPr>
          <w:rFonts w:hint="eastAsia"/>
          <w:sz w:val="21"/>
          <w:szCs w:val="21"/>
        </w:rPr>
        <w:t>【属自然人的应提供由县级以上（含县级）社会养老保险经办机构出具的自然人本人及委托代理人所交纳的响应文件递交截止时间前半年内任意连续三个月社保证明复印件】（委托代理时必须提供）；</w:t>
      </w:r>
    </w:p>
    <w:p w14:paraId="54724BFD">
      <w:pPr>
        <w:spacing w:line="360" w:lineRule="auto"/>
        <w:ind w:firstLine="420" w:firstLineChars="200"/>
        <w:rPr>
          <w:sz w:val="21"/>
          <w:szCs w:val="21"/>
        </w:rPr>
      </w:pPr>
      <w:r>
        <w:rPr>
          <w:rFonts w:hint="eastAsia"/>
          <w:sz w:val="21"/>
          <w:szCs w:val="21"/>
        </w:rPr>
        <w:t>（3）供应商的法人或者其他组织营业执照等证明文件复印件（</w:t>
      </w:r>
      <w:r>
        <w:rPr>
          <w:rFonts w:hint="eastAsia"/>
          <w:b/>
          <w:bCs/>
          <w:sz w:val="21"/>
          <w:szCs w:val="21"/>
        </w:rPr>
        <w:t>必须提供，自然人除外</w:t>
      </w:r>
      <w:r>
        <w:rPr>
          <w:rFonts w:hint="eastAsia"/>
          <w:sz w:val="21"/>
          <w:szCs w:val="21"/>
        </w:rPr>
        <w:t>）；</w:t>
      </w:r>
    </w:p>
    <w:p w14:paraId="2DDD3852">
      <w:pPr>
        <w:spacing w:line="360" w:lineRule="auto"/>
        <w:ind w:firstLine="420" w:firstLineChars="200"/>
        <w:rPr>
          <w:sz w:val="21"/>
          <w:szCs w:val="21"/>
        </w:rPr>
      </w:pPr>
      <w:r>
        <w:rPr>
          <w:rFonts w:hint="eastAsia"/>
          <w:sz w:val="21"/>
          <w:szCs w:val="21"/>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供应商为社会团体法人的，应提供有效的“社会团体法人登记证书”。③如供应商为企业法人的分支机构的，除应提供营业执照复印件外，还应提供其所属的总公司授权其参加政府采购的授权文件或总公司颁布的授权其独立开展经营业务活动的证明材料复印件。</w:t>
      </w:r>
    </w:p>
    <w:p w14:paraId="7F369ECB">
      <w:pPr>
        <w:spacing w:line="360" w:lineRule="auto"/>
        <w:ind w:firstLine="420" w:firstLineChars="200"/>
        <w:rPr>
          <w:sz w:val="21"/>
          <w:szCs w:val="21"/>
        </w:rPr>
      </w:pPr>
      <w:r>
        <w:rPr>
          <w:rFonts w:hint="eastAsia"/>
          <w:sz w:val="21"/>
          <w:szCs w:val="21"/>
        </w:rPr>
        <w:t>（4）供应商有效的资质证书复印件（</w:t>
      </w:r>
      <w:r>
        <w:rPr>
          <w:rFonts w:hint="eastAsia"/>
          <w:b/>
          <w:bCs/>
          <w:sz w:val="21"/>
          <w:szCs w:val="21"/>
        </w:rPr>
        <w:t>必须提供</w:t>
      </w:r>
      <w:r>
        <w:rPr>
          <w:rFonts w:hint="eastAsia"/>
          <w:sz w:val="21"/>
          <w:szCs w:val="21"/>
        </w:rPr>
        <w:t>）；</w:t>
      </w:r>
    </w:p>
    <w:p w14:paraId="00C364BD">
      <w:pPr>
        <w:spacing w:line="360" w:lineRule="auto"/>
        <w:ind w:firstLine="420" w:firstLineChars="200"/>
        <w:rPr>
          <w:sz w:val="21"/>
          <w:szCs w:val="21"/>
        </w:rPr>
      </w:pPr>
      <w:r>
        <w:rPr>
          <w:rFonts w:hint="eastAsia"/>
          <w:sz w:val="21"/>
          <w:szCs w:val="21"/>
        </w:rPr>
        <w:t>（5）供应商有效的安全生产许可证书扫描件（</w:t>
      </w:r>
      <w:r>
        <w:rPr>
          <w:rFonts w:hint="eastAsia"/>
          <w:b/>
          <w:bCs/>
          <w:sz w:val="21"/>
          <w:szCs w:val="21"/>
        </w:rPr>
        <w:t>必须提供</w:t>
      </w:r>
      <w:r>
        <w:rPr>
          <w:rFonts w:hint="eastAsia"/>
          <w:sz w:val="21"/>
          <w:szCs w:val="21"/>
        </w:rPr>
        <w:t>）；</w:t>
      </w:r>
    </w:p>
    <w:p w14:paraId="763B79F7">
      <w:pPr>
        <w:spacing w:line="360" w:lineRule="auto"/>
        <w:ind w:firstLine="420" w:firstLineChars="200"/>
        <w:rPr>
          <w:sz w:val="21"/>
          <w:szCs w:val="21"/>
        </w:rPr>
      </w:pPr>
      <w:r>
        <w:rPr>
          <w:rFonts w:hint="eastAsia"/>
          <w:sz w:val="21"/>
          <w:szCs w:val="21"/>
        </w:rPr>
        <w:t>（6）项目经理：符合第三章“采购需求”项目经理资格要求（</w:t>
      </w:r>
      <w:r>
        <w:rPr>
          <w:rFonts w:hint="eastAsia"/>
          <w:b/>
          <w:bCs/>
          <w:sz w:val="21"/>
          <w:szCs w:val="21"/>
        </w:rPr>
        <w:t>必须提供</w:t>
      </w:r>
      <w:r>
        <w:rPr>
          <w:rFonts w:hint="eastAsia"/>
          <w:sz w:val="21"/>
          <w:szCs w:val="21"/>
        </w:rPr>
        <w:t>）；</w:t>
      </w:r>
    </w:p>
    <w:p w14:paraId="0F9AE395">
      <w:pPr>
        <w:spacing w:line="360" w:lineRule="auto"/>
        <w:ind w:firstLine="420" w:firstLineChars="200"/>
        <w:rPr>
          <w:sz w:val="21"/>
          <w:szCs w:val="21"/>
        </w:rPr>
      </w:pPr>
      <w:r>
        <w:rPr>
          <w:rFonts w:hint="eastAsia"/>
          <w:sz w:val="21"/>
          <w:szCs w:val="21"/>
        </w:rPr>
        <w:t>（7）项目总工：符合第三章“采购需求”项目总工资格要求（</w:t>
      </w:r>
      <w:r>
        <w:rPr>
          <w:rFonts w:hint="eastAsia"/>
          <w:b/>
          <w:bCs/>
          <w:sz w:val="21"/>
          <w:szCs w:val="21"/>
        </w:rPr>
        <w:t>必须提供</w:t>
      </w:r>
      <w:r>
        <w:rPr>
          <w:rFonts w:hint="eastAsia"/>
          <w:sz w:val="21"/>
          <w:szCs w:val="21"/>
        </w:rPr>
        <w:t>）；</w:t>
      </w:r>
    </w:p>
    <w:p w14:paraId="51886E59">
      <w:pPr>
        <w:spacing w:line="360" w:lineRule="auto"/>
        <w:ind w:firstLine="420" w:firstLineChars="200"/>
        <w:rPr>
          <w:sz w:val="21"/>
          <w:szCs w:val="21"/>
        </w:rPr>
      </w:pPr>
      <w:r>
        <w:rPr>
          <w:rFonts w:hint="eastAsia"/>
          <w:sz w:val="21"/>
          <w:szCs w:val="21"/>
        </w:rPr>
        <w:t>（8）供应商参加政府采购活动前3年内在经营活动中没有重大违法记录及有关信用信息的书面声明（</w:t>
      </w:r>
      <w:r>
        <w:rPr>
          <w:rFonts w:hint="eastAsia"/>
          <w:b/>
          <w:bCs/>
          <w:sz w:val="21"/>
          <w:szCs w:val="21"/>
        </w:rPr>
        <w:t>必须提供</w:t>
      </w:r>
      <w:r>
        <w:rPr>
          <w:rFonts w:hint="eastAsia"/>
          <w:sz w:val="21"/>
          <w:szCs w:val="21"/>
        </w:rPr>
        <w:t>）；</w:t>
      </w:r>
    </w:p>
    <w:p w14:paraId="57B34B7E">
      <w:pPr>
        <w:spacing w:line="360" w:lineRule="auto"/>
        <w:ind w:firstLine="420" w:firstLineChars="200"/>
        <w:rPr>
          <w:sz w:val="21"/>
          <w:szCs w:val="21"/>
        </w:rPr>
      </w:pPr>
      <w:r>
        <w:rPr>
          <w:rFonts w:hint="eastAsia"/>
          <w:sz w:val="21"/>
          <w:szCs w:val="21"/>
        </w:rPr>
        <w:t>（9）供应商</w:t>
      </w:r>
      <w:r>
        <w:rPr>
          <w:rFonts w:hint="eastAsia"/>
          <w:sz w:val="21"/>
          <w:szCs w:val="21"/>
          <w:highlight w:val="none"/>
        </w:rPr>
        <w:t>2021-2023年</w:t>
      </w:r>
      <w:r>
        <w:rPr>
          <w:rFonts w:hint="eastAsia"/>
          <w:sz w:val="21"/>
          <w:szCs w:val="21"/>
        </w:rPr>
        <w:t>度以来通过中介审计的有效财务审计报告（新成立的公司应提供公司成立日之后的财务报表扫描件）（</w:t>
      </w:r>
      <w:r>
        <w:rPr>
          <w:rFonts w:hint="eastAsia"/>
          <w:b/>
          <w:bCs/>
          <w:sz w:val="21"/>
          <w:szCs w:val="21"/>
        </w:rPr>
        <w:t>必须提供</w:t>
      </w:r>
      <w:r>
        <w:rPr>
          <w:rFonts w:hint="eastAsia"/>
          <w:sz w:val="21"/>
          <w:szCs w:val="21"/>
        </w:rPr>
        <w:t>）；</w:t>
      </w:r>
    </w:p>
    <w:p w14:paraId="4B283461">
      <w:pPr>
        <w:spacing w:line="360" w:lineRule="auto"/>
        <w:ind w:firstLine="420" w:firstLineChars="200"/>
        <w:rPr>
          <w:sz w:val="21"/>
          <w:szCs w:val="21"/>
        </w:rPr>
      </w:pPr>
      <w:r>
        <w:rPr>
          <w:rFonts w:hint="eastAsia"/>
          <w:sz w:val="21"/>
          <w:szCs w:val="21"/>
        </w:rPr>
        <w:t>（10）</w:t>
      </w:r>
      <w:r>
        <w:rPr>
          <w:rFonts w:hint="eastAsia"/>
          <w:sz w:val="21"/>
          <w:szCs w:val="21"/>
          <w:lang w:eastAsia="zh-CN"/>
        </w:rPr>
        <w:t>本项目专门面向中小企业采购</w:t>
      </w:r>
      <w:r>
        <w:rPr>
          <w:rFonts w:hint="eastAsia"/>
          <w:sz w:val="21"/>
          <w:szCs w:val="21"/>
        </w:rPr>
        <w:t>。(监狱企业或残疾人福利性单位)的相关材料；根据企业所属类型，</w:t>
      </w:r>
      <w:r>
        <w:rPr>
          <w:rFonts w:hint="eastAsia"/>
          <w:b/>
          <w:bCs/>
          <w:sz w:val="21"/>
          <w:szCs w:val="21"/>
        </w:rPr>
        <w:t>必须提供以下材料之一</w:t>
      </w:r>
      <w:r>
        <w:rPr>
          <w:rFonts w:hint="eastAsia"/>
          <w:sz w:val="21"/>
          <w:szCs w:val="21"/>
        </w:rPr>
        <w:t>：</w:t>
      </w:r>
    </w:p>
    <w:p w14:paraId="64E5007B">
      <w:pPr>
        <w:spacing w:line="360" w:lineRule="auto"/>
        <w:ind w:firstLine="420" w:firstLineChars="200"/>
        <w:rPr>
          <w:sz w:val="21"/>
          <w:szCs w:val="21"/>
        </w:rPr>
      </w:pPr>
      <w:r>
        <w:rPr>
          <w:rFonts w:hint="eastAsia"/>
          <w:sz w:val="21"/>
          <w:szCs w:val="21"/>
        </w:rPr>
        <w:t>①中小企业声明函（如供应商为中小微型企业的，格式见附件，供应商对出具的声明函真实性负责，成交结果将同时公告企业《中小企业声明函》，接受社会监督）；</w:t>
      </w:r>
    </w:p>
    <w:p w14:paraId="0911FB43">
      <w:pPr>
        <w:spacing w:line="360" w:lineRule="auto"/>
        <w:ind w:firstLine="420" w:firstLineChars="200"/>
        <w:rPr>
          <w:sz w:val="21"/>
          <w:szCs w:val="21"/>
        </w:rPr>
      </w:pPr>
      <w:r>
        <w:rPr>
          <w:rFonts w:hint="eastAsia"/>
          <w:sz w:val="21"/>
          <w:szCs w:val="21"/>
        </w:rPr>
        <w:t>②监狱企业的证明文件[供应商如为监狱企业的，应当提供由省级以上监狱管理局、戒毒管理局（含新疆生产建设兵团）出具的属于监狱企业的证明文件,否则不予享受优惠政策]；</w:t>
      </w:r>
    </w:p>
    <w:p w14:paraId="49F4D050">
      <w:pPr>
        <w:spacing w:line="360" w:lineRule="auto"/>
        <w:ind w:firstLine="420" w:firstLineChars="200"/>
        <w:rPr>
          <w:sz w:val="21"/>
          <w:szCs w:val="21"/>
        </w:rPr>
      </w:pPr>
      <w:r>
        <w:rPr>
          <w:rFonts w:hint="eastAsia"/>
          <w:sz w:val="21"/>
          <w:szCs w:val="21"/>
        </w:rPr>
        <w:t>③《残疾人福利性单位声明函》【符合条件的残疾人福利性单位在参加政府采购活动时，应当提供《残疾人福利性单位声明函》（格式见附件），并对声明的真实性负责，成交结果将同时公告企业《残疾人福利性单位声明函》，接受社会监督】。</w:t>
      </w:r>
    </w:p>
    <w:p w14:paraId="45BBEE78">
      <w:pPr>
        <w:spacing w:line="360" w:lineRule="auto"/>
        <w:ind w:firstLine="420" w:firstLineChars="200"/>
        <w:rPr>
          <w:sz w:val="21"/>
          <w:szCs w:val="21"/>
        </w:rPr>
      </w:pPr>
      <w:r>
        <w:rPr>
          <w:rFonts w:hint="eastAsia"/>
          <w:sz w:val="21"/>
          <w:szCs w:val="21"/>
        </w:rPr>
        <w:t>注：</w:t>
      </w:r>
      <w:r>
        <w:rPr>
          <w:rFonts w:hint="eastAsia"/>
          <w:sz w:val="21"/>
          <w:szCs w:val="21"/>
          <w:lang w:eastAsia="zh-CN"/>
        </w:rPr>
        <w:t>本项目专门面向中小企业采购</w:t>
      </w:r>
      <w:r>
        <w:rPr>
          <w:rFonts w:hint="eastAsia"/>
          <w:sz w:val="21"/>
          <w:szCs w:val="21"/>
        </w:rPr>
        <w:t>（监狱企业及残疾人福利性单位视同于小微企业），本项目不接受非上述企业参与磋商。）</w:t>
      </w:r>
    </w:p>
    <w:p w14:paraId="1F26A77A">
      <w:pPr>
        <w:spacing w:line="360" w:lineRule="auto"/>
        <w:ind w:firstLine="422" w:firstLineChars="200"/>
        <w:rPr>
          <w:b/>
          <w:bCs/>
          <w:sz w:val="21"/>
          <w:szCs w:val="21"/>
        </w:rPr>
      </w:pPr>
      <w:r>
        <w:rPr>
          <w:rFonts w:hint="eastAsia"/>
          <w:b/>
          <w:bCs/>
          <w:sz w:val="21"/>
          <w:szCs w:val="21"/>
        </w:rPr>
        <w:t>11.1.2符合性响应证明材料：</w:t>
      </w:r>
    </w:p>
    <w:p w14:paraId="6920E65E">
      <w:pPr>
        <w:spacing w:line="360" w:lineRule="auto"/>
        <w:ind w:firstLine="420" w:firstLineChars="200"/>
        <w:rPr>
          <w:sz w:val="21"/>
          <w:szCs w:val="21"/>
        </w:rPr>
      </w:pPr>
      <w:r>
        <w:rPr>
          <w:rFonts w:hint="eastAsia"/>
          <w:sz w:val="21"/>
          <w:szCs w:val="21"/>
        </w:rPr>
        <w:t>（1）响应函及响应函附录</w:t>
      </w:r>
      <w:r>
        <w:rPr>
          <w:rFonts w:hint="eastAsia"/>
          <w:b/>
          <w:bCs/>
          <w:sz w:val="21"/>
          <w:szCs w:val="21"/>
        </w:rPr>
        <w:t>（必须提供）</w:t>
      </w:r>
      <w:r>
        <w:rPr>
          <w:rFonts w:hint="eastAsia"/>
          <w:sz w:val="21"/>
          <w:szCs w:val="21"/>
        </w:rPr>
        <w:t>；</w:t>
      </w:r>
    </w:p>
    <w:p w14:paraId="6E98C673">
      <w:pPr>
        <w:spacing w:line="360" w:lineRule="auto"/>
        <w:ind w:firstLine="420" w:firstLineChars="200"/>
        <w:rPr>
          <w:sz w:val="21"/>
          <w:szCs w:val="21"/>
        </w:rPr>
      </w:pPr>
      <w:r>
        <w:rPr>
          <w:rFonts w:hint="eastAsia"/>
          <w:sz w:val="21"/>
          <w:szCs w:val="21"/>
        </w:rPr>
        <w:t>（2）已标价工程量清单</w:t>
      </w:r>
      <w:r>
        <w:rPr>
          <w:rFonts w:hint="eastAsia"/>
          <w:b/>
          <w:bCs/>
          <w:sz w:val="21"/>
          <w:szCs w:val="21"/>
        </w:rPr>
        <w:t>（必须提供</w:t>
      </w:r>
      <w:r>
        <w:rPr>
          <w:rFonts w:hint="eastAsia"/>
          <w:sz w:val="21"/>
          <w:szCs w:val="21"/>
        </w:rPr>
        <w:t>）；</w:t>
      </w:r>
    </w:p>
    <w:p w14:paraId="44EC426F">
      <w:pPr>
        <w:spacing w:line="360" w:lineRule="auto"/>
        <w:ind w:firstLine="420" w:firstLineChars="200"/>
        <w:rPr>
          <w:sz w:val="21"/>
          <w:szCs w:val="21"/>
        </w:rPr>
      </w:pPr>
      <w:r>
        <w:rPr>
          <w:rFonts w:hint="eastAsia"/>
          <w:sz w:val="21"/>
          <w:szCs w:val="21"/>
        </w:rPr>
        <w:t>（3）施工组织设计</w:t>
      </w:r>
      <w:r>
        <w:rPr>
          <w:rFonts w:hint="eastAsia"/>
          <w:b/>
          <w:bCs/>
          <w:sz w:val="21"/>
          <w:szCs w:val="21"/>
        </w:rPr>
        <w:t>（必须提供）</w:t>
      </w:r>
      <w:r>
        <w:rPr>
          <w:rFonts w:hint="eastAsia"/>
          <w:sz w:val="21"/>
          <w:szCs w:val="21"/>
        </w:rPr>
        <w:t>；</w:t>
      </w:r>
    </w:p>
    <w:p w14:paraId="3BEDD044">
      <w:pPr>
        <w:spacing w:line="360" w:lineRule="auto"/>
        <w:ind w:firstLine="420" w:firstLineChars="200"/>
        <w:rPr>
          <w:sz w:val="21"/>
          <w:szCs w:val="21"/>
        </w:rPr>
      </w:pPr>
      <w:r>
        <w:rPr>
          <w:rFonts w:hint="eastAsia"/>
          <w:sz w:val="21"/>
          <w:szCs w:val="21"/>
        </w:rPr>
        <w:t>（4）项目管理机构</w:t>
      </w:r>
      <w:r>
        <w:rPr>
          <w:rFonts w:hint="eastAsia"/>
          <w:b/>
          <w:bCs/>
          <w:sz w:val="21"/>
          <w:szCs w:val="21"/>
        </w:rPr>
        <w:t>（必须提供）</w:t>
      </w:r>
      <w:r>
        <w:rPr>
          <w:rFonts w:hint="eastAsia"/>
          <w:sz w:val="21"/>
          <w:szCs w:val="21"/>
        </w:rPr>
        <w:t>；</w:t>
      </w:r>
    </w:p>
    <w:p w14:paraId="69C0ECB0">
      <w:pPr>
        <w:spacing w:line="360" w:lineRule="auto"/>
        <w:ind w:firstLine="420" w:firstLineChars="200"/>
        <w:rPr>
          <w:sz w:val="21"/>
          <w:szCs w:val="21"/>
        </w:rPr>
      </w:pPr>
      <w:r>
        <w:rPr>
          <w:rFonts w:hint="eastAsia"/>
          <w:sz w:val="21"/>
          <w:szCs w:val="21"/>
        </w:rPr>
        <w:t>（5）农民工工资保证金承诺书及供应商承诺函</w:t>
      </w:r>
      <w:r>
        <w:rPr>
          <w:rFonts w:hint="eastAsia"/>
          <w:b/>
          <w:bCs/>
          <w:sz w:val="21"/>
          <w:szCs w:val="21"/>
        </w:rPr>
        <w:t>（必须提供）</w:t>
      </w:r>
      <w:r>
        <w:rPr>
          <w:rFonts w:hint="eastAsia"/>
          <w:sz w:val="21"/>
          <w:szCs w:val="21"/>
        </w:rPr>
        <w:t>；</w:t>
      </w:r>
    </w:p>
    <w:p w14:paraId="57314E0F">
      <w:pPr>
        <w:spacing w:line="360" w:lineRule="auto"/>
        <w:ind w:firstLine="422" w:firstLineChars="200"/>
        <w:rPr>
          <w:b/>
          <w:bCs/>
          <w:sz w:val="21"/>
          <w:szCs w:val="21"/>
        </w:rPr>
      </w:pPr>
      <w:r>
        <w:rPr>
          <w:rFonts w:hint="eastAsia"/>
          <w:b/>
          <w:bCs/>
          <w:sz w:val="21"/>
          <w:szCs w:val="21"/>
        </w:rPr>
        <w:t>11.1.3其它有效证明材料：</w:t>
      </w:r>
    </w:p>
    <w:p w14:paraId="37E71073">
      <w:pPr>
        <w:spacing w:line="360" w:lineRule="auto"/>
        <w:ind w:firstLine="420" w:firstLineChars="200"/>
        <w:rPr>
          <w:sz w:val="21"/>
          <w:szCs w:val="21"/>
        </w:rPr>
      </w:pPr>
      <w:r>
        <w:rPr>
          <w:rFonts w:hint="eastAsia"/>
          <w:sz w:val="21"/>
          <w:szCs w:val="21"/>
        </w:rPr>
        <w:t>（1）供应商</w:t>
      </w:r>
      <w:r>
        <w:rPr>
          <w:rFonts w:hint="eastAsia"/>
          <w:sz w:val="21"/>
          <w:szCs w:val="21"/>
          <w:highlight w:val="none"/>
        </w:rPr>
        <w:t>2020年3月1日以</w:t>
      </w:r>
      <w:r>
        <w:rPr>
          <w:rFonts w:hint="eastAsia"/>
          <w:sz w:val="21"/>
          <w:szCs w:val="21"/>
        </w:rPr>
        <w:t>来具有同类项目业绩的相关证明材料（如有，请提供）；</w:t>
      </w:r>
    </w:p>
    <w:p w14:paraId="690CE236">
      <w:pPr>
        <w:spacing w:line="360" w:lineRule="auto"/>
        <w:ind w:firstLine="420" w:firstLineChars="200"/>
        <w:rPr>
          <w:sz w:val="21"/>
          <w:szCs w:val="21"/>
        </w:rPr>
      </w:pPr>
      <w:r>
        <w:rPr>
          <w:rFonts w:hint="eastAsia"/>
          <w:sz w:val="21"/>
          <w:szCs w:val="21"/>
        </w:rPr>
        <w:t>（2）供应商可结合本项目的评审办法视自身情况自行提交相关证明材料（如有，请提供）。</w:t>
      </w:r>
    </w:p>
    <w:p w14:paraId="0FC94FC0">
      <w:pPr>
        <w:pStyle w:val="12"/>
        <w:spacing w:line="360" w:lineRule="auto"/>
        <w:ind w:firstLine="420" w:firstLineChars="200"/>
      </w:pPr>
      <w:r>
        <w:rPr>
          <w:rFonts w:hint="eastAsia"/>
        </w:rPr>
        <w:t>（注：①施工业绩是指工程按《公路工程竣（交）工验收办法》交工验收或竣工验收通过且投标人在</w:t>
      </w:r>
      <w:r>
        <w:rPr>
          <w:rFonts w:hint="eastAsia"/>
          <w:sz w:val="21"/>
          <w:szCs w:val="21"/>
        </w:rPr>
        <w:t>响应文件</w:t>
      </w:r>
      <w:r>
        <w:rPr>
          <w:rFonts w:hint="eastAsia"/>
        </w:rPr>
        <w:t xml:space="preserve">中填报的业绩应当与其在交通运输主管部门公路建设市场信用信息管理系统上填报并通过交通运输主管部门审核发布的相关信息一致,并提供相应交通运输主管部门公路建设市场信用信息管理系统“全国公路建设市场信用信息管理系统”（网址：http:\\glxy.mot.gov.cn\BM\）查询到的企业“业绩信息”相关项目网页截图，即包括“项目名称”“标段类型”“合同价”“主要工程量”“项目主要管理人员”等栏目在内的项目详细信息网页截图。除网页截图复印件外，投标人提供的其他任何业绩证明材料均不予以认可。 </w:t>
      </w:r>
    </w:p>
    <w:p w14:paraId="2E5A2EEE">
      <w:pPr>
        <w:pStyle w:val="12"/>
        <w:spacing w:line="360" w:lineRule="auto"/>
        <w:ind w:firstLine="420" w:firstLineChars="200"/>
      </w:pPr>
      <w:r>
        <w:rPr>
          <w:rFonts w:hint="eastAsia"/>
        </w:rPr>
        <w:t>②在交通运输部“全国公路建设市场信用信息管理系统”中无法查询，但可在省级交通运输主管部门“公路建设市场信用信息管理系统相关页面截屏打印页”中查询的，应附省级交通运输主管部门“公路建设市场信用信息管理系统”中查询到的网页截图。除网页截图复印件外，投标人提供的其他任何业绩证明材料均不予以认可。</w:t>
      </w:r>
    </w:p>
    <w:p w14:paraId="4220AEA6">
      <w:pPr>
        <w:pStyle w:val="12"/>
        <w:spacing w:line="360" w:lineRule="auto"/>
        <w:ind w:firstLine="420" w:firstLineChars="200"/>
      </w:pPr>
      <w:r>
        <w:rPr>
          <w:rFonts w:hint="eastAsia"/>
        </w:rPr>
        <w:t>③公路工程包括</w:t>
      </w:r>
      <w:r>
        <w:rPr>
          <w:rFonts w:hint="eastAsia"/>
          <w:lang w:eastAsia="zh-CN"/>
        </w:rPr>
        <w:t>公路新建、公路改扩建、公路养护工程、公路交通安全设施工程</w:t>
      </w:r>
      <w:r>
        <w:rPr>
          <w:rFonts w:hint="eastAsia"/>
        </w:rPr>
        <w:t>等；成功完成是指工程按《公路工程竣（交）工验收办法》交工验收或竣工验收通过。）</w:t>
      </w:r>
    </w:p>
    <w:p w14:paraId="6C9C7BC3">
      <w:pPr>
        <w:spacing w:line="360" w:lineRule="auto"/>
        <w:ind w:firstLine="420" w:firstLineChars="200"/>
        <w:rPr>
          <w:sz w:val="21"/>
          <w:szCs w:val="21"/>
        </w:rPr>
      </w:pPr>
      <w:r>
        <w:rPr>
          <w:rFonts w:hint="eastAsia"/>
          <w:sz w:val="21"/>
          <w:szCs w:val="21"/>
        </w:rPr>
        <w:t>供应商提供的以上相关证明材料必须真实有效，属于“必须提供”的文件应加盖供应商CA证书签章，否则响应无效；其中“必须提供”的文件“响应文件（格式）”中有要求法定代表人(负责人、自然人)或相应的授权委托代理人在规定位置签字的，可使用法定代表人(负责人、自然人)或相应的授权委托代理人个人CA证书签章，没有办理个人CA证书签章的可在响应文件中涉及到签字的位置手写签字后扫描或者拍照做成PDF的格式上传，无个人CA证书签章及手写签字的，响应文件按无效处理。</w:t>
      </w:r>
    </w:p>
    <w:p w14:paraId="49A61C8E">
      <w:pPr>
        <w:spacing w:line="360" w:lineRule="auto"/>
        <w:ind w:firstLine="420" w:firstLineChars="200"/>
        <w:rPr>
          <w:sz w:val="21"/>
          <w:szCs w:val="21"/>
        </w:rPr>
      </w:pPr>
      <w:r>
        <w:rPr>
          <w:rFonts w:hint="eastAsia"/>
          <w:sz w:val="21"/>
          <w:szCs w:val="21"/>
        </w:rPr>
        <w:t>11.2供应商应按竞争性磋商文件第八章“响应文件（格式）”编制响应文件。</w:t>
      </w:r>
    </w:p>
    <w:p w14:paraId="770A2D66">
      <w:pPr>
        <w:spacing w:line="360" w:lineRule="auto"/>
        <w:ind w:firstLine="422" w:firstLineChars="200"/>
        <w:rPr>
          <w:b/>
          <w:bCs/>
          <w:sz w:val="21"/>
          <w:szCs w:val="21"/>
        </w:rPr>
      </w:pPr>
      <w:r>
        <w:rPr>
          <w:rFonts w:hint="eastAsia"/>
          <w:b/>
          <w:bCs/>
          <w:sz w:val="21"/>
          <w:szCs w:val="21"/>
        </w:rPr>
        <w:t>12.响应文件的语言及计量</w:t>
      </w:r>
    </w:p>
    <w:p w14:paraId="042E3EF5">
      <w:pPr>
        <w:spacing w:line="360" w:lineRule="auto"/>
        <w:ind w:firstLine="420" w:firstLineChars="200"/>
        <w:rPr>
          <w:sz w:val="21"/>
          <w:szCs w:val="21"/>
        </w:rPr>
      </w:pPr>
      <w:r>
        <w:rPr>
          <w:rFonts w:hint="eastAsia"/>
          <w:sz w:val="21"/>
          <w:szCs w:val="21"/>
        </w:rPr>
        <w:t>12.1响应文件以及供应商与采购代理机构就有关响应事宜的所有来往函电，均必须以中文汉语书写。供应商提交的支持文件和印刷的文献可以使用别的语言，但其相应内容必须附有中文翻译文本，在解释响应文件时以中文翻译文本为主。</w:t>
      </w:r>
    </w:p>
    <w:p w14:paraId="6F79141F">
      <w:pPr>
        <w:spacing w:line="360" w:lineRule="auto"/>
        <w:ind w:firstLine="420" w:firstLineChars="200"/>
        <w:rPr>
          <w:sz w:val="21"/>
          <w:szCs w:val="21"/>
        </w:rPr>
      </w:pPr>
      <w:r>
        <w:rPr>
          <w:rFonts w:hint="eastAsia"/>
          <w:sz w:val="21"/>
          <w:szCs w:val="21"/>
        </w:rPr>
        <w:t>12.2响应计量单位，磋商文件已有明确规定的，使用磋商文件规定的计量单位；磋商文件没有规定的，必须采用中华人民共和国法定计量单位（货币单位：人民币元），否则视同未响应。</w:t>
      </w:r>
    </w:p>
    <w:p w14:paraId="1342A486">
      <w:pPr>
        <w:spacing w:line="360" w:lineRule="auto"/>
        <w:ind w:firstLine="422" w:firstLineChars="200"/>
        <w:rPr>
          <w:b/>
          <w:bCs/>
          <w:sz w:val="21"/>
          <w:szCs w:val="21"/>
        </w:rPr>
      </w:pPr>
      <w:r>
        <w:rPr>
          <w:rFonts w:hint="eastAsia"/>
          <w:b/>
          <w:bCs/>
          <w:sz w:val="21"/>
          <w:szCs w:val="21"/>
        </w:rPr>
        <w:t>13.磋商报价及采购预算金额</w:t>
      </w:r>
    </w:p>
    <w:p w14:paraId="4F475225">
      <w:pPr>
        <w:spacing w:line="360" w:lineRule="auto"/>
        <w:ind w:firstLine="420" w:firstLineChars="200"/>
        <w:rPr>
          <w:sz w:val="21"/>
          <w:szCs w:val="21"/>
        </w:rPr>
      </w:pPr>
      <w:r>
        <w:rPr>
          <w:rFonts w:hint="eastAsia"/>
          <w:sz w:val="21"/>
          <w:szCs w:val="21"/>
        </w:rPr>
        <w:t>13.1供应商必须就“项目需求”中的所有内容作完整唯一报价，响应文件只允许有一个报价，有选择的或有条件的报价将不予接受。</w:t>
      </w:r>
    </w:p>
    <w:p w14:paraId="29F01C0C">
      <w:pPr>
        <w:spacing w:line="360" w:lineRule="auto"/>
        <w:ind w:firstLine="422" w:firstLineChars="200"/>
        <w:rPr>
          <w:b/>
          <w:bCs/>
          <w:sz w:val="21"/>
          <w:szCs w:val="21"/>
        </w:rPr>
      </w:pPr>
      <w:r>
        <w:rPr>
          <w:rFonts w:hint="eastAsia"/>
          <w:b/>
          <w:bCs/>
          <w:sz w:val="21"/>
          <w:szCs w:val="21"/>
        </w:rPr>
        <w:t>13.2采购预算金额（控制价）（人民币）：</w:t>
      </w:r>
      <w:r>
        <w:rPr>
          <w:rFonts w:hint="eastAsia"/>
          <w:sz w:val="21"/>
          <w:szCs w:val="21"/>
          <w:highlight w:val="none"/>
        </w:rPr>
        <w:t>详见“供应商须知前附表”。</w:t>
      </w:r>
      <w:r>
        <w:rPr>
          <w:rFonts w:hint="eastAsia"/>
          <w:b/>
          <w:bCs/>
          <w:sz w:val="21"/>
          <w:szCs w:val="21"/>
        </w:rPr>
        <w:t>报价超采购预算金额（控制价）的响应文件作无效处理。</w:t>
      </w:r>
    </w:p>
    <w:p w14:paraId="7BFFB3B7">
      <w:pPr>
        <w:pStyle w:val="12"/>
        <w:spacing w:line="360" w:lineRule="auto"/>
        <w:ind w:firstLine="422" w:firstLineChars="200"/>
      </w:pPr>
      <w:r>
        <w:rPr>
          <w:rFonts w:hint="eastAsia"/>
          <w:b/>
        </w:rPr>
        <w:t>承包人必须完成本合同工程路容路貌整治、排水系统整治工作，其费用应视为已分摊在本合同工程的有关子目的单价或总额价之中。</w:t>
      </w:r>
    </w:p>
    <w:p w14:paraId="05951D15">
      <w:pPr>
        <w:spacing w:line="360" w:lineRule="auto"/>
        <w:ind w:firstLine="420" w:firstLineChars="200"/>
        <w:rPr>
          <w:sz w:val="21"/>
          <w:szCs w:val="21"/>
        </w:rPr>
      </w:pPr>
      <w:r>
        <w:rPr>
          <w:rFonts w:hint="eastAsia"/>
          <w:sz w:val="21"/>
          <w:szCs w:val="21"/>
        </w:rPr>
        <w:t>13.3磋商报价包括各种人力成本、设备成本、资料费、服务费、税费及合同实施过程中的应预见费用等完成合同规定责任和义务，其他相关费用等完成本项目工程所需的一切费用。供应商综合考虑在报价中。</w:t>
      </w:r>
    </w:p>
    <w:p w14:paraId="7831E575">
      <w:pPr>
        <w:spacing w:line="360" w:lineRule="auto"/>
        <w:ind w:firstLine="420" w:firstLineChars="200"/>
        <w:rPr>
          <w:sz w:val="21"/>
          <w:szCs w:val="21"/>
        </w:rPr>
      </w:pPr>
      <w:r>
        <w:rPr>
          <w:rFonts w:hint="eastAsia"/>
          <w:sz w:val="21"/>
          <w:szCs w:val="21"/>
        </w:rPr>
        <w:t>13.4未书面退出磋商的供应商必须在规定时间内登录“广西政府采购云平台”在线提交最后报价，其最后报价不得超出采购预算；磋商过程中磋商文件未作实质性变动的，最后报价不得超过首次报价。</w:t>
      </w:r>
    </w:p>
    <w:p w14:paraId="1762FF8E">
      <w:pPr>
        <w:spacing w:line="360" w:lineRule="auto"/>
        <w:ind w:firstLine="422" w:firstLineChars="200"/>
        <w:rPr>
          <w:b/>
          <w:bCs/>
          <w:sz w:val="21"/>
          <w:szCs w:val="21"/>
        </w:rPr>
      </w:pPr>
      <w:r>
        <w:rPr>
          <w:rFonts w:hint="eastAsia"/>
          <w:b/>
          <w:bCs/>
          <w:sz w:val="21"/>
          <w:szCs w:val="21"/>
        </w:rPr>
        <w:t>14.响应文件有效期</w:t>
      </w:r>
    </w:p>
    <w:p w14:paraId="45D730BB">
      <w:pPr>
        <w:spacing w:line="360" w:lineRule="auto"/>
        <w:ind w:firstLine="420" w:firstLineChars="200"/>
        <w:rPr>
          <w:sz w:val="21"/>
          <w:szCs w:val="21"/>
        </w:rPr>
      </w:pPr>
      <w:r>
        <w:rPr>
          <w:rFonts w:hint="eastAsia"/>
          <w:sz w:val="21"/>
          <w:szCs w:val="21"/>
        </w:rPr>
        <w:t>14.1响应文件有效期：自响应文件提交截止时间之日起90天，有效期不足的响应文件将被拒绝。</w:t>
      </w:r>
    </w:p>
    <w:p w14:paraId="5F672263">
      <w:pPr>
        <w:spacing w:line="360" w:lineRule="auto"/>
        <w:ind w:firstLine="420" w:firstLineChars="200"/>
        <w:rPr>
          <w:sz w:val="21"/>
          <w:szCs w:val="21"/>
        </w:rPr>
      </w:pPr>
      <w:r>
        <w:rPr>
          <w:rFonts w:hint="eastAsia"/>
          <w:sz w:val="21"/>
          <w:szCs w:val="21"/>
        </w:rPr>
        <w:t>14.2出现特殊情况下，需要延长响应文件有效期的，采购代理机构以书面形式通知供应商延长响应文件有效期。供应商同意延长的，不能修改响应文件。供应商拒绝延长的，其响应无效。</w:t>
      </w:r>
    </w:p>
    <w:p w14:paraId="2A14408C">
      <w:pPr>
        <w:spacing w:line="360" w:lineRule="auto"/>
        <w:ind w:firstLine="422" w:firstLineChars="200"/>
        <w:rPr>
          <w:b/>
          <w:bCs/>
          <w:sz w:val="21"/>
          <w:szCs w:val="21"/>
        </w:rPr>
      </w:pPr>
      <w:r>
        <w:rPr>
          <w:rFonts w:hint="eastAsia"/>
          <w:b/>
          <w:bCs/>
          <w:sz w:val="21"/>
          <w:szCs w:val="21"/>
        </w:rPr>
        <w:t>15.保证金</w:t>
      </w:r>
    </w:p>
    <w:p w14:paraId="781D394D">
      <w:pPr>
        <w:spacing w:line="360" w:lineRule="auto"/>
        <w:ind w:firstLine="420" w:firstLineChars="200"/>
        <w:rPr>
          <w:rFonts w:hint="eastAsia" w:eastAsia="宋体"/>
          <w:sz w:val="21"/>
          <w:szCs w:val="21"/>
          <w:lang w:eastAsia="zh-CN"/>
        </w:rPr>
      </w:pPr>
      <w:r>
        <w:rPr>
          <w:rFonts w:hint="eastAsia"/>
          <w:sz w:val="21"/>
          <w:szCs w:val="21"/>
        </w:rPr>
        <w:t>本项目无需缴纳磋商保证金</w:t>
      </w:r>
      <w:r>
        <w:rPr>
          <w:rFonts w:hint="eastAsia"/>
          <w:sz w:val="21"/>
          <w:szCs w:val="21"/>
          <w:lang w:eastAsia="zh-CN"/>
        </w:rPr>
        <w:t>。</w:t>
      </w:r>
    </w:p>
    <w:p w14:paraId="4728D192">
      <w:pPr>
        <w:spacing w:line="360" w:lineRule="auto"/>
        <w:ind w:firstLine="422" w:firstLineChars="200"/>
        <w:rPr>
          <w:b/>
          <w:bCs/>
          <w:sz w:val="21"/>
          <w:szCs w:val="21"/>
        </w:rPr>
      </w:pPr>
      <w:r>
        <w:rPr>
          <w:rFonts w:hint="eastAsia"/>
          <w:b/>
          <w:bCs/>
          <w:sz w:val="21"/>
          <w:szCs w:val="21"/>
        </w:rPr>
        <w:t>16.电子响应文件的制作、加密要求</w:t>
      </w:r>
    </w:p>
    <w:p w14:paraId="045700B5">
      <w:pPr>
        <w:spacing w:line="360" w:lineRule="auto"/>
        <w:ind w:firstLine="420" w:firstLineChars="200"/>
        <w:rPr>
          <w:sz w:val="21"/>
          <w:szCs w:val="21"/>
        </w:rPr>
      </w:pPr>
      <w:r>
        <w:rPr>
          <w:rFonts w:hint="eastAsia"/>
          <w:sz w:val="21"/>
          <w:szCs w:val="21"/>
        </w:rPr>
        <w:t>16.1供应商制作电子响应文件前，必须登陆“广西政府采购云平台”进行竞争性磋商文件的获取操作。</w:t>
      </w:r>
    </w:p>
    <w:p w14:paraId="01621628">
      <w:pPr>
        <w:spacing w:line="360" w:lineRule="auto"/>
        <w:ind w:firstLine="420" w:firstLineChars="200"/>
        <w:rPr>
          <w:sz w:val="21"/>
          <w:szCs w:val="21"/>
        </w:rPr>
      </w:pPr>
      <w:r>
        <w:rPr>
          <w:rFonts w:hint="eastAsia"/>
          <w:sz w:val="21"/>
          <w:szCs w:val="21"/>
        </w:rPr>
        <w:t>16.2供应商下载或获取竞争性磋商文件后，登录“广西政府采购云平台电子投标客户端”，按照本磋商文件规定的响应文件格式、顺序以及“广西政府采购云平台”的要求，通过“广西政府采购云平台电子投标客户端”编制电子响应文件。</w:t>
      </w:r>
    </w:p>
    <w:p w14:paraId="0941E8E8">
      <w:pPr>
        <w:spacing w:line="360" w:lineRule="auto"/>
        <w:ind w:firstLine="420" w:firstLineChars="200"/>
        <w:rPr>
          <w:sz w:val="21"/>
          <w:szCs w:val="21"/>
        </w:rPr>
      </w:pPr>
      <w:r>
        <w:rPr>
          <w:rFonts w:hint="eastAsia"/>
          <w:sz w:val="21"/>
          <w:szCs w:val="21"/>
        </w:rPr>
        <w:t>16.3若磋商文件中有专门标注的某关联点，并要求供应商在电子投标系统中作出响应的，供应商应进行响应并关联定位，以便评审小组在评审时点击评分项可直接定位到该评分项内容；如对竞争性磋商文件的某项要求，供应商的电子响应文件未能关联定位提供相应的内容与其对应，或者在响应文件其它内容中进行描述，导致磋商小组无法查询，做出对供应商不利的评审，相关后果由供应商自行承担。</w:t>
      </w:r>
    </w:p>
    <w:p w14:paraId="185AB71D">
      <w:pPr>
        <w:spacing w:line="360" w:lineRule="auto"/>
        <w:ind w:firstLine="420" w:firstLineChars="200"/>
        <w:rPr>
          <w:sz w:val="21"/>
          <w:szCs w:val="21"/>
        </w:rPr>
      </w:pPr>
      <w:r>
        <w:rPr>
          <w:rFonts w:hint="eastAsia"/>
          <w:sz w:val="21"/>
          <w:szCs w:val="21"/>
        </w:rPr>
        <w:t>16.4电子响应文件不得涂改，若有修改错漏处，须由法定代表人（负责人、自然人）或授权委托代理人通过“广西政府采购云平台投标客户端投标”采用个人CA证书签章，没有办理个人CA证书签章的，在响应文件中响应位置手写签字后扫描或者拍照做成PDF的格式上传。因响应文件字迹潦草、表达不清、内容不完整、编排混乱导致响应文件被误读、漏读，或者在按竞争性磋商文件规定的部位查找不到相关内容的，其不利后果由供应商自行承担。</w:t>
      </w:r>
    </w:p>
    <w:p w14:paraId="7E1D8F5E">
      <w:pPr>
        <w:spacing w:line="360" w:lineRule="auto"/>
        <w:ind w:firstLine="420" w:firstLineChars="200"/>
        <w:rPr>
          <w:sz w:val="21"/>
          <w:szCs w:val="21"/>
        </w:rPr>
      </w:pPr>
      <w:r>
        <w:rPr>
          <w:rFonts w:hint="eastAsia"/>
          <w:sz w:val="21"/>
          <w:szCs w:val="21"/>
        </w:rPr>
        <w:t>16.5供应商编制、生成电子响应文件后应当加密响应文件。供应商未按规定编制并加密的响应文件，“广西政府采购云平台”将予以拒收。</w:t>
      </w:r>
    </w:p>
    <w:p w14:paraId="5E131A18">
      <w:pPr>
        <w:spacing w:line="360" w:lineRule="auto"/>
        <w:ind w:firstLine="420" w:firstLineChars="200"/>
        <w:rPr>
          <w:sz w:val="21"/>
          <w:szCs w:val="21"/>
        </w:rPr>
      </w:pPr>
      <w:r>
        <w:rPr>
          <w:rFonts w:hint="eastAsia"/>
          <w:sz w:val="21"/>
          <w:szCs w:val="21"/>
        </w:rPr>
        <w:t>16.6供应商公章及签字</w:t>
      </w:r>
    </w:p>
    <w:p w14:paraId="2E3FDEE2">
      <w:pPr>
        <w:spacing w:line="360" w:lineRule="auto"/>
        <w:ind w:firstLine="420" w:firstLineChars="200"/>
        <w:rPr>
          <w:sz w:val="21"/>
          <w:szCs w:val="21"/>
        </w:rPr>
      </w:pPr>
      <w:r>
        <w:rPr>
          <w:rFonts w:hint="eastAsia"/>
          <w:sz w:val="21"/>
          <w:szCs w:val="21"/>
        </w:rPr>
        <w:t>16.6.1本竞争性磋商文件中描述供应商的“公章”是指供应商通过指定电子化政府采购平台办理数字证书（CA认证证书）获得的以法定主体行为名称制作的电子印章。</w:t>
      </w:r>
    </w:p>
    <w:p w14:paraId="0337C1E8">
      <w:pPr>
        <w:spacing w:line="360" w:lineRule="auto"/>
        <w:ind w:firstLine="420" w:firstLineChars="200"/>
        <w:rPr>
          <w:sz w:val="21"/>
          <w:szCs w:val="21"/>
        </w:rPr>
      </w:pPr>
      <w:r>
        <w:rPr>
          <w:rFonts w:hint="eastAsia"/>
          <w:sz w:val="21"/>
          <w:szCs w:val="21"/>
        </w:rPr>
        <w:t>16.6.2本竞争性磋商文件中要求供应商对其电子响应文件的相关内容加盖公章的，均指采用CA证书签章。</w:t>
      </w:r>
    </w:p>
    <w:p w14:paraId="4CB15041">
      <w:pPr>
        <w:spacing w:line="360" w:lineRule="auto"/>
        <w:ind w:firstLine="420" w:firstLineChars="200"/>
        <w:rPr>
          <w:sz w:val="21"/>
          <w:szCs w:val="21"/>
        </w:rPr>
      </w:pPr>
      <w:r>
        <w:rPr>
          <w:rFonts w:hint="eastAsia"/>
          <w:sz w:val="21"/>
          <w:szCs w:val="21"/>
        </w:rPr>
        <w:t>16.6.3本磋商文件中描述供应商的“签字”是指供应商通过指定电子化政府采购平台办理数字证书（CA认证证书）获得的以供应商法定代表人（自负责人、自然人）或者委托代理人姓名制作的个人电子印章或手写签字。没有办理个人CA证书的，可以为手写签字的形式。</w:t>
      </w:r>
    </w:p>
    <w:p w14:paraId="42B4CD50">
      <w:pPr>
        <w:spacing w:line="360" w:lineRule="auto"/>
        <w:ind w:firstLine="422" w:firstLineChars="200"/>
        <w:rPr>
          <w:b/>
          <w:bCs/>
          <w:sz w:val="21"/>
          <w:szCs w:val="21"/>
        </w:rPr>
      </w:pPr>
      <w:r>
        <w:rPr>
          <w:rFonts w:hint="eastAsia"/>
          <w:b/>
          <w:bCs/>
          <w:sz w:val="21"/>
          <w:szCs w:val="21"/>
        </w:rPr>
        <w:t>17.首次响应文件的提交、撤回、修改</w:t>
      </w:r>
    </w:p>
    <w:p w14:paraId="74E5DD0A">
      <w:pPr>
        <w:spacing w:line="360" w:lineRule="auto"/>
        <w:ind w:firstLine="420" w:firstLineChars="200"/>
        <w:rPr>
          <w:sz w:val="21"/>
          <w:szCs w:val="21"/>
          <w:highlight w:val="none"/>
        </w:rPr>
      </w:pPr>
      <w:r>
        <w:rPr>
          <w:rFonts w:hint="eastAsia"/>
          <w:sz w:val="21"/>
          <w:szCs w:val="21"/>
        </w:rPr>
        <w:t>17.1响应文件的提交截止时间：</w:t>
      </w:r>
      <w:r>
        <w:rPr>
          <w:rFonts w:hint="eastAsia"/>
          <w:sz w:val="21"/>
          <w:szCs w:val="21"/>
          <w:highlight w:val="none"/>
        </w:rPr>
        <w:t>详见“供应商须知前附表”。</w:t>
      </w:r>
    </w:p>
    <w:p w14:paraId="10AB1EA6">
      <w:pPr>
        <w:spacing w:line="360" w:lineRule="auto"/>
        <w:ind w:firstLine="420" w:firstLineChars="200"/>
        <w:rPr>
          <w:sz w:val="21"/>
          <w:szCs w:val="21"/>
        </w:rPr>
      </w:pPr>
      <w:r>
        <w:rPr>
          <w:rFonts w:hint="eastAsia"/>
          <w:sz w:val="21"/>
          <w:szCs w:val="21"/>
        </w:rPr>
        <w:t>17.2地点：通过“广西政府采购云平台”在线提交。</w:t>
      </w:r>
    </w:p>
    <w:p w14:paraId="1024A295">
      <w:pPr>
        <w:spacing w:line="360" w:lineRule="auto"/>
        <w:ind w:firstLine="420" w:firstLineChars="200"/>
        <w:rPr>
          <w:sz w:val="21"/>
          <w:szCs w:val="21"/>
        </w:rPr>
      </w:pPr>
      <w:r>
        <w:rPr>
          <w:rFonts w:hint="eastAsia"/>
          <w:sz w:val="21"/>
          <w:szCs w:val="21"/>
        </w:rPr>
        <w:t>17.3供应商应当在响应文件提交截止时间前，将生成的电子响应文件上传提交至“广西政府采购云平台”。响应文件提交截止时间前可以补充、修改或撤回电子响应文件，补充、修改电子响应文件的，应当先行撤回原文件，补充、修改后重新传输提交。在响应文件提交截止时间后的响应文件有效期内，供应商不得撤回其响应文件。响应文件提交截止时间前未成功将电子响应文件上传“广西政府采购云平台”的，视为未提交响应文件。</w:t>
      </w:r>
    </w:p>
    <w:p w14:paraId="0B8AFD43">
      <w:pPr>
        <w:spacing w:line="360" w:lineRule="auto"/>
        <w:ind w:firstLine="420" w:firstLineChars="200"/>
        <w:rPr>
          <w:sz w:val="21"/>
          <w:szCs w:val="21"/>
        </w:rPr>
      </w:pPr>
      <w:r>
        <w:rPr>
          <w:rFonts w:hint="eastAsia"/>
          <w:sz w:val="21"/>
          <w:szCs w:val="21"/>
        </w:rPr>
        <w:t>17.4除竞争性磋商文件另有规定外，供应商所提交的响应文件不予退还。</w:t>
      </w:r>
    </w:p>
    <w:p w14:paraId="65AA9060">
      <w:pPr>
        <w:spacing w:line="360" w:lineRule="auto"/>
        <w:ind w:firstLine="422" w:firstLineChars="200"/>
        <w:rPr>
          <w:b/>
          <w:bCs/>
          <w:sz w:val="21"/>
          <w:szCs w:val="21"/>
        </w:rPr>
      </w:pPr>
      <w:r>
        <w:rPr>
          <w:rFonts w:hint="eastAsia"/>
          <w:b/>
          <w:bCs/>
          <w:sz w:val="21"/>
          <w:szCs w:val="21"/>
        </w:rPr>
        <w:t>18.响应文件的解密</w:t>
      </w:r>
    </w:p>
    <w:p w14:paraId="41186404">
      <w:pPr>
        <w:spacing w:line="360" w:lineRule="auto"/>
        <w:ind w:firstLine="420" w:firstLineChars="200"/>
        <w:rPr>
          <w:sz w:val="21"/>
          <w:szCs w:val="21"/>
        </w:rPr>
      </w:pPr>
      <w:r>
        <w:rPr>
          <w:rFonts w:hint="eastAsia"/>
          <w:sz w:val="21"/>
          <w:szCs w:val="21"/>
        </w:rPr>
        <w:t>响应文件提交截止时间后30分钟</w:t>
      </w:r>
      <w:r>
        <w:rPr>
          <w:rFonts w:hint="eastAsia"/>
          <w:sz w:val="21"/>
          <w:szCs w:val="21"/>
          <w:highlight w:val="none"/>
        </w:rPr>
        <w:t>内（详见“供应商须知前附表”。)</w:t>
      </w:r>
      <w:r>
        <w:rPr>
          <w:rFonts w:hint="eastAsia"/>
          <w:sz w:val="21"/>
          <w:szCs w:val="21"/>
        </w:rPr>
        <w:t>，供应商登录“广西政府采购云平台”，通过“项目采购-开标评标”功能解密电子响应文件。若供应商在上述规定时间内无法解密或解密失败，可以提交电子备份响应文件作为评审依据，在接到无法解密或解密失败的系统通知后，供应商可根据自身实际情况按系统通知要求的时间到达桂林市公共资源交易中心号开标室现场提交电子备份响应文件或以电子邮件（以系统通知时所告知的电子邮箱地址为准）的形式提交电子备份响应文件。若磋商供应商在规定时间内无法解密或解密失败且未提供电子备份响应文件的(包含提供的电子备份文件无效或无法解密的情况)，响应文件按无效处理。</w:t>
      </w:r>
    </w:p>
    <w:p w14:paraId="119776B2">
      <w:pPr>
        <w:pStyle w:val="12"/>
        <w:spacing w:before="7"/>
        <w:ind w:firstLine="442"/>
        <w:rPr>
          <w:sz w:val="22"/>
        </w:rPr>
      </w:pPr>
    </w:p>
    <w:p w14:paraId="0ED454D2">
      <w:pPr>
        <w:pStyle w:val="5"/>
        <w:ind w:left="1019" w:right="780" w:firstLine="562"/>
        <w:jc w:val="center"/>
      </w:pPr>
      <w:r>
        <w:t>四、竞争性磋商（简称磋商）与评审</w:t>
      </w:r>
    </w:p>
    <w:p w14:paraId="1AEF55C5">
      <w:pPr>
        <w:spacing w:line="360" w:lineRule="auto"/>
        <w:ind w:firstLine="422" w:firstLineChars="200"/>
        <w:rPr>
          <w:b/>
          <w:bCs/>
          <w:sz w:val="21"/>
          <w:szCs w:val="21"/>
        </w:rPr>
      </w:pPr>
      <w:r>
        <w:rPr>
          <w:rFonts w:hint="eastAsia"/>
          <w:b/>
          <w:bCs/>
          <w:sz w:val="21"/>
          <w:szCs w:val="21"/>
        </w:rPr>
        <w:t>19.磋商小组组成及磋商时间、地点、人员</w:t>
      </w:r>
    </w:p>
    <w:p w14:paraId="2E3178B4">
      <w:pPr>
        <w:spacing w:line="360" w:lineRule="auto"/>
        <w:ind w:firstLine="420" w:firstLineChars="200"/>
        <w:rPr>
          <w:sz w:val="21"/>
          <w:szCs w:val="21"/>
        </w:rPr>
      </w:pPr>
      <w:r>
        <w:rPr>
          <w:rFonts w:hint="eastAsia"/>
          <w:sz w:val="21"/>
          <w:szCs w:val="21"/>
        </w:rPr>
        <w:t>19.1磋商小组组成：</w:t>
      </w:r>
    </w:p>
    <w:p w14:paraId="0F5590D8">
      <w:pPr>
        <w:spacing w:line="360" w:lineRule="auto"/>
        <w:ind w:firstLine="440" w:firstLineChars="200"/>
        <w:rPr>
          <w:szCs w:val="21"/>
        </w:rPr>
      </w:pPr>
      <w:r>
        <w:rPr>
          <w:rFonts w:hint="eastAsia"/>
          <w:szCs w:val="21"/>
        </w:rPr>
        <w:t>磋商及评审工作由采购代理机构负责组织，具体磋商、评审工作由依法组建的磋商小组负责，磋商小组由政府采购评审专家库抽取的相关专业的专家组成。磋商小组的构成：3 人。</w:t>
      </w:r>
    </w:p>
    <w:p w14:paraId="5DFC4392">
      <w:pPr>
        <w:spacing w:line="360" w:lineRule="auto"/>
        <w:ind w:firstLine="420" w:firstLineChars="200"/>
        <w:rPr>
          <w:sz w:val="21"/>
          <w:szCs w:val="21"/>
        </w:rPr>
      </w:pPr>
      <w:r>
        <w:rPr>
          <w:rFonts w:hint="eastAsia"/>
          <w:sz w:val="21"/>
          <w:szCs w:val="21"/>
        </w:rPr>
        <w:t>19.2磋商时间、地点、人员：</w:t>
      </w:r>
    </w:p>
    <w:p w14:paraId="7B9C6ACE">
      <w:pPr>
        <w:spacing w:line="360" w:lineRule="auto"/>
        <w:ind w:firstLine="420" w:firstLineChars="200"/>
        <w:rPr>
          <w:sz w:val="21"/>
          <w:szCs w:val="21"/>
        </w:rPr>
      </w:pPr>
      <w:r>
        <w:rPr>
          <w:rFonts w:hint="eastAsia"/>
          <w:sz w:val="21"/>
          <w:szCs w:val="21"/>
        </w:rPr>
        <w:t>19.2.1磋商时间：首次响应文件提交截止时间后。</w:t>
      </w:r>
    </w:p>
    <w:p w14:paraId="4A38176E">
      <w:pPr>
        <w:spacing w:line="360" w:lineRule="auto"/>
        <w:ind w:firstLine="420" w:firstLineChars="200"/>
        <w:rPr>
          <w:sz w:val="21"/>
          <w:szCs w:val="21"/>
        </w:rPr>
      </w:pPr>
      <w:r>
        <w:rPr>
          <w:rFonts w:hint="eastAsia"/>
          <w:sz w:val="21"/>
          <w:szCs w:val="21"/>
        </w:rPr>
        <w:t>19.2.2磋商地点：供应商代表在响应文件提交当天实时登陆登录“广西政府采购云平台”，按磋商小组要求在线等候参与磋商及提交最后报价。</w:t>
      </w:r>
    </w:p>
    <w:p w14:paraId="356ED9CE">
      <w:pPr>
        <w:pStyle w:val="12"/>
        <w:spacing w:line="360" w:lineRule="auto"/>
        <w:ind w:firstLine="420" w:firstLineChars="200"/>
      </w:pPr>
      <w:r>
        <w:rPr>
          <w:rFonts w:hint="eastAsia"/>
          <w:bCs/>
        </w:rPr>
        <w:t>供应商应保证提供的联系方式正确并保持畅通，以便评标过程中如需提供书面说明或澄清时，能及时联系到供应商，如在一个小时内未能联系到供应商，两个小时内其未能按要求提供书面说明或澄清，需提供的书面说明或澄清为实质性内容时，磋商小组应当将其作为无效投标处理。</w:t>
      </w:r>
    </w:p>
    <w:p w14:paraId="22A0D21E">
      <w:pPr>
        <w:spacing w:line="360" w:lineRule="auto"/>
        <w:ind w:firstLine="420" w:firstLineChars="200"/>
        <w:rPr>
          <w:sz w:val="21"/>
          <w:szCs w:val="21"/>
        </w:rPr>
      </w:pPr>
      <w:r>
        <w:rPr>
          <w:rFonts w:hint="eastAsia"/>
          <w:sz w:val="21"/>
          <w:szCs w:val="21"/>
        </w:rPr>
        <w:t>19.2.3磋商参加人员：供应商法定代表人(负责人、自然人)或相应的委托代理人参加磋商。请供应商实时登陆登录“广西政府采购云平台”等候在线磋商。</w:t>
      </w:r>
    </w:p>
    <w:p w14:paraId="36A74626">
      <w:pPr>
        <w:spacing w:line="360" w:lineRule="auto"/>
        <w:ind w:firstLine="420" w:firstLineChars="200"/>
        <w:rPr>
          <w:sz w:val="21"/>
          <w:szCs w:val="21"/>
        </w:rPr>
      </w:pPr>
      <w:r>
        <w:rPr>
          <w:rFonts w:hint="eastAsia"/>
          <w:sz w:val="21"/>
          <w:szCs w:val="21"/>
        </w:rPr>
        <w:t>19.2.4首次响应文件提交截止时间后，登录“广西政府采购云平台”在线解密开启。</w:t>
      </w:r>
    </w:p>
    <w:p w14:paraId="0B617C77">
      <w:pPr>
        <w:spacing w:line="360" w:lineRule="auto"/>
        <w:ind w:firstLine="422" w:firstLineChars="200"/>
        <w:rPr>
          <w:b/>
          <w:bCs/>
          <w:sz w:val="21"/>
          <w:szCs w:val="21"/>
        </w:rPr>
      </w:pPr>
      <w:r>
        <w:rPr>
          <w:rFonts w:hint="eastAsia"/>
          <w:b/>
          <w:bCs/>
          <w:sz w:val="21"/>
          <w:szCs w:val="21"/>
        </w:rPr>
        <w:t>20.评审原则和评审办法</w:t>
      </w:r>
    </w:p>
    <w:p w14:paraId="39EA9B3A">
      <w:pPr>
        <w:spacing w:line="360" w:lineRule="auto"/>
        <w:ind w:firstLine="420" w:firstLineChars="200"/>
        <w:rPr>
          <w:sz w:val="21"/>
          <w:szCs w:val="21"/>
        </w:rPr>
      </w:pPr>
      <w:r>
        <w:rPr>
          <w:rFonts w:hint="eastAsia"/>
          <w:sz w:val="21"/>
          <w:szCs w:val="21"/>
        </w:rPr>
        <w:t>20.1磋商小组必须坚持公平、公正、科学和择优的原则。</w:t>
      </w:r>
    </w:p>
    <w:p w14:paraId="3D2DD122">
      <w:pPr>
        <w:spacing w:line="360" w:lineRule="auto"/>
        <w:ind w:firstLine="420" w:firstLineChars="200"/>
        <w:rPr>
          <w:sz w:val="21"/>
          <w:szCs w:val="21"/>
        </w:rPr>
      </w:pPr>
      <w:r>
        <w:rPr>
          <w:rFonts w:hint="eastAsia"/>
          <w:sz w:val="21"/>
          <w:szCs w:val="21"/>
        </w:rPr>
        <w:t>20.2综合评分法，具体详见第四章评审办法。</w:t>
      </w:r>
    </w:p>
    <w:p w14:paraId="0BAF5B74">
      <w:pPr>
        <w:spacing w:line="360" w:lineRule="auto"/>
        <w:ind w:firstLine="420" w:firstLineChars="200"/>
        <w:rPr>
          <w:sz w:val="21"/>
          <w:szCs w:val="21"/>
        </w:rPr>
      </w:pPr>
      <w:r>
        <w:rPr>
          <w:rFonts w:hint="eastAsia"/>
          <w:sz w:val="21"/>
          <w:szCs w:val="21"/>
        </w:rPr>
        <w:t>20.3磋商小组应按磋商文件进行评审，不得擅自更改评审办法。</w:t>
      </w:r>
    </w:p>
    <w:p w14:paraId="1EDB3E03">
      <w:pPr>
        <w:spacing w:line="360" w:lineRule="auto"/>
        <w:ind w:firstLine="420" w:firstLineChars="200"/>
        <w:rPr>
          <w:sz w:val="21"/>
          <w:szCs w:val="21"/>
        </w:rPr>
      </w:pPr>
      <w:r>
        <w:rPr>
          <w:rFonts w:hint="eastAsia"/>
          <w:sz w:val="21"/>
          <w:szCs w:val="21"/>
        </w:rPr>
        <w:t>20.4在评审过程中，磋商小组任何人不得对某个供应商发表任何倾向性意见，不得向其他磋商小组成员明示或者暗示自己的评审意见。</w:t>
      </w:r>
    </w:p>
    <w:p w14:paraId="548465A7">
      <w:pPr>
        <w:spacing w:line="360" w:lineRule="auto"/>
        <w:ind w:firstLine="420" w:firstLineChars="200"/>
        <w:rPr>
          <w:sz w:val="21"/>
          <w:szCs w:val="21"/>
        </w:rPr>
      </w:pPr>
      <w:r>
        <w:rPr>
          <w:rFonts w:hint="eastAsia"/>
          <w:sz w:val="21"/>
          <w:szCs w:val="21"/>
        </w:rPr>
        <w:t>20.5磋商小组成员对需要共同认定的事项存在争议的，按照少数服从多数的原则作出结论。持不同意见的磋商小组成员应当在评审报告上签署不同意见并说明理由，否则视为同意。</w:t>
      </w:r>
    </w:p>
    <w:p w14:paraId="1F072ADA">
      <w:pPr>
        <w:spacing w:line="360" w:lineRule="auto"/>
        <w:ind w:firstLine="422" w:firstLineChars="200"/>
        <w:rPr>
          <w:b/>
          <w:bCs/>
          <w:sz w:val="21"/>
          <w:szCs w:val="21"/>
        </w:rPr>
      </w:pPr>
      <w:r>
        <w:rPr>
          <w:rFonts w:hint="eastAsia"/>
          <w:b/>
          <w:bCs/>
          <w:sz w:val="21"/>
          <w:szCs w:val="21"/>
        </w:rPr>
        <w:t>21.评审程序及磋商要求</w:t>
      </w:r>
    </w:p>
    <w:p w14:paraId="03D8CCAA">
      <w:pPr>
        <w:spacing w:line="360" w:lineRule="auto"/>
        <w:ind w:firstLine="420" w:firstLineChars="200"/>
        <w:rPr>
          <w:sz w:val="21"/>
          <w:szCs w:val="21"/>
        </w:rPr>
      </w:pPr>
      <w:r>
        <w:rPr>
          <w:rFonts w:hint="eastAsia"/>
          <w:sz w:val="21"/>
          <w:szCs w:val="21"/>
        </w:rPr>
        <w:t>21.1磋商小组成员的通讯工具或相关电子设备交由桂林市公共资源交易中心统一保管后到达评标室，采购代理机构核实磋商小组成员身份，告知回避要求，宣布评审工作纪律和程序，推选磋商小组</w:t>
      </w:r>
    </w:p>
    <w:p w14:paraId="7F5F16B5">
      <w:pPr>
        <w:spacing w:line="360" w:lineRule="auto"/>
        <w:ind w:firstLine="420" w:firstLineChars="200"/>
        <w:rPr>
          <w:sz w:val="21"/>
          <w:szCs w:val="21"/>
        </w:rPr>
      </w:pPr>
      <w:r>
        <w:rPr>
          <w:rFonts w:hint="eastAsia"/>
          <w:sz w:val="21"/>
          <w:szCs w:val="21"/>
        </w:rPr>
        <w:t>组长。</w:t>
      </w:r>
    </w:p>
    <w:p w14:paraId="520F293B">
      <w:pPr>
        <w:spacing w:line="360" w:lineRule="auto"/>
        <w:ind w:firstLine="420" w:firstLineChars="200"/>
        <w:rPr>
          <w:sz w:val="21"/>
          <w:szCs w:val="21"/>
        </w:rPr>
      </w:pPr>
      <w:r>
        <w:rPr>
          <w:rFonts w:hint="eastAsia"/>
          <w:sz w:val="21"/>
          <w:szCs w:val="21"/>
        </w:rPr>
        <w:t>21.2磋商小组应当审查供应商的响应文件并作出评价；要求供应商解释或者澄清其响应文件；编写评审报告；告知采购人、采购代理机构在评审过程中发现的供应商的违法违规行为。</w:t>
      </w:r>
    </w:p>
    <w:p w14:paraId="13496078">
      <w:pPr>
        <w:spacing w:line="360" w:lineRule="auto"/>
        <w:ind w:firstLine="420" w:firstLineChars="200"/>
        <w:rPr>
          <w:sz w:val="21"/>
          <w:szCs w:val="21"/>
        </w:rPr>
      </w:pPr>
      <w:r>
        <w:rPr>
          <w:rFonts w:hint="eastAsia"/>
          <w:sz w:val="21"/>
          <w:szCs w:val="21"/>
        </w:rPr>
        <w:t>21.3磋商小组依据法律法规和竞争性磋商文件的规定，首先对响应文件进行资格性审查，以确定供应商是否具备本项目供应商资格；再对通过资格性审查的供应商响应文件的有效性、完整性和对磋商文件的响应程度进行符合性审查，以确定是否对磋商文件的实质性要求做出响应。</w:t>
      </w:r>
    </w:p>
    <w:p w14:paraId="59ED572C">
      <w:pPr>
        <w:spacing w:line="360" w:lineRule="auto"/>
        <w:ind w:firstLine="420" w:firstLineChars="200"/>
        <w:rPr>
          <w:sz w:val="21"/>
          <w:szCs w:val="21"/>
        </w:rPr>
      </w:pPr>
      <w:r>
        <w:rPr>
          <w:rFonts w:hint="eastAsia"/>
          <w:sz w:val="21"/>
          <w:szCs w:val="21"/>
        </w:rPr>
        <w:t>21.4磋商小组在对供应商进行资格性审查时，将对供应商企业股东及出资等信息进行查询。根据</w:t>
      </w:r>
    </w:p>
    <w:p w14:paraId="0D009ED2">
      <w:pPr>
        <w:spacing w:line="360" w:lineRule="auto"/>
        <w:ind w:firstLine="420" w:firstLineChars="200"/>
        <w:rPr>
          <w:sz w:val="21"/>
          <w:szCs w:val="21"/>
        </w:rPr>
      </w:pPr>
      <w:r>
        <w:rPr>
          <w:rFonts w:hint="eastAsia"/>
          <w:sz w:val="21"/>
          <w:szCs w:val="21"/>
        </w:rPr>
        <w:t>《中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434582EF">
      <w:pPr>
        <w:spacing w:line="360" w:lineRule="auto"/>
        <w:ind w:firstLine="420" w:firstLineChars="200"/>
        <w:rPr>
          <w:sz w:val="21"/>
          <w:szCs w:val="21"/>
        </w:rPr>
      </w:pPr>
      <w:r>
        <w:rPr>
          <w:rFonts w:hint="eastAsia"/>
          <w:sz w:val="21"/>
          <w:szCs w:val="21"/>
        </w:rPr>
        <w:t>21.4.1查询渠道：《国家企业信用信息公示系统》（网址：</w:t>
      </w:r>
      <w:r>
        <w:fldChar w:fldCharType="begin"/>
      </w:r>
      <w:r>
        <w:instrText xml:space="preserve"> HYPERLINK "http://www.gsxt.gov.cn/index.html" \h </w:instrText>
      </w:r>
      <w:r>
        <w:fldChar w:fldCharType="separate"/>
      </w:r>
      <w:r>
        <w:rPr>
          <w:rFonts w:hint="eastAsia"/>
          <w:sz w:val="21"/>
          <w:szCs w:val="21"/>
        </w:rPr>
        <w:t>www.gsxt.gov.cn/index.html</w:t>
      </w:r>
      <w:r>
        <w:rPr>
          <w:rFonts w:hint="eastAsia"/>
          <w:sz w:val="21"/>
          <w:szCs w:val="21"/>
        </w:rPr>
        <w:fldChar w:fldCharType="end"/>
      </w:r>
      <w:r>
        <w:rPr>
          <w:rFonts w:hint="eastAsia"/>
          <w:sz w:val="21"/>
          <w:szCs w:val="21"/>
        </w:rPr>
        <w:t>）</w:t>
      </w:r>
    </w:p>
    <w:p w14:paraId="7A1B3352">
      <w:pPr>
        <w:spacing w:line="360" w:lineRule="auto"/>
        <w:ind w:firstLine="420" w:firstLineChars="200"/>
        <w:rPr>
          <w:sz w:val="21"/>
          <w:szCs w:val="21"/>
        </w:rPr>
      </w:pPr>
      <w:r>
        <w:rPr>
          <w:rFonts w:hint="eastAsia"/>
          <w:sz w:val="21"/>
          <w:szCs w:val="21"/>
        </w:rPr>
        <w:t>21.4.2审查流程：</w:t>
      </w:r>
    </w:p>
    <w:p w14:paraId="3CDA74FE">
      <w:pPr>
        <w:spacing w:line="360" w:lineRule="auto"/>
        <w:ind w:firstLine="420" w:firstLineChars="200"/>
        <w:rPr>
          <w:sz w:val="21"/>
          <w:szCs w:val="21"/>
        </w:rPr>
      </w:pPr>
      <w:r>
        <w:rPr>
          <w:rFonts w:hint="eastAsia"/>
          <w:sz w:val="21"/>
          <w:szCs w:val="21"/>
        </w:rPr>
        <w:t>（1）进入《国家企业信用信息公示系统》（网址：</w:t>
      </w:r>
      <w:r>
        <w:fldChar w:fldCharType="begin"/>
      </w:r>
      <w:r>
        <w:instrText xml:space="preserve"> HYPERLINK "http://www.gsxt.gov.cn/index.html" \h </w:instrText>
      </w:r>
      <w:r>
        <w:fldChar w:fldCharType="separate"/>
      </w:r>
      <w:r>
        <w:rPr>
          <w:rFonts w:hint="eastAsia"/>
          <w:sz w:val="21"/>
          <w:szCs w:val="21"/>
        </w:rPr>
        <w:t>www.gsxt.gov.cn/index.html</w:t>
      </w:r>
      <w:r>
        <w:rPr>
          <w:rFonts w:hint="eastAsia"/>
          <w:sz w:val="21"/>
          <w:szCs w:val="21"/>
        </w:rPr>
        <w:fldChar w:fldCharType="end"/>
      </w:r>
      <w:r>
        <w:rPr>
          <w:rFonts w:hint="eastAsia"/>
          <w:sz w:val="21"/>
          <w:szCs w:val="21"/>
        </w:rPr>
        <w:t>），输入企业名称，进入企业信息主页面；</w:t>
      </w:r>
    </w:p>
    <w:p w14:paraId="2CCD632C">
      <w:pPr>
        <w:spacing w:line="360" w:lineRule="auto"/>
        <w:ind w:firstLine="420" w:firstLineChars="200"/>
        <w:rPr>
          <w:sz w:val="21"/>
          <w:szCs w:val="21"/>
        </w:rPr>
      </w:pPr>
      <w:r>
        <w:rPr>
          <w:rFonts w:hint="eastAsia"/>
          <w:sz w:val="21"/>
          <w:szCs w:val="21"/>
        </w:rPr>
        <w:t>（2）查看主页“股东及出资信息”栏，或年报中的“股东及出资信息”栏信息；</w:t>
      </w:r>
    </w:p>
    <w:p w14:paraId="49449A01">
      <w:pPr>
        <w:spacing w:line="360" w:lineRule="auto"/>
        <w:ind w:firstLine="420" w:firstLineChars="200"/>
        <w:rPr>
          <w:sz w:val="21"/>
          <w:szCs w:val="21"/>
        </w:rPr>
      </w:pPr>
      <w:r>
        <w:rPr>
          <w:rFonts w:hint="eastAsia"/>
          <w:sz w:val="21"/>
          <w:szCs w:val="21"/>
        </w:rPr>
        <w:t>（3）将各供应商的股东及出资信息进行比对，得出审查结论；</w:t>
      </w:r>
    </w:p>
    <w:p w14:paraId="343D1CE9">
      <w:pPr>
        <w:spacing w:line="360" w:lineRule="auto"/>
        <w:ind w:firstLine="420" w:firstLineChars="200"/>
        <w:rPr>
          <w:sz w:val="21"/>
          <w:szCs w:val="21"/>
        </w:rPr>
      </w:pPr>
      <w:r>
        <w:rPr>
          <w:rFonts w:hint="eastAsia"/>
          <w:sz w:val="21"/>
          <w:szCs w:val="21"/>
        </w:rPr>
        <w:t>（4）将相关资料作为评审资料打印存档。</w:t>
      </w:r>
    </w:p>
    <w:p w14:paraId="5DAE5AFF">
      <w:pPr>
        <w:spacing w:line="360" w:lineRule="auto"/>
        <w:ind w:firstLine="420" w:firstLineChars="200"/>
        <w:rPr>
          <w:sz w:val="21"/>
          <w:szCs w:val="21"/>
        </w:rPr>
      </w:pPr>
      <w:r>
        <w:rPr>
          <w:rFonts w:hint="eastAsia"/>
          <w:sz w:val="21"/>
          <w:szCs w:val="21"/>
        </w:rPr>
        <w:t>注：以上审查过程中，如出现查询企业网页主页面无法显示股东及出资信息的或仅以主页面信息内容无法认定供应商之间存在单位负责人为同一人或者存在直接控股、管理关系的，当时审查程序可继续进行，待评审结束后将对以上供应商作进一步核实确认，如确认供应商之间存在有上述关联供应商情形的，关联供应商均按响应文件无效处理。</w:t>
      </w:r>
    </w:p>
    <w:p w14:paraId="6BCB046C">
      <w:pPr>
        <w:spacing w:line="360" w:lineRule="auto"/>
        <w:ind w:firstLine="420" w:firstLineChars="200"/>
        <w:rPr>
          <w:sz w:val="21"/>
          <w:szCs w:val="21"/>
        </w:rPr>
      </w:pPr>
      <w:r>
        <w:rPr>
          <w:rFonts w:hint="eastAsia"/>
          <w:sz w:val="21"/>
          <w:szCs w:val="21"/>
        </w:rPr>
        <w:t>21.5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供应商的澄清、说明或者更正应当通过“广西政府采购云平台”采用在线书面形式，并加盖公章（CA证书签章），或者由法定代表人（负责人）或其授权委托代理人个人CA证书签章（没有办理个人CA证书签章的可在响应文件中涉及到签字的位置手写签字后扫描或者拍照做成PDF的格式上传），供应商为自然人的，应当由本人个人CA证书签章（没有办理个人CA证书签章的可在响应文件中涉及到签字的位置手写签字后扫描或者拍照做成PDF的格式上传）并附身份证明。</w:t>
      </w:r>
    </w:p>
    <w:p w14:paraId="7C3F7180">
      <w:pPr>
        <w:spacing w:line="360" w:lineRule="auto"/>
        <w:ind w:firstLine="420" w:firstLineChars="200"/>
        <w:rPr>
          <w:sz w:val="21"/>
          <w:szCs w:val="21"/>
        </w:rPr>
      </w:pPr>
      <w:r>
        <w:rPr>
          <w:rFonts w:hint="eastAsia"/>
          <w:sz w:val="21"/>
          <w:szCs w:val="21"/>
        </w:rPr>
        <w:t>根据磋商文件规定的程序、评定成交的标准等事项与实质性响应竞争性磋商文件要求的供应商进行磋商。未实质性响应磋商文件的响应文件按无效处理，磋商小组应当告知有关供应商。</w:t>
      </w:r>
    </w:p>
    <w:p w14:paraId="5CBED9E9">
      <w:pPr>
        <w:spacing w:line="360" w:lineRule="auto"/>
        <w:ind w:firstLine="420" w:firstLineChars="200"/>
        <w:rPr>
          <w:sz w:val="21"/>
          <w:szCs w:val="21"/>
        </w:rPr>
      </w:pPr>
      <w:r>
        <w:rPr>
          <w:rFonts w:hint="eastAsia"/>
          <w:sz w:val="21"/>
          <w:szCs w:val="21"/>
        </w:rPr>
        <w:t>磋商小组所有成员应当按已确定的磋商顺序集中与单一供应商分别进行磋商，并给予所有实质性响应竞争性磋商文件要求的供应商平等的磋商机会。</w:t>
      </w:r>
    </w:p>
    <w:p w14:paraId="44E45BDC">
      <w:pPr>
        <w:spacing w:line="360" w:lineRule="auto"/>
        <w:ind w:firstLine="420" w:firstLineChars="200"/>
        <w:rPr>
          <w:sz w:val="21"/>
          <w:szCs w:val="21"/>
        </w:rPr>
      </w:pPr>
      <w:r>
        <w:rPr>
          <w:rFonts w:hint="eastAsia"/>
          <w:sz w:val="21"/>
          <w:szCs w:val="21"/>
        </w:rPr>
        <w:t>磋商中，磋商小组不得透露与磋商有关的其他供应商的技术资料、价格和其他信息。</w:t>
      </w:r>
    </w:p>
    <w:p w14:paraId="787FD472">
      <w:pPr>
        <w:spacing w:line="360" w:lineRule="auto"/>
        <w:ind w:firstLine="420" w:firstLineChars="200"/>
        <w:rPr>
          <w:sz w:val="21"/>
          <w:szCs w:val="21"/>
        </w:rPr>
      </w:pPr>
      <w:r>
        <w:rPr>
          <w:rFonts w:hint="eastAsia"/>
          <w:sz w:val="21"/>
          <w:szCs w:val="21"/>
        </w:rPr>
        <w:t>采购代理机构（磋商小组）对磋商过程和重要磋商内容进行记录，磋商双方在记录上签字确认（或CA证书签章）。</w:t>
      </w:r>
    </w:p>
    <w:p w14:paraId="66B1E070">
      <w:pPr>
        <w:pStyle w:val="12"/>
        <w:spacing w:line="360" w:lineRule="auto"/>
        <w:ind w:firstLine="420" w:firstLineChars="200"/>
      </w:pPr>
      <w:bookmarkStart w:id="29" w:name="OLE_LINK15"/>
      <w:bookmarkStart w:id="30" w:name="OLE_LINK16"/>
      <w:r>
        <w:rPr>
          <w:rFonts w:hint="eastAsia"/>
        </w:rPr>
        <w:t>注：</w:t>
      </w:r>
      <w:r>
        <w:rPr>
          <w:rFonts w:hint="eastAsia"/>
          <w:bCs/>
        </w:rPr>
        <w:t>供应商应保证提供的联系方式正确并保持畅通，以便评标过程中如需提供书面说明或澄清时，能及时联系到供应商，如在一个小时内未能联系到供应商，两个小时内其未能按要求提供书面说明或澄清，需提供的书面说明或澄清为实质性内容时，磋商小组应当将其作为无效投标处理。</w:t>
      </w:r>
    </w:p>
    <w:bookmarkEnd w:id="29"/>
    <w:bookmarkEnd w:id="30"/>
    <w:p w14:paraId="6AED2A72">
      <w:pPr>
        <w:spacing w:line="360" w:lineRule="auto"/>
        <w:ind w:firstLine="420" w:firstLineChars="200"/>
        <w:rPr>
          <w:sz w:val="21"/>
          <w:szCs w:val="21"/>
        </w:rPr>
      </w:pPr>
      <w:r>
        <w:rPr>
          <w:rFonts w:hint="eastAsia"/>
          <w:sz w:val="21"/>
          <w:szCs w:val="21"/>
        </w:rPr>
        <w:t>21.6在磋商过程中，磋商小组可以根据磋商文件和磋商情况实质性变动项目需求中的技术、服务要求以及合同草案条款，但不得变动磋商文件中的其他内容。实质性变动的内容，须经采购人代表确认。</w:t>
      </w:r>
    </w:p>
    <w:p w14:paraId="51EA6BE6">
      <w:pPr>
        <w:spacing w:line="360" w:lineRule="auto"/>
        <w:ind w:firstLine="420" w:firstLineChars="200"/>
        <w:rPr>
          <w:sz w:val="21"/>
          <w:szCs w:val="21"/>
        </w:rPr>
      </w:pPr>
      <w:r>
        <w:rPr>
          <w:rFonts w:hint="eastAsia"/>
          <w:sz w:val="21"/>
          <w:szCs w:val="21"/>
        </w:rPr>
        <w:t>对磋商文件作出的实质性变动是磋商文件的有效组成部分，磋商小组应当及时通过“广西政府采购云平台”以书面形式同时通知所有参加磋商的供应商。</w:t>
      </w:r>
    </w:p>
    <w:p w14:paraId="0E4BD773">
      <w:pPr>
        <w:spacing w:line="360" w:lineRule="auto"/>
        <w:ind w:firstLine="420" w:firstLineChars="200"/>
        <w:rPr>
          <w:sz w:val="21"/>
          <w:szCs w:val="21"/>
        </w:rPr>
      </w:pPr>
      <w:r>
        <w:rPr>
          <w:rFonts w:hint="eastAsia"/>
          <w:sz w:val="21"/>
          <w:szCs w:val="21"/>
        </w:rPr>
        <w:t>供应商必须按照磋商文件的变动情况和磋商小组的要求重新提交响应文件，并由其法定代表人(负责人、自然人)或相应的授权委托代表个人CA证书签章（没有办理个人CA证书签章的可在响应文件中涉及到签字的位置手写签字后扫描或者拍照做成PDF的格式上传）或者加盖供应商公章（CA证书签章）。逾时不交的，视同放弃磋商。</w:t>
      </w:r>
    </w:p>
    <w:p w14:paraId="39326C9C">
      <w:pPr>
        <w:spacing w:line="360" w:lineRule="auto"/>
        <w:ind w:firstLine="420" w:firstLineChars="200"/>
        <w:rPr>
          <w:sz w:val="21"/>
          <w:szCs w:val="21"/>
        </w:rPr>
      </w:pPr>
      <w:r>
        <w:rPr>
          <w:rFonts w:hint="eastAsia"/>
          <w:sz w:val="21"/>
          <w:szCs w:val="21"/>
        </w:rPr>
        <w:t>21.7最后报价</w:t>
      </w:r>
    </w:p>
    <w:p w14:paraId="48B29DBC">
      <w:pPr>
        <w:spacing w:line="360" w:lineRule="auto"/>
        <w:ind w:firstLine="420" w:firstLineChars="200"/>
        <w:rPr>
          <w:sz w:val="21"/>
          <w:szCs w:val="21"/>
        </w:rPr>
      </w:pPr>
      <w:r>
        <w:rPr>
          <w:rFonts w:hint="eastAsia"/>
          <w:sz w:val="21"/>
          <w:szCs w:val="21"/>
        </w:rPr>
        <w:t>21.7.1磋商文件能够详细列明采购标的的技术、服务要求的，磋商结束后，磋商小组应当要求所有继续参加磋商的供应商在规定时间内通过“广西政府采购云平台”在线提交最后报价，提交最后报价的供应商不得少于3家；磋商文件不能详细列明采购标的的技术、服务要求的，需由磋商供应商提供最终方案或解决方案的，磋商结束后，磋商小组应当按照少数服从多数的原则投票推荐3家以上（含3家）供应商的最终方案或者解决方案，并要求其在规定时间内通过“广西政府采购云平台”在线提交最后报价。</w:t>
      </w:r>
    </w:p>
    <w:p w14:paraId="3A20AA7B">
      <w:pPr>
        <w:spacing w:line="360" w:lineRule="auto"/>
        <w:ind w:firstLine="420" w:firstLineChars="200"/>
        <w:rPr>
          <w:sz w:val="21"/>
          <w:szCs w:val="21"/>
        </w:rPr>
      </w:pPr>
      <w:r>
        <w:rPr>
          <w:rFonts w:hint="eastAsia"/>
          <w:sz w:val="21"/>
          <w:szCs w:val="21"/>
        </w:rPr>
        <w:t>21.7.2根据财库【2015】124号《财政部关于政府采购竞争性磋商采购方式有关问题的通知》的规定，如采购项目为政府购买服务项目（含政府和社会资本合作项目），在采购过程中符合要求的供应商（社会资本）只有2家的，竞争性磋商采购活动可以继续进行，并要求其在规定时间内通过“广西政府采购云平台”在线提交最后报价；采购过程中符合要求的供应商（社会资本）只有1家的，采购人或者采购代理机构应当终止竞争性磋商采购活动，发布项目终止公告并说明原因，重新开展采购活动。</w:t>
      </w:r>
    </w:p>
    <w:p w14:paraId="334C802A">
      <w:pPr>
        <w:spacing w:line="360" w:lineRule="auto"/>
        <w:ind w:firstLine="420" w:firstLineChars="200"/>
        <w:rPr>
          <w:sz w:val="21"/>
          <w:szCs w:val="21"/>
        </w:rPr>
      </w:pPr>
      <w:r>
        <w:rPr>
          <w:rFonts w:hint="eastAsia"/>
          <w:sz w:val="21"/>
          <w:szCs w:val="21"/>
        </w:rPr>
        <w:t>21.7.3最后报价是供应商响应文件的有效组成部分。</w:t>
      </w:r>
    </w:p>
    <w:p w14:paraId="5D2E8879">
      <w:pPr>
        <w:spacing w:line="360" w:lineRule="auto"/>
        <w:ind w:firstLine="420" w:firstLineChars="200"/>
        <w:rPr>
          <w:sz w:val="21"/>
          <w:szCs w:val="21"/>
        </w:rPr>
      </w:pPr>
      <w:r>
        <w:rPr>
          <w:rFonts w:hint="eastAsia"/>
          <w:sz w:val="21"/>
          <w:szCs w:val="21"/>
        </w:rPr>
        <w:t>21.8已提交响应文件的供应商，在提交最后报价之前，可以根据磋商情况书面退出磋商。</w:t>
      </w:r>
    </w:p>
    <w:p w14:paraId="679D3D3B">
      <w:pPr>
        <w:spacing w:line="360" w:lineRule="auto"/>
        <w:ind w:firstLine="420" w:firstLineChars="200"/>
        <w:rPr>
          <w:sz w:val="21"/>
          <w:szCs w:val="21"/>
        </w:rPr>
      </w:pPr>
      <w:r>
        <w:rPr>
          <w:rFonts w:hint="eastAsia"/>
          <w:sz w:val="21"/>
          <w:szCs w:val="21"/>
        </w:rPr>
        <w:t>未书面退出磋商的供应商必须在规定时间内通过“广西政府采购云平台”在线提交最后报价；磋商过程中磋商文件未作实质性变动的，最后报价不得大于首次报价。</w:t>
      </w:r>
    </w:p>
    <w:p w14:paraId="36B84A61">
      <w:pPr>
        <w:spacing w:line="360" w:lineRule="auto"/>
        <w:ind w:firstLine="420" w:firstLineChars="200"/>
        <w:rPr>
          <w:sz w:val="21"/>
          <w:szCs w:val="21"/>
        </w:rPr>
      </w:pPr>
      <w:r>
        <w:rPr>
          <w:rFonts w:hint="eastAsia"/>
          <w:sz w:val="21"/>
          <w:szCs w:val="21"/>
        </w:rPr>
        <w:t>21.9综合比较与评价：</w:t>
      </w:r>
    </w:p>
    <w:p w14:paraId="1A3366C4">
      <w:pPr>
        <w:spacing w:line="360" w:lineRule="auto"/>
        <w:ind w:firstLine="420" w:firstLineChars="200"/>
        <w:rPr>
          <w:sz w:val="21"/>
          <w:szCs w:val="21"/>
        </w:rPr>
      </w:pPr>
      <w:r>
        <w:rPr>
          <w:rFonts w:hint="eastAsia"/>
          <w:sz w:val="21"/>
          <w:szCs w:val="21"/>
        </w:rPr>
        <w:t>21.9.1磋商小组按竞争性磋商文件中规定的评审办法，对资格性审查和符合性审查合格的响应文件进行商务和技术评估，综合比较与评价。</w:t>
      </w:r>
    </w:p>
    <w:p w14:paraId="2A3623E9">
      <w:pPr>
        <w:spacing w:line="360" w:lineRule="auto"/>
        <w:ind w:firstLine="420" w:firstLineChars="200"/>
        <w:rPr>
          <w:sz w:val="21"/>
          <w:szCs w:val="21"/>
        </w:rPr>
      </w:pPr>
      <w:r>
        <w:rPr>
          <w:rFonts w:hint="eastAsia"/>
          <w:sz w:val="21"/>
          <w:szCs w:val="21"/>
        </w:rPr>
        <w:t>21.9.2磋商小组成员应当独立对每个供应商的响应文件进行评价，最终汇总每个供应商的得分。各供应商的得分为所有磋商小组的有效评分的算术平均数。</w:t>
      </w:r>
    </w:p>
    <w:p w14:paraId="42A82482">
      <w:pPr>
        <w:spacing w:line="360" w:lineRule="auto"/>
        <w:ind w:firstLine="420" w:firstLineChars="200"/>
        <w:rPr>
          <w:sz w:val="21"/>
          <w:szCs w:val="21"/>
        </w:rPr>
      </w:pPr>
      <w:r>
        <w:rPr>
          <w:rFonts w:hint="eastAsia"/>
          <w:sz w:val="21"/>
          <w:szCs w:val="21"/>
        </w:rPr>
        <w:t>21.9.3采购代理机构对评审数据进行校对、核对，对畸高、畸低的重大差异评分提示磋商小组复核或书面说明理由。</w:t>
      </w:r>
    </w:p>
    <w:p w14:paraId="0A2962A3">
      <w:pPr>
        <w:spacing w:line="360" w:lineRule="auto"/>
        <w:ind w:firstLine="420" w:firstLineChars="200"/>
        <w:rPr>
          <w:sz w:val="21"/>
          <w:szCs w:val="21"/>
        </w:rPr>
      </w:pPr>
      <w:r>
        <w:rPr>
          <w:rFonts w:hint="eastAsia"/>
          <w:sz w:val="21"/>
          <w:szCs w:val="21"/>
        </w:rPr>
        <w:t>21.10在评审过程中出现法律法规和磋商文件均没有明确规定的情形时，由磋商小组现场协商解决，协商不一致的，由全体磋商小组投票表决，以得票率二分之一以上专家的意见为准。</w:t>
      </w:r>
    </w:p>
    <w:p w14:paraId="3F28CA09">
      <w:pPr>
        <w:spacing w:line="360" w:lineRule="auto"/>
        <w:ind w:firstLine="420" w:firstLineChars="200"/>
        <w:rPr>
          <w:sz w:val="21"/>
          <w:szCs w:val="21"/>
        </w:rPr>
      </w:pPr>
      <w:r>
        <w:rPr>
          <w:rFonts w:hint="eastAsia"/>
          <w:sz w:val="21"/>
          <w:szCs w:val="21"/>
        </w:rPr>
        <w:t>21.11采购代理机构发现磋商小组有明显的违规倾向或歧视现象，或不按评审办法进行，或其他不</w:t>
      </w:r>
    </w:p>
    <w:p w14:paraId="3472FFF2">
      <w:pPr>
        <w:spacing w:line="360" w:lineRule="auto"/>
        <w:ind w:firstLine="420" w:firstLineChars="200"/>
        <w:rPr>
          <w:sz w:val="21"/>
          <w:szCs w:val="21"/>
        </w:rPr>
      </w:pPr>
      <w:r>
        <w:rPr>
          <w:rFonts w:hint="eastAsia"/>
          <w:sz w:val="21"/>
          <w:szCs w:val="21"/>
        </w:rPr>
        <w:t>正常行为的，应当及时制止。如制止无效，应及时向行政监督管理机构报告。</w:t>
      </w:r>
    </w:p>
    <w:p w14:paraId="268F641F">
      <w:pPr>
        <w:spacing w:line="360" w:lineRule="auto"/>
        <w:ind w:firstLine="422" w:firstLineChars="200"/>
        <w:rPr>
          <w:b/>
          <w:bCs/>
          <w:sz w:val="21"/>
          <w:szCs w:val="21"/>
        </w:rPr>
      </w:pPr>
      <w:r>
        <w:rPr>
          <w:rFonts w:hint="eastAsia"/>
          <w:b/>
          <w:bCs/>
          <w:sz w:val="21"/>
          <w:szCs w:val="21"/>
        </w:rPr>
        <w:t>22.推荐及确定成交候选供应商原则</w:t>
      </w:r>
    </w:p>
    <w:p w14:paraId="343EC446">
      <w:pPr>
        <w:spacing w:line="360" w:lineRule="auto"/>
        <w:ind w:firstLine="420" w:firstLineChars="200"/>
        <w:rPr>
          <w:sz w:val="21"/>
          <w:szCs w:val="21"/>
        </w:rPr>
      </w:pPr>
      <w:r>
        <w:rPr>
          <w:rFonts w:hint="eastAsia"/>
          <w:sz w:val="21"/>
          <w:szCs w:val="21"/>
        </w:rPr>
        <w:t>（1）磋商小组应当根据综合得分情况，按照综合得分由高到低顺序推荐三名成交候选供应商，并编写评审报告。磋商小组根据综合得分由高到低排列次序；综合评分相等时，以最后一次报价低的优先；投标报价也相等的，采购人可采用被招标项目所在地省级交通主管部门评为较高信用等级的投标人优先或其他方法确定第一中标候选人。</w:t>
      </w:r>
    </w:p>
    <w:p w14:paraId="1498C9CA">
      <w:pPr>
        <w:spacing w:line="360" w:lineRule="auto"/>
        <w:ind w:firstLine="420" w:firstLineChars="200"/>
        <w:rPr>
          <w:sz w:val="21"/>
          <w:szCs w:val="21"/>
        </w:rPr>
      </w:pPr>
      <w:r>
        <w:rPr>
          <w:rFonts w:hint="eastAsia"/>
          <w:sz w:val="21"/>
          <w:szCs w:val="21"/>
        </w:rPr>
        <w:t>（2）</w:t>
      </w:r>
      <w:r>
        <w:rPr>
          <w:rFonts w:hint="eastAsia"/>
          <w:b/>
          <w:bCs/>
          <w:sz w:val="21"/>
          <w:szCs w:val="21"/>
        </w:rPr>
        <w:t>本项目确定一名成交供应商。由采购人依法确定成交供应商。</w:t>
      </w:r>
    </w:p>
    <w:p w14:paraId="73F0672B">
      <w:pPr>
        <w:spacing w:line="360" w:lineRule="auto"/>
        <w:ind w:firstLine="420" w:firstLineChars="200"/>
        <w:rPr>
          <w:sz w:val="21"/>
          <w:szCs w:val="21"/>
        </w:rPr>
      </w:pPr>
      <w:r>
        <w:rPr>
          <w:rFonts w:hint="eastAsia"/>
          <w:sz w:val="21"/>
          <w:szCs w:val="21"/>
        </w:rPr>
        <w:t>（3）排名第一的成交候选供应商放弃成交、因不可抗力提出不能履行合同，或者竞争性磋商采购文件规定应当提交履约保证金而在规定的期限内未能提交的，采购人可以按照评审报告推荐的成交候选供应商名单排序，确定下一候选供应商为成交供应商，也可以重新开展政府采购活动。</w:t>
      </w:r>
    </w:p>
    <w:p w14:paraId="466CB6F2">
      <w:pPr>
        <w:spacing w:line="360" w:lineRule="auto"/>
        <w:ind w:firstLine="420" w:firstLineChars="200"/>
        <w:rPr>
          <w:sz w:val="21"/>
          <w:szCs w:val="21"/>
        </w:rPr>
      </w:pPr>
      <w:r>
        <w:rPr>
          <w:rFonts w:hint="eastAsia"/>
          <w:sz w:val="21"/>
          <w:szCs w:val="21"/>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1D90296A">
      <w:pPr>
        <w:spacing w:line="360" w:lineRule="auto"/>
        <w:ind w:firstLine="422" w:firstLineChars="200"/>
        <w:rPr>
          <w:b/>
          <w:bCs/>
          <w:sz w:val="21"/>
          <w:szCs w:val="21"/>
        </w:rPr>
      </w:pPr>
      <w:r>
        <w:rPr>
          <w:rFonts w:hint="eastAsia"/>
          <w:b/>
          <w:bCs/>
          <w:sz w:val="21"/>
          <w:szCs w:val="21"/>
        </w:rPr>
        <w:t>23.属于下列情况之一者，响应文件无效：</w:t>
      </w:r>
    </w:p>
    <w:p w14:paraId="13A86CB1">
      <w:pPr>
        <w:spacing w:line="360" w:lineRule="auto"/>
        <w:ind w:firstLine="420" w:firstLineChars="200"/>
        <w:rPr>
          <w:sz w:val="21"/>
          <w:szCs w:val="21"/>
        </w:rPr>
      </w:pPr>
      <w:bookmarkStart w:id="31" w:name="（1）未按磋商文件规定完整提交响应文件或未按规定要求签字、签章的，或未提供授权委"/>
      <w:bookmarkEnd w:id="31"/>
      <w:r>
        <w:rPr>
          <w:rFonts w:hint="eastAsia"/>
          <w:sz w:val="21"/>
          <w:szCs w:val="21"/>
        </w:rPr>
        <w:t>（1）未按磋商文件规定完整提交响应文件或未按规定要求签字、签章的，或未提供授权委托书（委托代理的）；</w:t>
      </w:r>
    </w:p>
    <w:p w14:paraId="27E7AC04">
      <w:pPr>
        <w:spacing w:line="360" w:lineRule="auto"/>
        <w:ind w:firstLine="420" w:firstLineChars="200"/>
        <w:rPr>
          <w:sz w:val="21"/>
          <w:szCs w:val="21"/>
        </w:rPr>
      </w:pPr>
      <w:bookmarkStart w:id="32" w:name="（2）不具备磋商文件规定的资格要求的；"/>
      <w:bookmarkEnd w:id="32"/>
      <w:r>
        <w:rPr>
          <w:rFonts w:hint="eastAsia"/>
          <w:sz w:val="21"/>
          <w:szCs w:val="21"/>
        </w:rPr>
        <w:t>（2）不具备磋商文件规定的资格要求的；</w:t>
      </w:r>
    </w:p>
    <w:p w14:paraId="777F78AF">
      <w:pPr>
        <w:spacing w:line="360" w:lineRule="auto"/>
        <w:ind w:firstLine="420" w:firstLineChars="200"/>
        <w:rPr>
          <w:sz w:val="21"/>
          <w:szCs w:val="21"/>
        </w:rPr>
      </w:pPr>
      <w:bookmarkStart w:id="33" w:name="（3）响应文件未按磋商文件的内容和要求编制，或提供虚假材料的；"/>
      <w:bookmarkEnd w:id="33"/>
      <w:r>
        <w:rPr>
          <w:rFonts w:hint="eastAsia"/>
          <w:sz w:val="21"/>
          <w:szCs w:val="21"/>
        </w:rPr>
        <w:t>（3）响应文件未按磋商文件的内容和要求编制，或提供虚假材料的；</w:t>
      </w:r>
    </w:p>
    <w:p w14:paraId="4331B0DE">
      <w:pPr>
        <w:spacing w:line="360" w:lineRule="auto"/>
        <w:ind w:firstLine="420" w:firstLineChars="200"/>
        <w:rPr>
          <w:sz w:val="21"/>
          <w:szCs w:val="21"/>
        </w:rPr>
      </w:pPr>
      <w:bookmarkStart w:id="34" w:name="（4）属于“必须提供”的响应文件未能按时提供或补正、更正的；"/>
      <w:bookmarkEnd w:id="34"/>
      <w:r>
        <w:rPr>
          <w:rFonts w:hint="eastAsia"/>
          <w:sz w:val="21"/>
          <w:szCs w:val="21"/>
        </w:rPr>
        <w:t>（4）属于“必须提供”的响应文件未能按时提供或补正、更正的；</w:t>
      </w:r>
    </w:p>
    <w:p w14:paraId="6446FA30">
      <w:pPr>
        <w:spacing w:line="360" w:lineRule="auto"/>
        <w:ind w:firstLine="420" w:firstLineChars="200"/>
        <w:rPr>
          <w:sz w:val="21"/>
          <w:szCs w:val="21"/>
        </w:rPr>
      </w:pPr>
      <w:bookmarkStart w:id="35" w:name="（5）响应文件有效期、服务期限、服务承诺不能满足磋商文件要求的；"/>
      <w:bookmarkEnd w:id="35"/>
      <w:r>
        <w:rPr>
          <w:rFonts w:hint="eastAsia"/>
          <w:sz w:val="21"/>
          <w:szCs w:val="21"/>
        </w:rPr>
        <w:t>（5）响应文件有效期、服务期限、服务承诺不能满足磋商文件要求的；</w:t>
      </w:r>
    </w:p>
    <w:p w14:paraId="1E01DEEC">
      <w:pPr>
        <w:spacing w:line="360" w:lineRule="auto"/>
        <w:ind w:firstLine="420" w:firstLineChars="200"/>
        <w:rPr>
          <w:sz w:val="21"/>
          <w:szCs w:val="21"/>
        </w:rPr>
      </w:pPr>
      <w:bookmarkStart w:id="36" w:name="（6）供应商未就“项目需求”中的所有服务内容作完整唯一报价的；或报价超出相应分标"/>
      <w:bookmarkEnd w:id="36"/>
      <w:r>
        <w:rPr>
          <w:rFonts w:hint="eastAsia"/>
          <w:sz w:val="21"/>
          <w:szCs w:val="21"/>
        </w:rPr>
        <w:t>（6）供应商未就“项目需求”中的所有服务内容作完整唯一报价的；或报价超出相应分标采购预算总金额的；</w:t>
      </w:r>
    </w:p>
    <w:p w14:paraId="46500E18">
      <w:pPr>
        <w:spacing w:line="360" w:lineRule="auto"/>
        <w:ind w:firstLine="420" w:firstLineChars="200"/>
        <w:rPr>
          <w:sz w:val="21"/>
          <w:szCs w:val="21"/>
        </w:rPr>
      </w:pPr>
      <w:bookmarkStart w:id="37" w:name="（7）未在磋商小组规定的时间内重新提交响应文件（包括最后报价）的；"/>
      <w:bookmarkEnd w:id="37"/>
      <w:r>
        <w:rPr>
          <w:rFonts w:hint="eastAsia"/>
          <w:sz w:val="21"/>
          <w:szCs w:val="21"/>
        </w:rPr>
        <w:t>（7）未在磋商小组规定的时间内重新提交响应文件（包括最后报价）的；</w:t>
      </w:r>
    </w:p>
    <w:p w14:paraId="76269A6E">
      <w:pPr>
        <w:spacing w:line="360" w:lineRule="auto"/>
        <w:ind w:firstLine="420" w:firstLineChars="200"/>
        <w:rPr>
          <w:sz w:val="21"/>
          <w:szCs w:val="21"/>
        </w:rPr>
      </w:pPr>
      <w:bookmarkStart w:id="38" w:name="（8）未满足磋商文件实质性要求的；或者响应文件有采购人不能接受的附加条件的；"/>
      <w:bookmarkEnd w:id="38"/>
      <w:r>
        <w:rPr>
          <w:rFonts w:hint="eastAsia"/>
          <w:sz w:val="21"/>
          <w:szCs w:val="21"/>
        </w:rPr>
        <w:t>（8）未满足磋商文件实质性要求的；或者响应文件有采购人不能接受的附加条件的；</w:t>
      </w:r>
    </w:p>
    <w:p w14:paraId="52C25456">
      <w:pPr>
        <w:spacing w:line="360" w:lineRule="auto"/>
        <w:ind w:firstLine="420" w:firstLineChars="200"/>
        <w:rPr>
          <w:sz w:val="21"/>
          <w:szCs w:val="21"/>
        </w:rPr>
      </w:pPr>
      <w:r>
        <w:rPr>
          <w:rFonts w:hint="eastAsia"/>
          <w:sz w:val="21"/>
          <w:szCs w:val="21"/>
        </w:rPr>
        <w:t>（9）不符合法律、法规和磋商文件规定的其他实质性要求和条件的。</w:t>
      </w:r>
    </w:p>
    <w:p w14:paraId="4F7FD49F">
      <w:pPr>
        <w:spacing w:line="360" w:lineRule="auto"/>
        <w:ind w:firstLine="422" w:firstLineChars="200"/>
        <w:rPr>
          <w:b/>
          <w:bCs/>
          <w:sz w:val="21"/>
          <w:szCs w:val="21"/>
        </w:rPr>
      </w:pPr>
      <w:bookmarkStart w:id="39" w:name="供应商有下列情形之一的，视为串通参与磋商，响应文件将被视为无效："/>
      <w:bookmarkEnd w:id="39"/>
      <w:r>
        <w:rPr>
          <w:rFonts w:hint="eastAsia"/>
          <w:b/>
          <w:bCs/>
          <w:sz w:val="21"/>
          <w:szCs w:val="21"/>
        </w:rPr>
        <w:t>供应商有下列情形之一的，视为串通参与磋商，响应文件将被视为无效：</w:t>
      </w:r>
    </w:p>
    <w:p w14:paraId="083F2289">
      <w:pPr>
        <w:spacing w:line="360" w:lineRule="auto"/>
        <w:ind w:firstLine="420" w:firstLineChars="200"/>
        <w:rPr>
          <w:sz w:val="21"/>
          <w:szCs w:val="21"/>
        </w:rPr>
      </w:pPr>
      <w:bookmarkStart w:id="40" w:name="（1）不同供应商的响应文件由同一单位或者个人编制的；"/>
      <w:bookmarkEnd w:id="40"/>
      <w:r>
        <w:rPr>
          <w:rFonts w:hint="eastAsia"/>
          <w:sz w:val="21"/>
          <w:szCs w:val="21"/>
        </w:rPr>
        <w:t>（1）不同供应商的响应文件由同一单位或者个人编制的；</w:t>
      </w:r>
    </w:p>
    <w:p w14:paraId="579FEBFE">
      <w:pPr>
        <w:spacing w:line="360" w:lineRule="auto"/>
        <w:ind w:firstLine="420" w:firstLineChars="200"/>
        <w:rPr>
          <w:sz w:val="21"/>
          <w:szCs w:val="21"/>
        </w:rPr>
      </w:pPr>
      <w:bookmarkStart w:id="41" w:name="（2）不同供应商委托同一单位或者个人办理磋商事宜的；"/>
      <w:bookmarkEnd w:id="41"/>
      <w:r>
        <w:rPr>
          <w:rFonts w:hint="eastAsia"/>
          <w:sz w:val="21"/>
          <w:szCs w:val="21"/>
        </w:rPr>
        <w:t>（2）不同供应商委托同一单位或者个人办理磋商事宜的；</w:t>
      </w:r>
    </w:p>
    <w:p w14:paraId="55F212EA">
      <w:pPr>
        <w:spacing w:line="360" w:lineRule="auto"/>
        <w:ind w:firstLine="420" w:firstLineChars="200"/>
        <w:rPr>
          <w:sz w:val="21"/>
          <w:szCs w:val="21"/>
        </w:rPr>
      </w:pPr>
      <w:bookmarkStart w:id="42" w:name="（3）不同的供应商的响应文件载明的项目管理员为同一个人的；"/>
      <w:bookmarkEnd w:id="42"/>
      <w:r>
        <w:rPr>
          <w:rFonts w:hint="eastAsia"/>
          <w:sz w:val="21"/>
          <w:szCs w:val="21"/>
        </w:rPr>
        <w:t>（3）不同的供应商的响应文件载明的项目管理员为同一个人的；</w:t>
      </w:r>
    </w:p>
    <w:p w14:paraId="336AB0EE">
      <w:pPr>
        <w:spacing w:line="360" w:lineRule="auto"/>
        <w:ind w:firstLine="420" w:firstLineChars="200"/>
        <w:rPr>
          <w:sz w:val="21"/>
          <w:szCs w:val="21"/>
        </w:rPr>
      </w:pPr>
      <w:bookmarkStart w:id="43" w:name="（4）不同供应商的响应文件异常一致或最后报价呈规律性差异的；_"/>
      <w:bookmarkEnd w:id="43"/>
      <w:r>
        <w:rPr>
          <w:rFonts w:hint="eastAsia"/>
          <w:sz w:val="21"/>
          <w:szCs w:val="21"/>
        </w:rPr>
        <w:t>（4）不同供应商的响应文件异常一致或最后报价呈规律性差异的；</w:t>
      </w:r>
    </w:p>
    <w:p w14:paraId="328B61B5">
      <w:pPr>
        <w:spacing w:line="360" w:lineRule="auto"/>
        <w:ind w:firstLine="420" w:firstLineChars="200"/>
        <w:rPr>
          <w:sz w:val="21"/>
          <w:szCs w:val="21"/>
        </w:rPr>
      </w:pPr>
      <w:bookmarkStart w:id="44" w:name="（5）不同供应商的响应文件相互混装的；"/>
      <w:bookmarkEnd w:id="44"/>
      <w:r>
        <w:rPr>
          <w:rFonts w:hint="eastAsia"/>
          <w:sz w:val="21"/>
          <w:szCs w:val="21"/>
        </w:rPr>
        <w:t>（5）不同供应商的响应文件相互混装的；</w:t>
      </w:r>
    </w:p>
    <w:p w14:paraId="646A97B0">
      <w:pPr>
        <w:spacing w:line="360" w:lineRule="auto"/>
        <w:ind w:firstLine="420" w:firstLineChars="200"/>
      </w:pPr>
      <w:r>
        <w:rPr>
          <w:rFonts w:hint="eastAsia"/>
          <w:sz w:val="21"/>
          <w:szCs w:val="21"/>
        </w:rPr>
        <w:t>（6）不同的供应商上传响应文件的IP地址一致的；</w:t>
      </w:r>
    </w:p>
    <w:p w14:paraId="19539700">
      <w:pPr>
        <w:spacing w:line="360" w:lineRule="auto"/>
        <w:ind w:firstLine="420" w:firstLineChars="200"/>
        <w:rPr>
          <w:sz w:val="21"/>
          <w:szCs w:val="21"/>
        </w:rPr>
      </w:pPr>
      <w:bookmarkStart w:id="45" w:name="（6）磋商文件未作实质性变动，供应商最后报价高于首次报价的。"/>
      <w:bookmarkEnd w:id="45"/>
      <w:r>
        <w:rPr>
          <w:rFonts w:hint="eastAsia"/>
          <w:sz w:val="21"/>
          <w:szCs w:val="21"/>
        </w:rPr>
        <w:t>（7）磋商文件未作实质性变动，供应商最后报价高于首次报价的。</w:t>
      </w:r>
    </w:p>
    <w:p w14:paraId="371D3C4C">
      <w:pPr>
        <w:spacing w:line="360" w:lineRule="auto"/>
        <w:ind w:firstLine="422" w:firstLineChars="200"/>
        <w:rPr>
          <w:b/>
          <w:bCs/>
          <w:sz w:val="21"/>
          <w:szCs w:val="21"/>
        </w:rPr>
      </w:pPr>
      <w:bookmarkStart w:id="46" w:name="23.出现下列情形之一的，采购人或者采购代理机构应当终止竞争性磋商采购活动，发布"/>
      <w:bookmarkEnd w:id="46"/>
      <w:r>
        <w:rPr>
          <w:rFonts w:hint="eastAsia"/>
          <w:b/>
          <w:bCs/>
          <w:sz w:val="21"/>
          <w:szCs w:val="21"/>
        </w:rPr>
        <w:t>24.出现下列情形之一的，采购人或者采购代理机构应当终止竞争性磋商采购活动，发布项目终止公告并说明原因，重新开展采购活动：</w:t>
      </w:r>
    </w:p>
    <w:p w14:paraId="76A3BBB1">
      <w:pPr>
        <w:spacing w:line="360" w:lineRule="auto"/>
        <w:ind w:firstLine="420" w:firstLineChars="200"/>
        <w:rPr>
          <w:sz w:val="21"/>
          <w:szCs w:val="21"/>
        </w:rPr>
      </w:pPr>
      <w:bookmarkStart w:id="47" w:name="（1）因情况变化，不再符合规定的竞争性磋商采购人式适用情形的；"/>
      <w:bookmarkEnd w:id="47"/>
      <w:r>
        <w:rPr>
          <w:rFonts w:hint="eastAsia"/>
          <w:sz w:val="21"/>
          <w:szCs w:val="21"/>
        </w:rPr>
        <w:t>（1）因情况变化，不再符合规定的竞争性磋商采购人式适用情形的；</w:t>
      </w:r>
    </w:p>
    <w:p w14:paraId="19576EA9">
      <w:pPr>
        <w:spacing w:line="360" w:lineRule="auto"/>
        <w:ind w:firstLine="420" w:firstLineChars="200"/>
        <w:rPr>
          <w:sz w:val="21"/>
          <w:szCs w:val="21"/>
        </w:rPr>
      </w:pPr>
      <w:bookmarkStart w:id="48" w:name="（2）出现影响采购公正的违法、违规行为的；"/>
      <w:bookmarkEnd w:id="48"/>
      <w:r>
        <w:rPr>
          <w:rFonts w:hint="eastAsia"/>
          <w:sz w:val="21"/>
          <w:szCs w:val="21"/>
        </w:rPr>
        <w:t>（2）出现影响采购公正的违法、违规行为的；</w:t>
      </w:r>
    </w:p>
    <w:p w14:paraId="5283DF4E">
      <w:pPr>
        <w:spacing w:line="360" w:lineRule="auto"/>
        <w:ind w:firstLine="420" w:firstLineChars="200"/>
        <w:rPr>
          <w:sz w:val="21"/>
          <w:szCs w:val="21"/>
        </w:rPr>
      </w:pPr>
      <w:r>
        <w:rPr>
          <w:rFonts w:hint="eastAsia"/>
          <w:sz w:val="21"/>
          <w:szCs w:val="21"/>
        </w:rPr>
        <w:t>（3）除本须知第20.7.2条及法律法规规定的情形外，在采购过程中符合要求的供应商或者报价</w:t>
      </w:r>
    </w:p>
    <w:p w14:paraId="1D3EAF7C">
      <w:pPr>
        <w:spacing w:line="360" w:lineRule="auto"/>
        <w:ind w:firstLine="420" w:firstLineChars="200"/>
        <w:rPr>
          <w:sz w:val="21"/>
          <w:szCs w:val="21"/>
        </w:rPr>
      </w:pPr>
      <w:r>
        <w:rPr>
          <w:rFonts w:hint="eastAsia"/>
          <w:sz w:val="21"/>
          <w:szCs w:val="21"/>
        </w:rPr>
        <w:t>未超过采购预算的供应商不足3家的。</w:t>
      </w:r>
    </w:p>
    <w:p w14:paraId="238E1A5D">
      <w:pPr>
        <w:spacing w:line="360" w:lineRule="auto"/>
        <w:ind w:firstLine="422" w:firstLineChars="200"/>
        <w:rPr>
          <w:b/>
          <w:bCs/>
          <w:sz w:val="21"/>
          <w:szCs w:val="21"/>
        </w:rPr>
      </w:pPr>
      <w:bookmarkStart w:id="49" w:name="24.在采购活动中因重大变故，采购任务取消的，采购人或者采购代理机构应当终止采购"/>
      <w:bookmarkEnd w:id="49"/>
      <w:r>
        <w:rPr>
          <w:rFonts w:hint="eastAsia"/>
          <w:b/>
          <w:bCs/>
          <w:sz w:val="21"/>
          <w:szCs w:val="21"/>
        </w:rPr>
        <w:t>25.在采购活动中因重大变故，采购任务取消的，采购人或者采购代理机构应当终止采购活动，通知所有参加采购活动的供应商，并将项目实施情况和采购任务取消原因报送本级财政部门。</w:t>
      </w:r>
    </w:p>
    <w:p w14:paraId="0D065F53">
      <w:pPr>
        <w:spacing w:line="360" w:lineRule="auto"/>
        <w:ind w:firstLine="422" w:firstLineChars="200"/>
        <w:rPr>
          <w:b/>
          <w:bCs/>
          <w:sz w:val="21"/>
          <w:szCs w:val="21"/>
        </w:rPr>
      </w:pPr>
      <w:bookmarkStart w:id="50" w:name="25.磋商过程的监控"/>
      <w:bookmarkEnd w:id="50"/>
      <w:r>
        <w:rPr>
          <w:rFonts w:hint="eastAsia"/>
          <w:b/>
          <w:bCs/>
          <w:sz w:val="21"/>
          <w:szCs w:val="21"/>
        </w:rPr>
        <w:t>26.磋商过程的监控</w:t>
      </w:r>
    </w:p>
    <w:p w14:paraId="39EEDBF5">
      <w:pPr>
        <w:spacing w:line="360" w:lineRule="auto"/>
        <w:ind w:firstLine="420" w:firstLineChars="200"/>
        <w:rPr>
          <w:sz w:val="21"/>
          <w:szCs w:val="21"/>
        </w:rPr>
      </w:pPr>
      <w:r>
        <w:rPr>
          <w:rFonts w:hint="eastAsia"/>
          <w:sz w:val="21"/>
          <w:szCs w:val="21"/>
        </w:rPr>
        <w:t>本项目磋商过程实行全程录音、录像监控，供应商在磋商过程中所进行的试图影响磋商结果的不公正活动，可能导致其响应被拒绝。</w:t>
      </w:r>
    </w:p>
    <w:p w14:paraId="602F0705">
      <w:pPr>
        <w:spacing w:line="360" w:lineRule="auto"/>
        <w:ind w:firstLine="422" w:firstLineChars="200"/>
        <w:rPr>
          <w:b/>
          <w:bCs/>
          <w:sz w:val="21"/>
          <w:szCs w:val="21"/>
        </w:rPr>
      </w:pPr>
      <w:bookmarkStart w:id="51" w:name="26._信用查询_"/>
      <w:bookmarkEnd w:id="51"/>
      <w:r>
        <w:rPr>
          <w:rFonts w:hint="eastAsia"/>
          <w:b/>
          <w:bCs/>
          <w:sz w:val="21"/>
          <w:szCs w:val="21"/>
        </w:rPr>
        <w:t>27.信用查询</w:t>
      </w:r>
    </w:p>
    <w:p w14:paraId="72EED583">
      <w:pPr>
        <w:spacing w:line="360" w:lineRule="auto"/>
        <w:ind w:firstLine="420" w:firstLineChars="200"/>
        <w:rPr>
          <w:sz w:val="21"/>
          <w:szCs w:val="21"/>
        </w:rPr>
      </w:pPr>
      <w:bookmarkStart w:id="52" w:name="根据《关于做好政府采购有关信用主体标识码登记及在政府采购活动中查询使用信用记录有"/>
      <w:bookmarkEnd w:id="52"/>
      <w:r>
        <w:rPr>
          <w:rFonts w:hint="eastAsia"/>
          <w:sz w:val="21"/>
          <w:szCs w:val="21"/>
        </w:rPr>
        <w:t>根据《关于做好政府采购有关信用主体标识码登记及在政府采购活动中查询使用信用记录有关问题的通知》（桂财采〔2016〕37），由采购代理机构对第一成交候选人进行信用查询：</w:t>
      </w:r>
    </w:p>
    <w:p w14:paraId="54D9AAEB">
      <w:pPr>
        <w:spacing w:line="360" w:lineRule="auto"/>
        <w:ind w:firstLine="420" w:firstLineChars="200"/>
        <w:rPr>
          <w:sz w:val="21"/>
          <w:szCs w:val="21"/>
        </w:rPr>
      </w:pPr>
      <w:bookmarkStart w:id="53" w:name="⑴查询渠道：“信用中国”网站(www.creditchina.gov.cn)、中"/>
      <w:bookmarkEnd w:id="53"/>
      <w:r>
        <w:rPr>
          <w:rFonts w:hint="eastAsia"/>
          <w:sz w:val="21"/>
          <w:szCs w:val="21"/>
        </w:rPr>
        <w:t>⑴查询渠道：“信用中国”网站(www.creditchina.gov.cn)、中国政府采购网(www.ccgp.gov.cn)等；</w:t>
      </w:r>
    </w:p>
    <w:p w14:paraId="69E4B9E9">
      <w:pPr>
        <w:spacing w:line="360" w:lineRule="auto"/>
        <w:ind w:firstLine="420" w:firstLineChars="200"/>
        <w:rPr>
          <w:sz w:val="21"/>
          <w:szCs w:val="21"/>
        </w:rPr>
      </w:pPr>
      <w:bookmarkStart w:id="54" w:name="⑵查询截止时间：成交通知书发出前；"/>
      <w:bookmarkEnd w:id="54"/>
      <w:r>
        <w:rPr>
          <w:rFonts w:hint="eastAsia"/>
          <w:sz w:val="21"/>
          <w:szCs w:val="21"/>
        </w:rPr>
        <w:t>⑵查询截止时间：成交通知书发出前；</w:t>
      </w:r>
    </w:p>
    <w:p w14:paraId="32E092CC">
      <w:pPr>
        <w:spacing w:line="360" w:lineRule="auto"/>
        <w:ind w:firstLine="420" w:firstLineChars="200"/>
        <w:rPr>
          <w:sz w:val="21"/>
          <w:szCs w:val="21"/>
        </w:rPr>
      </w:pPr>
      <w:bookmarkStart w:id="55" w:name="⑶信用信息查询记录和证据留存方式：在查询网站中直接打印查询记录，打印材料作为采购"/>
      <w:bookmarkEnd w:id="55"/>
      <w:r>
        <w:rPr>
          <w:rFonts w:hint="eastAsia"/>
          <w:sz w:val="21"/>
          <w:szCs w:val="21"/>
        </w:rPr>
        <w:t>⑶信用信息查询记录和证据留存方式：在查询网站中直接打印查询记录，打印材料作为采购活动资料保存；</w:t>
      </w:r>
    </w:p>
    <w:p w14:paraId="05AF016F">
      <w:pPr>
        <w:spacing w:line="360" w:lineRule="auto"/>
        <w:ind w:firstLine="420" w:firstLineChars="200"/>
        <w:rPr>
          <w:sz w:val="21"/>
          <w:szCs w:val="21"/>
        </w:rPr>
      </w:pPr>
      <w:bookmarkStart w:id="56" w:name="⑷信用信息使用规则：对在“信用中国”网站(www.creditchina.gov"/>
      <w:bookmarkEnd w:id="56"/>
      <w:r>
        <w:rPr>
          <w:rFonts w:hint="eastAsia"/>
          <w:sz w:val="21"/>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w:t>
      </w:r>
    </w:p>
    <w:p w14:paraId="45EF4307">
      <w:pPr>
        <w:spacing w:line="360" w:lineRule="auto"/>
        <w:ind w:firstLine="422" w:firstLineChars="200"/>
        <w:rPr>
          <w:b/>
          <w:bCs/>
          <w:sz w:val="21"/>
          <w:szCs w:val="21"/>
        </w:rPr>
      </w:pPr>
      <w:r>
        <w:rPr>
          <w:rFonts w:hint="eastAsia"/>
          <w:b/>
          <w:bCs/>
          <w:sz w:val="21"/>
          <w:szCs w:val="21"/>
        </w:rPr>
        <w:t>28.成交公告及成交通知书</w:t>
      </w:r>
    </w:p>
    <w:p w14:paraId="3B487CA7">
      <w:pPr>
        <w:spacing w:line="360" w:lineRule="auto"/>
        <w:ind w:firstLine="420" w:firstLineChars="200"/>
        <w:rPr>
          <w:sz w:val="21"/>
          <w:szCs w:val="21"/>
        </w:rPr>
      </w:pPr>
      <w:bookmarkStart w:id="57" w:name="27.1_采购代理机构于评审结束后两个工作日内将评审报告送交采购人，采购人应当自"/>
      <w:bookmarkEnd w:id="57"/>
      <w:r>
        <w:rPr>
          <w:rFonts w:hint="eastAsia"/>
          <w:sz w:val="21"/>
          <w:szCs w:val="21"/>
        </w:rPr>
        <w:t>28.1采购代理机构于评审结束后两个工作日内将评审报告送交采购人，采购人应当自收到评审报告五个工作日内在评审报告推荐的成交候选供应商中按顺序确定成交供应商，采购代理机构在成交供应商确定之日起两个工作日内发出成交通知书，并在指定媒体上公告成交信息。</w:t>
      </w:r>
    </w:p>
    <w:p w14:paraId="03DE530A">
      <w:pPr>
        <w:spacing w:line="360" w:lineRule="auto"/>
        <w:ind w:firstLine="420" w:firstLineChars="200"/>
        <w:rPr>
          <w:sz w:val="21"/>
          <w:szCs w:val="21"/>
        </w:rPr>
      </w:pPr>
      <w:bookmarkStart w:id="58" w:name="27.2中小企业在政府采购活动过程中，请根据自己的真实情况出具《中小企业声明函》"/>
      <w:bookmarkEnd w:id="58"/>
      <w:r>
        <w:rPr>
          <w:rFonts w:hint="eastAsia"/>
          <w:sz w:val="21"/>
          <w:szCs w:val="21"/>
        </w:rPr>
        <w:t>28.2中小企业在政府采购活动过程中，请根据自己的真实情况出具《中小企业声明函》。采购人或采购代理机构在公告成交结果时，同时公告其《中小企业声明函》，接受社会监督。</w:t>
      </w:r>
    </w:p>
    <w:p w14:paraId="4439FDF5">
      <w:pPr>
        <w:spacing w:line="360" w:lineRule="auto"/>
        <w:ind w:firstLine="420" w:firstLineChars="200"/>
        <w:rPr>
          <w:sz w:val="21"/>
          <w:szCs w:val="21"/>
        </w:rPr>
      </w:pPr>
      <w:bookmarkStart w:id="59" w:name="27.3在发布成交公告的同时，采购代理机构向成交供应商发出成交通知书。成交供应商"/>
      <w:bookmarkEnd w:id="59"/>
      <w:r>
        <w:rPr>
          <w:rFonts w:hint="eastAsia"/>
          <w:sz w:val="21"/>
          <w:szCs w:val="21"/>
        </w:rPr>
        <w:t>28.3在发布成交公告的同时，采购代理机构向成交供应商发出成交通知书。成交供应商应自接到通知之日起七个工作日内，办理成交通知书领取手续。</w:t>
      </w:r>
    </w:p>
    <w:p w14:paraId="494CEFFE">
      <w:pPr>
        <w:spacing w:line="360" w:lineRule="auto"/>
        <w:ind w:firstLine="422"/>
        <w:rPr>
          <w:b/>
          <w:bCs/>
          <w:sz w:val="32"/>
          <w:szCs w:val="32"/>
        </w:rPr>
      </w:pPr>
      <w:bookmarkStart w:id="60" w:name="27.4采购代理机构无义务向未成交的供应商解释未成交原因和退还响应文件。"/>
      <w:bookmarkEnd w:id="60"/>
      <w:r>
        <w:rPr>
          <w:rFonts w:hint="eastAsia"/>
          <w:sz w:val="21"/>
          <w:szCs w:val="21"/>
        </w:rPr>
        <w:t>28.4采购代理机构无义务向未成交的供应商解释未成交原因和退还响应文件。</w:t>
      </w:r>
    </w:p>
    <w:p w14:paraId="4F3CA986">
      <w:pPr>
        <w:pStyle w:val="12"/>
        <w:ind w:firstLine="643"/>
        <w:jc w:val="center"/>
      </w:pPr>
      <w:r>
        <w:rPr>
          <w:rFonts w:hint="eastAsia"/>
          <w:b/>
          <w:bCs/>
          <w:sz w:val="32"/>
          <w:szCs w:val="32"/>
        </w:rPr>
        <w:t>五、签订合同</w:t>
      </w:r>
    </w:p>
    <w:p w14:paraId="31F31237">
      <w:pPr>
        <w:spacing w:line="360" w:lineRule="auto"/>
        <w:ind w:firstLine="422" w:firstLineChars="200"/>
        <w:rPr>
          <w:b/>
          <w:bCs/>
          <w:sz w:val="21"/>
          <w:szCs w:val="21"/>
        </w:rPr>
      </w:pPr>
      <w:bookmarkStart w:id="61" w:name="28.履约保证金"/>
      <w:bookmarkEnd w:id="61"/>
      <w:r>
        <w:rPr>
          <w:b/>
          <w:bCs/>
          <w:sz w:val="21"/>
          <w:szCs w:val="21"/>
        </w:rPr>
        <w:t>2</w:t>
      </w:r>
      <w:r>
        <w:rPr>
          <w:rFonts w:hint="eastAsia"/>
          <w:b/>
          <w:bCs/>
          <w:sz w:val="21"/>
          <w:szCs w:val="21"/>
        </w:rPr>
        <w:t>9</w:t>
      </w:r>
      <w:r>
        <w:rPr>
          <w:b/>
          <w:bCs/>
          <w:sz w:val="21"/>
          <w:szCs w:val="21"/>
        </w:rPr>
        <w:t>.履约保证金</w:t>
      </w:r>
    </w:p>
    <w:p w14:paraId="6B55BD86">
      <w:pPr>
        <w:spacing w:line="360" w:lineRule="auto"/>
        <w:ind w:firstLine="420" w:firstLineChars="200"/>
        <w:rPr>
          <w:color w:val="FF0000"/>
          <w:sz w:val="21"/>
          <w:szCs w:val="21"/>
          <w:highlight w:val="green"/>
        </w:rPr>
      </w:pPr>
      <w:bookmarkStart w:id="62" w:name="履约保证金金额按中标价的2%（人民币，四舍五入到元）缴纳，由成交供应商在与采购人"/>
      <w:bookmarkEnd w:id="62"/>
      <w:r>
        <w:rPr>
          <w:sz w:val="21"/>
          <w:szCs w:val="21"/>
        </w:rPr>
        <w:t>履约保证金金额按中标价的</w:t>
      </w:r>
      <w:r>
        <w:rPr>
          <w:rFonts w:hint="eastAsia"/>
          <w:b/>
          <w:bCs/>
          <w:sz w:val="21"/>
          <w:szCs w:val="21"/>
        </w:rPr>
        <w:t>1</w:t>
      </w:r>
      <w:r>
        <w:rPr>
          <w:b/>
          <w:bCs/>
          <w:sz w:val="21"/>
          <w:szCs w:val="21"/>
        </w:rPr>
        <w:t>%</w:t>
      </w:r>
      <w:r>
        <w:rPr>
          <w:sz w:val="21"/>
          <w:szCs w:val="21"/>
        </w:rPr>
        <w:t>（人民币，四舍五入到元）缴纳，由成交供应商在与采购人签订合同前将履约保证金以</w:t>
      </w:r>
      <w:r>
        <w:rPr>
          <w:rFonts w:hint="eastAsia"/>
          <w:sz w:val="21"/>
          <w:szCs w:val="21"/>
        </w:rPr>
        <w:t>现金、</w:t>
      </w:r>
      <w:r>
        <w:rPr>
          <w:sz w:val="21"/>
          <w:szCs w:val="21"/>
        </w:rPr>
        <w:t>支票、汇票、本票或者金融机构、担保机构出具的保函等形式提交转入采购人履约保证金专户。</w:t>
      </w:r>
    </w:p>
    <w:p w14:paraId="58B69B25">
      <w:pPr>
        <w:spacing w:line="360" w:lineRule="auto"/>
        <w:ind w:firstLine="422" w:firstLineChars="200"/>
        <w:rPr>
          <w:b/>
          <w:bCs/>
          <w:sz w:val="21"/>
          <w:szCs w:val="21"/>
        </w:rPr>
      </w:pPr>
      <w:bookmarkStart w:id="63" w:name="29.签订合同"/>
      <w:bookmarkEnd w:id="63"/>
      <w:r>
        <w:rPr>
          <w:rFonts w:hint="eastAsia"/>
          <w:b/>
          <w:bCs/>
          <w:sz w:val="21"/>
          <w:szCs w:val="21"/>
        </w:rPr>
        <w:t>30</w:t>
      </w:r>
      <w:r>
        <w:rPr>
          <w:b/>
          <w:bCs/>
          <w:sz w:val="21"/>
          <w:szCs w:val="21"/>
        </w:rPr>
        <w:t>.签订合同</w:t>
      </w:r>
    </w:p>
    <w:p w14:paraId="7B6B3269">
      <w:pPr>
        <w:spacing w:line="360" w:lineRule="auto"/>
        <w:ind w:firstLine="420" w:firstLineChars="200"/>
        <w:rPr>
          <w:sz w:val="21"/>
          <w:szCs w:val="21"/>
        </w:rPr>
      </w:pPr>
      <w:bookmarkStart w:id="64" w:name="29.1_签订合同时间：成交通知书发出之日起8个工作日内。成交供应商领取成交通知"/>
      <w:bookmarkEnd w:id="64"/>
      <w:r>
        <w:rPr>
          <w:rFonts w:hint="eastAsia"/>
          <w:sz w:val="21"/>
          <w:szCs w:val="21"/>
        </w:rPr>
        <w:t>30</w:t>
      </w:r>
      <w:r>
        <w:rPr>
          <w:sz w:val="21"/>
          <w:szCs w:val="21"/>
        </w:rPr>
        <w:t>.1签订合同时间：成交通知书发出之日起8个工作日内。成交供应商领取成交通知书后，应按规定与采购人签订合同。</w:t>
      </w:r>
    </w:p>
    <w:p w14:paraId="4F64C34A">
      <w:pPr>
        <w:spacing w:line="360" w:lineRule="auto"/>
        <w:ind w:firstLine="420" w:firstLineChars="200"/>
        <w:rPr>
          <w:sz w:val="21"/>
          <w:szCs w:val="21"/>
        </w:rPr>
      </w:pPr>
      <w:bookmarkStart w:id="65" w:name="29.2_如成交供应商有下列情形之一，情节严重的，由相关监督部门将其列入不良行为"/>
      <w:bookmarkEnd w:id="65"/>
      <w:r>
        <w:rPr>
          <w:rFonts w:hint="eastAsia"/>
          <w:sz w:val="21"/>
          <w:szCs w:val="21"/>
        </w:rPr>
        <w:t>30</w:t>
      </w:r>
      <w:r>
        <w:rPr>
          <w:sz w:val="21"/>
          <w:szCs w:val="21"/>
        </w:rPr>
        <w:t>.2如成交供应商有下列情形之一，情节严重的，由相关监督部门将其列入不良行为记录名单，在一至三年内禁止参加政府采购活动，并予以通报。采购代理机构可从磋商小组推荐的成交候选供应商中按顺序重新确定成交供应商或重新组织采购。拒绝签订政府采购合同的成交供应商不得参加对该项目重新开展的采购活动。</w:t>
      </w:r>
    </w:p>
    <w:p w14:paraId="562B41B8">
      <w:pPr>
        <w:spacing w:line="360" w:lineRule="auto"/>
        <w:ind w:firstLine="420" w:firstLineChars="200"/>
        <w:rPr>
          <w:sz w:val="21"/>
          <w:szCs w:val="21"/>
        </w:rPr>
      </w:pPr>
      <w:bookmarkStart w:id="66" w:name="（1）成交后不与采购人签订合同的（不可抗力除外）；"/>
      <w:bookmarkEnd w:id="66"/>
      <w:r>
        <w:rPr>
          <w:sz w:val="21"/>
          <w:szCs w:val="21"/>
        </w:rPr>
        <w:t>（1）成交后不与采购人签订合同的（不可抗力除外）；</w:t>
      </w:r>
    </w:p>
    <w:p w14:paraId="4A6A7CC9">
      <w:pPr>
        <w:spacing w:line="360" w:lineRule="auto"/>
        <w:ind w:firstLine="420" w:firstLineChars="200"/>
        <w:rPr>
          <w:sz w:val="21"/>
          <w:szCs w:val="21"/>
        </w:rPr>
      </w:pPr>
      <w:bookmarkStart w:id="67" w:name="（2）将成交项目转让给他人，或者在响应文件中未说明，且未经采购人同意，将成交项目"/>
      <w:bookmarkEnd w:id="67"/>
      <w:r>
        <w:rPr>
          <w:sz w:val="21"/>
          <w:szCs w:val="21"/>
        </w:rPr>
        <w:t>（2）将成交项目转让给他人，或者在响应文件中未说明，且未经采购人同意，将成交项目分包给他人的；</w:t>
      </w:r>
    </w:p>
    <w:p w14:paraId="33601AAD">
      <w:pPr>
        <w:spacing w:line="360" w:lineRule="auto"/>
        <w:ind w:firstLine="420" w:firstLineChars="200"/>
        <w:rPr>
          <w:sz w:val="21"/>
          <w:szCs w:val="21"/>
        </w:rPr>
      </w:pPr>
      <w:bookmarkStart w:id="68" w:name="（3）拒绝履行合同义务的。"/>
      <w:bookmarkEnd w:id="68"/>
      <w:r>
        <w:rPr>
          <w:sz w:val="21"/>
          <w:szCs w:val="21"/>
        </w:rPr>
        <w:t>（3）拒绝履行合同义务的。</w:t>
      </w:r>
    </w:p>
    <w:p w14:paraId="61F9E47B">
      <w:pPr>
        <w:spacing w:line="360" w:lineRule="auto"/>
        <w:ind w:firstLine="420" w:firstLineChars="200"/>
        <w:rPr>
          <w:sz w:val="21"/>
          <w:szCs w:val="21"/>
        </w:rPr>
      </w:pPr>
      <w:bookmarkStart w:id="69" w:name="29.3_合同备案存档：政府采购合同双方自签订之日起1个工作日内将合同原件两份交"/>
      <w:bookmarkEnd w:id="69"/>
      <w:r>
        <w:rPr>
          <w:rFonts w:hint="eastAsia"/>
          <w:sz w:val="21"/>
          <w:szCs w:val="21"/>
        </w:rPr>
        <w:t>30</w:t>
      </w:r>
      <w:r>
        <w:rPr>
          <w:sz w:val="21"/>
          <w:szCs w:val="21"/>
        </w:rPr>
        <w:t>.3合同备案存档：政府采购合同双方自签订之日起1个工作日内将合同原件两份交采购代理机构，采购代理机构收到政府采购合同原件后在省级以上人民政府财政部门指定媒体上公告并于合同签订之日起7个工作日内将两份合同原件送监督管理机构备案，一份由采购代理机构存档。</w:t>
      </w:r>
    </w:p>
    <w:p w14:paraId="4577515F">
      <w:pPr>
        <w:pStyle w:val="12"/>
        <w:ind w:firstLine="643"/>
        <w:jc w:val="center"/>
        <w:rPr>
          <w:b/>
          <w:bCs/>
          <w:sz w:val="32"/>
          <w:szCs w:val="32"/>
        </w:rPr>
      </w:pPr>
      <w:r>
        <w:rPr>
          <w:rFonts w:hint="eastAsia"/>
          <w:b/>
          <w:bCs/>
          <w:sz w:val="32"/>
          <w:szCs w:val="32"/>
        </w:rPr>
        <w:t>六、其他事项</w:t>
      </w:r>
    </w:p>
    <w:p w14:paraId="15C36D8B">
      <w:pPr>
        <w:spacing w:line="360" w:lineRule="auto"/>
        <w:ind w:firstLine="422" w:firstLineChars="200"/>
        <w:rPr>
          <w:b/>
          <w:bCs/>
          <w:sz w:val="21"/>
          <w:szCs w:val="21"/>
        </w:rPr>
      </w:pPr>
      <w:r>
        <w:rPr>
          <w:b/>
          <w:bCs/>
          <w:sz w:val="21"/>
          <w:szCs w:val="21"/>
        </w:rPr>
        <w:t>3</w:t>
      </w:r>
      <w:r>
        <w:rPr>
          <w:rFonts w:hint="eastAsia"/>
          <w:b/>
          <w:bCs/>
          <w:sz w:val="21"/>
          <w:szCs w:val="21"/>
        </w:rPr>
        <w:t>1</w:t>
      </w:r>
      <w:r>
        <w:rPr>
          <w:b/>
          <w:bCs/>
          <w:sz w:val="21"/>
          <w:szCs w:val="21"/>
        </w:rPr>
        <w:t>.采购代理服务费</w:t>
      </w:r>
    </w:p>
    <w:p w14:paraId="6EBCB2A7">
      <w:pPr>
        <w:spacing w:line="360" w:lineRule="auto"/>
        <w:ind w:firstLine="440" w:firstLineChars="200"/>
        <w:rPr>
          <w:szCs w:val="21"/>
        </w:rPr>
      </w:pPr>
      <w:bookmarkStart w:id="70" w:name="30.1本项目代理服务费按本须知第30.2条“代理服务收费标准”中服务类收费标准"/>
      <w:bookmarkEnd w:id="70"/>
      <w:r>
        <w:rPr>
          <w:rFonts w:hint="eastAsia"/>
          <w:szCs w:val="21"/>
        </w:rPr>
        <w:t>本项目招标代理服务费由采购人支付。</w:t>
      </w:r>
    </w:p>
    <w:p w14:paraId="46564362">
      <w:pPr>
        <w:spacing w:line="360" w:lineRule="auto"/>
        <w:ind w:firstLine="422" w:firstLineChars="200"/>
        <w:rPr>
          <w:b/>
          <w:bCs/>
          <w:sz w:val="21"/>
          <w:szCs w:val="21"/>
        </w:rPr>
      </w:pPr>
      <w:r>
        <w:rPr>
          <w:b/>
          <w:bCs/>
          <w:sz w:val="21"/>
          <w:szCs w:val="21"/>
        </w:rPr>
        <w:t>3</w:t>
      </w:r>
      <w:r>
        <w:rPr>
          <w:rFonts w:hint="eastAsia"/>
          <w:b/>
          <w:bCs/>
          <w:sz w:val="21"/>
          <w:szCs w:val="21"/>
        </w:rPr>
        <w:t>1</w:t>
      </w:r>
      <w:r>
        <w:rPr>
          <w:b/>
          <w:bCs/>
          <w:sz w:val="21"/>
          <w:szCs w:val="21"/>
        </w:rPr>
        <w:t>.1代理服务收费标准：</w:t>
      </w:r>
    </w:p>
    <w:tbl>
      <w:tblPr>
        <w:tblStyle w:val="25"/>
        <w:tblW w:w="0" w:type="auto"/>
        <w:tblInd w:w="5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8"/>
        <w:gridCol w:w="1858"/>
        <w:gridCol w:w="2012"/>
        <w:gridCol w:w="2315"/>
      </w:tblGrid>
      <w:tr w14:paraId="67D4F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2908" w:type="dxa"/>
          </w:tcPr>
          <w:p w14:paraId="2FB2114E">
            <w:pPr>
              <w:pStyle w:val="30"/>
              <w:tabs>
                <w:tab w:val="left" w:pos="1707"/>
              </w:tabs>
              <w:spacing w:before="61"/>
              <w:ind w:left="133" w:firstLine="442"/>
              <w:rPr>
                <w:sz w:val="21"/>
              </w:rPr>
            </w:pPr>
            <w:r>
              <w:rPr>
                <w:sz w:val="21"/>
              </w:rPr>
              <w:t>费率</w:t>
            </w:r>
            <w:r>
              <w:rPr>
                <w:sz w:val="21"/>
              </w:rPr>
              <w:tab/>
            </w:r>
            <w:r>
              <w:rPr>
                <w:sz w:val="21"/>
              </w:rPr>
              <w:t>服务类型</w:t>
            </w:r>
          </w:p>
          <w:p w14:paraId="2FC6096C">
            <w:pPr>
              <w:pStyle w:val="30"/>
              <w:ind w:firstLine="402"/>
              <w:rPr>
                <w:sz w:val="20"/>
              </w:rPr>
            </w:pPr>
          </w:p>
          <w:p w14:paraId="21D39F89">
            <w:pPr>
              <w:pStyle w:val="30"/>
              <w:spacing w:before="154" w:line="259" w:lineRule="exact"/>
              <w:ind w:left="133"/>
              <w:rPr>
                <w:sz w:val="21"/>
              </w:rPr>
            </w:pPr>
            <w:r>
              <w:rPr>
                <w:sz w:val="21"/>
              </w:rPr>
              <w:t>成交金额</w:t>
            </w:r>
          </w:p>
        </w:tc>
        <w:tc>
          <w:tcPr>
            <w:tcW w:w="1858" w:type="dxa"/>
          </w:tcPr>
          <w:p w14:paraId="4FDA6FAF">
            <w:pPr>
              <w:pStyle w:val="30"/>
              <w:ind w:firstLine="402"/>
              <w:rPr>
                <w:sz w:val="20"/>
              </w:rPr>
            </w:pPr>
          </w:p>
          <w:p w14:paraId="23B32E83">
            <w:pPr>
              <w:pStyle w:val="30"/>
              <w:spacing w:before="146"/>
              <w:ind w:left="513" w:right="483"/>
              <w:jc w:val="center"/>
              <w:rPr>
                <w:sz w:val="21"/>
              </w:rPr>
            </w:pPr>
            <w:r>
              <w:rPr>
                <w:sz w:val="21"/>
              </w:rPr>
              <w:t>货物采购</w:t>
            </w:r>
          </w:p>
        </w:tc>
        <w:tc>
          <w:tcPr>
            <w:tcW w:w="2012" w:type="dxa"/>
          </w:tcPr>
          <w:p w14:paraId="52B2A049">
            <w:pPr>
              <w:pStyle w:val="30"/>
              <w:ind w:firstLine="402"/>
              <w:rPr>
                <w:sz w:val="20"/>
              </w:rPr>
            </w:pPr>
          </w:p>
          <w:p w14:paraId="6FEFE1BE">
            <w:pPr>
              <w:pStyle w:val="30"/>
              <w:spacing w:before="146"/>
              <w:ind w:left="589" w:right="560"/>
              <w:jc w:val="center"/>
              <w:rPr>
                <w:sz w:val="21"/>
              </w:rPr>
            </w:pPr>
            <w:r>
              <w:rPr>
                <w:sz w:val="21"/>
              </w:rPr>
              <w:t>服务采购</w:t>
            </w:r>
          </w:p>
        </w:tc>
        <w:tc>
          <w:tcPr>
            <w:tcW w:w="2315" w:type="dxa"/>
          </w:tcPr>
          <w:p w14:paraId="484E99EC">
            <w:pPr>
              <w:pStyle w:val="30"/>
              <w:ind w:firstLine="402"/>
              <w:rPr>
                <w:sz w:val="20"/>
              </w:rPr>
            </w:pPr>
          </w:p>
          <w:p w14:paraId="76D15C43">
            <w:pPr>
              <w:pStyle w:val="30"/>
              <w:spacing w:before="146"/>
              <w:ind w:left="742" w:right="710"/>
              <w:jc w:val="center"/>
              <w:rPr>
                <w:sz w:val="21"/>
              </w:rPr>
            </w:pPr>
            <w:r>
              <w:rPr>
                <w:sz w:val="21"/>
              </w:rPr>
              <w:t>工程采购</w:t>
            </w:r>
          </w:p>
        </w:tc>
      </w:tr>
      <w:tr w14:paraId="13659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2677FFA3">
            <w:pPr>
              <w:pStyle w:val="30"/>
              <w:spacing w:before="61" w:line="259" w:lineRule="exact"/>
              <w:ind w:left="133"/>
              <w:rPr>
                <w:sz w:val="21"/>
              </w:rPr>
            </w:pPr>
            <w:r>
              <w:rPr>
                <w:sz w:val="21"/>
              </w:rPr>
              <w:t>100万元以下</w:t>
            </w:r>
          </w:p>
        </w:tc>
        <w:tc>
          <w:tcPr>
            <w:tcW w:w="1858" w:type="dxa"/>
          </w:tcPr>
          <w:p w14:paraId="73DFD80F">
            <w:pPr>
              <w:pStyle w:val="30"/>
              <w:spacing w:before="61" w:line="259" w:lineRule="exact"/>
              <w:ind w:left="513" w:right="479"/>
              <w:jc w:val="center"/>
              <w:rPr>
                <w:sz w:val="21"/>
              </w:rPr>
            </w:pPr>
            <w:r>
              <w:rPr>
                <w:sz w:val="21"/>
              </w:rPr>
              <w:t>1.5%</w:t>
            </w:r>
          </w:p>
        </w:tc>
        <w:tc>
          <w:tcPr>
            <w:tcW w:w="2012" w:type="dxa"/>
          </w:tcPr>
          <w:p w14:paraId="377DE5FF">
            <w:pPr>
              <w:pStyle w:val="30"/>
              <w:spacing w:before="61" w:line="259" w:lineRule="exact"/>
              <w:ind w:left="589" w:right="554"/>
              <w:jc w:val="center"/>
              <w:rPr>
                <w:sz w:val="21"/>
              </w:rPr>
            </w:pPr>
            <w:r>
              <w:rPr>
                <w:sz w:val="21"/>
              </w:rPr>
              <w:t>1.5%</w:t>
            </w:r>
          </w:p>
        </w:tc>
        <w:tc>
          <w:tcPr>
            <w:tcW w:w="2315" w:type="dxa"/>
          </w:tcPr>
          <w:p w14:paraId="3B8916BC">
            <w:pPr>
              <w:pStyle w:val="30"/>
              <w:spacing w:before="61" w:line="259" w:lineRule="exact"/>
              <w:ind w:left="742" w:right="709"/>
              <w:jc w:val="center"/>
              <w:rPr>
                <w:sz w:val="21"/>
              </w:rPr>
            </w:pPr>
            <w:r>
              <w:rPr>
                <w:sz w:val="21"/>
              </w:rPr>
              <w:t>1.0%</w:t>
            </w:r>
          </w:p>
        </w:tc>
      </w:tr>
      <w:tr w14:paraId="29F26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127422A8">
            <w:pPr>
              <w:pStyle w:val="30"/>
              <w:spacing w:before="61" w:line="259" w:lineRule="exact"/>
              <w:ind w:left="133"/>
              <w:rPr>
                <w:sz w:val="21"/>
              </w:rPr>
            </w:pPr>
            <w:r>
              <w:rPr>
                <w:sz w:val="21"/>
              </w:rPr>
              <w:t>100～500万元</w:t>
            </w:r>
          </w:p>
        </w:tc>
        <w:tc>
          <w:tcPr>
            <w:tcW w:w="1858" w:type="dxa"/>
          </w:tcPr>
          <w:p w14:paraId="16FDD7EE">
            <w:pPr>
              <w:pStyle w:val="30"/>
              <w:spacing w:before="61" w:line="259" w:lineRule="exact"/>
              <w:ind w:left="513" w:right="479"/>
              <w:jc w:val="center"/>
              <w:rPr>
                <w:sz w:val="21"/>
              </w:rPr>
            </w:pPr>
            <w:r>
              <w:rPr>
                <w:sz w:val="21"/>
              </w:rPr>
              <w:t>1.1%</w:t>
            </w:r>
          </w:p>
        </w:tc>
        <w:tc>
          <w:tcPr>
            <w:tcW w:w="2012" w:type="dxa"/>
          </w:tcPr>
          <w:p w14:paraId="51F1DEDA">
            <w:pPr>
              <w:pStyle w:val="30"/>
              <w:spacing w:before="61" w:line="259" w:lineRule="exact"/>
              <w:ind w:left="589" w:right="554"/>
              <w:jc w:val="center"/>
              <w:rPr>
                <w:sz w:val="21"/>
              </w:rPr>
            </w:pPr>
            <w:r>
              <w:rPr>
                <w:sz w:val="21"/>
              </w:rPr>
              <w:t>0.8%</w:t>
            </w:r>
          </w:p>
        </w:tc>
        <w:tc>
          <w:tcPr>
            <w:tcW w:w="2315" w:type="dxa"/>
          </w:tcPr>
          <w:p w14:paraId="5BF67A5F">
            <w:pPr>
              <w:pStyle w:val="30"/>
              <w:spacing w:before="61" w:line="259" w:lineRule="exact"/>
              <w:ind w:left="742" w:right="709"/>
              <w:jc w:val="center"/>
              <w:rPr>
                <w:sz w:val="21"/>
              </w:rPr>
            </w:pPr>
            <w:r>
              <w:rPr>
                <w:sz w:val="21"/>
              </w:rPr>
              <w:t>0.7%</w:t>
            </w:r>
          </w:p>
        </w:tc>
      </w:tr>
      <w:tr w14:paraId="43F67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0E0E73BD">
            <w:pPr>
              <w:pStyle w:val="30"/>
              <w:spacing w:before="61" w:line="258" w:lineRule="exact"/>
              <w:ind w:left="133"/>
              <w:rPr>
                <w:sz w:val="21"/>
              </w:rPr>
            </w:pPr>
            <w:r>
              <w:rPr>
                <w:sz w:val="21"/>
              </w:rPr>
              <w:t>500～1000万元</w:t>
            </w:r>
          </w:p>
        </w:tc>
        <w:tc>
          <w:tcPr>
            <w:tcW w:w="1858" w:type="dxa"/>
          </w:tcPr>
          <w:p w14:paraId="7B257F1C">
            <w:pPr>
              <w:pStyle w:val="30"/>
              <w:spacing w:before="61" w:line="258" w:lineRule="exact"/>
              <w:ind w:left="513" w:right="479"/>
              <w:jc w:val="center"/>
              <w:rPr>
                <w:sz w:val="21"/>
              </w:rPr>
            </w:pPr>
            <w:r>
              <w:rPr>
                <w:sz w:val="21"/>
              </w:rPr>
              <w:t>0.8%</w:t>
            </w:r>
          </w:p>
        </w:tc>
        <w:tc>
          <w:tcPr>
            <w:tcW w:w="2012" w:type="dxa"/>
          </w:tcPr>
          <w:p w14:paraId="1D5A56BB">
            <w:pPr>
              <w:pStyle w:val="30"/>
              <w:spacing w:before="61" w:line="258" w:lineRule="exact"/>
              <w:ind w:left="589" w:right="556"/>
              <w:jc w:val="center"/>
              <w:rPr>
                <w:sz w:val="21"/>
              </w:rPr>
            </w:pPr>
            <w:r>
              <w:rPr>
                <w:sz w:val="21"/>
              </w:rPr>
              <w:t>0.45%</w:t>
            </w:r>
          </w:p>
        </w:tc>
        <w:tc>
          <w:tcPr>
            <w:tcW w:w="2315" w:type="dxa"/>
          </w:tcPr>
          <w:p w14:paraId="7A2B3B3B">
            <w:pPr>
              <w:pStyle w:val="30"/>
              <w:spacing w:before="61" w:line="258" w:lineRule="exact"/>
              <w:ind w:left="741" w:right="710"/>
              <w:jc w:val="center"/>
              <w:rPr>
                <w:sz w:val="21"/>
              </w:rPr>
            </w:pPr>
            <w:r>
              <w:rPr>
                <w:sz w:val="21"/>
              </w:rPr>
              <w:t>0.55%</w:t>
            </w:r>
          </w:p>
        </w:tc>
      </w:tr>
      <w:tr w14:paraId="541AD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1B772A75">
            <w:pPr>
              <w:pStyle w:val="30"/>
              <w:spacing w:before="62" w:line="258" w:lineRule="exact"/>
              <w:ind w:left="133"/>
              <w:rPr>
                <w:sz w:val="21"/>
              </w:rPr>
            </w:pPr>
            <w:r>
              <w:rPr>
                <w:sz w:val="21"/>
              </w:rPr>
              <w:t>1000～5000万元</w:t>
            </w:r>
          </w:p>
        </w:tc>
        <w:tc>
          <w:tcPr>
            <w:tcW w:w="1858" w:type="dxa"/>
          </w:tcPr>
          <w:p w14:paraId="614EE933">
            <w:pPr>
              <w:pStyle w:val="30"/>
              <w:spacing w:before="62" w:line="258" w:lineRule="exact"/>
              <w:ind w:left="513" w:right="479"/>
              <w:jc w:val="center"/>
              <w:rPr>
                <w:sz w:val="21"/>
              </w:rPr>
            </w:pPr>
            <w:r>
              <w:rPr>
                <w:sz w:val="21"/>
              </w:rPr>
              <w:t>0.5%</w:t>
            </w:r>
          </w:p>
        </w:tc>
        <w:tc>
          <w:tcPr>
            <w:tcW w:w="2012" w:type="dxa"/>
          </w:tcPr>
          <w:p w14:paraId="3563B187">
            <w:pPr>
              <w:pStyle w:val="30"/>
              <w:spacing w:before="62" w:line="258" w:lineRule="exact"/>
              <w:ind w:left="589" w:right="556"/>
              <w:jc w:val="center"/>
              <w:rPr>
                <w:sz w:val="21"/>
              </w:rPr>
            </w:pPr>
            <w:r>
              <w:rPr>
                <w:sz w:val="21"/>
              </w:rPr>
              <w:t>0.25%</w:t>
            </w:r>
          </w:p>
        </w:tc>
        <w:tc>
          <w:tcPr>
            <w:tcW w:w="2315" w:type="dxa"/>
          </w:tcPr>
          <w:p w14:paraId="1B53AAF1">
            <w:pPr>
              <w:pStyle w:val="30"/>
              <w:spacing w:before="62" w:line="258" w:lineRule="exact"/>
              <w:ind w:left="741" w:right="710"/>
              <w:jc w:val="center"/>
              <w:rPr>
                <w:sz w:val="21"/>
              </w:rPr>
            </w:pPr>
            <w:r>
              <w:rPr>
                <w:sz w:val="21"/>
              </w:rPr>
              <w:t>0.35%</w:t>
            </w:r>
          </w:p>
        </w:tc>
      </w:tr>
      <w:tr w14:paraId="65E97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0DF2B8FA">
            <w:pPr>
              <w:pStyle w:val="30"/>
              <w:spacing w:before="60" w:line="260" w:lineRule="exact"/>
              <w:ind w:left="133"/>
              <w:rPr>
                <w:sz w:val="21"/>
              </w:rPr>
            </w:pPr>
            <w:r>
              <w:rPr>
                <w:sz w:val="21"/>
              </w:rPr>
              <w:t>5000万元～1亿元</w:t>
            </w:r>
          </w:p>
        </w:tc>
        <w:tc>
          <w:tcPr>
            <w:tcW w:w="1858" w:type="dxa"/>
          </w:tcPr>
          <w:p w14:paraId="4D575768">
            <w:pPr>
              <w:pStyle w:val="30"/>
              <w:spacing w:before="60" w:line="260" w:lineRule="exact"/>
              <w:ind w:left="513" w:right="479"/>
              <w:jc w:val="center"/>
              <w:rPr>
                <w:sz w:val="21"/>
              </w:rPr>
            </w:pPr>
            <w:r>
              <w:rPr>
                <w:sz w:val="21"/>
              </w:rPr>
              <w:t>0.25%</w:t>
            </w:r>
          </w:p>
        </w:tc>
        <w:tc>
          <w:tcPr>
            <w:tcW w:w="2012" w:type="dxa"/>
          </w:tcPr>
          <w:p w14:paraId="6C363630">
            <w:pPr>
              <w:pStyle w:val="30"/>
              <w:spacing w:before="60" w:line="260" w:lineRule="exact"/>
              <w:ind w:left="589" w:right="554"/>
              <w:jc w:val="center"/>
              <w:rPr>
                <w:sz w:val="21"/>
              </w:rPr>
            </w:pPr>
            <w:r>
              <w:rPr>
                <w:sz w:val="21"/>
              </w:rPr>
              <w:t>0.1%</w:t>
            </w:r>
          </w:p>
        </w:tc>
        <w:tc>
          <w:tcPr>
            <w:tcW w:w="2315" w:type="dxa"/>
          </w:tcPr>
          <w:p w14:paraId="4B7F7E7A">
            <w:pPr>
              <w:pStyle w:val="30"/>
              <w:spacing w:before="60" w:line="260" w:lineRule="exact"/>
              <w:ind w:left="742" w:right="709"/>
              <w:jc w:val="center"/>
              <w:rPr>
                <w:sz w:val="21"/>
              </w:rPr>
            </w:pPr>
            <w:r>
              <w:rPr>
                <w:sz w:val="21"/>
              </w:rPr>
              <w:t>0.2%</w:t>
            </w:r>
          </w:p>
        </w:tc>
      </w:tr>
      <w:tr w14:paraId="7B10C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2C7D5E4B">
            <w:pPr>
              <w:pStyle w:val="30"/>
              <w:spacing w:before="60" w:line="259" w:lineRule="exact"/>
              <w:ind w:left="133"/>
              <w:rPr>
                <w:sz w:val="21"/>
              </w:rPr>
            </w:pPr>
            <w:r>
              <w:rPr>
                <w:sz w:val="21"/>
              </w:rPr>
              <w:t>1～5亿元</w:t>
            </w:r>
          </w:p>
        </w:tc>
        <w:tc>
          <w:tcPr>
            <w:tcW w:w="1858" w:type="dxa"/>
          </w:tcPr>
          <w:p w14:paraId="3AB9D93F">
            <w:pPr>
              <w:pStyle w:val="30"/>
              <w:spacing w:before="60" w:line="259" w:lineRule="exact"/>
              <w:ind w:left="513" w:right="479"/>
              <w:jc w:val="center"/>
              <w:rPr>
                <w:sz w:val="21"/>
              </w:rPr>
            </w:pPr>
            <w:r>
              <w:rPr>
                <w:sz w:val="21"/>
              </w:rPr>
              <w:t>0.05%</w:t>
            </w:r>
          </w:p>
        </w:tc>
        <w:tc>
          <w:tcPr>
            <w:tcW w:w="2012" w:type="dxa"/>
          </w:tcPr>
          <w:p w14:paraId="4B8EDA2D">
            <w:pPr>
              <w:pStyle w:val="30"/>
              <w:spacing w:before="60" w:line="259" w:lineRule="exact"/>
              <w:ind w:left="589" w:right="556"/>
              <w:jc w:val="center"/>
              <w:rPr>
                <w:sz w:val="21"/>
              </w:rPr>
            </w:pPr>
            <w:r>
              <w:rPr>
                <w:sz w:val="21"/>
              </w:rPr>
              <w:t>0.05%</w:t>
            </w:r>
          </w:p>
        </w:tc>
        <w:tc>
          <w:tcPr>
            <w:tcW w:w="2315" w:type="dxa"/>
          </w:tcPr>
          <w:p w14:paraId="10E2BCB1">
            <w:pPr>
              <w:pStyle w:val="30"/>
              <w:spacing w:before="60" w:line="259" w:lineRule="exact"/>
              <w:ind w:left="741" w:right="710"/>
              <w:jc w:val="center"/>
              <w:rPr>
                <w:sz w:val="21"/>
              </w:rPr>
            </w:pPr>
            <w:r>
              <w:rPr>
                <w:sz w:val="21"/>
              </w:rPr>
              <w:t>0.05%</w:t>
            </w:r>
          </w:p>
        </w:tc>
      </w:tr>
      <w:tr w14:paraId="2EA36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54FD1E2E">
            <w:pPr>
              <w:pStyle w:val="30"/>
              <w:spacing w:before="61" w:line="259" w:lineRule="exact"/>
              <w:ind w:left="133"/>
              <w:rPr>
                <w:sz w:val="21"/>
              </w:rPr>
            </w:pPr>
            <w:r>
              <w:rPr>
                <w:sz w:val="21"/>
              </w:rPr>
              <w:t>5～10亿元</w:t>
            </w:r>
          </w:p>
        </w:tc>
        <w:tc>
          <w:tcPr>
            <w:tcW w:w="1858" w:type="dxa"/>
          </w:tcPr>
          <w:p w14:paraId="45F329C5">
            <w:pPr>
              <w:pStyle w:val="30"/>
              <w:spacing w:before="61" w:line="259" w:lineRule="exact"/>
              <w:ind w:left="513" w:right="479"/>
              <w:jc w:val="center"/>
              <w:rPr>
                <w:sz w:val="21"/>
              </w:rPr>
            </w:pPr>
            <w:r>
              <w:rPr>
                <w:sz w:val="21"/>
              </w:rPr>
              <w:t>0.035%</w:t>
            </w:r>
          </w:p>
        </w:tc>
        <w:tc>
          <w:tcPr>
            <w:tcW w:w="2012" w:type="dxa"/>
          </w:tcPr>
          <w:p w14:paraId="24938076">
            <w:pPr>
              <w:pStyle w:val="30"/>
              <w:spacing w:before="61" w:line="259" w:lineRule="exact"/>
              <w:ind w:left="589" w:right="556"/>
              <w:jc w:val="center"/>
              <w:rPr>
                <w:sz w:val="21"/>
              </w:rPr>
            </w:pPr>
            <w:r>
              <w:rPr>
                <w:sz w:val="21"/>
              </w:rPr>
              <w:t>0.035%</w:t>
            </w:r>
          </w:p>
        </w:tc>
        <w:tc>
          <w:tcPr>
            <w:tcW w:w="2315" w:type="dxa"/>
          </w:tcPr>
          <w:p w14:paraId="5D8BD92A">
            <w:pPr>
              <w:pStyle w:val="30"/>
              <w:spacing w:before="61" w:line="259" w:lineRule="exact"/>
              <w:ind w:left="742" w:right="707"/>
              <w:jc w:val="center"/>
              <w:rPr>
                <w:sz w:val="21"/>
              </w:rPr>
            </w:pPr>
            <w:r>
              <w:rPr>
                <w:sz w:val="21"/>
              </w:rPr>
              <w:t>0.035%</w:t>
            </w:r>
          </w:p>
        </w:tc>
      </w:tr>
      <w:tr w14:paraId="37CF4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0471A623">
            <w:pPr>
              <w:pStyle w:val="30"/>
              <w:spacing w:before="61" w:line="259" w:lineRule="exact"/>
              <w:ind w:left="133"/>
              <w:rPr>
                <w:sz w:val="21"/>
              </w:rPr>
            </w:pPr>
            <w:r>
              <w:rPr>
                <w:sz w:val="21"/>
              </w:rPr>
              <w:t>10～50亿元</w:t>
            </w:r>
          </w:p>
        </w:tc>
        <w:tc>
          <w:tcPr>
            <w:tcW w:w="1858" w:type="dxa"/>
          </w:tcPr>
          <w:p w14:paraId="7EA5879E">
            <w:pPr>
              <w:pStyle w:val="30"/>
              <w:spacing w:before="61" w:line="259" w:lineRule="exact"/>
              <w:ind w:left="513" w:right="479"/>
              <w:jc w:val="center"/>
              <w:rPr>
                <w:sz w:val="21"/>
              </w:rPr>
            </w:pPr>
            <w:r>
              <w:rPr>
                <w:sz w:val="21"/>
              </w:rPr>
              <w:t>0.008%</w:t>
            </w:r>
          </w:p>
        </w:tc>
        <w:tc>
          <w:tcPr>
            <w:tcW w:w="2012" w:type="dxa"/>
          </w:tcPr>
          <w:p w14:paraId="19E9DAE9">
            <w:pPr>
              <w:pStyle w:val="30"/>
              <w:spacing w:before="61" w:line="259" w:lineRule="exact"/>
              <w:ind w:left="589" w:right="556"/>
              <w:jc w:val="center"/>
              <w:rPr>
                <w:sz w:val="21"/>
              </w:rPr>
            </w:pPr>
            <w:r>
              <w:rPr>
                <w:sz w:val="21"/>
              </w:rPr>
              <w:t>0.008%</w:t>
            </w:r>
          </w:p>
        </w:tc>
        <w:tc>
          <w:tcPr>
            <w:tcW w:w="2315" w:type="dxa"/>
          </w:tcPr>
          <w:p w14:paraId="6E3EEF21">
            <w:pPr>
              <w:pStyle w:val="30"/>
              <w:spacing w:before="61" w:line="259" w:lineRule="exact"/>
              <w:ind w:left="742" w:right="707"/>
              <w:jc w:val="center"/>
              <w:rPr>
                <w:sz w:val="21"/>
              </w:rPr>
            </w:pPr>
            <w:r>
              <w:rPr>
                <w:sz w:val="21"/>
              </w:rPr>
              <w:t>0.008%</w:t>
            </w:r>
          </w:p>
        </w:tc>
      </w:tr>
      <w:tr w14:paraId="258A5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6BCD35AA">
            <w:pPr>
              <w:pStyle w:val="30"/>
              <w:spacing w:before="62" w:line="258" w:lineRule="exact"/>
              <w:ind w:left="133"/>
              <w:rPr>
                <w:sz w:val="21"/>
              </w:rPr>
            </w:pPr>
            <w:r>
              <w:rPr>
                <w:sz w:val="21"/>
              </w:rPr>
              <w:t>50～100亿元</w:t>
            </w:r>
          </w:p>
        </w:tc>
        <w:tc>
          <w:tcPr>
            <w:tcW w:w="1858" w:type="dxa"/>
          </w:tcPr>
          <w:p w14:paraId="0DF9C20C">
            <w:pPr>
              <w:pStyle w:val="30"/>
              <w:spacing w:before="62" w:line="258" w:lineRule="exact"/>
              <w:ind w:left="513" w:right="479"/>
              <w:jc w:val="center"/>
              <w:rPr>
                <w:sz w:val="21"/>
              </w:rPr>
            </w:pPr>
            <w:r>
              <w:rPr>
                <w:sz w:val="21"/>
              </w:rPr>
              <w:t>0.006%</w:t>
            </w:r>
          </w:p>
        </w:tc>
        <w:tc>
          <w:tcPr>
            <w:tcW w:w="2012" w:type="dxa"/>
          </w:tcPr>
          <w:p w14:paraId="4C9BB076">
            <w:pPr>
              <w:pStyle w:val="30"/>
              <w:spacing w:before="62" w:line="258" w:lineRule="exact"/>
              <w:ind w:left="589" w:right="556"/>
              <w:jc w:val="center"/>
              <w:rPr>
                <w:sz w:val="21"/>
              </w:rPr>
            </w:pPr>
            <w:r>
              <w:rPr>
                <w:sz w:val="21"/>
              </w:rPr>
              <w:t>0.006%</w:t>
            </w:r>
          </w:p>
        </w:tc>
        <w:tc>
          <w:tcPr>
            <w:tcW w:w="2315" w:type="dxa"/>
          </w:tcPr>
          <w:p w14:paraId="2F7F3A4D">
            <w:pPr>
              <w:pStyle w:val="30"/>
              <w:spacing w:before="62" w:line="258" w:lineRule="exact"/>
              <w:ind w:left="742" w:right="707"/>
              <w:jc w:val="center"/>
              <w:rPr>
                <w:sz w:val="21"/>
              </w:rPr>
            </w:pPr>
            <w:r>
              <w:rPr>
                <w:sz w:val="21"/>
              </w:rPr>
              <w:t>0.006%</w:t>
            </w:r>
          </w:p>
        </w:tc>
      </w:tr>
      <w:tr w14:paraId="1FD0B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908" w:type="dxa"/>
          </w:tcPr>
          <w:p w14:paraId="6C2C7F21">
            <w:pPr>
              <w:pStyle w:val="30"/>
              <w:spacing w:before="62" w:line="258" w:lineRule="exact"/>
              <w:ind w:left="133"/>
              <w:rPr>
                <w:sz w:val="21"/>
              </w:rPr>
            </w:pPr>
            <w:r>
              <w:rPr>
                <w:sz w:val="21"/>
              </w:rPr>
              <w:t>100亿以上</w:t>
            </w:r>
          </w:p>
        </w:tc>
        <w:tc>
          <w:tcPr>
            <w:tcW w:w="1858" w:type="dxa"/>
          </w:tcPr>
          <w:p w14:paraId="5119BD6D">
            <w:pPr>
              <w:pStyle w:val="30"/>
              <w:spacing w:before="62" w:line="258" w:lineRule="exact"/>
              <w:ind w:left="513" w:right="479"/>
              <w:jc w:val="center"/>
              <w:rPr>
                <w:sz w:val="21"/>
              </w:rPr>
            </w:pPr>
            <w:r>
              <w:rPr>
                <w:sz w:val="21"/>
              </w:rPr>
              <w:t>0.004%</w:t>
            </w:r>
          </w:p>
        </w:tc>
        <w:tc>
          <w:tcPr>
            <w:tcW w:w="2012" w:type="dxa"/>
          </w:tcPr>
          <w:p w14:paraId="17167730">
            <w:pPr>
              <w:pStyle w:val="30"/>
              <w:spacing w:before="62" w:line="258" w:lineRule="exact"/>
              <w:ind w:left="589" w:right="556"/>
              <w:jc w:val="center"/>
              <w:rPr>
                <w:sz w:val="21"/>
              </w:rPr>
            </w:pPr>
            <w:r>
              <w:rPr>
                <w:sz w:val="21"/>
              </w:rPr>
              <w:t>0.004%</w:t>
            </w:r>
          </w:p>
        </w:tc>
        <w:tc>
          <w:tcPr>
            <w:tcW w:w="2315" w:type="dxa"/>
          </w:tcPr>
          <w:p w14:paraId="40FAE98C">
            <w:pPr>
              <w:pStyle w:val="30"/>
              <w:spacing w:before="62" w:line="258" w:lineRule="exact"/>
              <w:ind w:left="742" w:right="707"/>
              <w:jc w:val="center"/>
              <w:rPr>
                <w:sz w:val="21"/>
              </w:rPr>
            </w:pPr>
            <w:r>
              <w:rPr>
                <w:sz w:val="21"/>
              </w:rPr>
              <w:t>0.004%</w:t>
            </w:r>
          </w:p>
        </w:tc>
      </w:tr>
    </w:tbl>
    <w:p w14:paraId="43959A77">
      <w:pPr>
        <w:spacing w:line="360" w:lineRule="auto"/>
        <w:ind w:firstLine="420" w:firstLineChars="200"/>
        <w:rPr>
          <w:sz w:val="21"/>
          <w:szCs w:val="21"/>
        </w:rPr>
      </w:pPr>
      <w:r>
        <w:rPr>
          <w:rFonts w:hint="eastAsia"/>
          <w:sz w:val="21"/>
          <w:szCs w:val="21"/>
        </w:rPr>
        <w:t>注：代理服务收费按差额定率累进法计算。</w:t>
      </w:r>
    </w:p>
    <w:p w14:paraId="7E2EE0CE">
      <w:pPr>
        <w:spacing w:line="360" w:lineRule="auto"/>
        <w:ind w:firstLine="422" w:firstLineChars="200"/>
        <w:rPr>
          <w:b/>
          <w:bCs/>
          <w:sz w:val="21"/>
          <w:szCs w:val="21"/>
        </w:rPr>
      </w:pPr>
      <w:r>
        <w:rPr>
          <w:rFonts w:hint="eastAsia"/>
          <w:b/>
          <w:bCs/>
          <w:sz w:val="21"/>
          <w:szCs w:val="21"/>
        </w:rPr>
        <w:t>32.交纳采购代理服务费的银行账户：</w:t>
      </w:r>
    </w:p>
    <w:p w14:paraId="0B391A7B">
      <w:pPr>
        <w:spacing w:line="360" w:lineRule="auto"/>
        <w:ind w:firstLine="420" w:firstLineChars="200"/>
        <w:rPr>
          <w:sz w:val="21"/>
          <w:szCs w:val="21"/>
          <w:highlight w:val="none"/>
        </w:rPr>
      </w:pPr>
      <w:r>
        <w:rPr>
          <w:rFonts w:hint="eastAsia"/>
          <w:sz w:val="21"/>
          <w:szCs w:val="21"/>
          <w:highlight w:val="none"/>
        </w:rPr>
        <w:t>账户名称：南宁品正建设咨询有限责任公司桂北分公司</w:t>
      </w:r>
    </w:p>
    <w:p w14:paraId="7478E57F">
      <w:pPr>
        <w:spacing w:line="360" w:lineRule="auto"/>
        <w:ind w:firstLine="420" w:firstLineChars="200"/>
        <w:rPr>
          <w:sz w:val="21"/>
          <w:szCs w:val="21"/>
          <w:highlight w:val="none"/>
        </w:rPr>
      </w:pPr>
      <w:r>
        <w:rPr>
          <w:rFonts w:hint="eastAsia"/>
          <w:sz w:val="21"/>
          <w:szCs w:val="21"/>
          <w:highlight w:val="none"/>
        </w:rPr>
        <w:t>开户银行：中国建设银行股份有限公司桂林世纪大道支行</w:t>
      </w:r>
    </w:p>
    <w:p w14:paraId="111A811F">
      <w:pPr>
        <w:spacing w:line="360" w:lineRule="auto"/>
        <w:ind w:firstLine="420" w:firstLineChars="200"/>
        <w:rPr>
          <w:sz w:val="21"/>
          <w:szCs w:val="21"/>
          <w:highlight w:val="none"/>
        </w:rPr>
      </w:pPr>
      <w:r>
        <w:rPr>
          <w:rFonts w:hint="eastAsia"/>
          <w:sz w:val="21"/>
          <w:szCs w:val="21"/>
          <w:highlight w:val="none"/>
        </w:rPr>
        <w:t>账户号码：4505 0110 1100 0000 0996</w:t>
      </w:r>
    </w:p>
    <w:p w14:paraId="1ED1C2F0">
      <w:pPr>
        <w:spacing w:line="360" w:lineRule="auto"/>
        <w:ind w:firstLine="422" w:firstLineChars="200"/>
        <w:rPr>
          <w:sz w:val="21"/>
          <w:szCs w:val="21"/>
        </w:rPr>
      </w:pPr>
      <w:r>
        <w:rPr>
          <w:rFonts w:hint="eastAsia"/>
          <w:b/>
          <w:bCs/>
          <w:sz w:val="21"/>
          <w:szCs w:val="21"/>
        </w:rPr>
        <w:t>33.解释权：</w:t>
      </w:r>
      <w:r>
        <w:rPr>
          <w:rFonts w:hint="eastAsia"/>
          <w:sz w:val="21"/>
          <w:szCs w:val="21"/>
        </w:rPr>
        <w:t>本竞争性磋商文件是根据《中华人民共和国政府采购法》、《中华人民共和国政府采</w:t>
      </w:r>
    </w:p>
    <w:p w14:paraId="78A1D30C">
      <w:pPr>
        <w:spacing w:line="360" w:lineRule="auto"/>
        <w:ind w:firstLine="420" w:firstLineChars="200"/>
        <w:rPr>
          <w:sz w:val="21"/>
          <w:szCs w:val="21"/>
        </w:rPr>
      </w:pPr>
      <w:bookmarkStart w:id="71" w:name="第三章__服务采购需求"/>
      <w:bookmarkEnd w:id="71"/>
      <w:r>
        <w:rPr>
          <w:rFonts w:hint="eastAsia"/>
          <w:sz w:val="21"/>
          <w:szCs w:val="21"/>
        </w:rPr>
        <w:t>购法实施条例》、《政府采购竞争性磋商采购方式管理暂行办法》和政府采购管理有关规定编制。</w:t>
      </w:r>
    </w:p>
    <w:p w14:paraId="3F323367">
      <w:pPr>
        <w:pStyle w:val="12"/>
        <w:spacing w:before="52" w:line="314" w:lineRule="auto"/>
        <w:ind w:left="955" w:leftChars="250" w:right="932" w:hanging="405" w:hangingChars="192"/>
        <w:jc w:val="both"/>
        <w:rPr>
          <w:b/>
          <w:sz w:val="24"/>
          <w:szCs w:val="24"/>
        </w:rPr>
      </w:pPr>
      <w:r>
        <w:rPr>
          <w:rFonts w:hint="eastAsia"/>
          <w:b/>
          <w:bCs/>
          <w:szCs w:val="22"/>
        </w:rPr>
        <w:t>34.</w:t>
      </w:r>
      <w:r>
        <w:rPr>
          <w:b/>
          <w:bCs/>
          <w:szCs w:val="22"/>
        </w:rPr>
        <w:t>广西线上“政采贷”政策详见附表</w:t>
      </w:r>
      <w:r>
        <w:rPr>
          <w:rFonts w:hint="eastAsia"/>
          <w:b/>
          <w:bCs/>
          <w:szCs w:val="22"/>
        </w:rPr>
        <w:t>3</w:t>
      </w:r>
      <w:r>
        <w:rPr>
          <w:b/>
          <w:bCs/>
          <w:szCs w:val="22"/>
        </w:rPr>
        <w:t>.</w:t>
      </w:r>
    </w:p>
    <w:p w14:paraId="5E42A507">
      <w:pPr>
        <w:pStyle w:val="15"/>
        <w:snapToGrid w:val="0"/>
        <w:ind w:firstLine="480"/>
        <w:rPr>
          <w:b/>
          <w:sz w:val="24"/>
          <w:szCs w:val="24"/>
        </w:rPr>
      </w:pPr>
    </w:p>
    <w:p w14:paraId="129239DA">
      <w:pPr>
        <w:pStyle w:val="5"/>
        <w:ind w:firstLine="482"/>
        <w:rPr>
          <w:sz w:val="24"/>
          <w:szCs w:val="24"/>
        </w:rPr>
      </w:pPr>
    </w:p>
    <w:p w14:paraId="2E4F55A5">
      <w:pPr>
        <w:ind w:firstLine="480"/>
        <w:rPr>
          <w:b/>
          <w:sz w:val="24"/>
          <w:szCs w:val="24"/>
        </w:rPr>
      </w:pPr>
    </w:p>
    <w:p w14:paraId="0413E8A2">
      <w:pPr>
        <w:pStyle w:val="12"/>
        <w:ind w:firstLine="480"/>
        <w:rPr>
          <w:b/>
          <w:sz w:val="24"/>
          <w:szCs w:val="24"/>
        </w:rPr>
      </w:pPr>
    </w:p>
    <w:p w14:paraId="497FE5B9">
      <w:pPr>
        <w:ind w:firstLine="422"/>
      </w:pPr>
    </w:p>
    <w:p w14:paraId="5BB4D2AA">
      <w:pPr>
        <w:rPr>
          <w:b/>
          <w:sz w:val="24"/>
          <w:szCs w:val="24"/>
        </w:rPr>
      </w:pPr>
      <w:r>
        <w:rPr>
          <w:rFonts w:hint="eastAsia"/>
          <w:b/>
          <w:sz w:val="24"/>
          <w:szCs w:val="24"/>
        </w:rPr>
        <w:br w:type="page"/>
      </w:r>
    </w:p>
    <w:p w14:paraId="2B16807C">
      <w:pPr>
        <w:pStyle w:val="15"/>
        <w:snapToGrid w:val="0"/>
        <w:ind w:firstLine="482"/>
        <w:rPr>
          <w:rFonts w:hAnsi="宋体"/>
          <w:b/>
          <w:sz w:val="24"/>
          <w:szCs w:val="24"/>
        </w:rPr>
      </w:pPr>
      <w:r>
        <w:rPr>
          <w:rFonts w:hint="eastAsia"/>
          <w:b/>
          <w:sz w:val="24"/>
          <w:szCs w:val="24"/>
        </w:rPr>
        <w:t>附表1：</w:t>
      </w:r>
    </w:p>
    <w:p w14:paraId="65816C8A">
      <w:pPr>
        <w:spacing w:line="460" w:lineRule="exact"/>
        <w:ind w:firstLine="643"/>
        <w:jc w:val="center"/>
        <w:rPr>
          <w:sz w:val="32"/>
          <w:szCs w:val="32"/>
        </w:rPr>
      </w:pPr>
      <w:r>
        <w:rPr>
          <w:rFonts w:hint="eastAsia" w:cs="仿宋"/>
          <w:b/>
          <w:bCs/>
          <w:sz w:val="32"/>
          <w:szCs w:val="32"/>
        </w:rPr>
        <w:t>质疑函（格式）</w:t>
      </w:r>
    </w:p>
    <w:p w14:paraId="50978E7B">
      <w:pPr>
        <w:pStyle w:val="15"/>
        <w:snapToGrid w:val="0"/>
        <w:spacing w:line="360" w:lineRule="exact"/>
        <w:ind w:firstLine="442" w:firstLineChars="200"/>
        <w:rPr>
          <w:rFonts w:hAnsi="宋体"/>
          <w:b/>
          <w:bCs/>
        </w:rPr>
      </w:pPr>
      <w:r>
        <w:rPr>
          <w:rFonts w:hint="eastAsia" w:hAnsi="宋体"/>
          <w:b/>
          <w:bCs/>
        </w:rPr>
        <w:t>一、质疑供应商基本信息：</w:t>
      </w:r>
    </w:p>
    <w:p w14:paraId="7240A869">
      <w:pPr>
        <w:pStyle w:val="15"/>
        <w:snapToGrid w:val="0"/>
        <w:spacing w:line="360" w:lineRule="exact"/>
        <w:ind w:firstLine="440" w:firstLineChars="200"/>
        <w:rPr>
          <w:rFonts w:hAnsi="宋体"/>
          <w:bCs/>
          <w:u w:val="single"/>
        </w:rPr>
      </w:pPr>
      <w:r>
        <w:rPr>
          <w:rFonts w:hint="eastAsia" w:hAnsi="宋体"/>
          <w:bCs/>
        </w:rPr>
        <w:t>质疑供应商：</w:t>
      </w:r>
    </w:p>
    <w:p w14:paraId="3FAFB525">
      <w:pPr>
        <w:pStyle w:val="15"/>
        <w:snapToGrid w:val="0"/>
        <w:spacing w:line="360" w:lineRule="exact"/>
        <w:ind w:firstLine="440" w:firstLineChars="200"/>
        <w:rPr>
          <w:rFonts w:hAnsi="宋体"/>
          <w:bCs/>
        </w:rPr>
      </w:pPr>
      <w:r>
        <w:rPr>
          <w:rFonts w:hAnsi="宋体"/>
          <w:bCs/>
        </w:rPr>
        <w:t>地址</w:t>
      </w:r>
      <w:r>
        <w:rPr>
          <w:rFonts w:hint="eastAsia" w:hAnsi="宋体"/>
          <w:bCs/>
        </w:rPr>
        <w:t>：</w:t>
      </w:r>
      <w:r>
        <w:rPr>
          <w:rFonts w:hAnsi="宋体"/>
          <w:bCs/>
        </w:rPr>
        <w:t>邮编</w:t>
      </w:r>
      <w:r>
        <w:rPr>
          <w:rFonts w:hint="eastAsia" w:hAnsi="宋体"/>
          <w:bCs/>
        </w:rPr>
        <w:t>：</w:t>
      </w:r>
    </w:p>
    <w:p w14:paraId="3AA3A41E">
      <w:pPr>
        <w:pStyle w:val="15"/>
        <w:snapToGrid w:val="0"/>
        <w:spacing w:line="360" w:lineRule="exact"/>
        <w:ind w:firstLine="440" w:firstLineChars="200"/>
        <w:rPr>
          <w:rFonts w:hAnsi="宋体"/>
          <w:bCs/>
        </w:rPr>
      </w:pPr>
      <w:r>
        <w:rPr>
          <w:rFonts w:hAnsi="宋体"/>
          <w:bCs/>
        </w:rPr>
        <w:t>联系人</w:t>
      </w:r>
      <w:r>
        <w:rPr>
          <w:rFonts w:hint="eastAsia" w:hAnsi="宋体"/>
          <w:bCs/>
        </w:rPr>
        <w:t>：</w:t>
      </w:r>
      <w:r>
        <w:rPr>
          <w:rFonts w:hAnsi="宋体"/>
          <w:bCs/>
        </w:rPr>
        <w:t>联系电话</w:t>
      </w:r>
      <w:r>
        <w:rPr>
          <w:rFonts w:hint="eastAsia" w:hAnsi="宋体"/>
          <w:bCs/>
        </w:rPr>
        <w:t>：</w:t>
      </w:r>
    </w:p>
    <w:p w14:paraId="6A43DAFD">
      <w:pPr>
        <w:pStyle w:val="15"/>
        <w:snapToGrid w:val="0"/>
        <w:spacing w:line="360" w:lineRule="exact"/>
        <w:ind w:firstLine="440" w:firstLineChars="200"/>
        <w:rPr>
          <w:rFonts w:hAnsi="宋体"/>
          <w:bCs/>
        </w:rPr>
      </w:pPr>
      <w:r>
        <w:rPr>
          <w:rFonts w:hint="eastAsia" w:hAnsi="宋体"/>
          <w:bCs/>
        </w:rPr>
        <w:t>授权代表：</w:t>
      </w:r>
    </w:p>
    <w:p w14:paraId="3EF1C646">
      <w:pPr>
        <w:pStyle w:val="15"/>
        <w:snapToGrid w:val="0"/>
        <w:spacing w:line="360" w:lineRule="exact"/>
        <w:ind w:firstLine="440" w:firstLineChars="200"/>
        <w:rPr>
          <w:rFonts w:hAnsi="宋体"/>
          <w:bCs/>
          <w:u w:val="single"/>
        </w:rPr>
      </w:pPr>
      <w:r>
        <w:rPr>
          <w:rFonts w:hAnsi="宋体"/>
          <w:bCs/>
        </w:rPr>
        <w:t>联系</w:t>
      </w:r>
      <w:r>
        <w:rPr>
          <w:rFonts w:hint="eastAsia" w:hAnsi="宋体"/>
          <w:bCs/>
        </w:rPr>
        <w:t>电话：</w:t>
      </w:r>
    </w:p>
    <w:p w14:paraId="7421D04B">
      <w:pPr>
        <w:pStyle w:val="15"/>
        <w:snapToGrid w:val="0"/>
        <w:spacing w:line="360" w:lineRule="exact"/>
        <w:ind w:firstLine="440" w:firstLineChars="200"/>
        <w:rPr>
          <w:rFonts w:hAnsi="宋体"/>
          <w:bCs/>
        </w:rPr>
      </w:pPr>
      <w:r>
        <w:rPr>
          <w:rFonts w:hAnsi="宋体"/>
          <w:bCs/>
        </w:rPr>
        <w:t>地址</w:t>
      </w:r>
      <w:r>
        <w:rPr>
          <w:rFonts w:hint="eastAsia" w:hAnsi="宋体"/>
          <w:bCs/>
        </w:rPr>
        <w:t>：</w:t>
      </w:r>
      <w:r>
        <w:rPr>
          <w:rFonts w:hAnsi="宋体"/>
          <w:bCs/>
        </w:rPr>
        <w:t>邮编</w:t>
      </w:r>
      <w:r>
        <w:rPr>
          <w:rFonts w:hint="eastAsia" w:hAnsi="宋体"/>
          <w:bCs/>
        </w:rPr>
        <w:t>：</w:t>
      </w:r>
    </w:p>
    <w:p w14:paraId="00D37A22">
      <w:pPr>
        <w:pStyle w:val="15"/>
        <w:snapToGrid w:val="0"/>
        <w:spacing w:line="360" w:lineRule="exact"/>
        <w:ind w:firstLine="442" w:firstLineChars="200"/>
        <w:rPr>
          <w:rFonts w:hAnsi="宋体"/>
          <w:b/>
          <w:bCs/>
        </w:rPr>
      </w:pPr>
      <w:r>
        <w:rPr>
          <w:rFonts w:hint="eastAsia" w:hAnsi="宋体"/>
          <w:b/>
          <w:bCs/>
        </w:rPr>
        <w:t>二、质疑项目基本情况：</w:t>
      </w:r>
    </w:p>
    <w:p w14:paraId="7CA37CBE">
      <w:pPr>
        <w:pStyle w:val="15"/>
        <w:spacing w:line="360" w:lineRule="exact"/>
        <w:ind w:left="26" w:leftChars="12" w:firstLine="433" w:firstLineChars="197"/>
        <w:rPr>
          <w:rFonts w:hAnsi="宋体"/>
          <w:szCs w:val="21"/>
        </w:rPr>
      </w:pPr>
      <w:r>
        <w:rPr>
          <w:rFonts w:hint="eastAsia" w:hAnsi="宋体"/>
          <w:bCs/>
        </w:rPr>
        <w:t>质疑</w:t>
      </w:r>
      <w:r>
        <w:rPr>
          <w:rFonts w:hint="eastAsia" w:hAnsi="宋体"/>
          <w:szCs w:val="21"/>
        </w:rPr>
        <w:t>项目的名称：</w:t>
      </w:r>
    </w:p>
    <w:p w14:paraId="5CA0D51A">
      <w:pPr>
        <w:pStyle w:val="15"/>
        <w:spacing w:line="360" w:lineRule="exact"/>
        <w:ind w:left="26" w:leftChars="12" w:firstLine="433" w:firstLineChars="197"/>
        <w:rPr>
          <w:rFonts w:hAnsi="宋体"/>
          <w:szCs w:val="21"/>
        </w:rPr>
      </w:pPr>
      <w:r>
        <w:rPr>
          <w:rFonts w:hint="eastAsia" w:hAnsi="宋体"/>
          <w:bCs/>
        </w:rPr>
        <w:t>质疑</w:t>
      </w:r>
      <w:r>
        <w:rPr>
          <w:rFonts w:hint="eastAsia" w:hAnsi="宋体"/>
          <w:szCs w:val="21"/>
        </w:rPr>
        <w:t>项目的编号：</w:t>
      </w:r>
      <w:r>
        <w:rPr>
          <w:rFonts w:hint="eastAsia" w:hAnsi="宋体"/>
          <w:bCs/>
        </w:rPr>
        <w:t>包号：</w:t>
      </w:r>
    </w:p>
    <w:p w14:paraId="7C9B6E6E">
      <w:pPr>
        <w:pStyle w:val="15"/>
        <w:spacing w:line="360" w:lineRule="exact"/>
        <w:ind w:left="26" w:leftChars="12" w:firstLine="433" w:firstLineChars="197"/>
        <w:rPr>
          <w:rFonts w:hAnsi="宋体"/>
          <w:bCs/>
          <w:u w:val="single"/>
        </w:rPr>
      </w:pPr>
      <w:r>
        <w:rPr>
          <w:rFonts w:hint="eastAsia" w:hAnsi="宋体"/>
          <w:szCs w:val="21"/>
        </w:rPr>
        <w:t>采购人名称：</w:t>
      </w:r>
    </w:p>
    <w:p w14:paraId="6F988E58">
      <w:pPr>
        <w:pStyle w:val="15"/>
        <w:spacing w:line="360" w:lineRule="exact"/>
        <w:ind w:left="26" w:leftChars="12" w:firstLine="433" w:firstLineChars="197"/>
        <w:rPr>
          <w:rFonts w:hAnsi="宋体"/>
          <w:szCs w:val="21"/>
          <w:u w:val="single"/>
        </w:rPr>
      </w:pPr>
      <w:r>
        <w:rPr>
          <w:rFonts w:hint="eastAsia" w:hAnsi="宋体"/>
          <w:szCs w:val="21"/>
        </w:rPr>
        <w:t>采购文件获取日期：</w:t>
      </w:r>
    </w:p>
    <w:p w14:paraId="31B8FFFB">
      <w:pPr>
        <w:pStyle w:val="15"/>
        <w:spacing w:line="360" w:lineRule="exact"/>
        <w:ind w:left="26" w:leftChars="12" w:firstLine="433" w:firstLineChars="196"/>
        <w:rPr>
          <w:rFonts w:hAnsi="宋体"/>
          <w:b/>
          <w:szCs w:val="21"/>
        </w:rPr>
      </w:pPr>
      <w:r>
        <w:rPr>
          <w:rFonts w:hint="eastAsia" w:hAnsi="宋体"/>
          <w:b/>
          <w:szCs w:val="21"/>
        </w:rPr>
        <w:t>三、质疑事项具体内容</w:t>
      </w:r>
    </w:p>
    <w:p w14:paraId="0DE61707">
      <w:pPr>
        <w:pStyle w:val="15"/>
        <w:spacing w:line="360" w:lineRule="exact"/>
        <w:ind w:left="26" w:leftChars="12" w:firstLine="433" w:firstLineChars="197"/>
        <w:rPr>
          <w:rFonts w:hAnsi="宋体"/>
          <w:szCs w:val="21"/>
        </w:rPr>
      </w:pPr>
      <w:r>
        <w:rPr>
          <w:rFonts w:hint="eastAsia" w:hAnsi="宋体"/>
          <w:szCs w:val="21"/>
        </w:rPr>
        <w:t>质疑事项1：</w:t>
      </w:r>
    </w:p>
    <w:p w14:paraId="43BB8F73">
      <w:pPr>
        <w:pStyle w:val="15"/>
        <w:spacing w:line="360" w:lineRule="exact"/>
        <w:ind w:left="26" w:leftChars="12" w:firstLine="433" w:firstLineChars="197"/>
        <w:rPr>
          <w:rFonts w:hAnsi="宋体"/>
          <w:szCs w:val="21"/>
        </w:rPr>
      </w:pPr>
      <w:r>
        <w:rPr>
          <w:rFonts w:hint="eastAsia" w:hAnsi="宋体"/>
          <w:szCs w:val="21"/>
        </w:rPr>
        <w:t>事实依据：</w:t>
      </w:r>
    </w:p>
    <w:p w14:paraId="72B01062">
      <w:pPr>
        <w:pStyle w:val="15"/>
        <w:spacing w:line="360" w:lineRule="exact"/>
        <w:ind w:left="26" w:leftChars="12" w:firstLine="433" w:firstLineChars="197"/>
        <w:rPr>
          <w:rFonts w:hAnsi="宋体"/>
          <w:szCs w:val="21"/>
        </w:rPr>
      </w:pPr>
      <w:r>
        <w:rPr>
          <w:rFonts w:hint="eastAsia" w:hAnsi="宋体"/>
          <w:szCs w:val="21"/>
        </w:rPr>
        <w:t>法律依据：</w:t>
      </w:r>
    </w:p>
    <w:p w14:paraId="696004A9">
      <w:pPr>
        <w:pStyle w:val="15"/>
        <w:spacing w:line="360" w:lineRule="exact"/>
        <w:ind w:left="26" w:leftChars="12" w:firstLine="433" w:firstLineChars="197"/>
        <w:rPr>
          <w:rFonts w:hAnsi="宋体"/>
          <w:szCs w:val="21"/>
        </w:rPr>
      </w:pPr>
      <w:r>
        <w:rPr>
          <w:rFonts w:hint="eastAsia" w:hAnsi="宋体"/>
          <w:szCs w:val="21"/>
        </w:rPr>
        <w:t>质疑事项2</w:t>
      </w:r>
    </w:p>
    <w:p w14:paraId="5E147D88">
      <w:pPr>
        <w:pStyle w:val="15"/>
        <w:spacing w:line="360" w:lineRule="exact"/>
        <w:ind w:left="26" w:leftChars="12" w:firstLine="433" w:firstLineChars="197"/>
        <w:rPr>
          <w:rFonts w:hAnsi="宋体"/>
          <w:szCs w:val="21"/>
        </w:rPr>
      </w:pPr>
      <w:r>
        <w:rPr>
          <w:rFonts w:hAnsi="宋体"/>
          <w:szCs w:val="21"/>
        </w:rPr>
        <w:t>……</w:t>
      </w:r>
    </w:p>
    <w:p w14:paraId="7D7E1905">
      <w:pPr>
        <w:pStyle w:val="15"/>
        <w:spacing w:line="360" w:lineRule="exact"/>
        <w:ind w:left="26" w:leftChars="12" w:firstLine="433" w:firstLineChars="197"/>
        <w:rPr>
          <w:rFonts w:hAnsi="宋体"/>
          <w:szCs w:val="21"/>
        </w:rPr>
      </w:pPr>
      <w:r>
        <w:rPr>
          <w:rFonts w:hint="eastAsia" w:hAnsi="宋体"/>
          <w:szCs w:val="21"/>
        </w:rPr>
        <w:t>四、与质疑事项相关的质疑请求：</w:t>
      </w:r>
    </w:p>
    <w:p w14:paraId="0C22489D">
      <w:pPr>
        <w:pStyle w:val="15"/>
        <w:spacing w:line="360" w:lineRule="exact"/>
        <w:ind w:left="26" w:leftChars="12" w:firstLine="433" w:firstLineChars="197"/>
        <w:rPr>
          <w:rFonts w:hAnsi="宋体"/>
          <w:szCs w:val="21"/>
        </w:rPr>
      </w:pPr>
      <w:r>
        <w:rPr>
          <w:rFonts w:hint="eastAsia" w:hAnsi="宋体"/>
          <w:szCs w:val="21"/>
        </w:rPr>
        <w:t>请求：</w:t>
      </w:r>
    </w:p>
    <w:p w14:paraId="025CB4E4">
      <w:pPr>
        <w:pStyle w:val="15"/>
        <w:spacing w:line="360" w:lineRule="exact"/>
        <w:ind w:left="26" w:leftChars="12" w:firstLine="323" w:firstLineChars="147"/>
        <w:rPr>
          <w:rFonts w:hAnsi="宋体"/>
          <w:szCs w:val="21"/>
        </w:rPr>
      </w:pPr>
    </w:p>
    <w:p w14:paraId="2A7392F1">
      <w:pPr>
        <w:pStyle w:val="15"/>
        <w:spacing w:line="360" w:lineRule="exact"/>
        <w:ind w:left="26" w:leftChars="12" w:firstLine="433" w:firstLineChars="197"/>
        <w:rPr>
          <w:rFonts w:hAnsi="宋体"/>
          <w:szCs w:val="21"/>
        </w:rPr>
      </w:pPr>
      <w:r>
        <w:rPr>
          <w:rFonts w:hint="eastAsia" w:hAnsi="宋体"/>
          <w:szCs w:val="21"/>
        </w:rPr>
        <w:t>签字（签章）：公章：</w:t>
      </w:r>
    </w:p>
    <w:p w14:paraId="7C9067A1">
      <w:pPr>
        <w:pStyle w:val="15"/>
        <w:spacing w:line="360" w:lineRule="exact"/>
        <w:ind w:left="26" w:leftChars="12" w:firstLine="323" w:firstLineChars="147"/>
        <w:rPr>
          <w:rFonts w:hAnsi="宋体"/>
          <w:szCs w:val="21"/>
        </w:rPr>
      </w:pPr>
    </w:p>
    <w:p w14:paraId="0806D910">
      <w:pPr>
        <w:pStyle w:val="15"/>
        <w:spacing w:line="360" w:lineRule="exact"/>
        <w:ind w:left="26" w:leftChars="12" w:firstLine="433" w:firstLineChars="197"/>
        <w:rPr>
          <w:rFonts w:hAnsi="宋体"/>
          <w:szCs w:val="21"/>
        </w:rPr>
      </w:pPr>
      <w:r>
        <w:rPr>
          <w:rFonts w:hint="eastAsia" w:hAnsi="宋体"/>
          <w:szCs w:val="21"/>
        </w:rPr>
        <w:t>日期：</w:t>
      </w:r>
    </w:p>
    <w:p w14:paraId="40A2807E">
      <w:pPr>
        <w:pStyle w:val="15"/>
        <w:snapToGrid w:val="0"/>
        <w:spacing w:line="340" w:lineRule="exact"/>
        <w:ind w:firstLine="420"/>
        <w:rPr>
          <w:rFonts w:hAnsi="宋体"/>
          <w:b/>
          <w:szCs w:val="21"/>
        </w:rPr>
      </w:pPr>
    </w:p>
    <w:p w14:paraId="40C8520E">
      <w:pPr>
        <w:pStyle w:val="15"/>
        <w:snapToGrid w:val="0"/>
        <w:spacing w:line="340" w:lineRule="exact"/>
        <w:ind w:firstLine="422"/>
        <w:rPr>
          <w:rFonts w:hAnsi="宋体"/>
          <w:b/>
          <w:szCs w:val="21"/>
        </w:rPr>
      </w:pPr>
      <w:r>
        <w:rPr>
          <w:rFonts w:hint="eastAsia" w:hAnsi="宋体"/>
          <w:b/>
          <w:szCs w:val="21"/>
        </w:rPr>
        <w:t>说明：</w:t>
      </w:r>
    </w:p>
    <w:p w14:paraId="5B000475">
      <w:pPr>
        <w:pStyle w:val="15"/>
        <w:spacing w:line="340" w:lineRule="exact"/>
        <w:ind w:left="26" w:leftChars="12" w:firstLine="325" w:firstLineChars="147"/>
        <w:rPr>
          <w:rFonts w:hAnsi="宋体"/>
          <w:b/>
          <w:bCs/>
        </w:rPr>
      </w:pPr>
      <w:r>
        <w:rPr>
          <w:rFonts w:hint="eastAsia" w:hAnsi="宋体"/>
          <w:b/>
          <w:szCs w:val="21"/>
        </w:rPr>
        <w:t>1.供应商提出质疑时，应提交质疑函和必要的证明材料</w:t>
      </w:r>
      <w:r>
        <w:rPr>
          <w:rFonts w:hint="eastAsia" w:hAnsi="宋体"/>
          <w:b/>
          <w:bCs/>
        </w:rPr>
        <w:t>。</w:t>
      </w:r>
    </w:p>
    <w:p w14:paraId="5504A365">
      <w:pPr>
        <w:pStyle w:val="15"/>
        <w:spacing w:line="340" w:lineRule="exact"/>
        <w:ind w:left="26" w:leftChars="12" w:firstLine="325" w:firstLineChars="147"/>
        <w:rPr>
          <w:rFonts w:hAnsi="宋体"/>
          <w:b/>
          <w:szCs w:val="21"/>
        </w:rPr>
      </w:pPr>
      <w:r>
        <w:rPr>
          <w:rFonts w:hint="eastAsia" w:hAnsi="宋体"/>
          <w:b/>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94C17CB">
      <w:pPr>
        <w:pStyle w:val="15"/>
        <w:spacing w:line="340" w:lineRule="exact"/>
        <w:ind w:left="26" w:leftChars="12" w:firstLine="325" w:firstLineChars="147"/>
        <w:rPr>
          <w:rFonts w:hAnsi="宋体"/>
          <w:b/>
          <w:szCs w:val="21"/>
        </w:rPr>
      </w:pPr>
      <w:r>
        <w:rPr>
          <w:rFonts w:hint="eastAsia" w:hAnsi="宋体"/>
          <w:b/>
          <w:szCs w:val="21"/>
        </w:rPr>
        <w:t>3.质疑供应商若对项目的某一分包进行质疑，质疑函中应列明具体分包号。</w:t>
      </w:r>
    </w:p>
    <w:p w14:paraId="43F2EC98">
      <w:pPr>
        <w:pStyle w:val="15"/>
        <w:spacing w:line="340" w:lineRule="exact"/>
        <w:ind w:left="26" w:leftChars="12" w:firstLine="325" w:firstLineChars="147"/>
        <w:rPr>
          <w:rFonts w:hAnsi="宋体"/>
          <w:b/>
          <w:szCs w:val="21"/>
        </w:rPr>
      </w:pPr>
      <w:r>
        <w:rPr>
          <w:rFonts w:hint="eastAsia" w:hAnsi="宋体"/>
          <w:b/>
          <w:szCs w:val="21"/>
        </w:rPr>
        <w:t>4.质疑函的质疑事项应具体、明确，并有必要的事实依据和法律依据。</w:t>
      </w:r>
    </w:p>
    <w:p w14:paraId="26544A4D">
      <w:pPr>
        <w:pStyle w:val="15"/>
        <w:spacing w:line="340" w:lineRule="exact"/>
        <w:ind w:left="26" w:leftChars="12" w:firstLine="325" w:firstLineChars="147"/>
        <w:rPr>
          <w:rFonts w:hAnsi="宋体"/>
          <w:b/>
          <w:szCs w:val="21"/>
        </w:rPr>
      </w:pPr>
      <w:r>
        <w:rPr>
          <w:rFonts w:hint="eastAsia" w:hAnsi="宋体"/>
          <w:b/>
          <w:szCs w:val="21"/>
        </w:rPr>
        <w:t>5.质疑函的质疑请求应与质疑事项相关。</w:t>
      </w:r>
    </w:p>
    <w:p w14:paraId="7A8C16D3">
      <w:pPr>
        <w:pStyle w:val="15"/>
        <w:spacing w:line="340" w:lineRule="exact"/>
        <w:ind w:left="26" w:leftChars="12" w:firstLine="325" w:firstLineChars="147"/>
        <w:rPr>
          <w:b/>
          <w:sz w:val="24"/>
          <w:szCs w:val="24"/>
        </w:rPr>
      </w:pPr>
      <w:r>
        <w:rPr>
          <w:rFonts w:hint="eastAsia" w:hAnsi="宋体"/>
          <w:b/>
          <w:szCs w:val="21"/>
        </w:rPr>
        <w:t>6.质疑供应商为自然人的，质疑函应由本人签字；质疑供应商为法人或者其他组织的，质疑函应由法定代表人、主要负责人，或者其授权代表签字或者盖章，并加盖公章。</w:t>
      </w:r>
    </w:p>
    <w:p w14:paraId="2DB4870A">
      <w:pPr>
        <w:pStyle w:val="15"/>
        <w:snapToGrid w:val="0"/>
        <w:ind w:firstLine="480"/>
        <w:rPr>
          <w:b/>
          <w:sz w:val="24"/>
          <w:szCs w:val="24"/>
        </w:rPr>
      </w:pPr>
    </w:p>
    <w:p w14:paraId="56054A99">
      <w:pPr>
        <w:pStyle w:val="15"/>
        <w:snapToGrid w:val="0"/>
        <w:ind w:firstLine="480"/>
        <w:rPr>
          <w:b/>
          <w:sz w:val="24"/>
          <w:szCs w:val="24"/>
        </w:rPr>
      </w:pPr>
    </w:p>
    <w:p w14:paraId="2E6D1803">
      <w:pPr>
        <w:pStyle w:val="5"/>
        <w:ind w:firstLine="482"/>
        <w:rPr>
          <w:sz w:val="24"/>
          <w:szCs w:val="24"/>
        </w:rPr>
      </w:pPr>
    </w:p>
    <w:p w14:paraId="6DBD8700">
      <w:pPr>
        <w:pStyle w:val="15"/>
        <w:snapToGrid w:val="0"/>
        <w:ind w:firstLine="480"/>
        <w:rPr>
          <w:b/>
          <w:sz w:val="24"/>
          <w:szCs w:val="24"/>
        </w:rPr>
      </w:pPr>
    </w:p>
    <w:p w14:paraId="2A9BD69D">
      <w:pPr>
        <w:pStyle w:val="15"/>
        <w:snapToGrid w:val="0"/>
        <w:ind w:firstLine="482"/>
        <w:rPr>
          <w:rFonts w:hAnsi="宋体"/>
          <w:b/>
          <w:sz w:val="24"/>
          <w:szCs w:val="24"/>
        </w:rPr>
      </w:pPr>
      <w:r>
        <w:rPr>
          <w:rFonts w:hint="eastAsia"/>
          <w:b/>
          <w:sz w:val="24"/>
          <w:szCs w:val="24"/>
        </w:rPr>
        <w:t>附表2：</w:t>
      </w:r>
    </w:p>
    <w:p w14:paraId="274C6FB5">
      <w:pPr>
        <w:spacing w:line="460" w:lineRule="exact"/>
        <w:ind w:firstLine="643"/>
        <w:jc w:val="center"/>
        <w:rPr>
          <w:b/>
          <w:sz w:val="32"/>
          <w:szCs w:val="32"/>
        </w:rPr>
      </w:pPr>
      <w:r>
        <w:rPr>
          <w:rFonts w:hint="eastAsia"/>
          <w:b/>
          <w:sz w:val="32"/>
          <w:szCs w:val="32"/>
        </w:rPr>
        <w:t>投诉书（格式）</w:t>
      </w:r>
    </w:p>
    <w:p w14:paraId="193996F9">
      <w:pPr>
        <w:pStyle w:val="15"/>
        <w:snapToGrid w:val="0"/>
        <w:spacing w:line="400" w:lineRule="exact"/>
        <w:ind w:firstLine="442" w:firstLineChars="200"/>
        <w:rPr>
          <w:rFonts w:hAnsi="宋体"/>
          <w:b/>
          <w:bCs/>
        </w:rPr>
      </w:pPr>
      <w:r>
        <w:rPr>
          <w:rFonts w:hint="eastAsia" w:hAnsi="宋体"/>
          <w:b/>
          <w:bCs/>
        </w:rPr>
        <w:t>一、投诉相关主体基本情况：</w:t>
      </w:r>
    </w:p>
    <w:p w14:paraId="0F021957">
      <w:pPr>
        <w:pStyle w:val="15"/>
        <w:snapToGrid w:val="0"/>
        <w:spacing w:line="400" w:lineRule="exact"/>
        <w:ind w:firstLine="440" w:firstLineChars="200"/>
        <w:rPr>
          <w:rFonts w:hAnsi="宋体"/>
          <w:bCs/>
          <w:u w:val="single"/>
        </w:rPr>
      </w:pPr>
      <w:r>
        <w:rPr>
          <w:rFonts w:hint="eastAsia" w:hAnsi="宋体"/>
          <w:bCs/>
        </w:rPr>
        <w:t>投标人：</w:t>
      </w:r>
    </w:p>
    <w:p w14:paraId="33FA2541">
      <w:pPr>
        <w:pStyle w:val="15"/>
        <w:snapToGrid w:val="0"/>
        <w:spacing w:line="400" w:lineRule="exact"/>
        <w:ind w:firstLine="440" w:firstLineChars="200"/>
        <w:rPr>
          <w:rFonts w:hAnsi="宋体"/>
          <w:bCs/>
        </w:rPr>
      </w:pPr>
      <w:r>
        <w:rPr>
          <w:rFonts w:hAnsi="宋体"/>
          <w:bCs/>
        </w:rPr>
        <w:t>地址</w:t>
      </w:r>
      <w:r>
        <w:rPr>
          <w:rFonts w:hint="eastAsia" w:hAnsi="宋体"/>
          <w:bCs/>
        </w:rPr>
        <w:t>：</w:t>
      </w:r>
      <w:r>
        <w:rPr>
          <w:rFonts w:hAnsi="宋体"/>
          <w:bCs/>
        </w:rPr>
        <w:t>邮编</w:t>
      </w:r>
      <w:r>
        <w:rPr>
          <w:rFonts w:hint="eastAsia" w:hAnsi="宋体"/>
          <w:bCs/>
        </w:rPr>
        <w:t>：</w:t>
      </w:r>
    </w:p>
    <w:p w14:paraId="587AA11F">
      <w:pPr>
        <w:pStyle w:val="15"/>
        <w:snapToGrid w:val="0"/>
        <w:spacing w:line="400" w:lineRule="exact"/>
        <w:ind w:firstLine="440" w:firstLineChars="200"/>
        <w:rPr>
          <w:rFonts w:hAnsi="宋体"/>
          <w:bCs/>
          <w:u w:val="single"/>
        </w:rPr>
      </w:pPr>
      <w:r>
        <w:rPr>
          <w:rFonts w:hint="eastAsia" w:hAnsi="宋体"/>
          <w:bCs/>
        </w:rPr>
        <w:t>法定代表人/主要负责人：</w:t>
      </w:r>
    </w:p>
    <w:p w14:paraId="09CEAA71">
      <w:pPr>
        <w:pStyle w:val="15"/>
        <w:snapToGrid w:val="0"/>
        <w:spacing w:line="400" w:lineRule="exact"/>
        <w:ind w:firstLine="440" w:firstLineChars="200"/>
        <w:rPr>
          <w:rFonts w:hAnsi="宋体"/>
          <w:bCs/>
        </w:rPr>
      </w:pPr>
      <w:r>
        <w:rPr>
          <w:rFonts w:hAnsi="宋体"/>
          <w:bCs/>
        </w:rPr>
        <w:t>联系电话</w:t>
      </w:r>
      <w:r>
        <w:rPr>
          <w:rFonts w:hint="eastAsia" w:hAnsi="宋体"/>
          <w:bCs/>
        </w:rPr>
        <w:t>：</w:t>
      </w:r>
    </w:p>
    <w:p w14:paraId="04F3BDD7">
      <w:pPr>
        <w:pStyle w:val="15"/>
        <w:snapToGrid w:val="0"/>
        <w:spacing w:line="400" w:lineRule="exact"/>
        <w:ind w:firstLine="440" w:firstLineChars="200"/>
        <w:rPr>
          <w:rFonts w:hAnsi="宋体"/>
          <w:bCs/>
          <w:u w:val="single"/>
        </w:rPr>
      </w:pPr>
      <w:r>
        <w:rPr>
          <w:rFonts w:hint="eastAsia" w:hAnsi="宋体"/>
          <w:bCs/>
        </w:rPr>
        <w:t>授权代表：</w:t>
      </w:r>
      <w:r>
        <w:rPr>
          <w:rFonts w:hAnsi="宋体"/>
          <w:bCs/>
        </w:rPr>
        <w:t>联系</w:t>
      </w:r>
      <w:r>
        <w:rPr>
          <w:rFonts w:hint="eastAsia" w:hAnsi="宋体"/>
          <w:bCs/>
        </w:rPr>
        <w:t>电话：</w:t>
      </w:r>
    </w:p>
    <w:p w14:paraId="1151C88F">
      <w:pPr>
        <w:pStyle w:val="15"/>
        <w:snapToGrid w:val="0"/>
        <w:spacing w:line="400" w:lineRule="exact"/>
        <w:ind w:firstLine="440" w:firstLineChars="200"/>
        <w:rPr>
          <w:rFonts w:hAnsi="宋体"/>
          <w:bCs/>
        </w:rPr>
      </w:pPr>
      <w:r>
        <w:rPr>
          <w:rFonts w:hAnsi="宋体"/>
          <w:bCs/>
        </w:rPr>
        <w:t>地址</w:t>
      </w:r>
      <w:r>
        <w:rPr>
          <w:rFonts w:hint="eastAsia" w:hAnsi="宋体"/>
          <w:bCs/>
        </w:rPr>
        <w:t>：</w:t>
      </w:r>
      <w:r>
        <w:rPr>
          <w:rFonts w:hAnsi="宋体"/>
          <w:bCs/>
        </w:rPr>
        <w:t>邮编</w:t>
      </w:r>
      <w:r>
        <w:rPr>
          <w:rFonts w:hint="eastAsia" w:hAnsi="宋体"/>
          <w:bCs/>
        </w:rPr>
        <w:t>：</w:t>
      </w:r>
    </w:p>
    <w:p w14:paraId="64B562EB">
      <w:pPr>
        <w:pStyle w:val="15"/>
        <w:snapToGrid w:val="0"/>
        <w:spacing w:line="400" w:lineRule="exact"/>
        <w:ind w:firstLine="440" w:firstLineChars="200"/>
        <w:rPr>
          <w:rFonts w:hAnsi="宋体"/>
          <w:bCs/>
          <w:u w:val="single"/>
        </w:rPr>
      </w:pPr>
      <w:r>
        <w:rPr>
          <w:rFonts w:hint="eastAsia" w:hAnsi="宋体"/>
          <w:bCs/>
        </w:rPr>
        <w:t>被投诉人1：</w:t>
      </w:r>
    </w:p>
    <w:p w14:paraId="4FF8779F">
      <w:pPr>
        <w:pStyle w:val="15"/>
        <w:snapToGrid w:val="0"/>
        <w:spacing w:line="400" w:lineRule="exact"/>
        <w:ind w:firstLine="440" w:firstLineChars="200"/>
        <w:rPr>
          <w:rFonts w:hAnsi="宋体"/>
          <w:bCs/>
        </w:rPr>
      </w:pPr>
      <w:r>
        <w:rPr>
          <w:rFonts w:hint="eastAsia" w:hAnsi="宋体"/>
          <w:bCs/>
        </w:rPr>
        <w:t>地址：</w:t>
      </w:r>
      <w:r>
        <w:rPr>
          <w:rFonts w:hAnsi="宋体"/>
          <w:bCs/>
        </w:rPr>
        <w:t>邮编</w:t>
      </w:r>
      <w:r>
        <w:rPr>
          <w:rFonts w:hint="eastAsia" w:hAnsi="宋体"/>
          <w:bCs/>
        </w:rPr>
        <w:t>：</w:t>
      </w:r>
    </w:p>
    <w:p w14:paraId="112C1B37">
      <w:pPr>
        <w:pStyle w:val="15"/>
        <w:snapToGrid w:val="0"/>
        <w:spacing w:line="400" w:lineRule="exact"/>
        <w:ind w:firstLine="440" w:firstLineChars="200"/>
        <w:rPr>
          <w:rFonts w:hAnsi="宋体"/>
          <w:bCs/>
          <w:u w:val="single"/>
        </w:rPr>
      </w:pPr>
      <w:r>
        <w:rPr>
          <w:rFonts w:hint="eastAsia" w:hAnsi="宋体"/>
          <w:bCs/>
        </w:rPr>
        <w:t>联系人：</w:t>
      </w:r>
      <w:r>
        <w:rPr>
          <w:rFonts w:hAnsi="宋体"/>
          <w:bCs/>
        </w:rPr>
        <w:t>联系</w:t>
      </w:r>
      <w:r>
        <w:rPr>
          <w:rFonts w:hint="eastAsia" w:hAnsi="宋体"/>
          <w:bCs/>
        </w:rPr>
        <w:t>电话：</w:t>
      </w:r>
    </w:p>
    <w:p w14:paraId="58EDBB89">
      <w:pPr>
        <w:pStyle w:val="15"/>
        <w:snapToGrid w:val="0"/>
        <w:spacing w:line="400" w:lineRule="exact"/>
        <w:ind w:firstLine="440" w:firstLineChars="200"/>
        <w:rPr>
          <w:rFonts w:hAnsi="宋体"/>
          <w:bCs/>
        </w:rPr>
      </w:pPr>
      <w:r>
        <w:rPr>
          <w:rFonts w:hint="eastAsia" w:hAnsi="宋体"/>
          <w:bCs/>
        </w:rPr>
        <w:t>被投诉人2：</w:t>
      </w:r>
    </w:p>
    <w:p w14:paraId="2F69ADF4">
      <w:pPr>
        <w:pStyle w:val="15"/>
        <w:snapToGrid w:val="0"/>
        <w:spacing w:line="400" w:lineRule="exact"/>
        <w:ind w:firstLine="440" w:firstLineChars="200"/>
        <w:rPr>
          <w:rFonts w:hAnsi="宋体"/>
          <w:bCs/>
        </w:rPr>
      </w:pPr>
      <w:r>
        <w:rPr>
          <w:rFonts w:hAnsi="宋体"/>
          <w:bCs/>
        </w:rPr>
        <w:t>……</w:t>
      </w:r>
    </w:p>
    <w:p w14:paraId="4C43E632">
      <w:pPr>
        <w:pStyle w:val="15"/>
        <w:snapToGrid w:val="0"/>
        <w:spacing w:line="400" w:lineRule="exact"/>
        <w:ind w:firstLine="440" w:firstLineChars="200"/>
        <w:rPr>
          <w:rFonts w:hAnsi="宋体"/>
          <w:bCs/>
          <w:u w:val="single"/>
        </w:rPr>
      </w:pPr>
      <w:r>
        <w:rPr>
          <w:rFonts w:hint="eastAsia" w:hAnsi="宋体"/>
          <w:bCs/>
        </w:rPr>
        <w:t>相关供应商：</w:t>
      </w:r>
    </w:p>
    <w:p w14:paraId="19FB27CC">
      <w:pPr>
        <w:pStyle w:val="15"/>
        <w:snapToGrid w:val="0"/>
        <w:spacing w:line="400" w:lineRule="exact"/>
        <w:ind w:firstLine="440" w:firstLineChars="200"/>
        <w:rPr>
          <w:rFonts w:hAnsi="宋体"/>
          <w:bCs/>
          <w:u w:val="single"/>
        </w:rPr>
      </w:pPr>
      <w:r>
        <w:rPr>
          <w:rFonts w:hAnsi="宋体"/>
          <w:bCs/>
        </w:rPr>
        <w:t>地址</w:t>
      </w:r>
      <w:r>
        <w:rPr>
          <w:rFonts w:hint="eastAsia" w:hAnsi="宋体"/>
          <w:bCs/>
        </w:rPr>
        <w:t>：</w:t>
      </w:r>
      <w:r>
        <w:rPr>
          <w:rFonts w:hAnsi="宋体"/>
          <w:bCs/>
        </w:rPr>
        <w:t>邮编</w:t>
      </w:r>
      <w:r>
        <w:rPr>
          <w:rFonts w:hint="eastAsia" w:hAnsi="宋体"/>
          <w:bCs/>
        </w:rPr>
        <w:t>：</w:t>
      </w:r>
    </w:p>
    <w:p w14:paraId="64115CC8">
      <w:pPr>
        <w:pStyle w:val="15"/>
        <w:snapToGrid w:val="0"/>
        <w:spacing w:line="400" w:lineRule="exact"/>
        <w:ind w:firstLine="440" w:firstLineChars="200"/>
        <w:rPr>
          <w:rFonts w:hAnsi="宋体"/>
          <w:bCs/>
        </w:rPr>
      </w:pPr>
      <w:r>
        <w:rPr>
          <w:rFonts w:hint="eastAsia" w:hAnsi="宋体"/>
          <w:bCs/>
        </w:rPr>
        <w:t>联系人：</w:t>
      </w:r>
      <w:r>
        <w:rPr>
          <w:rFonts w:hAnsi="宋体"/>
          <w:bCs/>
        </w:rPr>
        <w:t>联系</w:t>
      </w:r>
      <w:r>
        <w:rPr>
          <w:rFonts w:hint="eastAsia" w:hAnsi="宋体"/>
          <w:bCs/>
        </w:rPr>
        <w:t>电话：</w:t>
      </w:r>
    </w:p>
    <w:p w14:paraId="304AA0A4">
      <w:pPr>
        <w:pStyle w:val="15"/>
        <w:snapToGrid w:val="0"/>
        <w:spacing w:line="400" w:lineRule="exact"/>
        <w:ind w:firstLine="442" w:firstLineChars="200"/>
        <w:rPr>
          <w:rFonts w:hAnsi="宋体"/>
          <w:b/>
          <w:bCs/>
        </w:rPr>
      </w:pPr>
      <w:r>
        <w:rPr>
          <w:rFonts w:hint="eastAsia" w:hAnsi="宋体"/>
          <w:b/>
          <w:bCs/>
        </w:rPr>
        <w:t>二、投诉项目基本情况：</w:t>
      </w:r>
    </w:p>
    <w:p w14:paraId="63D04A2C">
      <w:pPr>
        <w:pStyle w:val="15"/>
        <w:spacing w:line="400" w:lineRule="exact"/>
        <w:ind w:left="26" w:leftChars="12" w:firstLine="433" w:firstLineChars="197"/>
        <w:rPr>
          <w:rFonts w:hAnsi="宋体"/>
          <w:szCs w:val="21"/>
        </w:rPr>
      </w:pPr>
      <w:r>
        <w:rPr>
          <w:rFonts w:hint="eastAsia" w:hAnsi="宋体"/>
          <w:bCs/>
        </w:rPr>
        <w:t>采购</w:t>
      </w:r>
      <w:r>
        <w:rPr>
          <w:rFonts w:hint="eastAsia" w:hAnsi="宋体"/>
          <w:szCs w:val="21"/>
        </w:rPr>
        <w:t>项目的名称：</w:t>
      </w:r>
    </w:p>
    <w:p w14:paraId="3574E280">
      <w:pPr>
        <w:pStyle w:val="15"/>
        <w:spacing w:line="400" w:lineRule="exact"/>
        <w:ind w:left="26" w:leftChars="12" w:firstLine="433" w:firstLineChars="197"/>
        <w:rPr>
          <w:rFonts w:hAnsi="宋体"/>
          <w:szCs w:val="21"/>
        </w:rPr>
      </w:pPr>
      <w:r>
        <w:rPr>
          <w:rFonts w:hint="eastAsia" w:hAnsi="宋体"/>
          <w:bCs/>
        </w:rPr>
        <w:t>采购</w:t>
      </w:r>
      <w:r>
        <w:rPr>
          <w:rFonts w:hint="eastAsia" w:hAnsi="宋体"/>
          <w:szCs w:val="21"/>
        </w:rPr>
        <w:t>项目的编号：</w:t>
      </w:r>
      <w:r>
        <w:rPr>
          <w:rFonts w:hint="eastAsia" w:hAnsi="宋体"/>
          <w:bCs/>
        </w:rPr>
        <w:t>包号：</w:t>
      </w:r>
    </w:p>
    <w:p w14:paraId="392952B2">
      <w:pPr>
        <w:pStyle w:val="15"/>
        <w:spacing w:line="400" w:lineRule="exact"/>
        <w:ind w:left="26" w:leftChars="12" w:firstLine="433" w:firstLineChars="197"/>
        <w:rPr>
          <w:rFonts w:hAnsi="宋体"/>
          <w:bCs/>
          <w:u w:val="single"/>
        </w:rPr>
      </w:pPr>
      <w:r>
        <w:rPr>
          <w:rFonts w:hint="eastAsia" w:hAnsi="宋体"/>
          <w:szCs w:val="21"/>
        </w:rPr>
        <w:t>采购人名称：</w:t>
      </w:r>
    </w:p>
    <w:p w14:paraId="5E44DEFA">
      <w:pPr>
        <w:pStyle w:val="15"/>
        <w:spacing w:line="400" w:lineRule="exact"/>
        <w:ind w:left="26" w:leftChars="12" w:firstLine="433" w:firstLineChars="197"/>
        <w:rPr>
          <w:rFonts w:hAnsi="宋体"/>
          <w:bCs/>
          <w:u w:val="single"/>
        </w:rPr>
      </w:pPr>
      <w:r>
        <w:rPr>
          <w:rFonts w:hint="eastAsia" w:hAnsi="宋体"/>
          <w:szCs w:val="21"/>
        </w:rPr>
        <w:t>代理机构名称：</w:t>
      </w:r>
    </w:p>
    <w:p w14:paraId="6EF2B984">
      <w:pPr>
        <w:pStyle w:val="15"/>
        <w:spacing w:line="400" w:lineRule="exact"/>
        <w:ind w:left="26" w:leftChars="12" w:firstLine="433" w:firstLineChars="197"/>
        <w:rPr>
          <w:rFonts w:hAnsi="宋体"/>
          <w:bCs/>
          <w:u w:val="single"/>
        </w:rPr>
      </w:pPr>
      <w:r>
        <w:rPr>
          <w:rFonts w:hint="eastAsia" w:hAnsi="宋体"/>
          <w:bCs/>
        </w:rPr>
        <w:t>采购文件公告：</w:t>
      </w:r>
      <w:r>
        <w:rPr>
          <w:rFonts w:hint="eastAsia" w:hAnsi="宋体"/>
          <w:bCs/>
          <w:u w:val="single"/>
        </w:rPr>
        <w:t>是/否</w:t>
      </w:r>
      <w:r>
        <w:rPr>
          <w:rFonts w:hint="eastAsia" w:hAnsi="宋体"/>
          <w:bCs/>
        </w:rPr>
        <w:t>公告期限：</w:t>
      </w:r>
    </w:p>
    <w:p w14:paraId="2D4FDC2B">
      <w:pPr>
        <w:pStyle w:val="15"/>
        <w:spacing w:line="400" w:lineRule="exact"/>
        <w:ind w:left="26" w:leftChars="12" w:firstLine="433" w:firstLineChars="197"/>
        <w:rPr>
          <w:rFonts w:hAnsi="宋体"/>
          <w:b/>
          <w:szCs w:val="21"/>
        </w:rPr>
      </w:pPr>
      <w:r>
        <w:rPr>
          <w:rFonts w:hint="eastAsia" w:hAnsi="宋体"/>
          <w:bCs/>
        </w:rPr>
        <w:t>采购结果公告：</w:t>
      </w:r>
      <w:r>
        <w:rPr>
          <w:rFonts w:hint="eastAsia" w:hAnsi="宋体"/>
          <w:bCs/>
          <w:u w:val="single"/>
        </w:rPr>
        <w:t>是/否</w:t>
      </w:r>
      <w:r>
        <w:rPr>
          <w:rFonts w:hint="eastAsia" w:hAnsi="宋体"/>
          <w:bCs/>
        </w:rPr>
        <w:t>公告期限：</w:t>
      </w:r>
    </w:p>
    <w:p w14:paraId="076CE4D4">
      <w:pPr>
        <w:pStyle w:val="15"/>
        <w:spacing w:line="400" w:lineRule="exact"/>
        <w:ind w:left="26" w:leftChars="12" w:firstLine="433" w:firstLineChars="196"/>
        <w:rPr>
          <w:rFonts w:hAnsi="宋体"/>
          <w:b/>
          <w:szCs w:val="21"/>
        </w:rPr>
      </w:pPr>
      <w:r>
        <w:rPr>
          <w:rFonts w:hint="eastAsia" w:hAnsi="宋体"/>
          <w:b/>
          <w:szCs w:val="21"/>
        </w:rPr>
        <w:t>三、质疑基本情况</w:t>
      </w:r>
    </w:p>
    <w:p w14:paraId="5004C6BB">
      <w:pPr>
        <w:pStyle w:val="15"/>
        <w:spacing w:line="400" w:lineRule="exact"/>
        <w:ind w:left="26" w:leftChars="12" w:firstLine="873" w:firstLineChars="397"/>
        <w:rPr>
          <w:rFonts w:hAnsi="宋体"/>
          <w:szCs w:val="21"/>
        </w:rPr>
      </w:pPr>
      <w:r>
        <w:rPr>
          <w:rFonts w:hint="eastAsia" w:hAnsi="宋体"/>
          <w:szCs w:val="21"/>
        </w:rPr>
        <w:t>投诉人于年月日，向提出质疑，质疑事项为：</w:t>
      </w:r>
    </w:p>
    <w:p w14:paraId="4A315149">
      <w:pPr>
        <w:pStyle w:val="15"/>
        <w:spacing w:line="400" w:lineRule="exact"/>
        <w:rPr>
          <w:rFonts w:hAnsi="宋体"/>
          <w:bCs/>
          <w:u w:val="single"/>
        </w:rPr>
      </w:pPr>
    </w:p>
    <w:p w14:paraId="27F11271">
      <w:pPr>
        <w:pStyle w:val="15"/>
        <w:spacing w:line="400" w:lineRule="exact"/>
        <w:rPr>
          <w:rFonts w:hAnsi="宋体"/>
          <w:bCs/>
          <w:u w:val="single"/>
        </w:rPr>
      </w:pPr>
    </w:p>
    <w:p w14:paraId="1FA728AB">
      <w:pPr>
        <w:pStyle w:val="15"/>
        <w:spacing w:line="400" w:lineRule="exact"/>
        <w:rPr>
          <w:rFonts w:hAnsi="宋体"/>
          <w:szCs w:val="21"/>
        </w:rPr>
      </w:pPr>
      <w:r>
        <w:rPr>
          <w:rFonts w:hint="eastAsia" w:hAnsi="宋体"/>
          <w:bCs/>
          <w:u w:val="single"/>
        </w:rPr>
        <w:t>采购人/代理机构</w:t>
      </w:r>
      <w:r>
        <w:rPr>
          <w:rFonts w:hint="eastAsia" w:hAnsi="宋体"/>
          <w:bCs/>
        </w:rPr>
        <w:t>于</w:t>
      </w:r>
      <w:r>
        <w:rPr>
          <w:rFonts w:hint="eastAsia" w:hAnsi="宋体"/>
          <w:szCs w:val="21"/>
        </w:rPr>
        <w:t>年月日，</w:t>
      </w:r>
      <w:r>
        <w:rPr>
          <w:rFonts w:hint="eastAsia" w:hAnsi="宋体"/>
          <w:bCs/>
        </w:rPr>
        <w:t>就质疑事项作出了答复/没有在法定期限内作出答复。</w:t>
      </w:r>
    </w:p>
    <w:p w14:paraId="6A474FE9">
      <w:pPr>
        <w:pStyle w:val="15"/>
        <w:spacing w:line="400" w:lineRule="exact"/>
        <w:ind w:left="26" w:leftChars="12" w:firstLine="433" w:firstLineChars="196"/>
        <w:rPr>
          <w:rFonts w:hAnsi="宋体"/>
          <w:b/>
          <w:szCs w:val="21"/>
        </w:rPr>
      </w:pPr>
      <w:r>
        <w:rPr>
          <w:rFonts w:hint="eastAsia" w:hAnsi="宋体"/>
          <w:b/>
          <w:szCs w:val="21"/>
        </w:rPr>
        <w:t>四、投诉事项具体内容</w:t>
      </w:r>
    </w:p>
    <w:p w14:paraId="14A2A831">
      <w:pPr>
        <w:pStyle w:val="15"/>
        <w:spacing w:line="400" w:lineRule="exact"/>
        <w:ind w:left="26" w:leftChars="12" w:firstLine="433" w:firstLineChars="197"/>
        <w:rPr>
          <w:rFonts w:hAnsi="宋体"/>
          <w:bCs/>
          <w:u w:val="single"/>
        </w:rPr>
      </w:pPr>
      <w:r>
        <w:rPr>
          <w:rFonts w:hint="eastAsia" w:hAnsi="宋体"/>
          <w:szCs w:val="21"/>
        </w:rPr>
        <w:t>投诉事项1：</w:t>
      </w:r>
    </w:p>
    <w:p w14:paraId="1C433F75">
      <w:pPr>
        <w:pStyle w:val="15"/>
        <w:spacing w:line="400" w:lineRule="exact"/>
        <w:ind w:firstLine="440" w:firstLineChars="200"/>
        <w:rPr>
          <w:rFonts w:hAnsi="宋体"/>
          <w:bCs/>
          <w:u w:val="single"/>
        </w:rPr>
      </w:pPr>
      <w:r>
        <w:rPr>
          <w:rFonts w:hint="eastAsia" w:hAnsi="宋体"/>
          <w:bCs/>
        </w:rPr>
        <w:t>事实依据：</w:t>
      </w:r>
    </w:p>
    <w:p w14:paraId="11E21053">
      <w:pPr>
        <w:pStyle w:val="15"/>
        <w:spacing w:line="400" w:lineRule="exact"/>
        <w:ind w:left="26" w:leftChars="12" w:firstLine="433" w:firstLineChars="197"/>
        <w:rPr>
          <w:rFonts w:hAnsi="宋体"/>
          <w:szCs w:val="21"/>
        </w:rPr>
      </w:pPr>
    </w:p>
    <w:p w14:paraId="1A5876A7">
      <w:pPr>
        <w:pStyle w:val="15"/>
        <w:spacing w:line="400" w:lineRule="exact"/>
        <w:ind w:firstLine="440" w:firstLineChars="200"/>
        <w:rPr>
          <w:rFonts w:hAnsi="宋体"/>
          <w:bCs/>
          <w:u w:val="single"/>
        </w:rPr>
      </w:pPr>
      <w:r>
        <w:rPr>
          <w:rFonts w:hint="eastAsia" w:hAnsi="宋体"/>
          <w:bCs/>
        </w:rPr>
        <w:t>法律依据：</w:t>
      </w:r>
    </w:p>
    <w:p w14:paraId="32F9E59D">
      <w:pPr>
        <w:pStyle w:val="15"/>
        <w:spacing w:line="400" w:lineRule="exact"/>
        <w:ind w:left="26" w:leftChars="12" w:firstLine="323" w:firstLineChars="147"/>
        <w:rPr>
          <w:rFonts w:hAnsi="宋体"/>
          <w:bCs/>
          <w:u w:val="single"/>
        </w:rPr>
      </w:pPr>
    </w:p>
    <w:p w14:paraId="7C29344A">
      <w:pPr>
        <w:pStyle w:val="15"/>
        <w:spacing w:line="400" w:lineRule="exact"/>
        <w:ind w:left="26" w:leftChars="12" w:firstLine="433" w:firstLineChars="197"/>
        <w:rPr>
          <w:rFonts w:hAnsi="宋体"/>
          <w:bCs/>
        </w:rPr>
      </w:pPr>
      <w:r>
        <w:rPr>
          <w:rFonts w:hint="eastAsia" w:hAnsi="宋体"/>
          <w:szCs w:val="21"/>
        </w:rPr>
        <w:t>投诉事项2</w:t>
      </w:r>
    </w:p>
    <w:p w14:paraId="6DA68EDD">
      <w:pPr>
        <w:pStyle w:val="15"/>
        <w:spacing w:line="400" w:lineRule="exact"/>
        <w:ind w:left="26" w:leftChars="12" w:firstLine="433" w:firstLineChars="197"/>
        <w:rPr>
          <w:rFonts w:hAnsi="宋体"/>
          <w:bCs/>
        </w:rPr>
      </w:pPr>
      <w:r>
        <w:rPr>
          <w:rFonts w:hAnsi="宋体"/>
          <w:bCs/>
        </w:rPr>
        <w:t>……</w:t>
      </w:r>
    </w:p>
    <w:p w14:paraId="73B2828D">
      <w:pPr>
        <w:pStyle w:val="15"/>
        <w:spacing w:line="400" w:lineRule="exact"/>
        <w:ind w:left="26" w:leftChars="12" w:firstLine="433" w:firstLineChars="196"/>
        <w:rPr>
          <w:rFonts w:hAnsi="宋体"/>
          <w:b/>
          <w:szCs w:val="21"/>
        </w:rPr>
      </w:pPr>
      <w:r>
        <w:rPr>
          <w:rFonts w:hint="eastAsia" w:hAnsi="宋体"/>
          <w:b/>
          <w:szCs w:val="21"/>
        </w:rPr>
        <w:t>五、与投诉事项相关的投诉请求：</w:t>
      </w:r>
    </w:p>
    <w:p w14:paraId="48EC7A2F">
      <w:pPr>
        <w:pStyle w:val="15"/>
        <w:spacing w:line="400" w:lineRule="exact"/>
        <w:ind w:left="26" w:leftChars="12" w:firstLine="433" w:firstLineChars="197"/>
        <w:rPr>
          <w:rFonts w:hAnsi="宋体"/>
          <w:szCs w:val="21"/>
        </w:rPr>
      </w:pPr>
      <w:r>
        <w:rPr>
          <w:rFonts w:hint="eastAsia" w:hAnsi="宋体"/>
          <w:szCs w:val="21"/>
        </w:rPr>
        <w:t>请求：</w:t>
      </w:r>
    </w:p>
    <w:p w14:paraId="043C87E6">
      <w:pPr>
        <w:pStyle w:val="15"/>
        <w:spacing w:line="400" w:lineRule="exact"/>
        <w:ind w:left="26" w:leftChars="12" w:firstLine="323" w:firstLineChars="147"/>
        <w:rPr>
          <w:rFonts w:hAnsi="宋体"/>
          <w:szCs w:val="21"/>
        </w:rPr>
      </w:pPr>
    </w:p>
    <w:p w14:paraId="67FC7155">
      <w:pPr>
        <w:pStyle w:val="15"/>
        <w:spacing w:line="400" w:lineRule="exact"/>
        <w:ind w:left="26" w:leftChars="12" w:firstLine="433" w:firstLineChars="197"/>
        <w:rPr>
          <w:rFonts w:hAnsi="宋体"/>
          <w:szCs w:val="21"/>
        </w:rPr>
      </w:pPr>
      <w:r>
        <w:rPr>
          <w:rFonts w:hint="eastAsia" w:hAnsi="宋体"/>
          <w:szCs w:val="21"/>
        </w:rPr>
        <w:t>签字（签章）：公章：</w:t>
      </w:r>
    </w:p>
    <w:p w14:paraId="5ED59218">
      <w:pPr>
        <w:pStyle w:val="15"/>
        <w:spacing w:line="400" w:lineRule="exact"/>
        <w:ind w:left="26" w:leftChars="12" w:firstLine="323" w:firstLineChars="147"/>
        <w:rPr>
          <w:rFonts w:hAnsi="宋体"/>
          <w:szCs w:val="21"/>
        </w:rPr>
      </w:pPr>
    </w:p>
    <w:p w14:paraId="2FFFECDB">
      <w:pPr>
        <w:pStyle w:val="15"/>
        <w:spacing w:line="400" w:lineRule="exact"/>
        <w:ind w:left="26" w:leftChars="12" w:firstLine="433" w:firstLineChars="197"/>
        <w:rPr>
          <w:rFonts w:hAnsi="宋体"/>
          <w:szCs w:val="21"/>
        </w:rPr>
      </w:pPr>
      <w:r>
        <w:rPr>
          <w:rFonts w:hint="eastAsia" w:hAnsi="宋体"/>
          <w:szCs w:val="21"/>
        </w:rPr>
        <w:t>日期：</w:t>
      </w:r>
    </w:p>
    <w:p w14:paraId="64799C28">
      <w:pPr>
        <w:pStyle w:val="15"/>
        <w:spacing w:line="360" w:lineRule="exact"/>
        <w:ind w:left="26" w:leftChars="12" w:firstLine="433" w:firstLineChars="197"/>
        <w:rPr>
          <w:rFonts w:hAnsi="宋体"/>
          <w:szCs w:val="21"/>
        </w:rPr>
      </w:pPr>
    </w:p>
    <w:p w14:paraId="6916001A">
      <w:pPr>
        <w:pStyle w:val="15"/>
        <w:snapToGrid w:val="0"/>
        <w:spacing w:line="340" w:lineRule="exact"/>
        <w:ind w:firstLine="422"/>
        <w:rPr>
          <w:rFonts w:hAnsi="宋体"/>
          <w:b/>
          <w:szCs w:val="21"/>
        </w:rPr>
      </w:pPr>
      <w:r>
        <w:rPr>
          <w:rFonts w:hint="eastAsia" w:hAnsi="宋体"/>
          <w:b/>
          <w:szCs w:val="21"/>
        </w:rPr>
        <w:t>说明：</w:t>
      </w:r>
    </w:p>
    <w:p w14:paraId="2592A9A6">
      <w:pPr>
        <w:pStyle w:val="15"/>
        <w:spacing w:line="340" w:lineRule="exact"/>
        <w:ind w:left="26" w:leftChars="12" w:firstLine="325" w:firstLineChars="147"/>
        <w:rPr>
          <w:rFonts w:hAnsi="宋体"/>
          <w:b/>
          <w:bCs/>
        </w:rPr>
      </w:pPr>
      <w:r>
        <w:rPr>
          <w:rFonts w:hint="eastAsia" w:hAnsi="宋体"/>
          <w:b/>
          <w:szCs w:val="21"/>
        </w:rPr>
        <w:t>1.投诉人提起投诉时，应当提交投诉书和必要的证明材料，并按照被投诉人和与投诉事项有关的供应商数量提供投诉书副本。</w:t>
      </w:r>
    </w:p>
    <w:p w14:paraId="7DBFAA7B">
      <w:pPr>
        <w:pStyle w:val="15"/>
        <w:spacing w:line="340" w:lineRule="exact"/>
        <w:ind w:left="26" w:leftChars="12" w:firstLine="325" w:firstLineChars="147"/>
        <w:rPr>
          <w:rFonts w:hAnsi="宋体"/>
          <w:b/>
          <w:szCs w:val="21"/>
        </w:rPr>
      </w:pPr>
      <w:r>
        <w:rPr>
          <w:rFonts w:hint="eastAsia" w:hAnsi="宋体"/>
          <w:b/>
          <w:szCs w:val="21"/>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2362C49D">
      <w:pPr>
        <w:pStyle w:val="15"/>
        <w:spacing w:line="340" w:lineRule="exact"/>
        <w:ind w:left="26" w:leftChars="12" w:firstLine="325" w:firstLineChars="147"/>
        <w:rPr>
          <w:rFonts w:hAnsi="宋体"/>
          <w:b/>
          <w:szCs w:val="21"/>
        </w:rPr>
      </w:pPr>
      <w:r>
        <w:rPr>
          <w:rFonts w:hint="eastAsia" w:hAnsi="宋体"/>
          <w:b/>
          <w:szCs w:val="21"/>
        </w:rPr>
        <w:t>3.投诉人若对项目的某一分包进行投诉，投诉书应列明具体分包号。</w:t>
      </w:r>
    </w:p>
    <w:p w14:paraId="473124E3">
      <w:pPr>
        <w:pStyle w:val="15"/>
        <w:spacing w:line="340" w:lineRule="exact"/>
        <w:ind w:left="26" w:leftChars="12" w:firstLine="325" w:firstLineChars="147"/>
        <w:rPr>
          <w:rFonts w:hAnsi="宋体"/>
          <w:b/>
          <w:szCs w:val="21"/>
        </w:rPr>
      </w:pPr>
      <w:r>
        <w:rPr>
          <w:rFonts w:hint="eastAsia" w:hAnsi="宋体"/>
          <w:b/>
          <w:szCs w:val="21"/>
        </w:rPr>
        <w:t>4.投诉书应简要列明质疑事项，质疑函、质疑答复等作为附件材料提供。</w:t>
      </w:r>
    </w:p>
    <w:p w14:paraId="67181632">
      <w:pPr>
        <w:pStyle w:val="15"/>
        <w:spacing w:line="340" w:lineRule="exact"/>
        <w:ind w:left="26" w:leftChars="12" w:firstLine="325" w:firstLineChars="147"/>
        <w:rPr>
          <w:rFonts w:hAnsi="宋体"/>
          <w:b/>
          <w:szCs w:val="21"/>
        </w:rPr>
      </w:pPr>
      <w:r>
        <w:rPr>
          <w:rFonts w:hint="eastAsia" w:hAnsi="宋体"/>
          <w:b/>
          <w:szCs w:val="21"/>
        </w:rPr>
        <w:t>5.投诉书的投诉事项应具体、明确，并有必要的事实依据和法律依据。</w:t>
      </w:r>
    </w:p>
    <w:p w14:paraId="6CAA8BB7">
      <w:pPr>
        <w:pStyle w:val="15"/>
        <w:spacing w:line="340" w:lineRule="exact"/>
        <w:ind w:left="26" w:leftChars="12" w:firstLine="325" w:firstLineChars="147"/>
        <w:rPr>
          <w:rFonts w:hAnsi="宋体"/>
          <w:b/>
          <w:szCs w:val="21"/>
        </w:rPr>
      </w:pPr>
      <w:r>
        <w:rPr>
          <w:rFonts w:hint="eastAsia" w:hAnsi="宋体"/>
          <w:b/>
          <w:szCs w:val="21"/>
        </w:rPr>
        <w:t>6.投诉书的投诉请求应与投诉事项相关。</w:t>
      </w:r>
    </w:p>
    <w:p w14:paraId="4E623DD4">
      <w:pPr>
        <w:pStyle w:val="15"/>
        <w:spacing w:line="340" w:lineRule="exact"/>
        <w:ind w:left="26" w:leftChars="12" w:firstLine="325" w:firstLineChars="147"/>
        <w:rPr>
          <w:b/>
          <w:sz w:val="20"/>
        </w:rPr>
      </w:pPr>
      <w:r>
        <w:rPr>
          <w:rFonts w:hint="eastAsia" w:hAnsi="宋体"/>
          <w:b/>
          <w:szCs w:val="21"/>
        </w:rPr>
        <w:t>7.投诉人为自然人的，投诉书应当由本人签字；投诉人为法人或者其他组织的，投诉书应当由法定代表人、主要负责人，或者其授权代表签字或者盖章，并加盖公章。</w:t>
      </w:r>
    </w:p>
    <w:p w14:paraId="0979DE7C">
      <w:pPr>
        <w:pStyle w:val="12"/>
        <w:ind w:firstLine="400"/>
        <w:rPr>
          <w:b/>
          <w:sz w:val="20"/>
        </w:rPr>
      </w:pPr>
    </w:p>
    <w:p w14:paraId="5D5AB4FD">
      <w:pPr>
        <w:pStyle w:val="12"/>
        <w:spacing w:before="4"/>
        <w:ind w:firstLine="380"/>
        <w:rPr>
          <w:b/>
          <w:sz w:val="19"/>
        </w:rPr>
      </w:pPr>
    </w:p>
    <w:p w14:paraId="16120690">
      <w:pPr>
        <w:ind w:firstLine="380"/>
        <w:rPr>
          <w:b/>
          <w:sz w:val="19"/>
        </w:rPr>
      </w:pPr>
    </w:p>
    <w:p w14:paraId="35D219A8">
      <w:pPr>
        <w:pStyle w:val="12"/>
      </w:pPr>
    </w:p>
    <w:p w14:paraId="68DEBA87">
      <w:pPr>
        <w:ind w:firstLine="422"/>
      </w:pPr>
    </w:p>
    <w:p w14:paraId="1DB2D64C">
      <w:pPr>
        <w:pStyle w:val="12"/>
      </w:pPr>
    </w:p>
    <w:p w14:paraId="32212B0A">
      <w:pPr>
        <w:ind w:firstLine="422"/>
      </w:pPr>
    </w:p>
    <w:p w14:paraId="1D9412DA">
      <w:pPr>
        <w:pStyle w:val="12"/>
      </w:pPr>
    </w:p>
    <w:p w14:paraId="560BCA4E">
      <w:pPr>
        <w:ind w:firstLine="422"/>
      </w:pPr>
    </w:p>
    <w:p w14:paraId="384BFADB">
      <w:pPr>
        <w:pStyle w:val="12"/>
      </w:pPr>
    </w:p>
    <w:p w14:paraId="1B0AAA31">
      <w:pPr>
        <w:ind w:firstLine="422"/>
      </w:pPr>
    </w:p>
    <w:p w14:paraId="5BD3BA78">
      <w:pPr>
        <w:pStyle w:val="12"/>
      </w:pPr>
    </w:p>
    <w:p w14:paraId="5AD68064">
      <w:pPr>
        <w:ind w:firstLine="422"/>
      </w:pPr>
    </w:p>
    <w:p w14:paraId="13D81C86">
      <w:pPr>
        <w:pStyle w:val="12"/>
      </w:pPr>
    </w:p>
    <w:p w14:paraId="4EEB77E4">
      <w:pPr>
        <w:ind w:firstLine="422"/>
      </w:pPr>
    </w:p>
    <w:p w14:paraId="0DC8CBE4">
      <w:pPr>
        <w:pStyle w:val="12"/>
      </w:pPr>
    </w:p>
    <w:p w14:paraId="44A525FA">
      <w:pPr>
        <w:ind w:firstLine="422"/>
      </w:pPr>
    </w:p>
    <w:p w14:paraId="0330925B">
      <w:pPr>
        <w:pStyle w:val="12"/>
      </w:pPr>
    </w:p>
    <w:p w14:paraId="411641E7">
      <w:pPr>
        <w:ind w:firstLine="422"/>
      </w:pPr>
    </w:p>
    <w:p w14:paraId="66B74183">
      <w:pPr>
        <w:pStyle w:val="12"/>
      </w:pPr>
    </w:p>
    <w:p w14:paraId="6EBE437D">
      <w:pPr>
        <w:ind w:firstLine="422"/>
      </w:pPr>
    </w:p>
    <w:p w14:paraId="20F43104">
      <w:pPr>
        <w:pStyle w:val="12"/>
      </w:pPr>
    </w:p>
    <w:p w14:paraId="69C886D5">
      <w:pPr>
        <w:ind w:firstLine="422"/>
      </w:pPr>
    </w:p>
    <w:p w14:paraId="74600A1A">
      <w:pPr>
        <w:pStyle w:val="12"/>
      </w:pPr>
    </w:p>
    <w:p w14:paraId="48865A3A">
      <w:pPr>
        <w:ind w:firstLine="422"/>
      </w:pPr>
    </w:p>
    <w:p w14:paraId="30EBF778">
      <w:pPr>
        <w:pStyle w:val="12"/>
      </w:pPr>
    </w:p>
    <w:p w14:paraId="6502FEA5">
      <w:pPr>
        <w:pStyle w:val="10"/>
        <w:ind w:firstLine="422"/>
      </w:pPr>
      <w:r>
        <w:t>附表</w:t>
      </w:r>
      <w:r>
        <w:rPr>
          <w:rFonts w:hint="eastAsia"/>
        </w:rPr>
        <w:t>3</w:t>
      </w:r>
      <w:r>
        <w:t>：</w:t>
      </w:r>
    </w:p>
    <w:p w14:paraId="45875F1B">
      <w:pPr>
        <w:pStyle w:val="12"/>
        <w:spacing w:before="6"/>
        <w:rPr>
          <w:b/>
          <w:sz w:val="18"/>
        </w:rPr>
      </w:pPr>
      <w:r>
        <w:drawing>
          <wp:anchor distT="0" distB="0" distL="0" distR="0" simplePos="0" relativeHeight="251664384" behindDoc="1" locked="0" layoutInCell="1" allowOverlap="1">
            <wp:simplePos x="0" y="0"/>
            <wp:positionH relativeFrom="page">
              <wp:posOffset>847090</wp:posOffset>
            </wp:positionH>
            <wp:positionV relativeFrom="paragraph">
              <wp:posOffset>165735</wp:posOffset>
            </wp:positionV>
            <wp:extent cx="5433060" cy="5280660"/>
            <wp:effectExtent l="0" t="0" r="0" b="0"/>
            <wp:wrapTopAndBottom/>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7" cstate="print"/>
                    <a:stretch>
                      <a:fillRect/>
                    </a:stretch>
                  </pic:blipFill>
                  <pic:spPr>
                    <a:xfrm>
                      <a:off x="0" y="0"/>
                      <a:ext cx="5433308" cy="5280659"/>
                    </a:xfrm>
                    <a:prstGeom prst="rect">
                      <a:avLst/>
                    </a:prstGeom>
                  </pic:spPr>
                </pic:pic>
              </a:graphicData>
            </a:graphic>
          </wp:anchor>
        </w:drawing>
      </w:r>
    </w:p>
    <w:p w14:paraId="617715D1">
      <w:pPr>
        <w:ind w:firstLine="361"/>
        <w:rPr>
          <w:sz w:val="18"/>
        </w:rPr>
        <w:sectPr>
          <w:pgSz w:w="11910" w:h="16840"/>
          <w:pgMar w:top="1219" w:right="1219" w:bottom="1219" w:left="1219" w:header="0" w:footer="720" w:gutter="0"/>
          <w:cols w:space="720" w:num="1"/>
        </w:sectPr>
      </w:pPr>
    </w:p>
    <w:p w14:paraId="2FED4B3D">
      <w:pPr>
        <w:pStyle w:val="2"/>
        <w:spacing w:before="24" w:line="360" w:lineRule="auto"/>
        <w:ind w:right="322" w:firstLine="643"/>
        <w:jc w:val="center"/>
      </w:pPr>
      <w:bookmarkStart w:id="72" w:name="_Toc22621"/>
      <w:r>
        <w:t>第三章采购需求</w:t>
      </w:r>
      <w:bookmarkEnd w:id="72"/>
    </w:p>
    <w:p w14:paraId="3E96B005">
      <w:pPr>
        <w:spacing w:line="360" w:lineRule="auto"/>
        <w:ind w:firstLine="422" w:firstLineChars="200"/>
        <w:rPr>
          <w:b/>
          <w:bCs/>
          <w:sz w:val="21"/>
          <w:szCs w:val="21"/>
        </w:rPr>
      </w:pPr>
      <w:r>
        <w:rPr>
          <w:b/>
          <w:bCs/>
          <w:sz w:val="21"/>
          <w:szCs w:val="21"/>
        </w:rPr>
        <w:t>注：本项目采购需求中的所有条款均为实质性要求。</w:t>
      </w:r>
    </w:p>
    <w:p w14:paraId="6FB389BA">
      <w:pPr>
        <w:spacing w:line="360" w:lineRule="auto"/>
        <w:ind w:firstLine="422" w:firstLineChars="200"/>
        <w:rPr>
          <w:sz w:val="21"/>
          <w:szCs w:val="21"/>
        </w:rPr>
      </w:pPr>
      <w:bookmarkStart w:id="73" w:name="_Toc17930"/>
      <w:bookmarkStart w:id="74" w:name="_Toc24407"/>
      <w:r>
        <w:rPr>
          <w:b/>
          <w:bCs/>
          <w:sz w:val="21"/>
          <w:szCs w:val="21"/>
        </w:rPr>
        <w:t>一、项目名称</w:t>
      </w:r>
      <w:bookmarkEnd w:id="73"/>
      <w:bookmarkEnd w:id="74"/>
    </w:p>
    <w:p w14:paraId="03FA4A86">
      <w:pPr>
        <w:spacing w:line="360" w:lineRule="auto"/>
        <w:ind w:firstLine="420" w:firstLineChars="200"/>
        <w:rPr>
          <w:sz w:val="21"/>
          <w:szCs w:val="21"/>
        </w:rPr>
      </w:pPr>
      <w:r>
        <w:rPr>
          <w:sz w:val="21"/>
          <w:szCs w:val="21"/>
        </w:rPr>
        <w:t>《</w:t>
      </w:r>
      <w:r>
        <w:rPr>
          <w:rFonts w:hint="eastAsia"/>
          <w:sz w:val="21"/>
          <w:szCs w:val="21"/>
        </w:rPr>
        <w:t>S301线K131+000～K142+000段普通省道安全设施精细化提升工程</w:t>
      </w:r>
      <w:r>
        <w:rPr>
          <w:sz w:val="21"/>
          <w:szCs w:val="21"/>
        </w:rPr>
        <w:t>》</w:t>
      </w:r>
    </w:p>
    <w:p w14:paraId="2316B4E8">
      <w:pPr>
        <w:spacing w:line="360" w:lineRule="auto"/>
        <w:ind w:firstLine="422" w:firstLineChars="200"/>
        <w:rPr>
          <w:b/>
          <w:bCs/>
          <w:sz w:val="21"/>
          <w:szCs w:val="21"/>
        </w:rPr>
      </w:pPr>
      <w:bookmarkStart w:id="75" w:name="_Toc14877"/>
      <w:bookmarkStart w:id="76" w:name="_Toc25690"/>
      <w:r>
        <w:rPr>
          <w:b/>
          <w:bCs/>
          <w:sz w:val="21"/>
          <w:szCs w:val="21"/>
        </w:rPr>
        <w:t>二、项目概况</w:t>
      </w:r>
      <w:bookmarkEnd w:id="75"/>
      <w:bookmarkEnd w:id="76"/>
      <w:r>
        <w:rPr>
          <w:rFonts w:hint="eastAsia"/>
          <w:b/>
          <w:bCs/>
          <w:sz w:val="21"/>
          <w:szCs w:val="21"/>
        </w:rPr>
        <w:t>和招标范围</w:t>
      </w:r>
    </w:p>
    <w:p w14:paraId="0AF8A58F">
      <w:pPr>
        <w:spacing w:line="360" w:lineRule="auto"/>
        <w:ind w:firstLine="420" w:firstLineChars="200"/>
        <w:rPr>
          <w:sz w:val="21"/>
          <w:szCs w:val="21"/>
        </w:rPr>
      </w:pPr>
      <w:r>
        <w:rPr>
          <w:rFonts w:hint="eastAsia"/>
          <w:sz w:val="21"/>
          <w:szCs w:val="21"/>
        </w:rPr>
        <w:t>1.项目概况：S301线</w:t>
      </w:r>
      <w:bookmarkStart w:id="77" w:name="OLE_LINK3"/>
      <w:r>
        <w:rPr>
          <w:rFonts w:hint="eastAsia"/>
          <w:sz w:val="21"/>
          <w:szCs w:val="21"/>
        </w:rPr>
        <w:t>K131+000～K142+000</w:t>
      </w:r>
      <w:bookmarkEnd w:id="77"/>
      <w:r>
        <w:rPr>
          <w:rFonts w:hint="eastAsia"/>
          <w:sz w:val="21"/>
          <w:szCs w:val="21"/>
        </w:rPr>
        <w:t>段普通省道安全设施精细化提升工程，施工路段为S301线K131+000～K142+000，位于资源县境内，道路等级为二级公路。</w:t>
      </w:r>
    </w:p>
    <w:p w14:paraId="39A47C24">
      <w:pPr>
        <w:spacing w:line="360" w:lineRule="auto"/>
        <w:ind w:firstLine="420" w:firstLineChars="200"/>
        <w:rPr>
          <w:sz w:val="21"/>
          <w:szCs w:val="21"/>
        </w:rPr>
      </w:pPr>
      <w:r>
        <w:rPr>
          <w:rFonts w:hint="eastAsia"/>
          <w:sz w:val="21"/>
          <w:szCs w:val="21"/>
        </w:rPr>
        <w:t>主要承包内容：</w:t>
      </w:r>
    </w:p>
    <w:p w14:paraId="3B661CF0">
      <w:pPr>
        <w:spacing w:line="360" w:lineRule="auto"/>
        <w:ind w:firstLine="420" w:firstLineChars="200"/>
        <w:rPr>
          <w:sz w:val="21"/>
          <w:szCs w:val="21"/>
        </w:rPr>
      </w:pPr>
      <w:r>
        <w:rPr>
          <w:rFonts w:hint="eastAsia"/>
          <w:sz w:val="21"/>
          <w:szCs w:val="21"/>
        </w:rPr>
        <w:t>新建C25砼边沟84.9m3/202m，C25盖板沟150.2m3/166m，沟底及平台硬化(C20砼)219.9m3，新建A级埋入式波形梁护栏312m(Gr-A-4C标准段108m,上下游端头段48m,波形梁护栏与混凝土护栏过渡结构段156m)，混凝土护栏端部加高26处/7.982m3，立面标记492.9m2/70处，热熔路面标线5280.5m2，突起路标2202个，太阳能黄闪灯30套，雾天公路行车安全诱导装置10个，弯道会车预警装置1套，详见工程量清单和图纸。</w:t>
      </w:r>
    </w:p>
    <w:p w14:paraId="42FA024E">
      <w:pPr>
        <w:spacing w:line="360" w:lineRule="auto"/>
        <w:ind w:firstLine="422" w:firstLineChars="200"/>
        <w:rPr>
          <w:b/>
          <w:bCs/>
          <w:sz w:val="21"/>
          <w:szCs w:val="21"/>
        </w:rPr>
      </w:pPr>
      <w:r>
        <w:rPr>
          <w:rFonts w:hint="eastAsia"/>
          <w:b/>
          <w:bCs/>
          <w:sz w:val="21"/>
          <w:szCs w:val="21"/>
        </w:rPr>
        <w:t>2.</w:t>
      </w:r>
      <w:r>
        <w:rPr>
          <w:b/>
          <w:bCs/>
          <w:sz w:val="21"/>
          <w:szCs w:val="21"/>
        </w:rPr>
        <w:t>采购预算金额（控制价</w:t>
      </w:r>
      <w:r>
        <w:rPr>
          <w:rFonts w:hint="eastAsia"/>
          <w:b/>
          <w:bCs/>
          <w:sz w:val="21"/>
          <w:szCs w:val="21"/>
        </w:rPr>
        <w:t>）</w:t>
      </w:r>
    </w:p>
    <w:p w14:paraId="019BD13C">
      <w:pPr>
        <w:spacing w:line="360" w:lineRule="auto"/>
        <w:ind w:firstLine="422" w:firstLineChars="200"/>
        <w:rPr>
          <w:b/>
          <w:bCs/>
          <w:color w:val="auto"/>
          <w:sz w:val="21"/>
          <w:szCs w:val="21"/>
          <w:highlight w:val="none"/>
        </w:rPr>
      </w:pPr>
      <w:r>
        <w:rPr>
          <w:b/>
          <w:bCs/>
          <w:color w:val="auto"/>
          <w:sz w:val="21"/>
          <w:szCs w:val="21"/>
          <w:highlight w:val="none"/>
        </w:rPr>
        <w:t>采购预算金额（控制价）（人民币）：</w:t>
      </w:r>
      <w:r>
        <w:rPr>
          <w:rFonts w:hint="eastAsia"/>
          <w:b/>
          <w:bCs/>
          <w:color w:val="auto"/>
          <w:spacing w:val="-4"/>
          <w:szCs w:val="21"/>
          <w:highlight w:val="none"/>
        </w:rPr>
        <w:t>壹佰肆拾捌万伍仟贰佰贰拾叁</w:t>
      </w:r>
      <w:r>
        <w:rPr>
          <w:rFonts w:hint="eastAsia"/>
          <w:b/>
          <w:bCs/>
          <w:color w:val="auto"/>
          <w:sz w:val="21"/>
          <w:szCs w:val="21"/>
          <w:highlight w:val="none"/>
          <w:u w:val="single"/>
        </w:rPr>
        <w:t>元（¥1485223.00元）。</w:t>
      </w:r>
    </w:p>
    <w:p w14:paraId="50933AA9">
      <w:pPr>
        <w:spacing w:line="360" w:lineRule="auto"/>
        <w:ind w:firstLine="420" w:firstLineChars="200"/>
        <w:rPr>
          <w:sz w:val="21"/>
          <w:szCs w:val="21"/>
          <w:highlight w:val="none"/>
        </w:rPr>
      </w:pPr>
      <w:r>
        <w:rPr>
          <w:rFonts w:hint="eastAsia"/>
          <w:sz w:val="21"/>
          <w:szCs w:val="21"/>
          <w:highlight w:val="none"/>
        </w:rPr>
        <w:t>3.项目建设地点：广西壮族自治区桂林市资源县。</w:t>
      </w:r>
    </w:p>
    <w:p w14:paraId="2A18DF2D">
      <w:pPr>
        <w:spacing w:line="360" w:lineRule="auto"/>
        <w:ind w:firstLine="420" w:firstLineChars="200"/>
        <w:rPr>
          <w:sz w:val="21"/>
          <w:szCs w:val="21"/>
        </w:rPr>
      </w:pPr>
      <w:r>
        <w:rPr>
          <w:rFonts w:hint="eastAsia"/>
          <w:sz w:val="21"/>
          <w:szCs w:val="21"/>
          <w:highlight w:val="none"/>
        </w:rPr>
        <w:t>4.采购质量指标：工程交工</w:t>
      </w:r>
      <w:r>
        <w:rPr>
          <w:rFonts w:hint="eastAsia"/>
          <w:sz w:val="21"/>
          <w:szCs w:val="21"/>
        </w:rPr>
        <w:t>验收的质量评定：合格；竣工验收的质量评定：优良。</w:t>
      </w:r>
    </w:p>
    <w:p w14:paraId="23EA68FF">
      <w:pPr>
        <w:spacing w:line="360" w:lineRule="auto"/>
        <w:ind w:firstLine="420" w:firstLineChars="200"/>
        <w:rPr>
          <w:sz w:val="21"/>
          <w:szCs w:val="21"/>
        </w:rPr>
      </w:pPr>
      <w:r>
        <w:rPr>
          <w:rFonts w:hint="eastAsia"/>
          <w:sz w:val="21"/>
          <w:szCs w:val="21"/>
        </w:rPr>
        <w:t>5.安全要求：严格按照《</w:t>
      </w:r>
      <w:bookmarkStart w:id="78" w:name="OLE_LINK17"/>
      <w:r>
        <w:rPr>
          <w:rFonts w:hint="eastAsia"/>
          <w:sz w:val="21"/>
          <w:szCs w:val="21"/>
        </w:rPr>
        <w:t>公路养护安全作业规程</w:t>
      </w:r>
      <w:bookmarkEnd w:id="78"/>
      <w:r>
        <w:rPr>
          <w:rFonts w:hint="eastAsia"/>
          <w:sz w:val="21"/>
          <w:szCs w:val="21"/>
        </w:rPr>
        <w:t>》（JTGH30-2015）开展养护作业，无安全生产责任事故。</w:t>
      </w:r>
    </w:p>
    <w:p w14:paraId="4293CA7F">
      <w:pPr>
        <w:spacing w:line="360" w:lineRule="auto"/>
        <w:ind w:firstLine="420" w:firstLineChars="200"/>
        <w:rPr>
          <w:sz w:val="21"/>
          <w:szCs w:val="21"/>
        </w:rPr>
      </w:pPr>
      <w:r>
        <w:rPr>
          <w:rFonts w:hint="eastAsia"/>
          <w:sz w:val="21"/>
          <w:szCs w:val="21"/>
        </w:rPr>
        <w:t>6.交付时间及工期要求：</w:t>
      </w:r>
      <w:r>
        <w:rPr>
          <w:rFonts w:hint="eastAsia"/>
          <w:color w:val="auto"/>
          <w:sz w:val="21"/>
          <w:szCs w:val="21"/>
          <w:highlight w:val="none"/>
        </w:rPr>
        <w:t>90日历天。</w:t>
      </w:r>
    </w:p>
    <w:p w14:paraId="0E6BAA6D">
      <w:pPr>
        <w:spacing w:line="360" w:lineRule="auto"/>
        <w:ind w:firstLine="420" w:firstLineChars="200"/>
        <w:rPr>
          <w:sz w:val="21"/>
          <w:szCs w:val="21"/>
        </w:rPr>
      </w:pPr>
      <w:r>
        <w:rPr>
          <w:rFonts w:hint="eastAsia"/>
          <w:sz w:val="21"/>
          <w:szCs w:val="21"/>
        </w:rPr>
        <w:t>7.缺陷责任期：自实际交工日期起计算12个月。</w:t>
      </w:r>
    </w:p>
    <w:p w14:paraId="632BBF56">
      <w:pPr>
        <w:spacing w:line="360" w:lineRule="auto"/>
        <w:ind w:firstLine="420" w:firstLineChars="200"/>
        <w:rPr>
          <w:sz w:val="21"/>
          <w:szCs w:val="21"/>
        </w:rPr>
      </w:pPr>
      <w:r>
        <w:rPr>
          <w:rFonts w:hint="eastAsia"/>
          <w:sz w:val="21"/>
          <w:szCs w:val="21"/>
        </w:rPr>
        <w:t>8.</w:t>
      </w:r>
      <w:r>
        <w:rPr>
          <w:sz w:val="21"/>
          <w:szCs w:val="21"/>
        </w:rPr>
        <w:t>本项目允许分包</w:t>
      </w:r>
      <w:r>
        <w:rPr>
          <w:rFonts w:hint="eastAsia"/>
          <w:sz w:val="21"/>
          <w:szCs w:val="21"/>
        </w:rPr>
        <w:t>（交通安全设施工程量部分）</w:t>
      </w:r>
      <w:r>
        <w:rPr>
          <w:sz w:val="21"/>
          <w:szCs w:val="21"/>
        </w:rPr>
        <w:t>。</w:t>
      </w:r>
    </w:p>
    <w:p w14:paraId="7694BC8B">
      <w:pPr>
        <w:spacing w:line="360" w:lineRule="auto"/>
        <w:ind w:firstLine="422" w:firstLineChars="200"/>
        <w:rPr>
          <w:b/>
          <w:bCs/>
          <w:sz w:val="21"/>
          <w:szCs w:val="21"/>
        </w:rPr>
      </w:pPr>
      <w:r>
        <w:rPr>
          <w:rFonts w:hint="eastAsia"/>
          <w:b/>
          <w:bCs/>
          <w:sz w:val="21"/>
          <w:szCs w:val="21"/>
        </w:rPr>
        <w:t>三</w:t>
      </w:r>
      <w:r>
        <w:rPr>
          <w:b/>
          <w:bCs/>
          <w:sz w:val="21"/>
          <w:szCs w:val="21"/>
        </w:rPr>
        <w:t>、项目经理和项目总工最低要求</w:t>
      </w:r>
    </w:p>
    <w:p w14:paraId="1ED82449">
      <w:pPr>
        <w:spacing w:line="360" w:lineRule="auto"/>
        <w:ind w:firstLine="422" w:firstLineChars="200"/>
        <w:rPr>
          <w:b/>
          <w:bCs/>
          <w:sz w:val="21"/>
          <w:szCs w:val="21"/>
        </w:rPr>
      </w:pPr>
      <w:r>
        <w:rPr>
          <w:rFonts w:hint="eastAsia"/>
          <w:b/>
          <w:bCs/>
          <w:sz w:val="21"/>
          <w:szCs w:val="21"/>
        </w:rPr>
        <w:t>（一）项目经理：</w:t>
      </w:r>
    </w:p>
    <w:p w14:paraId="52C8FE45">
      <w:pPr>
        <w:spacing w:line="360" w:lineRule="auto"/>
        <w:ind w:firstLine="420" w:firstLineChars="200"/>
        <w:rPr>
          <w:sz w:val="21"/>
          <w:szCs w:val="21"/>
        </w:rPr>
      </w:pPr>
      <w:r>
        <w:rPr>
          <w:rFonts w:hint="eastAsia"/>
          <w:sz w:val="21"/>
          <w:szCs w:val="21"/>
        </w:rPr>
        <w:t>1.具有公路工程专业二级或以上执业注册建造师证和省级或以上交通运输行政主管部门颁发的安全生产考核合格证（“三类人员”B类证书）。</w:t>
      </w:r>
    </w:p>
    <w:p w14:paraId="19DFFFF2">
      <w:pPr>
        <w:spacing w:line="360" w:lineRule="auto"/>
        <w:ind w:firstLine="420" w:firstLineChars="200"/>
        <w:rPr>
          <w:sz w:val="21"/>
          <w:szCs w:val="21"/>
        </w:rPr>
      </w:pPr>
      <w:r>
        <w:rPr>
          <w:rFonts w:hint="eastAsia"/>
          <w:sz w:val="21"/>
          <w:szCs w:val="21"/>
        </w:rPr>
        <w:t>2.具有工程师（或以上）职称</w:t>
      </w:r>
      <w:r>
        <w:rPr>
          <w:rFonts w:hint="eastAsia"/>
          <w:color w:val="auto"/>
          <w:sz w:val="21"/>
          <w:szCs w:val="21"/>
        </w:rPr>
        <w:t>（路桥类专业）。</w:t>
      </w:r>
    </w:p>
    <w:p w14:paraId="0CFF531A">
      <w:pPr>
        <w:spacing w:line="360" w:lineRule="auto"/>
        <w:ind w:firstLine="422" w:firstLineChars="200"/>
        <w:rPr>
          <w:b/>
          <w:bCs/>
          <w:sz w:val="21"/>
          <w:szCs w:val="21"/>
        </w:rPr>
      </w:pPr>
      <w:r>
        <w:rPr>
          <w:b/>
          <w:bCs/>
          <w:sz w:val="21"/>
          <w:szCs w:val="21"/>
        </w:rPr>
        <w:t>（二）项目总工：</w:t>
      </w:r>
    </w:p>
    <w:p w14:paraId="4460A14A">
      <w:pPr>
        <w:spacing w:line="360" w:lineRule="auto"/>
        <w:ind w:firstLine="420" w:firstLineChars="200"/>
        <w:rPr>
          <w:sz w:val="21"/>
          <w:szCs w:val="21"/>
        </w:rPr>
      </w:pPr>
      <w:r>
        <w:rPr>
          <w:rFonts w:hint="eastAsia"/>
          <w:sz w:val="21"/>
          <w:szCs w:val="21"/>
        </w:rPr>
        <w:t>1.</w:t>
      </w:r>
      <w:bookmarkStart w:id="79" w:name="OLE_LINK19"/>
      <w:r>
        <w:rPr>
          <w:rFonts w:hint="eastAsia"/>
          <w:sz w:val="21"/>
          <w:szCs w:val="21"/>
        </w:rPr>
        <w:t>具有工程师（或以上）职称（路桥类专业）。</w:t>
      </w:r>
    </w:p>
    <w:p w14:paraId="76438789">
      <w:pPr>
        <w:spacing w:line="360" w:lineRule="auto"/>
        <w:ind w:firstLine="420" w:firstLineChars="200"/>
        <w:rPr>
          <w:sz w:val="21"/>
          <w:szCs w:val="21"/>
        </w:rPr>
      </w:pPr>
      <w:r>
        <w:rPr>
          <w:rFonts w:hint="eastAsia"/>
          <w:sz w:val="21"/>
          <w:szCs w:val="21"/>
        </w:rPr>
        <w:t>2.具有省级或以上交通运输行政主管部门颁发的安全生产考核合格证（“三类人员”B类证书）</w:t>
      </w:r>
    </w:p>
    <w:bookmarkEnd w:id="79"/>
    <w:p w14:paraId="1C1C809C">
      <w:pPr>
        <w:spacing w:line="360" w:lineRule="auto"/>
        <w:ind w:firstLine="420" w:firstLineChars="200"/>
        <w:rPr>
          <w:sz w:val="21"/>
          <w:szCs w:val="21"/>
        </w:rPr>
      </w:pPr>
      <w:r>
        <w:rPr>
          <w:rFonts w:hint="eastAsia"/>
          <w:sz w:val="21"/>
          <w:szCs w:val="21"/>
        </w:rPr>
        <w:t>（注：1、“路桥类”专业是指职称证上的专业，为路桥、公路工程、桥梁工程、交通土建、交通工程、铁路、土木工程、隧道工程、市政道路与桥梁工程等专业均可; 2、工程类别及规模要求条件应与招标项目规模匹配设置；3.项目经理或总工有在建项目任职的，投标人应提供随时撤离承诺书。4、公路工程包括</w:t>
      </w:r>
      <w:r>
        <w:rPr>
          <w:rFonts w:hint="eastAsia"/>
          <w:sz w:val="21"/>
          <w:szCs w:val="21"/>
          <w:lang w:eastAsia="zh-CN"/>
        </w:rPr>
        <w:t>公路新建、公路改扩建、公路养护工程、公路交通安全设施工程</w:t>
      </w:r>
      <w:r>
        <w:rPr>
          <w:rFonts w:hint="eastAsia"/>
          <w:sz w:val="21"/>
          <w:szCs w:val="21"/>
        </w:rPr>
        <w:t>等；成功完成是指工程按《公路工程竣（交）工验收办法》交工验收或竣工验收通过。5.项目经理或者项目总工的社保缴费单位应是投标单位，如不是本单位人员的，该竞标人的投标作废标处理）</w:t>
      </w:r>
    </w:p>
    <w:p w14:paraId="2E2E181C">
      <w:pPr>
        <w:spacing w:line="360" w:lineRule="auto"/>
        <w:ind w:firstLine="420" w:firstLineChars="200"/>
        <w:rPr>
          <w:sz w:val="21"/>
          <w:szCs w:val="21"/>
        </w:rPr>
      </w:pPr>
    </w:p>
    <w:p w14:paraId="3D41D74D">
      <w:pPr>
        <w:spacing w:line="360" w:lineRule="auto"/>
        <w:ind w:firstLine="422"/>
        <w:rPr>
          <w:sz w:val="21"/>
          <w:szCs w:val="21"/>
        </w:rPr>
      </w:pPr>
    </w:p>
    <w:p w14:paraId="24A89A83">
      <w:pPr>
        <w:spacing w:line="360" w:lineRule="auto"/>
        <w:ind w:firstLine="422"/>
        <w:rPr>
          <w:sz w:val="21"/>
          <w:szCs w:val="21"/>
        </w:rPr>
      </w:pPr>
    </w:p>
    <w:p w14:paraId="24133EBD">
      <w:pPr>
        <w:pStyle w:val="12"/>
        <w:spacing w:before="137" w:line="364" w:lineRule="auto"/>
        <w:ind w:left="343" w:right="663" w:firstLine="422"/>
      </w:pPr>
    </w:p>
    <w:p w14:paraId="5DCAB430">
      <w:pPr>
        <w:pStyle w:val="12"/>
        <w:spacing w:before="137" w:line="364" w:lineRule="auto"/>
        <w:ind w:left="343" w:right="663" w:firstLine="422"/>
      </w:pPr>
    </w:p>
    <w:p w14:paraId="274574A0">
      <w:pPr>
        <w:ind w:firstLine="422"/>
      </w:pPr>
    </w:p>
    <w:p w14:paraId="2BCAF759">
      <w:pPr>
        <w:ind w:firstLine="422"/>
      </w:pPr>
    </w:p>
    <w:p w14:paraId="125596A9">
      <w:pPr>
        <w:ind w:firstLine="422"/>
      </w:pPr>
    </w:p>
    <w:p w14:paraId="145A945B">
      <w:pPr>
        <w:ind w:firstLine="422"/>
      </w:pPr>
    </w:p>
    <w:p w14:paraId="4DA1EA19">
      <w:pPr>
        <w:ind w:firstLine="422"/>
      </w:pPr>
    </w:p>
    <w:p w14:paraId="6CDEB5BC">
      <w:pPr>
        <w:ind w:firstLine="422"/>
      </w:pPr>
    </w:p>
    <w:p w14:paraId="05A09568">
      <w:pPr>
        <w:ind w:firstLine="422"/>
      </w:pPr>
    </w:p>
    <w:p w14:paraId="50B34C94">
      <w:pPr>
        <w:ind w:firstLine="422"/>
      </w:pPr>
    </w:p>
    <w:p w14:paraId="792809F6">
      <w:pPr>
        <w:ind w:firstLine="422"/>
      </w:pPr>
    </w:p>
    <w:p w14:paraId="49FA9ED9">
      <w:pPr>
        <w:ind w:firstLine="422"/>
      </w:pPr>
    </w:p>
    <w:p w14:paraId="3F87A1F2">
      <w:pPr>
        <w:ind w:firstLine="422"/>
      </w:pPr>
    </w:p>
    <w:p w14:paraId="548A5EA8">
      <w:pPr>
        <w:ind w:firstLine="422"/>
      </w:pPr>
    </w:p>
    <w:p w14:paraId="54B37A83">
      <w:pPr>
        <w:ind w:firstLine="422"/>
      </w:pPr>
    </w:p>
    <w:p w14:paraId="1BC3D909">
      <w:pPr>
        <w:ind w:firstLine="422"/>
      </w:pPr>
    </w:p>
    <w:p w14:paraId="4BF41D0B">
      <w:pPr>
        <w:ind w:firstLine="422"/>
      </w:pPr>
    </w:p>
    <w:p w14:paraId="028D10E7">
      <w:pPr>
        <w:ind w:firstLine="422"/>
      </w:pPr>
    </w:p>
    <w:p w14:paraId="3161DC1A">
      <w:pPr>
        <w:ind w:firstLine="422"/>
      </w:pPr>
    </w:p>
    <w:p w14:paraId="558E30C9">
      <w:pPr>
        <w:ind w:firstLine="422"/>
      </w:pPr>
    </w:p>
    <w:p w14:paraId="398170C9">
      <w:pPr>
        <w:ind w:firstLine="422"/>
      </w:pPr>
    </w:p>
    <w:p w14:paraId="1D617632">
      <w:pPr>
        <w:ind w:firstLine="422"/>
      </w:pPr>
    </w:p>
    <w:p w14:paraId="1E099EEF">
      <w:pPr>
        <w:ind w:firstLine="422"/>
      </w:pPr>
    </w:p>
    <w:p w14:paraId="5C59E958">
      <w:pPr>
        <w:ind w:firstLine="422"/>
      </w:pPr>
    </w:p>
    <w:p w14:paraId="791DFFEB">
      <w:pPr>
        <w:ind w:firstLine="422"/>
      </w:pPr>
    </w:p>
    <w:p w14:paraId="13A6B14C">
      <w:pPr>
        <w:ind w:firstLine="422"/>
      </w:pPr>
    </w:p>
    <w:p w14:paraId="3A26006C">
      <w:pPr>
        <w:ind w:firstLine="422"/>
      </w:pPr>
    </w:p>
    <w:p w14:paraId="073B708A">
      <w:pPr>
        <w:ind w:firstLine="422"/>
      </w:pPr>
    </w:p>
    <w:p w14:paraId="65A68A5E">
      <w:pPr>
        <w:ind w:firstLine="422"/>
      </w:pPr>
      <w:bookmarkStart w:id="80" w:name="第四章__评审办法"/>
      <w:bookmarkEnd w:id="80"/>
      <w:bookmarkStart w:id="81" w:name="_Toc349"/>
    </w:p>
    <w:p w14:paraId="5A8D44FA">
      <w:r>
        <w:rPr>
          <w:rFonts w:hint="eastAsia"/>
        </w:rPr>
        <w:br w:type="page"/>
      </w:r>
    </w:p>
    <w:p w14:paraId="34BA4DB9">
      <w:pPr>
        <w:pStyle w:val="2"/>
        <w:ind w:firstLine="643"/>
        <w:jc w:val="center"/>
        <w:rPr>
          <w:rStyle w:val="32"/>
          <w:b/>
          <w:bCs/>
        </w:rPr>
      </w:pPr>
      <w:r>
        <w:rPr>
          <w:rFonts w:hint="eastAsia"/>
        </w:rPr>
        <w:t>第四章</w:t>
      </w:r>
      <w:r>
        <w:t>评审办法</w:t>
      </w:r>
      <w:bookmarkEnd w:id="81"/>
    </w:p>
    <w:p w14:paraId="5A6096C5">
      <w:pPr>
        <w:pStyle w:val="15"/>
        <w:spacing w:line="360" w:lineRule="auto"/>
        <w:ind w:firstLine="422" w:firstLineChars="200"/>
        <w:rPr>
          <w:rFonts w:hAnsi="宋体"/>
          <w:b/>
          <w:bCs/>
          <w:sz w:val="21"/>
          <w:szCs w:val="21"/>
        </w:rPr>
      </w:pPr>
      <w:r>
        <w:rPr>
          <w:rFonts w:hint="eastAsia" w:hAnsi="宋体"/>
          <w:b/>
          <w:bCs/>
          <w:sz w:val="21"/>
          <w:szCs w:val="21"/>
        </w:rPr>
        <w:t>一、评审依据及方式</w:t>
      </w:r>
    </w:p>
    <w:p w14:paraId="223B4672">
      <w:pPr>
        <w:pStyle w:val="15"/>
        <w:spacing w:line="360" w:lineRule="auto"/>
        <w:ind w:firstLine="420" w:firstLineChars="200"/>
        <w:rPr>
          <w:rFonts w:hAnsi="宋体"/>
          <w:sz w:val="21"/>
          <w:szCs w:val="21"/>
        </w:rPr>
      </w:pPr>
      <w:r>
        <w:rPr>
          <w:rFonts w:hint="eastAsia" w:hAnsi="宋体"/>
          <w:sz w:val="21"/>
          <w:szCs w:val="21"/>
        </w:rPr>
        <w:t>1.评审依据：磋商小组以竞争性磋商采购文件和响应文件为评审依据，对通过初步评审的响应文件进行详细评审。</w:t>
      </w:r>
    </w:p>
    <w:p w14:paraId="55423EB1">
      <w:pPr>
        <w:pStyle w:val="15"/>
        <w:spacing w:line="360" w:lineRule="auto"/>
        <w:ind w:firstLine="420" w:firstLineChars="200"/>
        <w:rPr>
          <w:rFonts w:hAnsi="宋体"/>
          <w:sz w:val="21"/>
          <w:szCs w:val="21"/>
        </w:rPr>
      </w:pPr>
      <w:r>
        <w:rPr>
          <w:rFonts w:hint="eastAsia" w:hAnsi="宋体"/>
          <w:sz w:val="21"/>
          <w:szCs w:val="21"/>
        </w:rPr>
        <w:t>2.评审方式：以封闭方式进行评审。</w:t>
      </w:r>
    </w:p>
    <w:p w14:paraId="253F0FE4">
      <w:pPr>
        <w:pStyle w:val="15"/>
        <w:spacing w:line="360" w:lineRule="auto"/>
        <w:ind w:firstLine="420" w:firstLineChars="200"/>
        <w:rPr>
          <w:rFonts w:hAnsi="宋体"/>
          <w:kern w:val="2"/>
          <w:sz w:val="21"/>
          <w:szCs w:val="21"/>
        </w:rPr>
      </w:pPr>
      <w:r>
        <w:rPr>
          <w:rFonts w:hint="eastAsia" w:hAnsi="宋体"/>
          <w:kern w:val="2"/>
          <w:sz w:val="21"/>
          <w:szCs w:val="21"/>
        </w:rPr>
        <w:t>3.评分办法：采用综合评分法</w:t>
      </w:r>
    </w:p>
    <w:p w14:paraId="5F6BA585">
      <w:pPr>
        <w:pStyle w:val="15"/>
        <w:spacing w:line="360" w:lineRule="auto"/>
        <w:ind w:firstLine="420" w:firstLineChars="200"/>
        <w:rPr>
          <w:rFonts w:hAnsi="宋体"/>
          <w:kern w:val="2"/>
          <w:sz w:val="21"/>
          <w:szCs w:val="21"/>
        </w:rPr>
      </w:pPr>
      <w:r>
        <w:rPr>
          <w:rFonts w:hint="eastAsia" w:hAnsi="宋体"/>
          <w:kern w:val="2"/>
          <w:sz w:val="21"/>
          <w:szCs w:val="21"/>
        </w:rPr>
        <w:t>4.根据</w:t>
      </w:r>
      <w:bookmarkStart w:id="82" w:name="OLE_LINK22"/>
      <w:bookmarkStart w:id="83" w:name="OLE_LINK23"/>
      <w:r>
        <w:rPr>
          <w:rFonts w:hint="eastAsia" w:hAnsi="宋体"/>
          <w:kern w:val="2"/>
          <w:sz w:val="21"/>
          <w:szCs w:val="21"/>
        </w:rPr>
        <w:t>财库〔2012〕69号文</w:t>
      </w:r>
      <w:bookmarkEnd w:id="82"/>
      <w:bookmarkEnd w:id="83"/>
      <w:r>
        <w:rPr>
          <w:rFonts w:hint="eastAsia" w:hAnsi="宋体"/>
          <w:kern w:val="2"/>
          <w:sz w:val="21"/>
          <w:szCs w:val="21"/>
        </w:rPr>
        <w:t>规定，采购人和采购代理机构，磋商小组成员要严格遵守政府采购相关法律制度，依法履行各自职责，公正、客观、审慎地组织和参与评审工作。</w:t>
      </w:r>
    </w:p>
    <w:p w14:paraId="704FAB92">
      <w:pPr>
        <w:pStyle w:val="15"/>
        <w:spacing w:line="360" w:lineRule="auto"/>
        <w:ind w:firstLine="422" w:firstLineChars="200"/>
        <w:rPr>
          <w:rFonts w:hAnsi="宋体"/>
          <w:b/>
          <w:bCs/>
          <w:sz w:val="21"/>
          <w:szCs w:val="21"/>
        </w:rPr>
      </w:pPr>
      <w:r>
        <w:rPr>
          <w:rFonts w:hint="eastAsia" w:hAnsi="宋体"/>
          <w:b/>
          <w:bCs/>
          <w:sz w:val="21"/>
          <w:szCs w:val="21"/>
        </w:rPr>
        <w:t>二、评审办法</w:t>
      </w:r>
    </w:p>
    <w:p w14:paraId="1F8B899F">
      <w:pPr>
        <w:pStyle w:val="15"/>
        <w:spacing w:line="360" w:lineRule="auto"/>
        <w:ind w:firstLine="420" w:firstLineChars="200"/>
        <w:rPr>
          <w:rFonts w:hAnsi="宋体"/>
          <w:bCs/>
          <w:sz w:val="21"/>
          <w:szCs w:val="21"/>
        </w:rPr>
      </w:pPr>
      <w:r>
        <w:rPr>
          <w:rFonts w:hint="eastAsia" w:hAnsi="宋体"/>
          <w:bCs/>
          <w:sz w:val="21"/>
          <w:szCs w:val="21"/>
        </w:rPr>
        <w:t>本次评标采用综合评分法。</w:t>
      </w:r>
    </w:p>
    <w:p w14:paraId="43A1C767">
      <w:pPr>
        <w:pStyle w:val="15"/>
        <w:spacing w:line="360" w:lineRule="auto"/>
        <w:ind w:firstLine="420" w:firstLineChars="200"/>
        <w:rPr>
          <w:rFonts w:hAnsi="宋体"/>
          <w:bCs/>
          <w:sz w:val="21"/>
          <w:szCs w:val="21"/>
        </w:rPr>
      </w:pPr>
      <w:r>
        <w:rPr>
          <w:rFonts w:hint="eastAsia" w:hAnsi="宋体"/>
          <w:bCs/>
          <w:sz w:val="21"/>
          <w:szCs w:val="21"/>
        </w:rPr>
        <w:t>磋商小组会首先对磋商供应商提交的响应文件进行资格性审查和符合性审查，只有通过了资格性审查和符合性审查才能进入详评。</w:t>
      </w:r>
    </w:p>
    <w:p w14:paraId="1E15BDE4">
      <w:pPr>
        <w:spacing w:line="360" w:lineRule="auto"/>
        <w:ind w:firstLine="442" w:firstLineChars="200"/>
        <w:rPr>
          <w:b/>
        </w:rPr>
      </w:pPr>
      <w:r>
        <w:rPr>
          <w:rFonts w:hint="eastAsia"/>
          <w:b/>
        </w:rPr>
        <w:t>1、价格分………………………………………………………………………………满分30分</w:t>
      </w:r>
    </w:p>
    <w:p w14:paraId="25E888E1">
      <w:pPr>
        <w:spacing w:line="360" w:lineRule="auto"/>
        <w:ind w:firstLine="440" w:firstLineChars="200"/>
        <w:rPr>
          <w:bCs/>
          <w:color w:val="auto"/>
          <w:highlight w:val="none"/>
        </w:rPr>
      </w:pPr>
      <w:r>
        <w:rPr>
          <w:rFonts w:hint="eastAsia"/>
          <w:bCs/>
        </w:rPr>
        <w:t>（1）以进入评审的最低的评标价为30分。</w:t>
      </w:r>
      <w:r>
        <w:rPr>
          <w:rFonts w:hint="eastAsia"/>
          <w:bCs/>
          <w:color w:val="auto"/>
          <w:highlight w:val="none"/>
        </w:rPr>
        <w:t>（</w:t>
      </w:r>
      <w:r>
        <w:rPr>
          <w:rFonts w:hint="eastAsia"/>
          <w:bCs/>
          <w:color w:val="auto"/>
          <w:kern w:val="2"/>
          <w:sz w:val="21"/>
          <w:szCs w:val="21"/>
          <w:highlight w:val="none"/>
        </w:rPr>
        <w:t>本项目属于专门面向中小企业采购的项目（供应商应为中小微企业、监狱企业、残疾人福利性单位），不再进行政府采购政策性扣除计算。</w:t>
      </w:r>
      <w:r>
        <w:rPr>
          <w:rFonts w:hint="eastAsia"/>
          <w:bCs/>
          <w:color w:val="auto"/>
          <w:highlight w:val="none"/>
        </w:rPr>
        <w:t>）</w:t>
      </w:r>
    </w:p>
    <w:p w14:paraId="65796318">
      <w:pPr>
        <w:spacing w:line="360" w:lineRule="auto"/>
        <w:ind w:firstLine="440" w:firstLineChars="200"/>
        <w:rPr>
          <w:bCs/>
          <w:color w:val="000000"/>
        </w:rPr>
      </w:pPr>
      <w:r>
        <w:rPr>
          <w:rFonts w:hint="eastAsia"/>
          <w:bCs/>
          <w:color w:val="000000"/>
        </w:rPr>
        <w:t>（2）某供应商价格分=供应商最低评审报价（金额）/某供应商评审报价（金额）×30分。</w:t>
      </w:r>
    </w:p>
    <w:p w14:paraId="4324E669">
      <w:pPr>
        <w:spacing w:line="360" w:lineRule="auto"/>
        <w:ind w:firstLine="440" w:firstLineChars="200"/>
        <w:rPr>
          <w:bCs/>
          <w:color w:val="000000"/>
        </w:rPr>
      </w:pPr>
      <w:r>
        <w:rPr>
          <w:rFonts w:hint="eastAsia"/>
          <w:bCs/>
          <w:color w:val="000000"/>
        </w:rPr>
        <w:t>注：</w:t>
      </w:r>
      <w:r>
        <w:rPr>
          <w:rFonts w:hint="eastAsia"/>
          <w:bCs/>
        </w:rPr>
        <w:t>低于最高投标限价90%的供应商的报价</w:t>
      </w:r>
      <w:r>
        <w:rPr>
          <w:rFonts w:hint="eastAsia"/>
          <w:bCs/>
          <w:color w:val="000000"/>
        </w:rPr>
        <w:t>，有可能影响工程质量或者不能诚信履约，磋商小组应当要求供应商对相应投标报价作出书面说明，并提供相关证明材料。如果供应商不能提供相关证明材料，或者提交的相关材料无法证明供应商可以按照其报价以及招标文件规定的质量标准和履行期限完成项目的，磋商小组应当认定该供应商以低于成本价竞标，磋商小组应当将其作为无效投标处理。(供应商应保证提供的联系方式正确并保持畅通，以便评标过程中如需提供书面说明时，能及时联系到供应商，如在一个小时内未能联系到供应商，两个小时内其未能按要求提供书面说明，磋商小组应当将其作为无效投标处理）。</w:t>
      </w:r>
    </w:p>
    <w:p w14:paraId="03AF3C1D">
      <w:pPr>
        <w:spacing w:line="360" w:lineRule="auto"/>
        <w:ind w:firstLine="422" w:firstLineChars="200"/>
        <w:rPr>
          <w:b/>
          <w:bCs/>
          <w:sz w:val="21"/>
          <w:szCs w:val="21"/>
        </w:rPr>
      </w:pPr>
      <w:r>
        <w:rPr>
          <w:rFonts w:hint="eastAsia"/>
          <w:b/>
          <w:bCs/>
          <w:sz w:val="21"/>
          <w:szCs w:val="21"/>
        </w:rPr>
        <w:t>2、施工组织设计分</w:t>
      </w:r>
      <w:r>
        <w:rPr>
          <w:rFonts w:hint="eastAsia"/>
          <w:b/>
          <w:bCs/>
        </w:rPr>
        <w:t>………………………………………………………………………满分</w:t>
      </w:r>
      <w:r>
        <w:rPr>
          <w:rFonts w:hint="eastAsia"/>
          <w:b/>
          <w:bCs/>
          <w:sz w:val="21"/>
          <w:szCs w:val="21"/>
        </w:rPr>
        <w:t>30分</w:t>
      </w:r>
    </w:p>
    <w:p w14:paraId="4B9C1B1A">
      <w:pPr>
        <w:spacing w:line="360" w:lineRule="auto"/>
        <w:ind w:firstLine="422" w:firstLineChars="200"/>
        <w:rPr>
          <w:sz w:val="21"/>
          <w:szCs w:val="21"/>
        </w:rPr>
      </w:pPr>
      <w:r>
        <w:rPr>
          <w:rFonts w:hint="eastAsia"/>
          <w:b/>
          <w:bCs/>
          <w:sz w:val="21"/>
          <w:szCs w:val="21"/>
        </w:rPr>
        <w:t>（1）总体施工组织布置及规划（满分5分）</w:t>
      </w:r>
    </w:p>
    <w:p w14:paraId="64E8549B">
      <w:pPr>
        <w:spacing w:line="360" w:lineRule="auto"/>
        <w:ind w:firstLine="420" w:firstLineChars="200"/>
        <w:rPr>
          <w:sz w:val="21"/>
          <w:szCs w:val="21"/>
        </w:rPr>
      </w:pPr>
      <w:r>
        <w:rPr>
          <w:rFonts w:hint="eastAsia"/>
          <w:sz w:val="21"/>
          <w:szCs w:val="21"/>
        </w:rPr>
        <w:t>一档（5分）：总体概述（施工程序总体设想及施工段）对项目总体有深刻认识，表述清晰、完整、严谨、合理，措施先进、具体、有效、成熟；施工段划分呼应总体表述，划分清晰、合理，符合规范要求。施工进度计划和各阶段进度的保证措施关键线路清晰、准确、完整、计划编划合理、可行，关键节点的控制措施有力、合理、可行。</w:t>
      </w:r>
    </w:p>
    <w:p w14:paraId="3989AC9E">
      <w:pPr>
        <w:spacing w:line="360" w:lineRule="auto"/>
        <w:ind w:firstLine="420" w:firstLineChars="200"/>
        <w:rPr>
          <w:sz w:val="21"/>
          <w:szCs w:val="21"/>
        </w:rPr>
      </w:pPr>
      <w:r>
        <w:rPr>
          <w:rFonts w:hint="eastAsia"/>
          <w:sz w:val="21"/>
          <w:szCs w:val="21"/>
        </w:rPr>
        <w:t>二档（4分）：总体概述（施工程序总体设想及施工段）对项目总体有认识，表述完整、合理，措施具体；施工段划分呼应总体表述，划分合理，符合规范要求。施工进度计划和各阶段进度的保证措施关键线路准确、完整、计划编划可行，关键节点的控制措施可行。</w:t>
      </w:r>
    </w:p>
    <w:p w14:paraId="58F643E3">
      <w:pPr>
        <w:spacing w:line="360" w:lineRule="auto"/>
        <w:ind w:firstLine="420" w:firstLineChars="200"/>
        <w:rPr>
          <w:sz w:val="21"/>
          <w:szCs w:val="21"/>
        </w:rPr>
      </w:pPr>
      <w:r>
        <w:rPr>
          <w:rFonts w:hint="eastAsia"/>
          <w:sz w:val="21"/>
          <w:szCs w:val="21"/>
        </w:rPr>
        <w:t>三档（3分）：总体概述（施工程序总体设想及施工段）对项目总体有基本认识，表述欠完整，措施一般但符合规范要求。施工进度计划和各阶段进度的保证措施关键线路基本满足要求、计划编划基本可行，关键节点的控制措施基本可行。</w:t>
      </w:r>
    </w:p>
    <w:p w14:paraId="0D0ACF4C">
      <w:pPr>
        <w:spacing w:line="360" w:lineRule="auto"/>
        <w:ind w:firstLine="420" w:firstLineChars="200"/>
        <w:rPr>
          <w:sz w:val="21"/>
          <w:szCs w:val="21"/>
        </w:rPr>
      </w:pPr>
      <w:r>
        <w:rPr>
          <w:rFonts w:hint="eastAsia"/>
          <w:sz w:val="21"/>
          <w:szCs w:val="21"/>
        </w:rPr>
        <w:t>四档（0分）：不提供总体施工组织布置及规划或对项目总体认识不足、表述不清楚，措施不符合，施工规划不合理的。</w:t>
      </w:r>
    </w:p>
    <w:p w14:paraId="074D7CBF">
      <w:pPr>
        <w:spacing w:line="360" w:lineRule="auto"/>
        <w:ind w:firstLine="422" w:firstLineChars="200"/>
        <w:rPr>
          <w:b/>
          <w:bCs/>
          <w:sz w:val="21"/>
          <w:szCs w:val="21"/>
        </w:rPr>
      </w:pPr>
      <w:r>
        <w:rPr>
          <w:rFonts w:hint="eastAsia"/>
          <w:b/>
          <w:bCs/>
          <w:sz w:val="21"/>
          <w:szCs w:val="21"/>
        </w:rPr>
        <w:t>（2）主要工程项目的施工方案、方法与技术措施（满分9分）</w:t>
      </w:r>
    </w:p>
    <w:p w14:paraId="706F8AF3">
      <w:pPr>
        <w:spacing w:line="360" w:lineRule="auto"/>
        <w:ind w:firstLine="420" w:firstLineChars="200"/>
        <w:rPr>
          <w:sz w:val="21"/>
          <w:szCs w:val="21"/>
        </w:rPr>
      </w:pPr>
      <w:r>
        <w:rPr>
          <w:rFonts w:hint="eastAsia"/>
          <w:sz w:val="21"/>
          <w:szCs w:val="21"/>
        </w:rPr>
        <w:t>一档（9分）：主要工程的施工方案、方法与技术措施符合项目实际，有详尽的施工技术方案，工艺先进、方法科学合理、可行，能指导具体施工并确保安全。投入的施工材料有详细的组织计划且计划周密，数量、选型配置、进场时间安排合理，完全满足施工需要。</w:t>
      </w:r>
    </w:p>
    <w:p w14:paraId="1932D920">
      <w:pPr>
        <w:spacing w:line="360" w:lineRule="auto"/>
        <w:ind w:firstLine="420" w:firstLineChars="200"/>
        <w:rPr>
          <w:sz w:val="21"/>
          <w:szCs w:val="21"/>
        </w:rPr>
      </w:pPr>
      <w:r>
        <w:rPr>
          <w:rFonts w:hint="eastAsia"/>
          <w:sz w:val="21"/>
          <w:szCs w:val="21"/>
        </w:rPr>
        <w:t>二档（7分）：主要工程的施工方案、方法与技术措施符合项目实际，有施工技术方案，工艺及方法可行，能指导施工并确保安全。投入的施工材料有组织计划且计划可行，数量、选型配置、进场时间安排满足施工需要。</w:t>
      </w:r>
    </w:p>
    <w:p w14:paraId="68CDAAF5">
      <w:pPr>
        <w:spacing w:line="360" w:lineRule="auto"/>
        <w:ind w:firstLine="420" w:firstLineChars="200"/>
        <w:rPr>
          <w:sz w:val="21"/>
          <w:szCs w:val="21"/>
        </w:rPr>
      </w:pPr>
      <w:r>
        <w:rPr>
          <w:rFonts w:hint="eastAsia"/>
          <w:sz w:val="21"/>
          <w:szCs w:val="21"/>
        </w:rPr>
        <w:t>三档（5分）：主要工程的施工方案、方法与技术措施符合项目实际，有施工技术方案，工艺及方法基本可行，能指导具体施工。投入的施工材料有组织计划，满足施工需要。</w:t>
      </w:r>
    </w:p>
    <w:p w14:paraId="274EBD78">
      <w:pPr>
        <w:spacing w:line="360" w:lineRule="auto"/>
        <w:ind w:firstLine="420" w:firstLineChars="200"/>
        <w:rPr>
          <w:sz w:val="21"/>
          <w:szCs w:val="21"/>
        </w:rPr>
      </w:pPr>
      <w:r>
        <w:rPr>
          <w:rFonts w:hint="eastAsia"/>
          <w:sz w:val="21"/>
          <w:szCs w:val="21"/>
        </w:rPr>
        <w:t>四档（0分）：不提供主要工程项目的施工方案、方法与技术措施或施工方案不合理，操作方法不可行，保证措施无保障的。</w:t>
      </w:r>
    </w:p>
    <w:p w14:paraId="092DB816">
      <w:pPr>
        <w:spacing w:line="360" w:lineRule="auto"/>
        <w:ind w:firstLine="422" w:firstLineChars="200"/>
        <w:rPr>
          <w:b/>
          <w:bCs/>
          <w:sz w:val="21"/>
          <w:szCs w:val="21"/>
        </w:rPr>
      </w:pPr>
      <w:r>
        <w:rPr>
          <w:rFonts w:hint="eastAsia"/>
          <w:b/>
          <w:bCs/>
          <w:sz w:val="21"/>
          <w:szCs w:val="21"/>
        </w:rPr>
        <w:t>（3）工期保证、工程质量管理体系及保证措施（满分6分）</w:t>
      </w:r>
    </w:p>
    <w:p w14:paraId="34F00941">
      <w:pPr>
        <w:spacing w:line="360" w:lineRule="auto"/>
        <w:ind w:firstLine="420" w:firstLineChars="200"/>
        <w:rPr>
          <w:sz w:val="21"/>
          <w:szCs w:val="21"/>
        </w:rPr>
      </w:pPr>
      <w:r>
        <w:rPr>
          <w:rFonts w:hint="eastAsia"/>
          <w:sz w:val="21"/>
          <w:szCs w:val="21"/>
        </w:rPr>
        <w:t>一档（6分）：有工期保证体系，且工期保证措施合理得当。有控制工期的施工进度计划。有施工总进度表或施工网络图，各项计划图表编制详细且完善，安排科学合理，完全符合本项目施工实际要求。</w:t>
      </w:r>
    </w:p>
    <w:p w14:paraId="3A710A35">
      <w:pPr>
        <w:spacing w:line="360" w:lineRule="auto"/>
        <w:ind w:firstLine="420" w:firstLineChars="200"/>
        <w:rPr>
          <w:sz w:val="21"/>
          <w:szCs w:val="21"/>
        </w:rPr>
      </w:pPr>
      <w:r>
        <w:rPr>
          <w:rFonts w:hint="eastAsia"/>
          <w:sz w:val="21"/>
          <w:szCs w:val="21"/>
        </w:rPr>
        <w:t>二档（5分）：有工期保证体系，且工期保证措施基本满足要求。有控制工期的施工进度计划。有施工总进度表或施工网络图，各项计划图表编制基本完善，安排基本满足要求，基本符合本项目施工实际要求。</w:t>
      </w:r>
    </w:p>
    <w:p w14:paraId="06B94FAD">
      <w:pPr>
        <w:spacing w:line="360" w:lineRule="auto"/>
        <w:ind w:firstLine="420" w:firstLineChars="200"/>
        <w:rPr>
          <w:sz w:val="21"/>
          <w:szCs w:val="21"/>
        </w:rPr>
      </w:pPr>
      <w:r>
        <w:rPr>
          <w:rFonts w:hint="eastAsia"/>
          <w:sz w:val="21"/>
          <w:szCs w:val="21"/>
        </w:rPr>
        <w:t>三档（4分）：有工期保证体系、工期保证措施欠合理。有控制工期的施工进度计划。有施工总进度表或施工网络图，各项计划图表编制基本完善但欠合理，安排基本合理，基本符合本项目施工实际要求。</w:t>
      </w:r>
    </w:p>
    <w:p w14:paraId="1A08A6DF">
      <w:pPr>
        <w:spacing w:line="360" w:lineRule="auto"/>
        <w:ind w:firstLine="420" w:firstLineChars="200"/>
        <w:rPr>
          <w:sz w:val="21"/>
          <w:szCs w:val="21"/>
        </w:rPr>
      </w:pPr>
      <w:r>
        <w:rPr>
          <w:rFonts w:hint="eastAsia"/>
          <w:sz w:val="21"/>
          <w:szCs w:val="21"/>
        </w:rPr>
        <w:t>四档（0分）：不提供工期保证、工程质量管理体系及保证措施或工期保证体系、工期保证措不合理，控制工期的施工进度计划不合理，不符合本项目施工实际要求。</w:t>
      </w:r>
    </w:p>
    <w:p w14:paraId="66436172">
      <w:pPr>
        <w:spacing w:line="360" w:lineRule="auto"/>
        <w:ind w:firstLine="422" w:firstLineChars="200"/>
        <w:rPr>
          <w:b/>
          <w:bCs/>
          <w:sz w:val="21"/>
          <w:szCs w:val="21"/>
        </w:rPr>
      </w:pPr>
      <w:r>
        <w:rPr>
          <w:rFonts w:hint="eastAsia"/>
          <w:b/>
          <w:bCs/>
          <w:sz w:val="21"/>
          <w:szCs w:val="21"/>
        </w:rPr>
        <w:t>（4）安全生产、文明施工管理体系及保证措施（满分5分）</w:t>
      </w:r>
    </w:p>
    <w:p w14:paraId="48546569">
      <w:pPr>
        <w:spacing w:line="360" w:lineRule="auto"/>
        <w:ind w:firstLine="420" w:firstLineChars="200"/>
        <w:rPr>
          <w:sz w:val="21"/>
          <w:szCs w:val="21"/>
        </w:rPr>
      </w:pPr>
      <w:r>
        <w:rPr>
          <w:rFonts w:hint="eastAsia"/>
          <w:sz w:val="21"/>
          <w:szCs w:val="21"/>
        </w:rPr>
        <w:t>一档（5分）：有安全生产管理体系、保证措施可行合理，各道工序安全技术措施针对性强，符合实际且满足有关安全技术标准要求。现场防火、应急救援、社会治安安全措施得力。</w:t>
      </w:r>
    </w:p>
    <w:p w14:paraId="3DB184C0">
      <w:pPr>
        <w:spacing w:line="360" w:lineRule="auto"/>
        <w:ind w:firstLine="420" w:firstLineChars="200"/>
        <w:rPr>
          <w:sz w:val="21"/>
          <w:szCs w:val="21"/>
        </w:rPr>
      </w:pPr>
      <w:r>
        <w:rPr>
          <w:rFonts w:hint="eastAsia"/>
          <w:sz w:val="21"/>
          <w:szCs w:val="21"/>
        </w:rPr>
        <w:t>二档（4分）：有安全生产管理体系、保证措施可行合理，有各道工序安全技术措施，基本符合实际且有关安全技术标准要求。有现场防火、应急救援、社会治安安全措施。</w:t>
      </w:r>
    </w:p>
    <w:p w14:paraId="214DC4B3">
      <w:pPr>
        <w:spacing w:line="360" w:lineRule="auto"/>
        <w:ind w:firstLine="420" w:firstLineChars="200"/>
        <w:rPr>
          <w:sz w:val="21"/>
          <w:szCs w:val="21"/>
        </w:rPr>
      </w:pPr>
      <w:r>
        <w:rPr>
          <w:rFonts w:hint="eastAsia"/>
          <w:sz w:val="21"/>
          <w:szCs w:val="21"/>
        </w:rPr>
        <w:t>三档（3分）：有安全生产管理体系、保证措施基本可行，符合实际且基本满足有关安全技术标准要求。有现场防火、应急救援、社会治安安全措施。</w:t>
      </w:r>
    </w:p>
    <w:p w14:paraId="32CC057E">
      <w:pPr>
        <w:spacing w:line="360" w:lineRule="auto"/>
        <w:ind w:firstLine="420" w:firstLineChars="200"/>
        <w:rPr>
          <w:sz w:val="21"/>
          <w:szCs w:val="21"/>
        </w:rPr>
      </w:pPr>
      <w:r>
        <w:rPr>
          <w:rFonts w:hint="eastAsia"/>
          <w:sz w:val="21"/>
          <w:szCs w:val="21"/>
        </w:rPr>
        <w:t>四档（0分）：不提供安全生产、文明施工管理体系及保证措施或安全生产、文明施工管理体系及保证措施不合理，不符合本项目施工实际要求。</w:t>
      </w:r>
    </w:p>
    <w:p w14:paraId="416B8C63">
      <w:pPr>
        <w:spacing w:line="360" w:lineRule="auto"/>
        <w:ind w:firstLine="422" w:firstLineChars="200"/>
        <w:rPr>
          <w:b/>
          <w:bCs/>
          <w:sz w:val="21"/>
          <w:szCs w:val="21"/>
        </w:rPr>
      </w:pPr>
      <w:r>
        <w:rPr>
          <w:rFonts w:hint="eastAsia"/>
          <w:b/>
          <w:bCs/>
          <w:sz w:val="21"/>
          <w:szCs w:val="21"/>
        </w:rPr>
        <w:t>（5）项目风险预测与防范，事故应急预案（满分5分）</w:t>
      </w:r>
    </w:p>
    <w:p w14:paraId="0F2AF09F">
      <w:pPr>
        <w:spacing w:line="360" w:lineRule="auto"/>
        <w:ind w:firstLine="420" w:firstLineChars="200"/>
        <w:rPr>
          <w:sz w:val="21"/>
          <w:szCs w:val="21"/>
        </w:rPr>
      </w:pPr>
      <w:r>
        <w:rPr>
          <w:rFonts w:hint="eastAsia"/>
          <w:sz w:val="21"/>
          <w:szCs w:val="21"/>
        </w:rPr>
        <w:t>一档（5分）：有项目风险预测与防范，事故应急预案。针对本工程项目特点，有较好的风险预测和应急预案及防范风险事故措施，且各项措施周全、具体、有效。</w:t>
      </w:r>
    </w:p>
    <w:p w14:paraId="40F8916D">
      <w:pPr>
        <w:spacing w:line="360" w:lineRule="auto"/>
        <w:ind w:firstLine="420" w:firstLineChars="200"/>
        <w:rPr>
          <w:sz w:val="21"/>
          <w:szCs w:val="21"/>
        </w:rPr>
      </w:pPr>
      <w:r>
        <w:rPr>
          <w:rFonts w:hint="eastAsia"/>
          <w:sz w:val="21"/>
          <w:szCs w:val="21"/>
        </w:rPr>
        <w:t>二档（4分）：有项目风险预测与防范，事故应急预案。针对本工程项目特点，有风险预测和应急预案及防范风险事故措施，且各项措施具体。</w:t>
      </w:r>
    </w:p>
    <w:p w14:paraId="51979FFF">
      <w:pPr>
        <w:spacing w:line="360" w:lineRule="auto"/>
        <w:ind w:firstLine="420" w:firstLineChars="200"/>
        <w:rPr>
          <w:sz w:val="21"/>
          <w:szCs w:val="21"/>
        </w:rPr>
      </w:pPr>
      <w:r>
        <w:rPr>
          <w:rFonts w:hint="eastAsia"/>
          <w:sz w:val="21"/>
          <w:szCs w:val="21"/>
        </w:rPr>
        <w:t>三档（3分）：有项目风险预测与防范，事故应急预案。有风险预测和应急预案及防范风险事故措施。</w:t>
      </w:r>
    </w:p>
    <w:p w14:paraId="27DEF649">
      <w:pPr>
        <w:spacing w:line="360" w:lineRule="auto"/>
        <w:ind w:firstLine="420" w:firstLineChars="200"/>
        <w:rPr>
          <w:sz w:val="21"/>
          <w:szCs w:val="21"/>
        </w:rPr>
      </w:pPr>
      <w:r>
        <w:rPr>
          <w:rFonts w:hint="eastAsia"/>
          <w:sz w:val="21"/>
          <w:szCs w:val="21"/>
        </w:rPr>
        <w:t>四档（0分）：不提供项目风险预测与防范，事故应急预案或项目风险预测与防范，事故应急预案不合理，不符合本项目施工实际要求。</w:t>
      </w:r>
    </w:p>
    <w:p w14:paraId="38F7DCFF">
      <w:pPr>
        <w:spacing w:line="360" w:lineRule="auto"/>
        <w:ind w:firstLine="422" w:firstLineChars="200"/>
        <w:rPr>
          <w:b/>
          <w:bCs/>
          <w:sz w:val="21"/>
          <w:szCs w:val="21"/>
        </w:rPr>
      </w:pPr>
      <w:r>
        <w:rPr>
          <w:rFonts w:hint="eastAsia"/>
          <w:b/>
          <w:bCs/>
          <w:sz w:val="21"/>
          <w:szCs w:val="21"/>
        </w:rPr>
        <w:t>3、主要人员分</w:t>
      </w:r>
      <w:r>
        <w:rPr>
          <w:rFonts w:hint="eastAsia"/>
          <w:b/>
          <w:bCs/>
        </w:rPr>
        <w:t>……………………………………………………………………………满分</w:t>
      </w:r>
      <w:r>
        <w:rPr>
          <w:rFonts w:hint="eastAsia"/>
          <w:b/>
          <w:bCs/>
          <w:sz w:val="21"/>
          <w:szCs w:val="21"/>
        </w:rPr>
        <w:t>20分</w:t>
      </w:r>
    </w:p>
    <w:p w14:paraId="6FC7A3B8">
      <w:pPr>
        <w:spacing w:line="360" w:lineRule="auto"/>
        <w:ind w:firstLine="422" w:firstLineChars="200"/>
        <w:rPr>
          <w:b/>
          <w:bCs/>
          <w:sz w:val="21"/>
          <w:szCs w:val="21"/>
        </w:rPr>
      </w:pPr>
      <w:r>
        <w:rPr>
          <w:rFonts w:hint="eastAsia"/>
          <w:b/>
          <w:bCs/>
          <w:sz w:val="21"/>
          <w:szCs w:val="21"/>
        </w:rPr>
        <w:t>（1）项目经理任职资格与业绩（满分10分）</w:t>
      </w:r>
    </w:p>
    <w:p w14:paraId="762EC62D">
      <w:pPr>
        <w:spacing w:line="360" w:lineRule="auto"/>
        <w:ind w:firstLine="420" w:firstLineChars="200"/>
        <w:rPr>
          <w:sz w:val="21"/>
          <w:szCs w:val="21"/>
          <w:highlight w:val="none"/>
        </w:rPr>
      </w:pPr>
      <w:bookmarkStart w:id="84" w:name="OLE_LINK53"/>
      <w:r>
        <w:rPr>
          <w:rFonts w:hint="eastAsia"/>
          <w:sz w:val="21"/>
          <w:szCs w:val="21"/>
        </w:rPr>
        <w:t>满足最低要求可得6分，</w:t>
      </w:r>
      <w:bookmarkEnd w:id="84"/>
      <w:bookmarkStart w:id="85" w:name="OLE_LINK55"/>
      <w:bookmarkStart w:id="86" w:name="OLE_LINK54"/>
      <w:bookmarkStart w:id="87" w:name="OLE_LINK31"/>
      <w:r>
        <w:rPr>
          <w:rFonts w:hint="eastAsia"/>
          <w:sz w:val="21"/>
          <w:szCs w:val="21"/>
        </w:rPr>
        <w:t>在此</w:t>
      </w:r>
      <w:r>
        <w:rPr>
          <w:rFonts w:hint="eastAsia"/>
          <w:sz w:val="21"/>
          <w:szCs w:val="21"/>
          <w:highlight w:val="none"/>
        </w:rPr>
        <w:t>基础上，</w:t>
      </w:r>
      <w:bookmarkEnd w:id="85"/>
      <w:bookmarkEnd w:id="86"/>
      <w:r>
        <w:rPr>
          <w:rFonts w:hint="eastAsia"/>
          <w:sz w:val="21"/>
          <w:szCs w:val="21"/>
          <w:highlight w:val="none"/>
        </w:rPr>
        <w:t>自2020年3月（所担任职务的项目的交竣工日期在2020年03月01日以后）起至今每增加担任过一</w:t>
      </w:r>
      <w:r>
        <w:rPr>
          <w:rFonts w:hint="eastAsia"/>
          <w:color w:val="auto"/>
          <w:sz w:val="21"/>
          <w:szCs w:val="21"/>
          <w:highlight w:val="none"/>
        </w:rPr>
        <w:t>个3</w:t>
      </w:r>
      <w:r>
        <w:rPr>
          <w:rFonts w:hint="eastAsia"/>
          <w:sz w:val="21"/>
          <w:szCs w:val="21"/>
          <w:highlight w:val="none"/>
        </w:rPr>
        <w:t>公里（或以上）二级公路（或以上）含交通安全设施的公路工程项目</w:t>
      </w:r>
      <w:bookmarkEnd w:id="87"/>
      <w:r>
        <w:rPr>
          <w:rFonts w:hint="eastAsia"/>
          <w:sz w:val="21"/>
          <w:szCs w:val="21"/>
          <w:highlight w:val="none"/>
        </w:rPr>
        <w:t>的项目经理或项目副经理，加2分，本项最多加4分。</w:t>
      </w:r>
    </w:p>
    <w:p w14:paraId="7B226CD2">
      <w:pPr>
        <w:pStyle w:val="12"/>
        <w:rPr>
          <w:highlight w:val="none"/>
        </w:rPr>
      </w:pPr>
    </w:p>
    <w:p w14:paraId="2F45FD06">
      <w:pPr>
        <w:spacing w:line="360" w:lineRule="auto"/>
        <w:ind w:firstLine="422" w:firstLineChars="200"/>
        <w:rPr>
          <w:b/>
          <w:bCs/>
          <w:sz w:val="21"/>
          <w:szCs w:val="21"/>
          <w:highlight w:val="none"/>
        </w:rPr>
      </w:pPr>
      <w:r>
        <w:rPr>
          <w:rFonts w:hint="eastAsia"/>
          <w:b/>
          <w:bCs/>
          <w:sz w:val="21"/>
          <w:szCs w:val="21"/>
          <w:highlight w:val="none"/>
        </w:rPr>
        <w:t>（2）项目总工任职资格与业绩（满分10分）</w:t>
      </w:r>
    </w:p>
    <w:p w14:paraId="383B39FF">
      <w:pPr>
        <w:spacing w:line="360" w:lineRule="auto"/>
        <w:ind w:firstLine="420" w:firstLineChars="200"/>
        <w:rPr>
          <w:sz w:val="21"/>
          <w:szCs w:val="21"/>
          <w:highlight w:val="none"/>
        </w:rPr>
      </w:pPr>
      <w:r>
        <w:rPr>
          <w:rFonts w:hint="eastAsia"/>
          <w:sz w:val="21"/>
          <w:szCs w:val="21"/>
          <w:highlight w:val="none"/>
        </w:rPr>
        <w:t>满足最低要求可得6分，在此基础上，自2020年3月（所担任职务的项目的交竣工日期在2020年03月01日以后）起至今每增加担任过一个</w:t>
      </w:r>
      <w:r>
        <w:rPr>
          <w:rFonts w:hint="eastAsia"/>
          <w:color w:val="auto"/>
          <w:sz w:val="21"/>
          <w:szCs w:val="21"/>
          <w:highlight w:val="none"/>
        </w:rPr>
        <w:t>3</w:t>
      </w:r>
      <w:r>
        <w:rPr>
          <w:rFonts w:hint="eastAsia"/>
          <w:sz w:val="21"/>
          <w:szCs w:val="21"/>
          <w:highlight w:val="none"/>
        </w:rPr>
        <w:t>公里（或以上）二级公路（或以上）含交通安全设施的公路工程项目的项目总工或项目副总工，加2分，</w:t>
      </w:r>
      <w:bookmarkStart w:id="88" w:name="OLE_LINK35"/>
      <w:bookmarkStart w:id="89" w:name="OLE_LINK36"/>
      <w:r>
        <w:rPr>
          <w:rFonts w:hint="eastAsia"/>
          <w:sz w:val="21"/>
          <w:szCs w:val="21"/>
          <w:highlight w:val="none"/>
        </w:rPr>
        <w:t>本项最多加4分。</w:t>
      </w:r>
      <w:bookmarkEnd w:id="88"/>
      <w:bookmarkEnd w:id="89"/>
    </w:p>
    <w:p w14:paraId="4ACEDD42">
      <w:pPr>
        <w:spacing w:line="360" w:lineRule="auto"/>
        <w:ind w:firstLine="420" w:firstLineChars="200"/>
        <w:rPr>
          <w:sz w:val="21"/>
          <w:szCs w:val="21"/>
          <w:highlight w:val="none"/>
        </w:rPr>
      </w:pPr>
      <w:r>
        <w:rPr>
          <w:rFonts w:hint="eastAsia"/>
          <w:sz w:val="21"/>
          <w:szCs w:val="21"/>
          <w:highlight w:val="none"/>
        </w:rPr>
        <w:t>注：公路工程包括</w:t>
      </w:r>
      <w:r>
        <w:rPr>
          <w:rFonts w:hint="eastAsia"/>
          <w:sz w:val="21"/>
          <w:szCs w:val="21"/>
          <w:highlight w:val="none"/>
          <w:lang w:eastAsia="zh-CN"/>
        </w:rPr>
        <w:t>公路新建、公路改扩建、公路养护工程、公路交通安全设施工程</w:t>
      </w:r>
      <w:r>
        <w:rPr>
          <w:rFonts w:hint="eastAsia"/>
          <w:sz w:val="21"/>
          <w:szCs w:val="21"/>
          <w:highlight w:val="none"/>
        </w:rPr>
        <w:t>等；成功完成是指工程按《公路工程竣（交）工验收办法》交工验收或竣工验收通过。</w:t>
      </w:r>
    </w:p>
    <w:p w14:paraId="5012DD7C">
      <w:pPr>
        <w:spacing w:line="360" w:lineRule="auto"/>
        <w:ind w:firstLine="422" w:firstLineChars="200"/>
        <w:rPr>
          <w:b/>
          <w:bCs/>
          <w:sz w:val="21"/>
          <w:szCs w:val="21"/>
          <w:highlight w:val="none"/>
        </w:rPr>
      </w:pPr>
      <w:r>
        <w:rPr>
          <w:rFonts w:hint="eastAsia"/>
          <w:b/>
          <w:bCs/>
          <w:sz w:val="21"/>
          <w:szCs w:val="21"/>
          <w:highlight w:val="none"/>
        </w:rPr>
        <w:t>4、履约信誉分</w:t>
      </w:r>
      <w:r>
        <w:rPr>
          <w:rFonts w:hint="eastAsia"/>
          <w:b/>
          <w:bCs/>
          <w:highlight w:val="none"/>
        </w:rPr>
        <w:t>……………………………………………………………………………满分</w:t>
      </w:r>
      <w:r>
        <w:rPr>
          <w:rFonts w:hint="eastAsia"/>
          <w:b/>
          <w:bCs/>
          <w:sz w:val="21"/>
          <w:szCs w:val="21"/>
          <w:highlight w:val="none"/>
        </w:rPr>
        <w:t>10分</w:t>
      </w:r>
    </w:p>
    <w:p w14:paraId="5D750944">
      <w:pPr>
        <w:wordWrap w:val="0"/>
        <w:spacing w:line="360" w:lineRule="auto"/>
        <w:ind w:firstLine="420" w:firstLineChars="200"/>
        <w:rPr>
          <w:sz w:val="21"/>
          <w:szCs w:val="21"/>
          <w:highlight w:val="none"/>
        </w:rPr>
      </w:pPr>
      <w:r>
        <w:rPr>
          <w:rFonts w:hint="eastAsia"/>
          <w:sz w:val="21"/>
          <w:szCs w:val="21"/>
          <w:highlight w:val="none"/>
        </w:rPr>
        <w:t>（1）无</w:t>
      </w:r>
      <w:bookmarkStart w:id="90" w:name="OLE_LINK32"/>
      <w:r>
        <w:rPr>
          <w:rFonts w:hint="eastAsia"/>
          <w:sz w:val="21"/>
          <w:szCs w:val="21"/>
          <w:highlight w:val="none"/>
        </w:rPr>
        <w:t>不良信用记录</w:t>
      </w:r>
      <w:bookmarkEnd w:id="90"/>
      <w:r>
        <w:rPr>
          <w:rFonts w:hint="eastAsia"/>
          <w:sz w:val="21"/>
          <w:szCs w:val="21"/>
          <w:highlight w:val="none"/>
        </w:rPr>
        <w:t>的得7分，在全国公路建设市场信用信息管理系统(http//glxy.mot.gov.cn)的不良行为记录中自2022年1月1日起（以对外公布时间为准）存在一项不良行为记录的扣1分（以评标期间核查为准），扣完7分为止。</w:t>
      </w:r>
    </w:p>
    <w:p w14:paraId="729903A6">
      <w:pPr>
        <w:spacing w:line="351" w:lineRule="auto"/>
        <w:ind w:firstLine="420" w:firstLineChars="200"/>
        <w:rPr>
          <w:sz w:val="21"/>
          <w:szCs w:val="21"/>
        </w:rPr>
      </w:pPr>
      <w:r>
        <w:rPr>
          <w:rFonts w:hint="eastAsia"/>
          <w:sz w:val="21"/>
          <w:szCs w:val="21"/>
          <w:highlight w:val="none"/>
        </w:rPr>
        <w:t>（2）以广西壮族自治区交通运输厅最新公布的广西公路养护工程施工企业信用评价等级评定（以磋商文件发布截止日期当日供应商所具备的信用等级</w:t>
      </w:r>
      <w:r>
        <w:rPr>
          <w:rFonts w:hint="eastAsia"/>
          <w:sz w:val="21"/>
          <w:szCs w:val="21"/>
        </w:rPr>
        <w:t>）为准，获得广西公路养护工程施工企业信用评价等级“AA”级的得3分，“A”级的得2分，“B”级的得0.5分，“C”级的得0分。（1.施工企业初次进入广西公路养护工程市场时，其信用等级按照广西公路建设市场信用评价结果确定；2.施工企业初次进入广西公路养护工程市场时，无广西公路建设市场信用评价结果的，其信用等级按照全国综合评价结果确定；3.施工企业初次进入广西公路养护工程市场时，无广西公路建设市场评信用评价结果和全国综合评价结果的，其信用等级参照企业注册地省级综合评价结果确定，但施工单位信用等级最高为A级；4.施工企业初次进入广西公路养护工程市场时，无广西公路建设市场、全国和企业注册地省级综合评价结果的，无不良信用记录，按B级确定，若有不良信用记录，按C级确定）。</w:t>
      </w:r>
    </w:p>
    <w:p w14:paraId="46CDA4D7">
      <w:pPr>
        <w:spacing w:line="351" w:lineRule="auto"/>
        <w:ind w:firstLine="422" w:firstLineChars="200"/>
        <w:rPr>
          <w:b/>
          <w:bCs/>
          <w:sz w:val="21"/>
          <w:szCs w:val="21"/>
        </w:rPr>
      </w:pPr>
      <w:r>
        <w:rPr>
          <w:rFonts w:hint="eastAsia"/>
          <w:b/>
          <w:bCs/>
          <w:sz w:val="21"/>
          <w:szCs w:val="21"/>
        </w:rPr>
        <w:t>5、投标人业绩分</w:t>
      </w:r>
      <w:r>
        <w:rPr>
          <w:rFonts w:hint="eastAsia"/>
          <w:b/>
          <w:bCs/>
        </w:rPr>
        <w:t>…………………………………………………………………………满分</w:t>
      </w:r>
      <w:r>
        <w:rPr>
          <w:rFonts w:hint="eastAsia"/>
          <w:b/>
          <w:bCs/>
          <w:sz w:val="21"/>
          <w:szCs w:val="21"/>
        </w:rPr>
        <w:t>10分</w:t>
      </w:r>
    </w:p>
    <w:p w14:paraId="46946293">
      <w:pPr>
        <w:spacing w:line="351" w:lineRule="auto"/>
        <w:ind w:firstLine="420" w:firstLineChars="200"/>
        <w:rPr>
          <w:sz w:val="21"/>
          <w:szCs w:val="21"/>
        </w:rPr>
      </w:pPr>
      <w:r>
        <w:rPr>
          <w:rFonts w:hint="eastAsia"/>
          <w:color w:val="auto"/>
          <w:sz w:val="21"/>
          <w:szCs w:val="21"/>
          <w:highlight w:val="none"/>
        </w:rPr>
        <w:t>自2020年03月</w:t>
      </w:r>
      <w:r>
        <w:rPr>
          <w:rFonts w:hint="eastAsia"/>
          <w:sz w:val="21"/>
          <w:szCs w:val="21"/>
        </w:rPr>
        <w:t>（所完成项目的项目的交竣工日期在</w:t>
      </w:r>
      <w:r>
        <w:rPr>
          <w:rFonts w:hint="eastAsia"/>
          <w:color w:val="auto"/>
          <w:sz w:val="21"/>
          <w:szCs w:val="21"/>
          <w:highlight w:val="none"/>
        </w:rPr>
        <w:t>2020年03月1日以后）</w:t>
      </w:r>
      <w:r>
        <w:rPr>
          <w:rFonts w:hint="eastAsia"/>
          <w:sz w:val="21"/>
          <w:szCs w:val="21"/>
        </w:rPr>
        <w:t>起至今完成过一</w:t>
      </w:r>
      <w:r>
        <w:rPr>
          <w:rFonts w:hint="eastAsia"/>
          <w:color w:val="auto"/>
          <w:sz w:val="21"/>
          <w:szCs w:val="21"/>
          <w:highlight w:val="none"/>
        </w:rPr>
        <w:t>个3公里（</w:t>
      </w:r>
      <w:r>
        <w:rPr>
          <w:rFonts w:hint="eastAsia"/>
          <w:sz w:val="21"/>
          <w:szCs w:val="21"/>
        </w:rPr>
        <w:t>或以上）二级公路（或以上）含交通安全设施的公路工程项目业绩得2分，每增加一个项目加2分，满分10分。</w:t>
      </w:r>
    </w:p>
    <w:p w14:paraId="1368AF18">
      <w:pPr>
        <w:adjustRightInd w:val="0"/>
        <w:snapToGrid w:val="0"/>
        <w:spacing w:line="351" w:lineRule="auto"/>
        <w:ind w:firstLine="422" w:firstLineChars="200"/>
        <w:rPr>
          <w:rFonts w:asciiTheme="minorEastAsia" w:hAnsiTheme="minorEastAsia" w:eastAsiaTheme="minorEastAsia"/>
          <w:sz w:val="21"/>
          <w:szCs w:val="21"/>
        </w:rPr>
      </w:pPr>
      <w:r>
        <w:rPr>
          <w:rFonts w:hint="eastAsia" w:cs="仿宋" w:asciiTheme="minorEastAsia" w:hAnsiTheme="minorEastAsia" w:eastAsiaTheme="minorEastAsia"/>
          <w:b/>
          <w:sz w:val="21"/>
          <w:szCs w:val="21"/>
        </w:rPr>
        <w:t>（</w:t>
      </w:r>
      <w:r>
        <w:rPr>
          <w:rFonts w:hint="eastAsia" w:cs="仿宋" w:asciiTheme="minorEastAsia" w:hAnsiTheme="minorEastAsia" w:eastAsiaTheme="minorEastAsia"/>
          <w:sz w:val="21"/>
          <w:szCs w:val="21"/>
        </w:rPr>
        <w:t>注：</w:t>
      </w:r>
      <w:r>
        <w:rPr>
          <w:rFonts w:hint="eastAsia" w:asciiTheme="minorEastAsia" w:hAnsiTheme="minorEastAsia" w:eastAsiaTheme="minorEastAsia"/>
          <w:sz w:val="21"/>
          <w:szCs w:val="21"/>
        </w:rPr>
        <w:t>（1）成功完成是指工程按交通部令2004年第3号《公路工程竣（交）工验收办法》交工验收或竣工验收通过）。</w:t>
      </w:r>
    </w:p>
    <w:p w14:paraId="609A7589">
      <w:pPr>
        <w:adjustRightInd w:val="0"/>
        <w:snapToGrid w:val="0"/>
        <w:spacing w:line="351"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（2）施工业绩是指工程按交通部令2004年第3号《公路工程竣（交）工验收办法》交工验收或竣工验收通过且投标人</w:t>
      </w:r>
      <w:r>
        <w:rPr>
          <w:rFonts w:hint="eastAsia" w:cs="Times New Roman" w:asciiTheme="minorEastAsia" w:hAnsiTheme="minorEastAsia" w:eastAsiaTheme="minorEastAsia"/>
          <w:sz w:val="21"/>
          <w:szCs w:val="21"/>
        </w:rPr>
        <w:t>在</w:t>
      </w:r>
      <w:r>
        <w:rPr>
          <w:rFonts w:hint="eastAsia"/>
          <w:sz w:val="21"/>
          <w:szCs w:val="21"/>
        </w:rPr>
        <w:t>响应文件</w:t>
      </w:r>
      <w:r>
        <w:rPr>
          <w:rFonts w:hint="eastAsia" w:cs="Times New Roman" w:asciiTheme="minorEastAsia" w:hAnsiTheme="minorEastAsia" w:eastAsiaTheme="minorEastAsia"/>
          <w:sz w:val="21"/>
          <w:szCs w:val="21"/>
        </w:rPr>
        <w:t>中填报的业绩应当与其在交通运输主管部门公路建设市场监督管理系统上填报并通过交通运输主管部门审核发布的相关信息一致,并提供相应</w:t>
      </w:r>
      <w:r>
        <w:rPr>
          <w:rFonts w:hint="eastAsia" w:cs="仿宋_GB2312" w:asciiTheme="minorEastAsia" w:hAnsiTheme="minorEastAsia" w:eastAsiaTheme="minorEastAsia"/>
          <w:kern w:val="2"/>
          <w:sz w:val="21"/>
          <w:szCs w:val="21"/>
        </w:rPr>
        <w:t>“全国公路建设市场监督管理系统（https://hwdms.mot.gov.cn/BMWebSite）</w:t>
      </w:r>
      <w:r>
        <w:rPr>
          <w:rFonts w:hint="eastAsia" w:cs="Times New Roman" w:asciiTheme="minorEastAsia" w:hAnsiTheme="minorEastAsia" w:eastAsiaTheme="minorEastAsia"/>
          <w:sz w:val="21"/>
          <w:szCs w:val="21"/>
        </w:rPr>
        <w:t xml:space="preserve">查询到的企业“业绩信息”相关项目网页截图，即包括“项目名称”“标段类型”“合同价”“主要工程量”“项目主要管理人员”等栏目在内的项目详细信息网页截图。除网页截图复印件外，投标人提供的其他任何业绩证明材料均不予以认可。 </w:t>
      </w:r>
    </w:p>
    <w:p w14:paraId="16ED1C80">
      <w:pPr>
        <w:adjustRightInd w:val="0"/>
        <w:snapToGrid w:val="0"/>
        <w:spacing w:line="351" w:lineRule="auto"/>
        <w:ind w:firstLine="210" w:firstLineChars="100"/>
        <w:rPr>
          <w:rFonts w:cs="仿宋" w:asciiTheme="minorEastAsia" w:hAnsiTheme="minorEastAsia" w:eastAsiaTheme="minorEastAsia"/>
          <w:b/>
          <w:sz w:val="21"/>
          <w:szCs w:val="21"/>
        </w:rPr>
      </w:pPr>
      <w:r>
        <w:rPr>
          <w:rFonts w:hint="eastAsia" w:asciiTheme="minorEastAsia" w:hAnsiTheme="minorEastAsia" w:eastAsiaTheme="minorEastAsia"/>
          <w:sz w:val="21"/>
          <w:szCs w:val="21"/>
        </w:rPr>
        <w:t>（3）在交通运输部“</w:t>
      </w:r>
      <w:r>
        <w:rPr>
          <w:rFonts w:hint="eastAsia" w:cs="仿宋_GB2312" w:asciiTheme="minorEastAsia" w:hAnsiTheme="minorEastAsia" w:eastAsiaTheme="minorEastAsia"/>
          <w:kern w:val="2"/>
          <w:sz w:val="21"/>
          <w:szCs w:val="21"/>
        </w:rPr>
        <w:t>全国公路建设市场监督管理系统</w:t>
      </w:r>
      <w:r>
        <w:rPr>
          <w:rFonts w:hint="eastAsia" w:asciiTheme="minorEastAsia" w:hAnsiTheme="minorEastAsia" w:eastAsiaTheme="minorEastAsia"/>
          <w:sz w:val="21"/>
          <w:szCs w:val="21"/>
        </w:rPr>
        <w:t>”中无法查询，但可在省级交通运输主管部门“公路建设市场信用信息管理系统</w:t>
      </w:r>
      <w:r>
        <w:rPr>
          <w:rFonts w:asciiTheme="minorEastAsia" w:hAnsiTheme="minorEastAsia" w:eastAsiaTheme="minorEastAsia"/>
          <w:sz w:val="21"/>
          <w:szCs w:val="21"/>
        </w:rPr>
        <w:t>”</w:t>
      </w:r>
      <w:r>
        <w:rPr>
          <w:rFonts w:hint="eastAsia" w:asciiTheme="minorEastAsia" w:hAnsiTheme="minorEastAsia" w:eastAsiaTheme="minorEastAsia"/>
          <w:sz w:val="21"/>
          <w:szCs w:val="21"/>
        </w:rPr>
        <w:t>(系统名称以各省省级交通运输主管部门采用的名称为准）中查询的，应附省级交通运输主管部门“公路建设市场信用信息管理系统</w:t>
      </w:r>
      <w:r>
        <w:rPr>
          <w:rFonts w:asciiTheme="minorEastAsia" w:hAnsiTheme="minorEastAsia" w:eastAsiaTheme="minorEastAsia"/>
          <w:sz w:val="21"/>
          <w:szCs w:val="21"/>
        </w:rPr>
        <w:t>”</w:t>
      </w:r>
      <w:r>
        <w:rPr>
          <w:rFonts w:hint="eastAsia" w:asciiTheme="minorEastAsia" w:hAnsiTheme="minorEastAsia" w:eastAsiaTheme="minorEastAsia"/>
          <w:sz w:val="21"/>
          <w:szCs w:val="21"/>
        </w:rPr>
        <w:t>(系统名称以各省省级交通运输主管部门采用的名称为准）中查询到的网页截图，且截图信息要求与上述第2点一致。除网页截图复印件外，投标人提供的其他任何业绩证明材料均不予以认可。</w:t>
      </w:r>
    </w:p>
    <w:p w14:paraId="4D94A937">
      <w:pPr>
        <w:spacing w:line="351"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（4）公路工程包括</w:t>
      </w:r>
      <w:r>
        <w:rPr>
          <w:rFonts w:hint="eastAsia" w:asciiTheme="minorEastAsia" w:hAnsiTheme="minorEastAsia" w:eastAsiaTheme="minorEastAsia"/>
          <w:sz w:val="21"/>
          <w:szCs w:val="21"/>
          <w:lang w:eastAsia="zh-CN"/>
        </w:rPr>
        <w:t>公路新建、公路改扩建、公路养护工程、公路交通安全设施工程</w:t>
      </w:r>
      <w:r>
        <w:rPr>
          <w:rFonts w:hint="eastAsia" w:asciiTheme="minorEastAsia" w:hAnsiTheme="minorEastAsia" w:eastAsiaTheme="minorEastAsia"/>
          <w:sz w:val="21"/>
          <w:szCs w:val="21"/>
        </w:rPr>
        <w:t>等</w:t>
      </w:r>
      <w:r>
        <w:rPr>
          <w:rFonts w:hint="eastAsia" w:asciiTheme="minorEastAsia" w:hAnsiTheme="minorEastAsia" w:eastAsiaTheme="minorEastAsia"/>
          <w:sz w:val="21"/>
          <w:szCs w:val="21"/>
          <w:lang w:eastAsia="zh-CN"/>
        </w:rPr>
        <w:t>。</w:t>
      </w:r>
    </w:p>
    <w:p w14:paraId="47BA1633">
      <w:pPr>
        <w:spacing w:line="351" w:lineRule="auto"/>
        <w:ind w:firstLine="422" w:firstLineChars="200"/>
        <w:rPr>
          <w:b/>
          <w:bCs/>
          <w:sz w:val="21"/>
          <w:szCs w:val="21"/>
        </w:rPr>
      </w:pPr>
      <w:r>
        <w:rPr>
          <w:rFonts w:hint="eastAsia"/>
          <w:b/>
          <w:bCs/>
          <w:sz w:val="21"/>
          <w:szCs w:val="21"/>
        </w:rPr>
        <w:t>6、综</w:t>
      </w:r>
      <w:bookmarkStart w:id="146" w:name="_GoBack"/>
      <w:bookmarkEnd w:id="146"/>
      <w:r>
        <w:rPr>
          <w:rFonts w:hint="eastAsia"/>
          <w:b/>
          <w:bCs/>
          <w:sz w:val="21"/>
          <w:szCs w:val="21"/>
        </w:rPr>
        <w:t>合得分＝1+2+3+4+5</w:t>
      </w:r>
    </w:p>
    <w:p w14:paraId="00F72DF5">
      <w:pPr>
        <w:spacing w:line="351" w:lineRule="auto"/>
        <w:ind w:firstLine="422" w:firstLineChars="200"/>
        <w:rPr>
          <w:b/>
          <w:bCs/>
          <w:sz w:val="21"/>
          <w:szCs w:val="21"/>
        </w:rPr>
      </w:pPr>
      <w:r>
        <w:rPr>
          <w:rFonts w:hint="eastAsia"/>
          <w:b/>
          <w:bCs/>
          <w:sz w:val="21"/>
          <w:szCs w:val="21"/>
        </w:rPr>
        <w:t>三、推荐及确定中标候选供应商原则</w:t>
      </w:r>
    </w:p>
    <w:p w14:paraId="1A4B1F8A">
      <w:pPr>
        <w:spacing w:line="351" w:lineRule="auto"/>
        <w:ind w:firstLine="420" w:firstLineChars="200"/>
        <w:rPr>
          <w:sz w:val="21"/>
          <w:szCs w:val="21"/>
        </w:rPr>
      </w:pPr>
      <w:r>
        <w:rPr>
          <w:rFonts w:hint="eastAsia"/>
          <w:sz w:val="21"/>
          <w:szCs w:val="21"/>
        </w:rPr>
        <w:t>（1）磋商小组应当根据综合得分情况，按照综合得分由高到低顺序推荐三名成交候选供应商，并编写评审报告。磋商小组根据综合得分由高到低排列次序；综合评分相等时，以最后一次报价低的优先；投标报价也相等的，采购人可采用被招标项目所在地省级交通主管部门评为较高信用等级的投标人优先或其他方法确定第一中标候选人。</w:t>
      </w:r>
    </w:p>
    <w:p w14:paraId="2AB893AE">
      <w:pPr>
        <w:spacing w:line="351" w:lineRule="auto"/>
        <w:ind w:firstLine="420" w:firstLineChars="200"/>
        <w:rPr>
          <w:sz w:val="21"/>
          <w:szCs w:val="21"/>
        </w:rPr>
      </w:pPr>
      <w:r>
        <w:rPr>
          <w:rFonts w:hint="eastAsia"/>
          <w:sz w:val="21"/>
          <w:szCs w:val="21"/>
        </w:rPr>
        <w:t>（2）</w:t>
      </w:r>
      <w:r>
        <w:rPr>
          <w:rFonts w:hint="eastAsia"/>
          <w:b/>
          <w:bCs/>
          <w:sz w:val="21"/>
          <w:szCs w:val="21"/>
        </w:rPr>
        <w:t>本项目确定一名成交供应商。由采购人依法确定成交供应商。</w:t>
      </w:r>
    </w:p>
    <w:p w14:paraId="1ED47E59">
      <w:pPr>
        <w:tabs>
          <w:tab w:val="left" w:pos="1305"/>
        </w:tabs>
        <w:spacing w:line="351" w:lineRule="auto"/>
        <w:ind w:firstLine="420" w:firstLineChars="200"/>
        <w:rPr>
          <w:sz w:val="21"/>
          <w:szCs w:val="21"/>
        </w:rPr>
      </w:pPr>
      <w:r>
        <w:rPr>
          <w:rFonts w:hint="eastAsia"/>
          <w:sz w:val="21"/>
          <w:szCs w:val="21"/>
        </w:rPr>
        <w:t>（3）排名第一的成交候选供应商放弃成交、因不可抗力提出不能履行合同，或者竞争性磋商采购文件规定应当提交履约保证金而在规定的期限内未能提交的，采购人可以按照评审报告推荐的成交候选供应商名单排序，确定下一候选供应商为成交供应商，也可以重新开展政府采购活动。</w:t>
      </w:r>
    </w:p>
    <w:p w14:paraId="5B6FB3ED">
      <w:pPr>
        <w:tabs>
          <w:tab w:val="left" w:pos="1305"/>
        </w:tabs>
        <w:spacing w:line="351" w:lineRule="auto"/>
        <w:ind w:firstLine="420" w:firstLineChars="200"/>
        <w:rPr>
          <w:sz w:val="21"/>
          <w:szCs w:val="21"/>
        </w:rPr>
      </w:pPr>
      <w:r>
        <w:rPr>
          <w:rFonts w:hint="eastAsia"/>
          <w:sz w:val="21"/>
          <w:szCs w:val="21"/>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14:paraId="7D8D50B7">
      <w:pPr>
        <w:spacing w:line="360" w:lineRule="auto"/>
        <w:ind w:firstLine="422"/>
        <w:rPr>
          <w:sz w:val="21"/>
          <w:szCs w:val="21"/>
        </w:rPr>
        <w:sectPr>
          <w:footerReference r:id="rId4" w:type="default"/>
          <w:pgSz w:w="11911" w:h="16849"/>
          <w:pgMar w:top="1417" w:right="1417" w:bottom="1417" w:left="1417" w:header="720" w:footer="720" w:gutter="0"/>
          <w:cols w:space="720" w:num="1"/>
        </w:sectPr>
      </w:pPr>
    </w:p>
    <w:p w14:paraId="1E2B6544">
      <w:pPr>
        <w:pStyle w:val="2"/>
        <w:numPr>
          <w:ilvl w:val="0"/>
          <w:numId w:val="1"/>
        </w:numPr>
        <w:spacing w:before="35"/>
        <w:ind w:right="320" w:firstLine="723"/>
        <w:jc w:val="center"/>
        <w:rPr>
          <w:sz w:val="36"/>
          <w:szCs w:val="36"/>
        </w:rPr>
      </w:pPr>
      <w:bookmarkStart w:id="91" w:name="第五章__政府采购合同（合同主要条款及格式）"/>
      <w:bookmarkEnd w:id="91"/>
      <w:bookmarkStart w:id="92" w:name="_Toc29957"/>
      <w:r>
        <w:rPr>
          <w:sz w:val="36"/>
          <w:szCs w:val="36"/>
        </w:rPr>
        <w:t>合同条款及格式</w:t>
      </w:r>
      <w:bookmarkEnd w:id="92"/>
    </w:p>
    <w:p w14:paraId="14C76EBA">
      <w:pPr>
        <w:pStyle w:val="12"/>
        <w:spacing w:before="12"/>
        <w:ind w:firstLine="280"/>
        <w:rPr>
          <w:b/>
          <w:sz w:val="14"/>
        </w:rPr>
      </w:pPr>
    </w:p>
    <w:p w14:paraId="7259D399">
      <w:pPr>
        <w:spacing w:before="54"/>
        <w:ind w:left="118" w:right="235" w:firstLine="640"/>
        <w:jc w:val="center"/>
        <w:rPr>
          <w:b/>
          <w:sz w:val="32"/>
        </w:rPr>
      </w:pPr>
      <w:bookmarkStart w:id="93" w:name="第一节__通用合同条款"/>
      <w:bookmarkEnd w:id="93"/>
    </w:p>
    <w:p w14:paraId="13829741">
      <w:pPr>
        <w:spacing w:before="54"/>
        <w:ind w:left="118" w:right="235" w:firstLine="640"/>
        <w:jc w:val="center"/>
        <w:rPr>
          <w:b/>
          <w:sz w:val="32"/>
        </w:rPr>
      </w:pPr>
    </w:p>
    <w:p w14:paraId="2FD33A59">
      <w:pPr>
        <w:spacing w:before="54"/>
        <w:ind w:left="118" w:right="235" w:firstLine="640"/>
        <w:jc w:val="center"/>
        <w:rPr>
          <w:b/>
          <w:sz w:val="32"/>
        </w:rPr>
      </w:pPr>
    </w:p>
    <w:p w14:paraId="05FF1C28">
      <w:pPr>
        <w:spacing w:before="54"/>
        <w:ind w:left="118" w:right="235" w:firstLine="640"/>
        <w:jc w:val="center"/>
        <w:rPr>
          <w:b/>
          <w:sz w:val="32"/>
        </w:rPr>
      </w:pPr>
    </w:p>
    <w:p w14:paraId="7A2033D6">
      <w:pPr>
        <w:spacing w:before="54"/>
        <w:ind w:left="118" w:right="235" w:firstLine="640"/>
        <w:jc w:val="center"/>
        <w:rPr>
          <w:b/>
          <w:sz w:val="32"/>
        </w:rPr>
      </w:pPr>
    </w:p>
    <w:p w14:paraId="1F64D484">
      <w:pPr>
        <w:spacing w:before="54"/>
        <w:ind w:left="118" w:right="235" w:firstLine="643"/>
        <w:jc w:val="center"/>
        <w:rPr>
          <w:b/>
          <w:sz w:val="32"/>
        </w:rPr>
      </w:pPr>
      <w:r>
        <w:rPr>
          <w:b/>
          <w:sz w:val="32"/>
        </w:rPr>
        <w:t>第一节通用合同条款</w:t>
      </w:r>
    </w:p>
    <w:p w14:paraId="0D49520E">
      <w:pPr>
        <w:pStyle w:val="12"/>
        <w:ind w:firstLine="640"/>
        <w:rPr>
          <w:b/>
          <w:sz w:val="32"/>
        </w:rPr>
      </w:pPr>
    </w:p>
    <w:p w14:paraId="76E6230C">
      <w:pPr>
        <w:pStyle w:val="12"/>
        <w:spacing w:before="2"/>
        <w:ind w:firstLine="580"/>
        <w:rPr>
          <w:b/>
          <w:sz w:val="29"/>
        </w:rPr>
      </w:pPr>
    </w:p>
    <w:p w14:paraId="039A9EE8">
      <w:pPr>
        <w:pStyle w:val="8"/>
        <w:spacing w:line="436" w:lineRule="auto"/>
        <w:ind w:right="203" w:firstLine="482"/>
      </w:pPr>
      <w:bookmarkStart w:id="94" w:name="OLE_LINK46"/>
      <w:bookmarkStart w:id="95" w:name="OLE_LINK45"/>
      <w:r>
        <w:t>国家九部委《</w:t>
      </w:r>
      <w:bookmarkStart w:id="96" w:name="OLE_LINK43"/>
      <w:bookmarkStart w:id="97" w:name="OLE_LINK44"/>
      <w:r>
        <w:t>标准施工招标文件</w:t>
      </w:r>
      <w:bookmarkEnd w:id="96"/>
      <w:bookmarkEnd w:id="97"/>
      <w:r>
        <w:t>》（2007版）</w:t>
      </w:r>
      <w:bookmarkEnd w:id="94"/>
      <w:bookmarkEnd w:id="95"/>
      <w:r>
        <w:t>“以及中华人民共和国交通运输部《公路工程标准施工招标文件》（2018年版）相关内容。</w:t>
      </w:r>
    </w:p>
    <w:p w14:paraId="7C3878C5">
      <w:pPr>
        <w:spacing w:line="436" w:lineRule="auto"/>
        <w:ind w:firstLine="422"/>
        <w:sectPr>
          <w:headerReference r:id="rId5" w:type="default"/>
          <w:footerReference r:id="rId6" w:type="default"/>
          <w:pgSz w:w="11910" w:h="16850"/>
          <w:pgMar w:top="1100" w:right="960" w:bottom="900" w:left="1100" w:header="760" w:footer="720" w:gutter="0"/>
          <w:cols w:space="720" w:num="1"/>
        </w:sectPr>
      </w:pPr>
    </w:p>
    <w:p w14:paraId="64478F11">
      <w:pPr>
        <w:pStyle w:val="12"/>
        <w:spacing w:before="6"/>
        <w:ind w:firstLine="280"/>
        <w:rPr>
          <w:b/>
          <w:sz w:val="14"/>
        </w:rPr>
      </w:pPr>
    </w:p>
    <w:p w14:paraId="2BE65A74">
      <w:pPr>
        <w:spacing w:before="54"/>
        <w:ind w:left="118" w:right="235" w:firstLine="643"/>
        <w:jc w:val="center"/>
        <w:rPr>
          <w:b/>
          <w:sz w:val="32"/>
        </w:rPr>
      </w:pPr>
      <w:r>
        <w:rPr>
          <w:b/>
          <w:sz w:val="32"/>
        </w:rPr>
        <w:t>第二节专用合同条款</w:t>
      </w:r>
    </w:p>
    <w:p w14:paraId="7853A755">
      <w:pPr>
        <w:pStyle w:val="12"/>
        <w:ind w:firstLine="400"/>
        <w:rPr>
          <w:b/>
          <w:sz w:val="20"/>
        </w:rPr>
      </w:pPr>
    </w:p>
    <w:p w14:paraId="3FBF79CA">
      <w:pPr>
        <w:pStyle w:val="12"/>
        <w:ind w:firstLine="400"/>
        <w:rPr>
          <w:b/>
          <w:sz w:val="20"/>
        </w:rPr>
      </w:pPr>
    </w:p>
    <w:p w14:paraId="7CD4D2B7">
      <w:pPr>
        <w:pStyle w:val="12"/>
        <w:ind w:firstLine="360"/>
        <w:rPr>
          <w:b/>
          <w:sz w:val="18"/>
        </w:rPr>
      </w:pPr>
    </w:p>
    <w:p w14:paraId="1A2A7AE2">
      <w:pPr>
        <w:pStyle w:val="8"/>
        <w:numPr>
          <w:ilvl w:val="0"/>
          <w:numId w:val="2"/>
        </w:numPr>
        <w:tabs>
          <w:tab w:val="left" w:pos="361"/>
        </w:tabs>
        <w:ind w:left="361" w:firstLine="482"/>
        <w:jc w:val="left"/>
      </w:pPr>
      <w:r>
        <w:t>公路工程专用合同条款</w:t>
      </w:r>
    </w:p>
    <w:p w14:paraId="637E93BD">
      <w:pPr>
        <w:pStyle w:val="12"/>
        <w:spacing w:before="11"/>
        <w:ind w:firstLine="380"/>
        <w:rPr>
          <w:b/>
          <w:sz w:val="19"/>
        </w:rPr>
      </w:pPr>
    </w:p>
    <w:p w14:paraId="0E901563">
      <w:pPr>
        <w:pStyle w:val="8"/>
        <w:spacing w:line="436" w:lineRule="auto"/>
        <w:ind w:right="113" w:firstLine="482"/>
      </w:pPr>
      <w:r>
        <w:t>“公路工程专用合同条款”采用交通运输部《公路工程标准施工招标文件》（2018年版）的“公路工程专用合同条款”</w:t>
      </w:r>
    </w:p>
    <w:p w14:paraId="4B03A8D9">
      <w:pPr>
        <w:pStyle w:val="12"/>
        <w:ind w:firstLine="480"/>
        <w:rPr>
          <w:b/>
          <w:sz w:val="24"/>
        </w:rPr>
      </w:pPr>
    </w:p>
    <w:p w14:paraId="5D3C62F9">
      <w:pPr>
        <w:pStyle w:val="12"/>
        <w:spacing w:before="9"/>
        <w:ind w:firstLine="380"/>
        <w:rPr>
          <w:b/>
          <w:sz w:val="19"/>
        </w:rPr>
      </w:pPr>
    </w:p>
    <w:p w14:paraId="2B2FD3E6">
      <w:pPr>
        <w:pStyle w:val="8"/>
        <w:spacing w:before="1"/>
        <w:ind w:firstLine="482"/>
        <w:sectPr>
          <w:pgSz w:w="11910" w:h="16850"/>
          <w:pgMar w:top="1100" w:right="960" w:bottom="900" w:left="1100" w:header="760" w:footer="720" w:gutter="0"/>
          <w:cols w:space="720" w:num="1"/>
        </w:sectPr>
      </w:pPr>
      <w:r>
        <w:t>注：《公路工程标准施工招标文件》（2018年版）由供应商自行到书店购买。</w:t>
      </w:r>
    </w:p>
    <w:p w14:paraId="5690A3AE">
      <w:pPr>
        <w:pStyle w:val="12"/>
        <w:ind w:firstLine="400"/>
        <w:rPr>
          <w:b/>
          <w:sz w:val="20"/>
        </w:rPr>
      </w:pPr>
    </w:p>
    <w:p w14:paraId="317EC19E">
      <w:pPr>
        <w:pStyle w:val="12"/>
        <w:spacing w:before="1"/>
        <w:ind w:firstLine="340"/>
        <w:rPr>
          <w:b/>
          <w:sz w:val="17"/>
        </w:rPr>
      </w:pPr>
    </w:p>
    <w:p w14:paraId="702410D5">
      <w:pPr>
        <w:pStyle w:val="8"/>
        <w:numPr>
          <w:ilvl w:val="0"/>
          <w:numId w:val="2"/>
        </w:numPr>
        <w:tabs>
          <w:tab w:val="left" w:pos="242"/>
        </w:tabs>
        <w:ind w:left="242" w:right="110" w:firstLine="482"/>
        <w:jc w:val="center"/>
        <w:rPr>
          <w:b/>
          <w:bCs/>
        </w:rPr>
      </w:pPr>
      <w:r>
        <w:rPr>
          <w:b/>
          <w:bCs/>
        </w:rPr>
        <w:t>项目专用合同条款</w:t>
      </w:r>
    </w:p>
    <w:p w14:paraId="22C5CBA1">
      <w:pPr>
        <w:pStyle w:val="12"/>
        <w:spacing w:before="4"/>
        <w:ind w:firstLine="520"/>
        <w:rPr>
          <w:b/>
          <w:sz w:val="26"/>
        </w:rPr>
      </w:pPr>
    </w:p>
    <w:p w14:paraId="73564761">
      <w:pPr>
        <w:pStyle w:val="8"/>
        <w:spacing w:before="66"/>
        <w:ind w:left="601" w:firstLine="482"/>
      </w:pPr>
      <w:r>
        <w:t>说明：</w:t>
      </w:r>
    </w:p>
    <w:p w14:paraId="62CD768A">
      <w:pPr>
        <w:pStyle w:val="29"/>
        <w:numPr>
          <w:ilvl w:val="0"/>
          <w:numId w:val="3"/>
        </w:numPr>
        <w:tabs>
          <w:tab w:val="left" w:pos="750"/>
        </w:tabs>
        <w:spacing w:before="159" w:line="364" w:lineRule="auto"/>
        <w:ind w:right="239" w:firstLine="422"/>
        <w:jc w:val="both"/>
        <w:rPr>
          <w:sz w:val="21"/>
        </w:rPr>
      </w:pPr>
      <w:r>
        <w:rPr>
          <w:sz w:val="21"/>
        </w:rPr>
        <w:t>采购人在根据《公路工程标准施工招标文件》编制项目采购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不同内容，不得违反法律、行政法规的强制性规定和平等、自愿、公平和诚实信用原则。</w:t>
      </w:r>
    </w:p>
    <w:p w14:paraId="18023C4E">
      <w:pPr>
        <w:pStyle w:val="29"/>
        <w:numPr>
          <w:ilvl w:val="0"/>
          <w:numId w:val="3"/>
        </w:numPr>
        <w:tabs>
          <w:tab w:val="left" w:pos="750"/>
        </w:tabs>
        <w:spacing w:before="159" w:line="364" w:lineRule="auto"/>
        <w:ind w:right="239" w:firstLine="422"/>
        <w:jc w:val="both"/>
        <w:rPr>
          <w:sz w:val="21"/>
        </w:rPr>
      </w:pPr>
      <w:r>
        <w:rPr>
          <w:sz w:val="21"/>
        </w:rPr>
        <w:t>项目专用合同条款的编号应与通用合同条款和公路工程专用合同条款一致。</w:t>
      </w:r>
    </w:p>
    <w:p w14:paraId="5115C93D">
      <w:pPr>
        <w:pStyle w:val="29"/>
        <w:numPr>
          <w:ilvl w:val="0"/>
          <w:numId w:val="3"/>
        </w:numPr>
        <w:tabs>
          <w:tab w:val="left" w:pos="750"/>
        </w:tabs>
        <w:spacing w:before="159" w:line="364" w:lineRule="auto"/>
        <w:ind w:right="239" w:firstLine="422"/>
        <w:jc w:val="both"/>
        <w:rPr>
          <w:sz w:val="21"/>
        </w:rPr>
      </w:pPr>
      <w:r>
        <w:rPr>
          <w:sz w:val="21"/>
        </w:rPr>
        <w:t>项目专用合同条款可对下列内容进行补充和细化：</w:t>
      </w:r>
    </w:p>
    <w:p w14:paraId="5D2B4757">
      <w:pPr>
        <w:pStyle w:val="29"/>
        <w:numPr>
          <w:ilvl w:val="0"/>
          <w:numId w:val="4"/>
        </w:numPr>
        <w:tabs>
          <w:tab w:val="left" w:pos="1001"/>
        </w:tabs>
        <w:spacing w:before="142" w:line="364" w:lineRule="auto"/>
        <w:ind w:right="231" w:firstLine="422"/>
        <w:jc w:val="both"/>
        <w:rPr>
          <w:sz w:val="21"/>
        </w:rPr>
      </w:pPr>
      <w:r>
        <w:rPr>
          <w:sz w:val="21"/>
        </w:rPr>
        <w:t>“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367E7706">
      <w:pPr>
        <w:pStyle w:val="29"/>
        <w:numPr>
          <w:ilvl w:val="0"/>
          <w:numId w:val="4"/>
        </w:numPr>
        <w:tabs>
          <w:tab w:val="left" w:pos="1063"/>
        </w:tabs>
        <w:spacing w:line="364" w:lineRule="auto"/>
        <w:ind w:right="174" w:firstLine="422"/>
        <w:jc w:val="both"/>
        <w:rPr>
          <w:sz w:val="21"/>
        </w:rPr>
      </w:pPr>
      <w:r>
        <w:rPr>
          <w:sz w:val="21"/>
        </w:rPr>
        <w:t>“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14:paraId="40546052">
      <w:pPr>
        <w:pStyle w:val="29"/>
        <w:numPr>
          <w:ilvl w:val="0"/>
          <w:numId w:val="4"/>
        </w:numPr>
        <w:tabs>
          <w:tab w:val="left" w:pos="1001"/>
        </w:tabs>
        <w:spacing w:before="142" w:line="364" w:lineRule="auto"/>
        <w:ind w:right="231" w:firstLine="422"/>
        <w:jc w:val="both"/>
        <w:rPr>
          <w:sz w:val="21"/>
        </w:rPr>
        <w:sectPr>
          <w:pgSz w:w="11910" w:h="16850"/>
          <w:pgMar w:top="1100" w:right="960" w:bottom="900" w:left="1100" w:header="760" w:footer="720" w:gutter="0"/>
          <w:cols w:space="720" w:num="1"/>
        </w:sectPr>
      </w:pPr>
      <w:r>
        <w:rPr>
          <w:sz w:val="21"/>
        </w:rPr>
        <w:t>其他需要补充、细化的内容。</w:t>
      </w:r>
    </w:p>
    <w:p w14:paraId="0EF4FE92">
      <w:pPr>
        <w:spacing w:before="64" w:line="360" w:lineRule="auto"/>
        <w:ind w:left="2960" w:firstLine="482"/>
        <w:rPr>
          <w:sz w:val="24"/>
          <w:szCs w:val="24"/>
        </w:rPr>
      </w:pPr>
      <w:r>
        <w:rPr>
          <w:rFonts w:hint="eastAsia"/>
          <w:sz w:val="24"/>
          <w:szCs w:val="24"/>
        </w:rPr>
        <w:t>项目专用合同条款数据表</w:t>
      </w:r>
    </w:p>
    <w:p w14:paraId="47A27720">
      <w:pPr>
        <w:spacing w:before="83" w:line="360" w:lineRule="auto"/>
        <w:ind w:left="33" w:right="110" w:firstLine="422"/>
        <w:jc w:val="both"/>
        <w:rPr>
          <w:sz w:val="21"/>
          <w:szCs w:val="21"/>
        </w:rPr>
      </w:pPr>
      <w:r>
        <w:rPr>
          <w:rFonts w:hint="eastAsia"/>
          <w:sz w:val="21"/>
          <w:szCs w:val="21"/>
        </w:rPr>
        <w:t>说明：本数据表是项目专用合同条款中适用于本项目的信息和数据的归纳与提示，是项目专用合同条款的组成部分。第八章“响应文件格式”的竞标函附录中的数据（供应商确认）与本表所列有重复。编写采购文件的单位应仔细校核，不使数据出现差错或不一致。</w:t>
      </w:r>
    </w:p>
    <w:p w14:paraId="2C615E8A">
      <w:pPr>
        <w:spacing w:line="360" w:lineRule="auto"/>
        <w:ind w:firstLine="422"/>
        <w:rPr>
          <w:sz w:val="21"/>
          <w:szCs w:val="21"/>
        </w:rPr>
      </w:pPr>
    </w:p>
    <w:tbl>
      <w:tblPr>
        <w:tblStyle w:val="28"/>
        <w:tblW w:w="93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271"/>
        <w:gridCol w:w="7268"/>
      </w:tblGrid>
      <w:tr w14:paraId="571BB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820" w:type="dxa"/>
          </w:tcPr>
          <w:p w14:paraId="51FF586F">
            <w:pPr>
              <w:pStyle w:val="31"/>
              <w:spacing w:before="92" w:line="360" w:lineRule="auto"/>
              <w:ind w:left="203"/>
              <w:rPr>
                <w:rFonts w:ascii="宋体" w:hAnsi="宋体" w:eastAsia="宋体" w:cs="宋体"/>
                <w:sz w:val="21"/>
                <w:szCs w:val="21"/>
              </w:rPr>
            </w:pPr>
            <w:r>
              <w:rPr>
                <w:rFonts w:hint="eastAsia" w:ascii="宋体" w:hAnsi="宋体" w:eastAsia="宋体" w:cs="宋体"/>
                <w:sz w:val="21"/>
                <w:szCs w:val="21"/>
              </w:rPr>
              <w:t>序号</w:t>
            </w:r>
          </w:p>
        </w:tc>
        <w:tc>
          <w:tcPr>
            <w:tcW w:w="1271" w:type="dxa"/>
          </w:tcPr>
          <w:p w14:paraId="2E74F1C3">
            <w:pPr>
              <w:pStyle w:val="31"/>
              <w:spacing w:before="91" w:line="360" w:lineRule="auto"/>
              <w:ind w:left="327"/>
              <w:rPr>
                <w:rFonts w:ascii="宋体" w:hAnsi="宋体" w:eastAsia="宋体" w:cs="宋体"/>
                <w:sz w:val="21"/>
                <w:szCs w:val="21"/>
              </w:rPr>
            </w:pPr>
            <w:r>
              <w:rPr>
                <w:rFonts w:hint="eastAsia" w:ascii="宋体" w:hAnsi="宋体" w:eastAsia="宋体" w:cs="宋体"/>
                <w:sz w:val="21"/>
                <w:szCs w:val="21"/>
              </w:rPr>
              <w:t>条目号</w:t>
            </w:r>
          </w:p>
        </w:tc>
        <w:tc>
          <w:tcPr>
            <w:tcW w:w="7268" w:type="dxa"/>
          </w:tcPr>
          <w:p w14:paraId="536A3B1C">
            <w:pPr>
              <w:pStyle w:val="31"/>
              <w:spacing w:before="92" w:line="360" w:lineRule="auto"/>
              <w:ind w:left="2899"/>
              <w:rPr>
                <w:rFonts w:ascii="宋体" w:hAnsi="宋体" w:eastAsia="宋体" w:cs="宋体"/>
                <w:sz w:val="21"/>
                <w:szCs w:val="21"/>
              </w:rPr>
            </w:pPr>
            <w:r>
              <w:rPr>
                <w:rFonts w:hint="eastAsia" w:ascii="宋体" w:hAnsi="宋体" w:eastAsia="宋体" w:cs="宋体"/>
                <w:sz w:val="21"/>
                <w:szCs w:val="21"/>
              </w:rPr>
              <w:t>信息或数据</w:t>
            </w:r>
          </w:p>
        </w:tc>
      </w:tr>
      <w:tr w14:paraId="46FFD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820" w:type="dxa"/>
          </w:tcPr>
          <w:p w14:paraId="4CD9D994">
            <w:pPr>
              <w:ind w:firstLine="422"/>
              <w:rPr>
                <w:sz w:val="21"/>
                <w:szCs w:val="21"/>
              </w:rPr>
            </w:pPr>
          </w:p>
          <w:p w14:paraId="559443C8">
            <w:pPr>
              <w:pStyle w:val="31"/>
              <w:spacing w:before="90"/>
              <w:ind w:left="378"/>
              <w:rPr>
                <w:rFonts w:ascii="宋体" w:hAnsi="宋体" w:eastAsia="宋体" w:cs="宋体"/>
                <w:sz w:val="21"/>
                <w:szCs w:val="21"/>
              </w:rPr>
            </w:pPr>
            <w:r>
              <w:rPr>
                <w:rFonts w:hint="eastAsia" w:ascii="宋体" w:hAnsi="宋体" w:eastAsia="宋体" w:cs="宋体"/>
                <w:sz w:val="21"/>
                <w:szCs w:val="21"/>
              </w:rPr>
              <w:t>1</w:t>
            </w:r>
          </w:p>
        </w:tc>
        <w:tc>
          <w:tcPr>
            <w:tcW w:w="1271" w:type="dxa"/>
          </w:tcPr>
          <w:p w14:paraId="4EB93E58">
            <w:pPr>
              <w:ind w:firstLine="422"/>
              <w:rPr>
                <w:sz w:val="21"/>
                <w:szCs w:val="21"/>
              </w:rPr>
            </w:pPr>
          </w:p>
          <w:p w14:paraId="0276AB5B">
            <w:pPr>
              <w:pStyle w:val="31"/>
              <w:spacing w:before="90"/>
              <w:jc w:val="center"/>
              <w:rPr>
                <w:rFonts w:ascii="宋体" w:hAnsi="宋体" w:eastAsia="宋体" w:cs="宋体"/>
                <w:sz w:val="21"/>
                <w:szCs w:val="21"/>
              </w:rPr>
            </w:pPr>
            <w:r>
              <w:fldChar w:fldCharType="begin"/>
            </w:r>
            <w:r>
              <w:instrText xml:space="preserve"> HYPERLINK "1.1.2.2" </w:instrText>
            </w:r>
            <w:r>
              <w:fldChar w:fldCharType="separate"/>
            </w:r>
            <w:r>
              <w:rPr>
                <w:rFonts w:hint="eastAsia" w:ascii="宋体" w:hAnsi="宋体" w:eastAsia="宋体" w:cs="宋体"/>
                <w:sz w:val="21"/>
                <w:szCs w:val="21"/>
              </w:rPr>
              <w:t>1.1.2.2</w:t>
            </w:r>
            <w:r>
              <w:rPr>
                <w:rFonts w:hint="eastAsia" w:ascii="宋体" w:hAnsi="宋体" w:eastAsia="宋体" w:cs="宋体"/>
                <w:sz w:val="21"/>
                <w:szCs w:val="21"/>
              </w:rPr>
              <w:fldChar w:fldCharType="end"/>
            </w:r>
          </w:p>
        </w:tc>
        <w:tc>
          <w:tcPr>
            <w:tcW w:w="7268" w:type="dxa"/>
          </w:tcPr>
          <w:p w14:paraId="7D7F1D57">
            <w:pPr>
              <w:pStyle w:val="31"/>
              <w:spacing w:before="255"/>
              <w:ind w:left="330"/>
              <w:rPr>
                <w:rFonts w:ascii="宋体" w:hAnsi="宋体" w:eastAsia="宋体" w:cs="宋体"/>
                <w:sz w:val="21"/>
                <w:szCs w:val="21"/>
                <w:lang w:eastAsia="zh-CN"/>
              </w:rPr>
            </w:pPr>
            <w:r>
              <w:rPr>
                <w:rFonts w:hint="eastAsia" w:ascii="宋体" w:hAnsi="宋体" w:eastAsia="宋体" w:cs="宋体"/>
                <w:sz w:val="21"/>
                <w:szCs w:val="21"/>
                <w:lang w:eastAsia="zh-CN"/>
              </w:rPr>
              <w:t xml:space="preserve">发包人：广西壮族自治区资源公路养护中心 </w:t>
            </w:r>
          </w:p>
          <w:p w14:paraId="76583EC0">
            <w:pPr>
              <w:pStyle w:val="31"/>
              <w:spacing w:before="255"/>
              <w:ind w:left="330"/>
              <w:rPr>
                <w:rFonts w:ascii="宋体" w:hAnsi="宋体" w:eastAsia="宋体" w:cs="宋体"/>
                <w:color w:val="FF0000"/>
                <w:sz w:val="21"/>
                <w:szCs w:val="21"/>
                <w:lang w:eastAsia="zh-CN"/>
              </w:rPr>
            </w:pPr>
            <w:r>
              <w:rPr>
                <w:rFonts w:hint="eastAsia" w:ascii="宋体" w:hAnsi="宋体" w:eastAsia="宋体" w:cs="宋体"/>
                <w:sz w:val="21"/>
                <w:szCs w:val="21"/>
                <w:lang w:eastAsia="zh-CN"/>
              </w:rPr>
              <w:t xml:space="preserve">地  址：桂林资源县河西路40号 </w:t>
            </w:r>
          </w:p>
        </w:tc>
      </w:tr>
      <w:tr w14:paraId="4D0A9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820" w:type="dxa"/>
          </w:tcPr>
          <w:p w14:paraId="28269DB3">
            <w:pPr>
              <w:pStyle w:val="31"/>
              <w:spacing w:before="317"/>
              <w:ind w:left="365"/>
              <w:rPr>
                <w:rFonts w:ascii="宋体" w:hAnsi="宋体" w:eastAsia="宋体" w:cs="宋体"/>
                <w:sz w:val="21"/>
                <w:szCs w:val="21"/>
              </w:rPr>
            </w:pPr>
            <w:r>
              <w:rPr>
                <w:rFonts w:hint="eastAsia" w:ascii="宋体" w:hAnsi="宋体" w:eastAsia="宋体" w:cs="宋体"/>
                <w:sz w:val="21"/>
                <w:szCs w:val="21"/>
              </w:rPr>
              <w:t>2</w:t>
            </w:r>
          </w:p>
        </w:tc>
        <w:tc>
          <w:tcPr>
            <w:tcW w:w="1271" w:type="dxa"/>
          </w:tcPr>
          <w:p w14:paraId="3730D9DA">
            <w:pPr>
              <w:pStyle w:val="31"/>
              <w:spacing w:before="317"/>
              <w:jc w:val="center"/>
              <w:rPr>
                <w:rFonts w:ascii="宋体" w:hAnsi="宋体" w:eastAsia="宋体" w:cs="宋体"/>
                <w:sz w:val="21"/>
                <w:szCs w:val="21"/>
              </w:rPr>
            </w:pPr>
            <w:r>
              <w:fldChar w:fldCharType="begin"/>
            </w:r>
            <w:r>
              <w:instrText xml:space="preserve"> HYPERLINK "1.1.2.6" </w:instrText>
            </w:r>
            <w:r>
              <w:fldChar w:fldCharType="separate"/>
            </w:r>
            <w:r>
              <w:rPr>
                <w:rFonts w:hint="eastAsia" w:ascii="宋体" w:hAnsi="宋体" w:eastAsia="宋体" w:cs="宋体"/>
                <w:sz w:val="21"/>
                <w:szCs w:val="21"/>
              </w:rPr>
              <w:t>1.1.2.6</w:t>
            </w:r>
            <w:r>
              <w:rPr>
                <w:rFonts w:hint="eastAsia" w:ascii="宋体" w:hAnsi="宋体" w:eastAsia="宋体" w:cs="宋体"/>
                <w:sz w:val="21"/>
                <w:szCs w:val="21"/>
              </w:rPr>
              <w:fldChar w:fldCharType="end"/>
            </w:r>
          </w:p>
        </w:tc>
        <w:tc>
          <w:tcPr>
            <w:tcW w:w="7268" w:type="dxa"/>
          </w:tcPr>
          <w:p w14:paraId="1B76604E">
            <w:pPr>
              <w:pStyle w:val="31"/>
              <w:spacing w:before="145"/>
              <w:ind w:left="538"/>
              <w:rPr>
                <w:rFonts w:ascii="宋体" w:hAnsi="宋体" w:eastAsia="宋体" w:cs="宋体"/>
                <w:sz w:val="21"/>
                <w:szCs w:val="21"/>
                <w:lang w:eastAsia="zh-CN"/>
              </w:rPr>
            </w:pPr>
            <w:r>
              <w:rPr>
                <w:rFonts w:hint="eastAsia" w:ascii="宋体" w:hAnsi="宋体" w:eastAsia="宋体" w:cs="宋体"/>
                <w:sz w:val="21"/>
                <w:szCs w:val="21"/>
                <w:lang w:eastAsia="zh-CN"/>
              </w:rPr>
              <w:t>监理人：待定</w:t>
            </w:r>
          </w:p>
          <w:p w14:paraId="0AA18FD3">
            <w:pPr>
              <w:pStyle w:val="31"/>
              <w:ind w:left="537"/>
              <w:rPr>
                <w:rFonts w:ascii="宋体" w:hAnsi="宋体" w:eastAsia="宋体" w:cs="宋体"/>
                <w:sz w:val="21"/>
                <w:szCs w:val="21"/>
                <w:lang w:eastAsia="zh-CN"/>
              </w:rPr>
            </w:pPr>
            <w:r>
              <w:rPr>
                <w:rFonts w:hint="eastAsia" w:ascii="宋体" w:hAnsi="宋体" w:eastAsia="宋体" w:cs="宋体"/>
                <w:sz w:val="21"/>
                <w:szCs w:val="21"/>
                <w:lang w:eastAsia="zh-CN"/>
              </w:rPr>
              <w:t>地址：邮政编码：</w:t>
            </w:r>
          </w:p>
        </w:tc>
      </w:tr>
      <w:tr w14:paraId="713FE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20" w:type="dxa"/>
          </w:tcPr>
          <w:p w14:paraId="4F1EAFBE">
            <w:pPr>
              <w:pStyle w:val="31"/>
              <w:spacing w:before="236"/>
              <w:ind w:left="367"/>
              <w:rPr>
                <w:rFonts w:ascii="宋体" w:hAnsi="宋体" w:eastAsia="宋体" w:cs="宋体"/>
                <w:sz w:val="21"/>
                <w:szCs w:val="21"/>
              </w:rPr>
            </w:pPr>
            <w:r>
              <w:rPr>
                <w:rFonts w:hint="eastAsia" w:ascii="宋体" w:hAnsi="宋体" w:eastAsia="宋体" w:cs="宋体"/>
                <w:sz w:val="21"/>
                <w:szCs w:val="21"/>
              </w:rPr>
              <w:t>3</w:t>
            </w:r>
          </w:p>
        </w:tc>
        <w:tc>
          <w:tcPr>
            <w:tcW w:w="1271" w:type="dxa"/>
          </w:tcPr>
          <w:p w14:paraId="692AC590">
            <w:pPr>
              <w:pStyle w:val="31"/>
              <w:spacing w:before="236"/>
              <w:jc w:val="center"/>
              <w:rPr>
                <w:rFonts w:ascii="宋体" w:hAnsi="宋体" w:eastAsia="宋体" w:cs="宋体"/>
                <w:sz w:val="21"/>
                <w:szCs w:val="21"/>
              </w:rPr>
            </w:pPr>
            <w:r>
              <w:fldChar w:fldCharType="begin"/>
            </w:r>
            <w:r>
              <w:instrText xml:space="preserve"> HYPERLINK "1.1.4.5" </w:instrText>
            </w:r>
            <w:r>
              <w:fldChar w:fldCharType="separate"/>
            </w:r>
            <w:r>
              <w:rPr>
                <w:rFonts w:hint="eastAsia" w:ascii="宋体" w:hAnsi="宋体" w:eastAsia="宋体" w:cs="宋体"/>
                <w:sz w:val="21"/>
                <w:szCs w:val="21"/>
              </w:rPr>
              <w:t>1.1.4.5</w:t>
            </w:r>
            <w:r>
              <w:rPr>
                <w:rFonts w:hint="eastAsia" w:ascii="宋体" w:hAnsi="宋体" w:eastAsia="宋体" w:cs="宋体"/>
                <w:sz w:val="21"/>
                <w:szCs w:val="21"/>
              </w:rPr>
              <w:fldChar w:fldCharType="end"/>
            </w:r>
          </w:p>
        </w:tc>
        <w:tc>
          <w:tcPr>
            <w:tcW w:w="7268" w:type="dxa"/>
          </w:tcPr>
          <w:p w14:paraId="023FABC0">
            <w:pPr>
              <w:pStyle w:val="31"/>
              <w:spacing w:before="203"/>
              <w:ind w:left="537"/>
              <w:rPr>
                <w:rFonts w:ascii="宋体" w:hAnsi="宋体" w:eastAsia="宋体" w:cs="宋体"/>
                <w:sz w:val="21"/>
                <w:szCs w:val="21"/>
                <w:lang w:eastAsia="zh-CN"/>
              </w:rPr>
            </w:pPr>
            <w:r>
              <w:rPr>
                <w:rFonts w:hint="eastAsia" w:ascii="宋体" w:hAnsi="宋体" w:eastAsia="宋体" w:cs="宋体"/>
                <w:sz w:val="21"/>
                <w:szCs w:val="21"/>
                <w:lang w:eastAsia="zh-CN"/>
              </w:rPr>
              <w:t>缺陷责任期：自实际交工日期起计算</w:t>
            </w:r>
            <w:r>
              <w:rPr>
                <w:rFonts w:hint="eastAsia" w:ascii="宋体" w:hAnsi="宋体" w:eastAsia="宋体" w:cs="宋体"/>
                <w:sz w:val="21"/>
                <w:szCs w:val="21"/>
                <w:u w:val="single"/>
                <w:lang w:eastAsia="zh-CN"/>
              </w:rPr>
              <w:t>12个月</w:t>
            </w:r>
          </w:p>
        </w:tc>
      </w:tr>
      <w:tr w14:paraId="32D4D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820" w:type="dxa"/>
          </w:tcPr>
          <w:p w14:paraId="159FB8FB">
            <w:pPr>
              <w:ind w:firstLine="422"/>
              <w:rPr>
                <w:sz w:val="21"/>
                <w:szCs w:val="21"/>
              </w:rPr>
            </w:pPr>
          </w:p>
          <w:p w14:paraId="3902973A">
            <w:pPr>
              <w:pStyle w:val="31"/>
              <w:spacing w:before="90"/>
              <w:ind w:left="362"/>
              <w:rPr>
                <w:rFonts w:ascii="宋体" w:hAnsi="宋体" w:eastAsia="宋体" w:cs="宋体"/>
                <w:sz w:val="21"/>
                <w:szCs w:val="21"/>
              </w:rPr>
            </w:pPr>
            <w:r>
              <w:rPr>
                <w:rFonts w:hint="eastAsia" w:ascii="宋体" w:hAnsi="宋体" w:eastAsia="宋体" w:cs="宋体"/>
                <w:sz w:val="21"/>
                <w:szCs w:val="21"/>
              </w:rPr>
              <w:t>4</w:t>
            </w:r>
          </w:p>
        </w:tc>
        <w:tc>
          <w:tcPr>
            <w:tcW w:w="1271" w:type="dxa"/>
          </w:tcPr>
          <w:p w14:paraId="0E1B7F7D">
            <w:pPr>
              <w:ind w:firstLine="422"/>
              <w:rPr>
                <w:sz w:val="21"/>
                <w:szCs w:val="21"/>
              </w:rPr>
            </w:pPr>
          </w:p>
          <w:p w14:paraId="12DCE1D2">
            <w:pPr>
              <w:pStyle w:val="31"/>
              <w:spacing w:before="90"/>
              <w:ind w:left="394"/>
              <w:rPr>
                <w:rFonts w:ascii="宋体" w:hAnsi="宋体" w:eastAsia="宋体" w:cs="宋体"/>
                <w:sz w:val="21"/>
                <w:szCs w:val="21"/>
              </w:rPr>
            </w:pPr>
            <w:r>
              <w:rPr>
                <w:rFonts w:hint="eastAsia" w:ascii="宋体" w:hAnsi="宋体" w:eastAsia="宋体" w:cs="宋体"/>
                <w:sz w:val="21"/>
                <w:szCs w:val="21"/>
              </w:rPr>
              <w:t>1.6.3</w:t>
            </w:r>
          </w:p>
        </w:tc>
        <w:tc>
          <w:tcPr>
            <w:tcW w:w="7268" w:type="dxa"/>
          </w:tcPr>
          <w:p w14:paraId="39EA329B">
            <w:pPr>
              <w:pStyle w:val="31"/>
              <w:spacing w:before="171"/>
              <w:ind w:left="114" w:right="219" w:firstLine="422"/>
              <w:rPr>
                <w:rFonts w:ascii="宋体" w:hAnsi="宋体" w:eastAsia="宋体" w:cs="宋体"/>
                <w:sz w:val="21"/>
                <w:szCs w:val="21"/>
                <w:lang w:eastAsia="zh-CN"/>
              </w:rPr>
            </w:pPr>
            <w:r>
              <w:rPr>
                <w:rFonts w:hint="eastAsia" w:ascii="宋体" w:hAnsi="宋体" w:eastAsia="宋体" w:cs="宋体"/>
                <w:sz w:val="21"/>
                <w:szCs w:val="21"/>
                <w:lang w:eastAsia="zh-CN"/>
              </w:rPr>
              <w:t>图纸需要修改和补充的，应取得发包人同意后，在该工程或工程相应部位施工前</w:t>
            </w:r>
            <w:r>
              <w:rPr>
                <w:rFonts w:hint="eastAsia" w:ascii="宋体" w:hAnsi="宋体" w:eastAsia="宋体" w:cs="宋体"/>
                <w:sz w:val="21"/>
                <w:szCs w:val="21"/>
                <w:u w:val="single" w:color="000000"/>
                <w:lang w:eastAsia="zh-CN"/>
              </w:rPr>
              <w:t>14</w:t>
            </w:r>
            <w:r>
              <w:rPr>
                <w:rFonts w:hint="eastAsia" w:ascii="宋体" w:hAnsi="宋体" w:eastAsia="宋体" w:cs="宋体"/>
                <w:sz w:val="21"/>
                <w:szCs w:val="21"/>
                <w:lang w:eastAsia="zh-CN"/>
              </w:rPr>
              <w:t>天签发图纸修改图给承包人</w:t>
            </w:r>
          </w:p>
        </w:tc>
      </w:tr>
      <w:tr w14:paraId="5A76B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trPr>
        <w:tc>
          <w:tcPr>
            <w:tcW w:w="820" w:type="dxa"/>
          </w:tcPr>
          <w:p w14:paraId="312A19FD">
            <w:pPr>
              <w:ind w:firstLine="422"/>
              <w:rPr>
                <w:sz w:val="21"/>
                <w:szCs w:val="21"/>
              </w:rPr>
            </w:pPr>
          </w:p>
          <w:p w14:paraId="35216820">
            <w:pPr>
              <w:pStyle w:val="31"/>
              <w:spacing w:before="90"/>
              <w:ind w:left="367"/>
              <w:rPr>
                <w:rFonts w:ascii="宋体" w:hAnsi="宋体" w:eastAsia="宋体" w:cs="宋体"/>
                <w:sz w:val="21"/>
                <w:szCs w:val="21"/>
              </w:rPr>
            </w:pPr>
            <w:r>
              <w:rPr>
                <w:rFonts w:hint="eastAsia" w:ascii="宋体" w:hAnsi="宋体" w:eastAsia="宋体" w:cs="宋体"/>
                <w:sz w:val="21"/>
                <w:szCs w:val="21"/>
              </w:rPr>
              <w:t>5</w:t>
            </w:r>
          </w:p>
        </w:tc>
        <w:tc>
          <w:tcPr>
            <w:tcW w:w="1271" w:type="dxa"/>
          </w:tcPr>
          <w:p w14:paraId="7590B895">
            <w:pPr>
              <w:ind w:firstLine="422"/>
              <w:rPr>
                <w:sz w:val="21"/>
                <w:szCs w:val="21"/>
              </w:rPr>
            </w:pPr>
          </w:p>
          <w:p w14:paraId="48306ABC">
            <w:pPr>
              <w:pStyle w:val="31"/>
              <w:spacing w:before="90"/>
              <w:ind w:left="382"/>
              <w:rPr>
                <w:rFonts w:ascii="宋体" w:hAnsi="宋体" w:eastAsia="宋体" w:cs="宋体"/>
                <w:sz w:val="21"/>
                <w:szCs w:val="21"/>
              </w:rPr>
            </w:pPr>
            <w:r>
              <w:rPr>
                <w:rFonts w:hint="eastAsia" w:ascii="宋体" w:hAnsi="宋体" w:eastAsia="宋体" w:cs="宋体"/>
                <w:sz w:val="21"/>
                <w:szCs w:val="21"/>
              </w:rPr>
              <w:t>3.1.1</w:t>
            </w:r>
          </w:p>
        </w:tc>
        <w:tc>
          <w:tcPr>
            <w:tcW w:w="7268" w:type="dxa"/>
          </w:tcPr>
          <w:p w14:paraId="51AAD667">
            <w:pPr>
              <w:pStyle w:val="31"/>
              <w:spacing w:before="74"/>
              <w:ind w:firstLine="438" w:firstLineChars="209"/>
              <w:rPr>
                <w:rFonts w:ascii="宋体" w:hAnsi="宋体" w:eastAsia="宋体" w:cs="宋体"/>
                <w:sz w:val="21"/>
                <w:szCs w:val="21"/>
                <w:lang w:eastAsia="zh-CN"/>
              </w:rPr>
            </w:pPr>
            <w:r>
              <w:rPr>
                <w:rFonts w:hint="eastAsia" w:ascii="宋体" w:hAnsi="宋体" w:eastAsia="宋体" w:cs="宋体"/>
                <w:sz w:val="21"/>
                <w:szCs w:val="21"/>
                <w:lang w:eastAsia="zh-CN"/>
              </w:rPr>
              <w:t>在行使下列权力前需要经发包人事先批准：</w:t>
            </w:r>
          </w:p>
          <w:p w14:paraId="3039A11F">
            <w:pPr>
              <w:pStyle w:val="31"/>
              <w:spacing w:before="4"/>
              <w:ind w:left="114" w:right="176" w:firstLine="422"/>
              <w:rPr>
                <w:rFonts w:ascii="宋体" w:hAnsi="宋体" w:eastAsia="宋体" w:cs="宋体"/>
                <w:sz w:val="21"/>
                <w:szCs w:val="21"/>
                <w:lang w:eastAsia="zh-CN"/>
              </w:rPr>
            </w:pPr>
            <w:r>
              <w:rPr>
                <w:rFonts w:hint="eastAsia" w:ascii="宋体" w:hAnsi="宋体" w:eastAsia="宋体" w:cs="宋体"/>
                <w:sz w:val="21"/>
                <w:szCs w:val="21"/>
                <w:lang w:eastAsia="zh-CN"/>
              </w:rPr>
              <w:t>（6）根据第15.3款发出的变更指示，其单项工程变更涉及的金额超过了该单项工程签约合同价的</w:t>
            </w:r>
            <w:r>
              <w:rPr>
                <w:rFonts w:hint="eastAsia" w:ascii="宋体" w:hAnsi="宋体" w:eastAsia="宋体" w:cs="宋体"/>
                <w:sz w:val="21"/>
                <w:szCs w:val="21"/>
                <w:u w:val="single"/>
                <w:lang w:eastAsia="zh-CN"/>
              </w:rPr>
              <w:t>/</w:t>
            </w:r>
            <w:r>
              <w:rPr>
                <w:rFonts w:hint="eastAsia" w:ascii="宋体" w:hAnsi="宋体" w:eastAsia="宋体" w:cs="宋体"/>
                <w:sz w:val="21"/>
                <w:szCs w:val="21"/>
                <w:lang w:eastAsia="zh-CN"/>
              </w:rPr>
              <w:t>%或累计变更超过了签约合同价的</w:t>
            </w:r>
            <w:r>
              <w:rPr>
                <w:rFonts w:hint="eastAsia" w:ascii="宋体" w:hAnsi="宋体" w:eastAsia="宋体" w:cs="宋体"/>
                <w:sz w:val="21"/>
                <w:szCs w:val="21"/>
                <w:u w:val="single"/>
                <w:lang w:eastAsia="zh-CN"/>
              </w:rPr>
              <w:t>/</w:t>
            </w:r>
            <w:r>
              <w:rPr>
                <w:rFonts w:hint="eastAsia" w:ascii="宋体" w:hAnsi="宋体" w:eastAsia="宋体" w:cs="宋体"/>
                <w:sz w:val="21"/>
                <w:szCs w:val="21"/>
                <w:lang w:eastAsia="zh-CN"/>
              </w:rPr>
              <w:t>%（即凡涉及费用调整的均应事先取得发包人的专门批准）</w:t>
            </w:r>
          </w:p>
        </w:tc>
      </w:tr>
      <w:tr w14:paraId="59754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20" w:type="dxa"/>
          </w:tcPr>
          <w:p w14:paraId="12A89569">
            <w:pPr>
              <w:pStyle w:val="31"/>
              <w:spacing w:before="204"/>
              <w:ind w:left="364"/>
              <w:rPr>
                <w:rFonts w:ascii="宋体" w:hAnsi="宋体" w:eastAsia="宋体" w:cs="宋体"/>
                <w:sz w:val="21"/>
                <w:szCs w:val="21"/>
              </w:rPr>
            </w:pPr>
            <w:r>
              <w:rPr>
                <w:rFonts w:hint="eastAsia" w:ascii="宋体" w:hAnsi="宋体" w:eastAsia="宋体" w:cs="宋体"/>
                <w:sz w:val="21"/>
                <w:szCs w:val="21"/>
              </w:rPr>
              <w:t>6</w:t>
            </w:r>
          </w:p>
        </w:tc>
        <w:tc>
          <w:tcPr>
            <w:tcW w:w="1271" w:type="dxa"/>
          </w:tcPr>
          <w:p w14:paraId="287B6372">
            <w:pPr>
              <w:pStyle w:val="31"/>
              <w:spacing w:before="203"/>
              <w:ind w:left="382"/>
              <w:rPr>
                <w:rFonts w:ascii="宋体" w:hAnsi="宋体" w:eastAsia="宋体" w:cs="宋体"/>
                <w:sz w:val="21"/>
                <w:szCs w:val="21"/>
              </w:rPr>
            </w:pPr>
            <w:r>
              <w:rPr>
                <w:rFonts w:hint="eastAsia" w:ascii="宋体" w:hAnsi="宋体" w:eastAsia="宋体" w:cs="宋体"/>
                <w:sz w:val="21"/>
                <w:szCs w:val="21"/>
              </w:rPr>
              <w:t>5.2.1</w:t>
            </w:r>
          </w:p>
        </w:tc>
        <w:tc>
          <w:tcPr>
            <w:tcW w:w="7268" w:type="dxa"/>
          </w:tcPr>
          <w:p w14:paraId="46A85B5D">
            <w:pPr>
              <w:pStyle w:val="31"/>
              <w:spacing w:before="170"/>
              <w:ind w:left="541"/>
              <w:rPr>
                <w:rFonts w:ascii="宋体" w:hAnsi="宋体" w:eastAsia="宋体" w:cs="宋体"/>
                <w:sz w:val="21"/>
                <w:szCs w:val="21"/>
                <w:lang w:eastAsia="zh-CN"/>
              </w:rPr>
            </w:pPr>
            <w:r>
              <w:rPr>
                <w:rFonts w:hint="eastAsia" w:ascii="宋体" w:hAnsi="宋体" w:eastAsia="宋体" w:cs="宋体"/>
                <w:sz w:val="21"/>
                <w:szCs w:val="21"/>
                <w:lang w:eastAsia="zh-CN"/>
              </w:rPr>
              <w:t>发包人是否提供材料或施工设备：否</w:t>
            </w:r>
          </w:p>
        </w:tc>
      </w:tr>
      <w:tr w14:paraId="3134F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820" w:type="dxa"/>
          </w:tcPr>
          <w:p w14:paraId="138E9F4A">
            <w:pPr>
              <w:pStyle w:val="31"/>
              <w:spacing w:before="152"/>
              <w:ind w:left="368"/>
              <w:rPr>
                <w:rFonts w:ascii="宋体" w:hAnsi="宋体" w:eastAsia="宋体" w:cs="宋体"/>
                <w:sz w:val="21"/>
                <w:szCs w:val="21"/>
              </w:rPr>
            </w:pPr>
            <w:r>
              <w:rPr>
                <w:rFonts w:hint="eastAsia" w:ascii="宋体" w:hAnsi="宋体" w:eastAsia="宋体" w:cs="宋体"/>
                <w:sz w:val="21"/>
                <w:szCs w:val="21"/>
              </w:rPr>
              <w:t>7</w:t>
            </w:r>
          </w:p>
        </w:tc>
        <w:tc>
          <w:tcPr>
            <w:tcW w:w="1271" w:type="dxa"/>
          </w:tcPr>
          <w:p w14:paraId="35CDDBFB">
            <w:pPr>
              <w:pStyle w:val="31"/>
              <w:spacing w:before="150"/>
              <w:ind w:left="485"/>
              <w:rPr>
                <w:rFonts w:ascii="宋体" w:hAnsi="宋体" w:eastAsia="宋体" w:cs="宋体"/>
                <w:sz w:val="21"/>
                <w:szCs w:val="21"/>
              </w:rPr>
            </w:pPr>
            <w:r>
              <w:rPr>
                <w:rFonts w:hint="eastAsia" w:ascii="宋体" w:hAnsi="宋体" w:eastAsia="宋体" w:cs="宋体"/>
                <w:sz w:val="21"/>
                <w:szCs w:val="21"/>
              </w:rPr>
              <w:t>6.2</w:t>
            </w:r>
          </w:p>
        </w:tc>
        <w:tc>
          <w:tcPr>
            <w:tcW w:w="7268" w:type="dxa"/>
          </w:tcPr>
          <w:p w14:paraId="62CF10EF">
            <w:pPr>
              <w:pStyle w:val="31"/>
              <w:spacing w:before="118"/>
              <w:ind w:left="541"/>
              <w:rPr>
                <w:rFonts w:ascii="宋体" w:hAnsi="宋体" w:eastAsia="宋体" w:cs="宋体"/>
                <w:sz w:val="21"/>
                <w:szCs w:val="21"/>
                <w:lang w:eastAsia="zh-CN"/>
              </w:rPr>
            </w:pPr>
            <w:r>
              <w:rPr>
                <w:rFonts w:hint="eastAsia" w:ascii="宋体" w:hAnsi="宋体" w:eastAsia="宋体" w:cs="宋体"/>
                <w:sz w:val="21"/>
                <w:szCs w:val="21"/>
                <w:lang w:eastAsia="zh-CN"/>
              </w:rPr>
              <w:t>发包人是否提供施工设备和临时设施：否</w:t>
            </w:r>
          </w:p>
        </w:tc>
      </w:tr>
      <w:tr w14:paraId="221BE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820" w:type="dxa"/>
          </w:tcPr>
          <w:p w14:paraId="114C8E55">
            <w:pPr>
              <w:pStyle w:val="31"/>
              <w:spacing w:before="320"/>
              <w:ind w:left="364"/>
              <w:rPr>
                <w:rFonts w:ascii="宋体" w:hAnsi="宋体" w:eastAsia="宋体" w:cs="宋体"/>
                <w:sz w:val="21"/>
                <w:szCs w:val="21"/>
              </w:rPr>
            </w:pPr>
            <w:r>
              <w:rPr>
                <w:rFonts w:hint="eastAsia" w:ascii="宋体" w:hAnsi="宋体" w:eastAsia="宋体" w:cs="宋体"/>
                <w:sz w:val="21"/>
                <w:szCs w:val="21"/>
              </w:rPr>
              <w:t>8</w:t>
            </w:r>
          </w:p>
        </w:tc>
        <w:tc>
          <w:tcPr>
            <w:tcW w:w="1271" w:type="dxa"/>
          </w:tcPr>
          <w:p w14:paraId="3502D56C">
            <w:pPr>
              <w:pStyle w:val="31"/>
              <w:spacing w:before="319"/>
              <w:ind w:left="379"/>
              <w:rPr>
                <w:rFonts w:ascii="宋体" w:hAnsi="宋体" w:eastAsia="宋体" w:cs="宋体"/>
                <w:sz w:val="21"/>
                <w:szCs w:val="21"/>
              </w:rPr>
            </w:pPr>
            <w:r>
              <w:rPr>
                <w:rFonts w:hint="eastAsia" w:ascii="宋体" w:hAnsi="宋体" w:eastAsia="宋体" w:cs="宋体"/>
                <w:sz w:val="21"/>
                <w:szCs w:val="21"/>
              </w:rPr>
              <w:t>8.1.1</w:t>
            </w:r>
          </w:p>
        </w:tc>
        <w:tc>
          <w:tcPr>
            <w:tcW w:w="7268" w:type="dxa"/>
          </w:tcPr>
          <w:p w14:paraId="275781ED">
            <w:pPr>
              <w:pStyle w:val="31"/>
              <w:spacing w:before="152"/>
              <w:ind w:left="17" w:right="215" w:firstLine="643"/>
              <w:rPr>
                <w:rFonts w:ascii="宋体" w:hAnsi="宋体" w:eastAsia="宋体" w:cs="宋体"/>
                <w:sz w:val="21"/>
                <w:szCs w:val="21"/>
                <w:lang w:eastAsia="zh-CN"/>
              </w:rPr>
            </w:pPr>
            <w:r>
              <w:rPr>
                <w:rFonts w:hint="eastAsia" w:ascii="宋体" w:hAnsi="宋体" w:eastAsia="宋体" w:cs="宋体"/>
                <w:sz w:val="21"/>
                <w:szCs w:val="21"/>
                <w:lang w:eastAsia="zh-CN"/>
              </w:rPr>
              <w:t>发包人提供测量基准点、基准线和水准点及其书面资料的期限：</w:t>
            </w:r>
            <w:r>
              <w:rPr>
                <w:rFonts w:hint="eastAsia" w:ascii="宋体" w:hAnsi="宋体" w:eastAsia="宋体" w:cs="宋体"/>
                <w:sz w:val="21"/>
                <w:szCs w:val="21"/>
                <w:u w:val="single" w:color="000000"/>
                <w:lang w:eastAsia="zh-CN"/>
              </w:rPr>
              <w:t>30天</w:t>
            </w:r>
            <w:r>
              <w:rPr>
                <w:rFonts w:hint="eastAsia" w:ascii="宋体" w:hAnsi="宋体" w:eastAsia="宋体" w:cs="宋体"/>
                <w:sz w:val="21"/>
                <w:szCs w:val="21"/>
                <w:lang w:eastAsia="zh-CN"/>
              </w:rPr>
              <w:t>承包人将施工控制网资料报送发包人审批的期限：</w:t>
            </w:r>
            <w:r>
              <w:rPr>
                <w:rFonts w:hint="eastAsia" w:ascii="宋体" w:hAnsi="宋体" w:eastAsia="宋体" w:cs="宋体"/>
                <w:sz w:val="21"/>
                <w:szCs w:val="21"/>
                <w:u w:val="single" w:color="000000"/>
                <w:lang w:eastAsia="zh-CN"/>
              </w:rPr>
              <w:t>发出开工通知后7天</w:t>
            </w:r>
          </w:p>
        </w:tc>
      </w:tr>
      <w:tr w14:paraId="393E9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tcPr>
          <w:p w14:paraId="62550D6F">
            <w:pPr>
              <w:pStyle w:val="31"/>
              <w:spacing w:before="205"/>
              <w:ind w:left="364"/>
              <w:rPr>
                <w:rFonts w:ascii="宋体" w:hAnsi="宋体" w:eastAsia="宋体" w:cs="宋体"/>
                <w:sz w:val="21"/>
                <w:szCs w:val="21"/>
              </w:rPr>
            </w:pPr>
            <w:r>
              <w:rPr>
                <w:rFonts w:hint="eastAsia" w:ascii="宋体" w:hAnsi="宋体" w:eastAsia="宋体" w:cs="宋体"/>
                <w:sz w:val="21"/>
                <w:szCs w:val="21"/>
              </w:rPr>
              <w:t>9</w:t>
            </w:r>
          </w:p>
        </w:tc>
        <w:tc>
          <w:tcPr>
            <w:tcW w:w="1271" w:type="dxa"/>
          </w:tcPr>
          <w:p w14:paraId="0D52D972">
            <w:pPr>
              <w:pStyle w:val="31"/>
              <w:spacing w:before="205"/>
              <w:ind w:left="446"/>
              <w:rPr>
                <w:rFonts w:ascii="宋体" w:hAnsi="宋体" w:eastAsia="宋体" w:cs="宋体"/>
                <w:sz w:val="21"/>
                <w:szCs w:val="21"/>
              </w:rPr>
            </w:pPr>
            <w:r>
              <w:rPr>
                <w:rFonts w:hint="eastAsia" w:ascii="宋体" w:hAnsi="宋体" w:eastAsia="宋体" w:cs="宋体"/>
                <w:sz w:val="21"/>
                <w:szCs w:val="21"/>
              </w:rPr>
              <w:t>11.5</w:t>
            </w:r>
          </w:p>
        </w:tc>
        <w:tc>
          <w:tcPr>
            <w:tcW w:w="7268" w:type="dxa"/>
          </w:tcPr>
          <w:p w14:paraId="1856143C">
            <w:pPr>
              <w:pStyle w:val="31"/>
              <w:spacing w:before="172"/>
              <w:ind w:left="536"/>
              <w:rPr>
                <w:rFonts w:ascii="宋体" w:hAnsi="宋体" w:eastAsia="宋体" w:cs="宋体"/>
                <w:sz w:val="21"/>
                <w:szCs w:val="21"/>
                <w:lang w:eastAsia="zh-CN"/>
              </w:rPr>
            </w:pPr>
            <w:r>
              <w:rPr>
                <w:rFonts w:hint="eastAsia" w:ascii="宋体" w:hAnsi="宋体" w:eastAsia="宋体" w:cs="宋体"/>
                <w:sz w:val="21"/>
                <w:szCs w:val="21"/>
                <w:lang w:eastAsia="zh-CN"/>
              </w:rPr>
              <w:t>逾期交工违约金：5000元/天</w:t>
            </w:r>
          </w:p>
        </w:tc>
      </w:tr>
      <w:tr w14:paraId="4C0A0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tcPr>
          <w:p w14:paraId="37F39BF1">
            <w:pPr>
              <w:pStyle w:val="31"/>
              <w:spacing w:before="204"/>
              <w:ind w:left="326"/>
              <w:rPr>
                <w:rFonts w:ascii="宋体" w:hAnsi="宋体" w:eastAsia="宋体" w:cs="宋体"/>
                <w:sz w:val="21"/>
                <w:szCs w:val="21"/>
              </w:rPr>
            </w:pPr>
            <w:r>
              <w:rPr>
                <w:rFonts w:hint="eastAsia" w:ascii="宋体" w:hAnsi="宋体" w:eastAsia="宋体" w:cs="宋体"/>
                <w:sz w:val="21"/>
                <w:szCs w:val="21"/>
              </w:rPr>
              <w:t>10</w:t>
            </w:r>
          </w:p>
        </w:tc>
        <w:tc>
          <w:tcPr>
            <w:tcW w:w="1271" w:type="dxa"/>
          </w:tcPr>
          <w:p w14:paraId="190B4C9B">
            <w:pPr>
              <w:pStyle w:val="31"/>
              <w:spacing w:before="205"/>
              <w:ind w:left="446"/>
              <w:rPr>
                <w:rFonts w:ascii="宋体" w:hAnsi="宋体" w:eastAsia="宋体" w:cs="宋体"/>
                <w:sz w:val="21"/>
                <w:szCs w:val="21"/>
              </w:rPr>
            </w:pPr>
            <w:r>
              <w:rPr>
                <w:rFonts w:hint="eastAsia" w:ascii="宋体" w:hAnsi="宋体" w:eastAsia="宋体" w:cs="宋体"/>
                <w:sz w:val="21"/>
                <w:szCs w:val="21"/>
              </w:rPr>
              <w:t>11.5</w:t>
            </w:r>
          </w:p>
        </w:tc>
        <w:tc>
          <w:tcPr>
            <w:tcW w:w="7268" w:type="dxa"/>
          </w:tcPr>
          <w:p w14:paraId="61D82783">
            <w:pPr>
              <w:pStyle w:val="31"/>
              <w:spacing w:before="172"/>
              <w:ind w:left="536"/>
              <w:rPr>
                <w:rFonts w:ascii="宋体" w:hAnsi="宋体" w:eastAsia="宋体" w:cs="宋体"/>
                <w:sz w:val="21"/>
                <w:szCs w:val="21"/>
                <w:lang w:eastAsia="zh-CN"/>
              </w:rPr>
            </w:pPr>
            <w:r>
              <w:rPr>
                <w:rFonts w:hint="eastAsia" w:ascii="宋体" w:hAnsi="宋体" w:eastAsia="宋体" w:cs="宋体"/>
                <w:sz w:val="21"/>
                <w:szCs w:val="21"/>
                <w:lang w:eastAsia="zh-CN"/>
              </w:rPr>
              <w:t>逾期交工违约金限额：10%签约合同价</w:t>
            </w:r>
          </w:p>
        </w:tc>
      </w:tr>
      <w:tr w14:paraId="55D67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tcPr>
          <w:p w14:paraId="50F38A9B">
            <w:pPr>
              <w:pStyle w:val="31"/>
              <w:spacing w:before="206"/>
              <w:ind w:left="326"/>
              <w:rPr>
                <w:rFonts w:ascii="宋体" w:hAnsi="宋体" w:eastAsia="宋体" w:cs="宋体"/>
                <w:sz w:val="21"/>
                <w:szCs w:val="21"/>
              </w:rPr>
            </w:pPr>
            <w:r>
              <w:rPr>
                <w:rFonts w:hint="eastAsia" w:ascii="宋体" w:hAnsi="宋体" w:eastAsia="宋体" w:cs="宋体"/>
                <w:sz w:val="21"/>
                <w:szCs w:val="21"/>
              </w:rPr>
              <w:t>11</w:t>
            </w:r>
          </w:p>
        </w:tc>
        <w:tc>
          <w:tcPr>
            <w:tcW w:w="1271" w:type="dxa"/>
          </w:tcPr>
          <w:p w14:paraId="7AAE072F">
            <w:pPr>
              <w:pStyle w:val="31"/>
              <w:spacing w:before="205"/>
              <w:ind w:left="446"/>
              <w:rPr>
                <w:rFonts w:ascii="宋体" w:hAnsi="宋体" w:eastAsia="宋体" w:cs="宋体"/>
                <w:sz w:val="21"/>
                <w:szCs w:val="21"/>
              </w:rPr>
            </w:pPr>
            <w:r>
              <w:rPr>
                <w:rFonts w:hint="eastAsia" w:ascii="宋体" w:hAnsi="宋体" w:eastAsia="宋体" w:cs="宋体"/>
                <w:sz w:val="21"/>
                <w:szCs w:val="21"/>
              </w:rPr>
              <w:t>11.6</w:t>
            </w:r>
          </w:p>
        </w:tc>
        <w:tc>
          <w:tcPr>
            <w:tcW w:w="7268" w:type="dxa"/>
          </w:tcPr>
          <w:p w14:paraId="7F713036">
            <w:pPr>
              <w:pStyle w:val="31"/>
              <w:spacing w:before="173"/>
              <w:ind w:left="538"/>
              <w:rPr>
                <w:rFonts w:ascii="宋体" w:hAnsi="宋体" w:eastAsia="宋体" w:cs="宋体"/>
                <w:sz w:val="21"/>
                <w:szCs w:val="21"/>
                <w:lang w:eastAsia="zh-CN"/>
              </w:rPr>
            </w:pPr>
            <w:r>
              <w:rPr>
                <w:rFonts w:hint="eastAsia" w:ascii="宋体" w:hAnsi="宋体" w:eastAsia="宋体" w:cs="宋体"/>
                <w:sz w:val="21"/>
                <w:szCs w:val="21"/>
                <w:lang w:eastAsia="zh-CN"/>
              </w:rPr>
              <w:t>提前交工的奖金：</w:t>
            </w:r>
            <w:r>
              <w:rPr>
                <w:rFonts w:hint="eastAsia" w:ascii="宋体" w:hAnsi="宋体" w:eastAsia="宋体" w:cs="宋体"/>
                <w:sz w:val="21"/>
                <w:szCs w:val="21"/>
                <w:u w:val="single"/>
                <w:lang w:eastAsia="zh-CN"/>
              </w:rPr>
              <w:t>/</w:t>
            </w:r>
            <w:r>
              <w:rPr>
                <w:rFonts w:hint="eastAsia" w:ascii="宋体" w:hAnsi="宋体" w:eastAsia="宋体" w:cs="宋体"/>
                <w:sz w:val="21"/>
                <w:szCs w:val="21"/>
                <w:lang w:eastAsia="zh-CN"/>
              </w:rPr>
              <w:t>元/天</w:t>
            </w:r>
          </w:p>
        </w:tc>
      </w:tr>
      <w:tr w14:paraId="37851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20" w:type="dxa"/>
          </w:tcPr>
          <w:p w14:paraId="709A91B9">
            <w:pPr>
              <w:pStyle w:val="31"/>
              <w:spacing w:before="206"/>
              <w:ind w:left="326"/>
              <w:rPr>
                <w:rFonts w:ascii="宋体" w:hAnsi="宋体" w:eastAsia="宋体" w:cs="宋体"/>
                <w:sz w:val="21"/>
                <w:szCs w:val="21"/>
              </w:rPr>
            </w:pPr>
            <w:r>
              <w:rPr>
                <w:rFonts w:hint="eastAsia" w:ascii="宋体" w:hAnsi="宋体" w:eastAsia="宋体" w:cs="宋体"/>
                <w:sz w:val="21"/>
                <w:szCs w:val="21"/>
              </w:rPr>
              <w:t>12</w:t>
            </w:r>
          </w:p>
        </w:tc>
        <w:tc>
          <w:tcPr>
            <w:tcW w:w="1271" w:type="dxa"/>
          </w:tcPr>
          <w:p w14:paraId="7A207877">
            <w:pPr>
              <w:pStyle w:val="31"/>
              <w:spacing w:before="206"/>
              <w:ind w:left="446"/>
              <w:rPr>
                <w:rFonts w:ascii="宋体" w:hAnsi="宋体" w:eastAsia="宋体" w:cs="宋体"/>
                <w:sz w:val="21"/>
                <w:szCs w:val="21"/>
              </w:rPr>
            </w:pPr>
            <w:r>
              <w:rPr>
                <w:rFonts w:hint="eastAsia" w:ascii="宋体" w:hAnsi="宋体" w:eastAsia="宋体" w:cs="宋体"/>
                <w:sz w:val="21"/>
                <w:szCs w:val="21"/>
              </w:rPr>
              <w:t>11.6</w:t>
            </w:r>
          </w:p>
        </w:tc>
        <w:tc>
          <w:tcPr>
            <w:tcW w:w="7268" w:type="dxa"/>
          </w:tcPr>
          <w:p w14:paraId="55B2DCC1">
            <w:pPr>
              <w:pStyle w:val="31"/>
              <w:spacing w:before="172"/>
              <w:ind w:left="538"/>
              <w:rPr>
                <w:rFonts w:ascii="宋体" w:hAnsi="宋体" w:eastAsia="宋体" w:cs="宋体"/>
                <w:sz w:val="21"/>
                <w:szCs w:val="21"/>
                <w:lang w:eastAsia="zh-CN"/>
              </w:rPr>
            </w:pPr>
            <w:r>
              <w:rPr>
                <w:rFonts w:hint="eastAsia" w:ascii="宋体" w:hAnsi="宋体" w:eastAsia="宋体" w:cs="宋体"/>
                <w:sz w:val="21"/>
                <w:szCs w:val="21"/>
                <w:lang w:eastAsia="zh-CN"/>
              </w:rPr>
              <w:t>提前交工的奖金限额：</w:t>
            </w:r>
            <w:r>
              <w:rPr>
                <w:rFonts w:hint="eastAsia" w:ascii="宋体" w:hAnsi="宋体" w:eastAsia="宋体" w:cs="宋体"/>
                <w:sz w:val="21"/>
                <w:szCs w:val="21"/>
                <w:u w:val="single"/>
                <w:lang w:eastAsia="zh-CN"/>
              </w:rPr>
              <w:t>/</w:t>
            </w:r>
            <w:r>
              <w:rPr>
                <w:rFonts w:hint="eastAsia" w:ascii="宋体" w:hAnsi="宋体" w:eastAsia="宋体" w:cs="宋体"/>
                <w:sz w:val="21"/>
                <w:szCs w:val="21"/>
                <w:lang w:eastAsia="zh-CN"/>
              </w:rPr>
              <w:t>元/天</w:t>
            </w:r>
          </w:p>
        </w:tc>
      </w:tr>
      <w:tr w14:paraId="36E39A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820" w:type="dxa"/>
          </w:tcPr>
          <w:p w14:paraId="7D3241C0">
            <w:pPr>
              <w:pStyle w:val="31"/>
              <w:spacing w:before="330"/>
              <w:ind w:left="326"/>
              <w:rPr>
                <w:rFonts w:ascii="宋体" w:hAnsi="宋体" w:eastAsia="宋体" w:cs="宋体"/>
                <w:sz w:val="21"/>
                <w:szCs w:val="21"/>
              </w:rPr>
            </w:pPr>
            <w:r>
              <w:rPr>
                <w:rFonts w:hint="eastAsia" w:ascii="宋体" w:hAnsi="宋体" w:eastAsia="宋体" w:cs="宋体"/>
                <w:sz w:val="21"/>
                <w:szCs w:val="21"/>
              </w:rPr>
              <w:t>13</w:t>
            </w:r>
          </w:p>
        </w:tc>
        <w:tc>
          <w:tcPr>
            <w:tcW w:w="1271" w:type="dxa"/>
          </w:tcPr>
          <w:p w14:paraId="17FE23DD">
            <w:pPr>
              <w:pStyle w:val="31"/>
              <w:spacing w:before="331"/>
              <w:ind w:left="341"/>
              <w:rPr>
                <w:rFonts w:ascii="宋体" w:hAnsi="宋体" w:eastAsia="宋体" w:cs="宋体"/>
                <w:sz w:val="21"/>
                <w:szCs w:val="21"/>
              </w:rPr>
            </w:pPr>
            <w:r>
              <w:rPr>
                <w:rFonts w:hint="eastAsia" w:ascii="宋体" w:hAnsi="宋体" w:eastAsia="宋体" w:cs="宋体"/>
                <w:sz w:val="21"/>
                <w:szCs w:val="21"/>
              </w:rPr>
              <w:t>15.5.2</w:t>
            </w:r>
          </w:p>
        </w:tc>
        <w:tc>
          <w:tcPr>
            <w:tcW w:w="7268" w:type="dxa"/>
          </w:tcPr>
          <w:p w14:paraId="0FA09E1C">
            <w:pPr>
              <w:pStyle w:val="31"/>
              <w:spacing w:before="298"/>
              <w:ind w:left="536"/>
              <w:rPr>
                <w:rFonts w:ascii="宋体" w:hAnsi="宋体" w:eastAsia="宋体" w:cs="宋体"/>
                <w:sz w:val="21"/>
                <w:szCs w:val="21"/>
              </w:rPr>
            </w:pPr>
            <w:r>
              <w:rPr>
                <w:rFonts w:hint="eastAsia" w:ascii="宋体" w:hAnsi="宋体" w:eastAsia="宋体" w:cs="宋体"/>
                <w:sz w:val="21"/>
                <w:szCs w:val="21"/>
                <w:u w:val="single"/>
              </w:rPr>
              <w:t>/</w:t>
            </w:r>
          </w:p>
        </w:tc>
      </w:tr>
      <w:tr w14:paraId="5AAC2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820" w:type="dxa"/>
          </w:tcPr>
          <w:p w14:paraId="1F737E35">
            <w:pPr>
              <w:ind w:firstLine="422"/>
              <w:rPr>
                <w:sz w:val="21"/>
                <w:szCs w:val="21"/>
              </w:rPr>
            </w:pPr>
          </w:p>
          <w:p w14:paraId="5F722E4B">
            <w:pPr>
              <w:ind w:firstLine="422"/>
              <w:rPr>
                <w:sz w:val="21"/>
                <w:szCs w:val="21"/>
              </w:rPr>
            </w:pPr>
          </w:p>
          <w:p w14:paraId="13FB7A01">
            <w:pPr>
              <w:pStyle w:val="31"/>
              <w:spacing w:before="90"/>
              <w:ind w:left="326"/>
              <w:rPr>
                <w:rFonts w:ascii="宋体" w:hAnsi="宋体" w:eastAsia="宋体" w:cs="宋体"/>
                <w:sz w:val="21"/>
                <w:szCs w:val="21"/>
              </w:rPr>
            </w:pPr>
            <w:r>
              <w:rPr>
                <w:rFonts w:hint="eastAsia" w:ascii="宋体" w:hAnsi="宋体" w:eastAsia="宋体" w:cs="宋体"/>
                <w:sz w:val="21"/>
                <w:szCs w:val="21"/>
              </w:rPr>
              <w:t>14</w:t>
            </w:r>
          </w:p>
        </w:tc>
        <w:tc>
          <w:tcPr>
            <w:tcW w:w="1271" w:type="dxa"/>
          </w:tcPr>
          <w:p w14:paraId="46C47A9C">
            <w:pPr>
              <w:ind w:firstLine="422"/>
              <w:rPr>
                <w:sz w:val="21"/>
                <w:szCs w:val="21"/>
              </w:rPr>
            </w:pPr>
          </w:p>
          <w:p w14:paraId="6FD90183">
            <w:pPr>
              <w:ind w:firstLine="422"/>
              <w:rPr>
                <w:sz w:val="21"/>
                <w:szCs w:val="21"/>
              </w:rPr>
            </w:pPr>
          </w:p>
          <w:p w14:paraId="4C249994">
            <w:pPr>
              <w:pStyle w:val="31"/>
              <w:spacing w:before="91"/>
              <w:ind w:left="446"/>
              <w:rPr>
                <w:rFonts w:ascii="宋体" w:hAnsi="宋体" w:eastAsia="宋体" w:cs="宋体"/>
                <w:sz w:val="21"/>
                <w:szCs w:val="21"/>
              </w:rPr>
            </w:pPr>
            <w:r>
              <w:rPr>
                <w:rFonts w:hint="eastAsia" w:ascii="宋体" w:hAnsi="宋体" w:eastAsia="宋体" w:cs="宋体"/>
                <w:sz w:val="21"/>
                <w:szCs w:val="21"/>
              </w:rPr>
              <w:t>16.1</w:t>
            </w:r>
          </w:p>
        </w:tc>
        <w:tc>
          <w:tcPr>
            <w:tcW w:w="7268" w:type="dxa"/>
          </w:tcPr>
          <w:p w14:paraId="67CA7AED">
            <w:pPr>
              <w:pStyle w:val="31"/>
              <w:spacing w:before="107"/>
              <w:ind w:left="748"/>
              <w:rPr>
                <w:rFonts w:ascii="宋体" w:hAnsi="宋体" w:eastAsia="宋体" w:cs="宋体"/>
                <w:sz w:val="21"/>
                <w:szCs w:val="21"/>
                <w:lang w:eastAsia="zh-CN"/>
              </w:rPr>
            </w:pPr>
            <w:r>
              <w:rPr>
                <w:rFonts w:hint="eastAsia" w:ascii="宋体" w:hAnsi="宋体" w:eastAsia="宋体" w:cs="宋体"/>
                <w:sz w:val="21"/>
                <w:szCs w:val="21"/>
                <w:lang w:eastAsia="zh-CN"/>
              </w:rPr>
              <w:t>□因物价波动引起的价格调整按照第16.1.1项或第16.1.2项约定</w:t>
            </w:r>
          </w:p>
          <w:p w14:paraId="7B963A5D">
            <w:pPr>
              <w:pStyle w:val="31"/>
              <w:spacing w:before="5"/>
              <w:ind w:left="118" w:right="171" w:firstLine="422"/>
              <w:rPr>
                <w:rFonts w:ascii="宋体" w:hAnsi="宋体" w:eastAsia="宋体" w:cs="宋体"/>
                <w:sz w:val="21"/>
                <w:szCs w:val="21"/>
                <w:lang w:eastAsia="zh-CN"/>
              </w:rPr>
            </w:pPr>
            <w:r>
              <w:rPr>
                <w:rFonts w:hint="eastAsia" w:ascii="宋体" w:hAnsi="宋体" w:eastAsia="宋体" w:cs="宋体"/>
                <w:sz w:val="21"/>
                <w:szCs w:val="21"/>
                <w:lang w:eastAsia="zh-CN"/>
              </w:rPr>
              <w:t>的原则处理,若按第16.1.1项的约定采用价格调整公式进行调价，每半年或一年按价格调</w:t>
            </w:r>
          </w:p>
          <w:p w14:paraId="4E43D986">
            <w:pPr>
              <w:pStyle w:val="31"/>
              <w:spacing w:before="71"/>
              <w:ind w:left="744"/>
              <w:rPr>
                <w:rFonts w:ascii="宋体" w:hAnsi="宋体" w:eastAsia="宋体" w:cs="宋体"/>
                <w:sz w:val="21"/>
                <w:szCs w:val="21"/>
              </w:rPr>
            </w:pPr>
            <w:r>
              <w:rPr>
                <w:rFonts w:hint="eastAsia" w:ascii="宋体" w:hAnsi="宋体" w:eastAsia="宋体" w:cs="宋体"/>
                <w:position w:val="-4"/>
                <w:sz w:val="21"/>
                <w:szCs w:val="21"/>
                <w:lang w:eastAsia="zh-CN"/>
              </w:rPr>
              <w:drawing>
                <wp:inline distT="0" distB="0" distL="0" distR="0">
                  <wp:extent cx="104140" cy="140970"/>
                  <wp:effectExtent l="0" t="0" r="10160" b="11430"/>
                  <wp:docPr id="55" name="IM 4"/>
                  <wp:cNvGraphicFramePr/>
                  <a:graphic xmlns:a="http://schemas.openxmlformats.org/drawingml/2006/main">
                    <a:graphicData uri="http://schemas.openxmlformats.org/drawingml/2006/picture">
                      <pic:pic xmlns:pic="http://schemas.openxmlformats.org/drawingml/2006/picture">
                        <pic:nvPicPr>
                          <pic:cNvPr id="55" name="IM 4"/>
                          <pic:cNvPicPr/>
                        </pic:nvPicPr>
                        <pic:blipFill>
                          <a:blip r:embed="rId18"/>
                          <a:stretch>
                            <a:fillRect/>
                          </a:stretch>
                        </pic:blipFill>
                        <pic:spPr>
                          <a:xfrm>
                            <a:off x="0" y="0"/>
                            <a:ext cx="104452" cy="141353"/>
                          </a:xfrm>
                          <a:prstGeom prst="rect">
                            <a:avLst/>
                          </a:prstGeom>
                        </pic:spPr>
                      </pic:pic>
                    </a:graphicData>
                  </a:graphic>
                </wp:inline>
              </w:drawing>
            </w:r>
            <w:r>
              <w:rPr>
                <w:rFonts w:hint="eastAsia" w:ascii="宋体" w:hAnsi="宋体" w:eastAsia="宋体" w:cs="宋体"/>
                <w:sz w:val="21"/>
                <w:szCs w:val="21"/>
              </w:rPr>
              <w:t>合同期内不调价</w:t>
            </w:r>
          </w:p>
        </w:tc>
      </w:tr>
    </w:tbl>
    <w:p w14:paraId="202AED8C">
      <w:pPr>
        <w:pStyle w:val="12"/>
      </w:pPr>
    </w:p>
    <w:p w14:paraId="5F53879C">
      <w:pPr>
        <w:ind w:firstLine="422"/>
        <w:rPr>
          <w:sz w:val="21"/>
          <w:szCs w:val="21"/>
        </w:rPr>
        <w:sectPr>
          <w:footerReference r:id="rId7" w:type="default"/>
          <w:pgSz w:w="11900" w:h="16840"/>
          <w:pgMar w:top="1422" w:right="1244" w:bottom="801" w:left="1291" w:header="0" w:footer="637" w:gutter="0"/>
          <w:cols w:space="720" w:num="1"/>
        </w:sectPr>
      </w:pPr>
    </w:p>
    <w:p w14:paraId="20EB97DD">
      <w:pPr>
        <w:spacing w:before="42"/>
        <w:ind w:firstLine="422"/>
        <w:jc w:val="right"/>
        <w:rPr>
          <w:sz w:val="21"/>
          <w:szCs w:val="21"/>
        </w:rPr>
      </w:pPr>
      <w:r>
        <w:rPr>
          <w:rFonts w:hint="eastAsia"/>
          <w:sz w:val="21"/>
          <w:szCs w:val="21"/>
        </w:rPr>
        <w:t>续上表</w:t>
      </w:r>
    </w:p>
    <w:p w14:paraId="4515A4D9">
      <w:pPr>
        <w:ind w:firstLine="422"/>
        <w:rPr>
          <w:sz w:val="21"/>
          <w:szCs w:val="21"/>
        </w:rPr>
      </w:pPr>
    </w:p>
    <w:tbl>
      <w:tblPr>
        <w:tblStyle w:val="28"/>
        <w:tblW w:w="93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1261"/>
        <w:gridCol w:w="7193"/>
        <w:gridCol w:w="23"/>
      </w:tblGrid>
      <w:tr w14:paraId="6FB83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830" w:type="dxa"/>
          </w:tcPr>
          <w:p w14:paraId="7A468659">
            <w:pPr>
              <w:ind w:firstLine="422"/>
              <w:rPr>
                <w:sz w:val="21"/>
                <w:szCs w:val="21"/>
              </w:rPr>
            </w:pPr>
          </w:p>
        </w:tc>
        <w:tc>
          <w:tcPr>
            <w:tcW w:w="1261" w:type="dxa"/>
          </w:tcPr>
          <w:p w14:paraId="3E19B910">
            <w:pPr>
              <w:pStyle w:val="31"/>
              <w:spacing w:before="206"/>
              <w:ind w:left="115"/>
              <w:rPr>
                <w:rFonts w:ascii="宋体" w:hAnsi="宋体" w:eastAsia="宋体" w:cs="宋体"/>
                <w:sz w:val="21"/>
                <w:szCs w:val="21"/>
              </w:rPr>
            </w:pPr>
            <w:r>
              <w:rPr>
                <w:rFonts w:hint="eastAsia" w:ascii="宋体" w:hAnsi="宋体" w:eastAsia="宋体" w:cs="宋体"/>
                <w:sz w:val="21"/>
                <w:szCs w:val="21"/>
              </w:rPr>
              <w:t>条目号</w:t>
            </w:r>
          </w:p>
        </w:tc>
        <w:tc>
          <w:tcPr>
            <w:tcW w:w="7215" w:type="dxa"/>
            <w:gridSpan w:val="2"/>
          </w:tcPr>
          <w:p w14:paraId="28F93EB8">
            <w:pPr>
              <w:pStyle w:val="31"/>
              <w:spacing w:before="207"/>
              <w:ind w:left="3264"/>
              <w:rPr>
                <w:rFonts w:ascii="宋体" w:hAnsi="宋体" w:eastAsia="宋体" w:cs="宋体"/>
                <w:sz w:val="21"/>
                <w:szCs w:val="21"/>
              </w:rPr>
            </w:pPr>
            <w:r>
              <w:rPr>
                <w:rFonts w:hint="eastAsia" w:ascii="宋体" w:hAnsi="宋体" w:eastAsia="宋体" w:cs="宋体"/>
                <w:sz w:val="21"/>
                <w:szCs w:val="21"/>
              </w:rPr>
              <w:t>信息或数据</w:t>
            </w:r>
          </w:p>
        </w:tc>
      </w:tr>
      <w:tr w14:paraId="191D71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30" w:type="dxa"/>
          </w:tcPr>
          <w:p w14:paraId="408B538C">
            <w:pPr>
              <w:pStyle w:val="31"/>
              <w:spacing w:before="181"/>
              <w:ind w:left="335"/>
              <w:rPr>
                <w:rFonts w:ascii="宋体" w:hAnsi="宋体" w:eastAsia="宋体" w:cs="宋体"/>
                <w:sz w:val="21"/>
                <w:szCs w:val="21"/>
              </w:rPr>
            </w:pPr>
            <w:r>
              <w:rPr>
                <w:rFonts w:hint="eastAsia" w:ascii="宋体" w:hAnsi="宋体" w:eastAsia="宋体" w:cs="宋体"/>
                <w:sz w:val="21"/>
                <w:szCs w:val="21"/>
              </w:rPr>
              <w:t>15</w:t>
            </w:r>
          </w:p>
        </w:tc>
        <w:tc>
          <w:tcPr>
            <w:tcW w:w="1261" w:type="dxa"/>
          </w:tcPr>
          <w:p w14:paraId="3152FF75">
            <w:pPr>
              <w:spacing w:before="42"/>
              <w:rPr>
                <w:rFonts w:ascii="宋体" w:hAnsi="宋体" w:eastAsia="宋体" w:cs="宋体"/>
                <w:sz w:val="21"/>
                <w:szCs w:val="21"/>
              </w:rPr>
            </w:pPr>
            <w:r>
              <w:rPr>
                <w:rFonts w:hint="eastAsia"/>
                <w:sz w:val="21"/>
                <w:szCs w:val="21"/>
              </w:rPr>
              <w:t>17.2.1</w:t>
            </w:r>
            <w:r>
              <w:rPr>
                <w:rFonts w:hint="eastAsia" w:ascii="宋体" w:hAnsi="宋体" w:eastAsia="宋体" w:cs="宋体"/>
                <w:sz w:val="21"/>
                <w:szCs w:val="21"/>
              </w:rPr>
              <w:t>（1）</w:t>
            </w:r>
          </w:p>
        </w:tc>
        <w:tc>
          <w:tcPr>
            <w:tcW w:w="7215" w:type="dxa"/>
            <w:gridSpan w:val="2"/>
          </w:tcPr>
          <w:p w14:paraId="53769738">
            <w:pPr>
              <w:pStyle w:val="31"/>
              <w:spacing w:before="149"/>
              <w:ind w:left="538"/>
              <w:rPr>
                <w:rFonts w:ascii="宋体" w:hAnsi="宋体" w:eastAsia="宋体" w:cs="宋体"/>
                <w:sz w:val="21"/>
                <w:szCs w:val="21"/>
                <w:lang w:eastAsia="zh-CN"/>
              </w:rPr>
            </w:pPr>
            <w:r>
              <w:rPr>
                <w:rFonts w:hint="eastAsia" w:ascii="宋体" w:hAnsi="宋体" w:eastAsia="宋体" w:cs="宋体"/>
                <w:sz w:val="21"/>
                <w:szCs w:val="21"/>
                <w:lang w:eastAsia="zh-CN"/>
              </w:rPr>
              <w:t>开工预付款金额：</w:t>
            </w:r>
            <w:r>
              <w:rPr>
                <w:rFonts w:hint="eastAsia" w:ascii="宋体" w:hAnsi="宋体" w:eastAsia="宋体" w:cs="宋体"/>
                <w:b/>
                <w:bCs/>
                <w:sz w:val="21"/>
                <w:szCs w:val="21"/>
                <w:u w:val="single"/>
                <w:lang w:eastAsia="zh-CN"/>
              </w:rPr>
              <w:t>10</w:t>
            </w:r>
            <w:r>
              <w:rPr>
                <w:rFonts w:hint="eastAsia" w:ascii="宋体" w:hAnsi="宋体" w:eastAsia="宋体" w:cs="宋体"/>
                <w:b/>
                <w:bCs/>
                <w:sz w:val="21"/>
                <w:szCs w:val="21"/>
                <w:lang w:eastAsia="zh-CN"/>
              </w:rPr>
              <w:t>%签约合同价</w:t>
            </w:r>
            <w:r>
              <w:rPr>
                <w:rFonts w:hint="eastAsia" w:ascii="宋体" w:hAnsi="宋体" w:eastAsia="宋体" w:cs="宋体"/>
                <w:sz w:val="21"/>
                <w:szCs w:val="21"/>
                <w:lang w:eastAsia="zh-CN"/>
              </w:rPr>
              <w:t>。</w:t>
            </w:r>
          </w:p>
        </w:tc>
      </w:tr>
      <w:tr w14:paraId="2C01F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830" w:type="dxa"/>
          </w:tcPr>
          <w:p w14:paraId="39CBBA76">
            <w:pPr>
              <w:pStyle w:val="31"/>
              <w:spacing w:before="196"/>
              <w:ind w:left="335"/>
              <w:rPr>
                <w:rFonts w:ascii="宋体" w:hAnsi="宋体" w:eastAsia="宋体" w:cs="宋体"/>
                <w:sz w:val="21"/>
                <w:szCs w:val="21"/>
              </w:rPr>
            </w:pPr>
            <w:r>
              <w:rPr>
                <w:rFonts w:hint="eastAsia" w:ascii="宋体" w:hAnsi="宋体" w:eastAsia="宋体" w:cs="宋体"/>
                <w:sz w:val="21"/>
                <w:szCs w:val="21"/>
              </w:rPr>
              <w:t>16</w:t>
            </w:r>
          </w:p>
        </w:tc>
        <w:tc>
          <w:tcPr>
            <w:tcW w:w="1261" w:type="dxa"/>
          </w:tcPr>
          <w:p w14:paraId="6BF82BB8">
            <w:pPr>
              <w:pStyle w:val="31"/>
              <w:spacing w:before="197"/>
              <w:ind w:left="336"/>
              <w:rPr>
                <w:rFonts w:ascii="宋体" w:hAnsi="宋体" w:eastAsia="宋体" w:cs="宋体"/>
                <w:sz w:val="21"/>
                <w:szCs w:val="21"/>
              </w:rPr>
            </w:pPr>
            <w:r>
              <w:rPr>
                <w:rFonts w:hint="eastAsia" w:ascii="宋体" w:hAnsi="宋体" w:eastAsia="宋体" w:cs="宋体"/>
                <w:sz w:val="21"/>
                <w:szCs w:val="21"/>
              </w:rPr>
              <w:t>17.2.1</w:t>
            </w:r>
          </w:p>
        </w:tc>
        <w:tc>
          <w:tcPr>
            <w:tcW w:w="7215" w:type="dxa"/>
            <w:gridSpan w:val="2"/>
          </w:tcPr>
          <w:p w14:paraId="3C3372CB">
            <w:pPr>
              <w:pStyle w:val="31"/>
              <w:spacing w:before="28"/>
              <w:ind w:left="118" w:right="303" w:firstLine="422"/>
              <w:rPr>
                <w:rFonts w:ascii="宋体" w:hAnsi="宋体" w:eastAsia="宋体" w:cs="宋体"/>
                <w:sz w:val="21"/>
                <w:szCs w:val="21"/>
                <w:lang w:eastAsia="zh-CN"/>
              </w:rPr>
            </w:pPr>
            <w:r>
              <w:rPr>
                <w:rFonts w:hint="eastAsia" w:ascii="宋体" w:hAnsi="宋体" w:eastAsia="宋体" w:cs="宋体"/>
                <w:sz w:val="21"/>
                <w:szCs w:val="21"/>
                <w:lang w:eastAsia="zh-CN"/>
              </w:rPr>
              <w:t>材料、设备预付款比例：</w:t>
            </w:r>
            <w:r>
              <w:rPr>
                <w:rFonts w:hint="eastAsia" w:ascii="宋体" w:hAnsi="宋体" w:eastAsia="宋体" w:cs="宋体"/>
                <w:sz w:val="21"/>
                <w:szCs w:val="21"/>
                <w:u w:val="single"/>
                <w:lang w:eastAsia="zh-CN"/>
              </w:rPr>
              <w:t>钢筋、水泥、沥青、砂、石</w:t>
            </w:r>
            <w:r>
              <w:rPr>
                <w:rFonts w:hint="eastAsia" w:ascii="宋体" w:hAnsi="宋体" w:eastAsia="宋体" w:cs="宋体"/>
                <w:sz w:val="21"/>
                <w:szCs w:val="21"/>
                <w:lang w:eastAsia="zh-CN"/>
              </w:rPr>
              <w:t>等主要材料、设备单据所列费用的70%</w:t>
            </w:r>
          </w:p>
        </w:tc>
      </w:tr>
      <w:tr w14:paraId="1D637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0F178BA9">
            <w:pPr>
              <w:pStyle w:val="31"/>
              <w:spacing w:before="202"/>
              <w:ind w:left="335"/>
              <w:rPr>
                <w:rFonts w:ascii="宋体" w:hAnsi="宋体" w:eastAsia="宋体" w:cs="宋体"/>
                <w:sz w:val="21"/>
                <w:szCs w:val="21"/>
              </w:rPr>
            </w:pPr>
            <w:r>
              <w:rPr>
                <w:rFonts w:hint="eastAsia" w:ascii="宋体" w:hAnsi="宋体" w:eastAsia="宋体" w:cs="宋体"/>
                <w:sz w:val="21"/>
                <w:szCs w:val="21"/>
              </w:rPr>
              <w:t>17</w:t>
            </w:r>
          </w:p>
        </w:tc>
        <w:tc>
          <w:tcPr>
            <w:tcW w:w="1261" w:type="dxa"/>
          </w:tcPr>
          <w:p w14:paraId="242420E8">
            <w:pPr>
              <w:pStyle w:val="31"/>
              <w:spacing w:before="201"/>
              <w:ind w:left="336"/>
              <w:rPr>
                <w:rFonts w:ascii="宋体" w:hAnsi="宋体" w:eastAsia="宋体" w:cs="宋体"/>
                <w:sz w:val="21"/>
                <w:szCs w:val="21"/>
              </w:rPr>
            </w:pPr>
            <w:r>
              <w:rPr>
                <w:rFonts w:hint="eastAsia" w:ascii="宋体" w:hAnsi="宋体" w:eastAsia="宋体" w:cs="宋体"/>
                <w:sz w:val="21"/>
                <w:szCs w:val="21"/>
              </w:rPr>
              <w:t>17.3.2</w:t>
            </w:r>
          </w:p>
        </w:tc>
        <w:tc>
          <w:tcPr>
            <w:tcW w:w="7215" w:type="dxa"/>
            <w:gridSpan w:val="2"/>
          </w:tcPr>
          <w:p w14:paraId="106760F4">
            <w:pPr>
              <w:pStyle w:val="31"/>
              <w:spacing w:before="169"/>
              <w:ind w:left="504"/>
              <w:rPr>
                <w:rFonts w:ascii="宋体" w:hAnsi="宋体" w:eastAsia="宋体" w:cs="宋体"/>
                <w:sz w:val="21"/>
                <w:szCs w:val="21"/>
                <w:lang w:eastAsia="zh-CN"/>
              </w:rPr>
            </w:pPr>
            <w:r>
              <w:rPr>
                <w:rFonts w:hint="eastAsia" w:ascii="宋体" w:hAnsi="宋体" w:eastAsia="宋体" w:cs="宋体"/>
                <w:sz w:val="21"/>
                <w:szCs w:val="21"/>
                <w:lang w:eastAsia="zh-CN"/>
              </w:rPr>
              <w:t>承包人在每个付款周期末向发包人提交进度付款申请单的份数：4份</w:t>
            </w:r>
          </w:p>
        </w:tc>
      </w:tr>
      <w:tr w14:paraId="1756B1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333D0FEB">
            <w:pPr>
              <w:pStyle w:val="31"/>
              <w:spacing w:before="201"/>
              <w:ind w:left="335"/>
              <w:rPr>
                <w:rFonts w:ascii="宋体" w:hAnsi="宋体" w:eastAsia="宋体" w:cs="宋体"/>
                <w:sz w:val="21"/>
                <w:szCs w:val="21"/>
              </w:rPr>
            </w:pPr>
            <w:r>
              <w:rPr>
                <w:rFonts w:hint="eastAsia" w:ascii="宋体" w:hAnsi="宋体" w:eastAsia="宋体" w:cs="宋体"/>
                <w:sz w:val="21"/>
                <w:szCs w:val="21"/>
              </w:rPr>
              <w:t>18</w:t>
            </w:r>
          </w:p>
        </w:tc>
        <w:tc>
          <w:tcPr>
            <w:tcW w:w="1261" w:type="dxa"/>
          </w:tcPr>
          <w:p w14:paraId="463E844D">
            <w:pPr>
              <w:pStyle w:val="31"/>
              <w:spacing w:before="168"/>
              <w:ind w:left="177"/>
              <w:rPr>
                <w:rFonts w:ascii="宋体" w:hAnsi="宋体" w:eastAsia="宋体" w:cs="宋体"/>
                <w:sz w:val="21"/>
                <w:szCs w:val="21"/>
              </w:rPr>
            </w:pPr>
            <w:r>
              <w:rPr>
                <w:rFonts w:hint="eastAsia" w:ascii="宋体" w:hAnsi="宋体" w:eastAsia="宋体" w:cs="宋体"/>
                <w:sz w:val="21"/>
                <w:szCs w:val="21"/>
              </w:rPr>
              <w:t>17.3.3(1)</w:t>
            </w:r>
          </w:p>
        </w:tc>
        <w:tc>
          <w:tcPr>
            <w:tcW w:w="7215" w:type="dxa"/>
            <w:gridSpan w:val="2"/>
          </w:tcPr>
          <w:p w14:paraId="6296469B">
            <w:pPr>
              <w:pStyle w:val="31"/>
              <w:spacing w:before="168"/>
              <w:ind w:left="536"/>
              <w:rPr>
                <w:rFonts w:ascii="宋体" w:hAnsi="宋体" w:eastAsia="宋体" w:cs="宋体"/>
                <w:sz w:val="21"/>
                <w:szCs w:val="21"/>
                <w:lang w:eastAsia="zh-CN"/>
              </w:rPr>
            </w:pPr>
            <w:r>
              <w:rPr>
                <w:rFonts w:hint="eastAsia" w:ascii="宋体" w:hAnsi="宋体" w:eastAsia="宋体" w:cs="宋体"/>
                <w:sz w:val="21"/>
                <w:szCs w:val="21"/>
                <w:lang w:eastAsia="zh-CN"/>
              </w:rPr>
              <w:t>进度付款证书最低限额：按每月完成的任务工程量逐月结算或按进度结算</w:t>
            </w:r>
          </w:p>
        </w:tc>
      </w:tr>
      <w:tr w14:paraId="06C61B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34CC6971">
            <w:pPr>
              <w:pStyle w:val="31"/>
              <w:spacing w:before="201"/>
              <w:ind w:left="335"/>
              <w:rPr>
                <w:rFonts w:ascii="宋体" w:hAnsi="宋体" w:eastAsia="宋体" w:cs="宋体"/>
                <w:sz w:val="21"/>
                <w:szCs w:val="21"/>
              </w:rPr>
            </w:pPr>
            <w:r>
              <w:rPr>
                <w:rFonts w:hint="eastAsia" w:ascii="宋体" w:hAnsi="宋体" w:eastAsia="宋体" w:cs="宋体"/>
                <w:sz w:val="21"/>
                <w:szCs w:val="21"/>
              </w:rPr>
              <w:t>19</w:t>
            </w:r>
          </w:p>
        </w:tc>
        <w:tc>
          <w:tcPr>
            <w:tcW w:w="1261" w:type="dxa"/>
          </w:tcPr>
          <w:p w14:paraId="0AC50518">
            <w:pPr>
              <w:pStyle w:val="31"/>
              <w:spacing w:before="169"/>
              <w:ind w:left="177"/>
              <w:rPr>
                <w:rFonts w:ascii="宋体" w:hAnsi="宋体" w:eastAsia="宋体" w:cs="宋体"/>
                <w:sz w:val="21"/>
                <w:szCs w:val="21"/>
              </w:rPr>
            </w:pPr>
            <w:r>
              <w:rPr>
                <w:rFonts w:hint="eastAsia" w:ascii="宋体" w:hAnsi="宋体" w:eastAsia="宋体" w:cs="宋体"/>
                <w:sz w:val="21"/>
                <w:szCs w:val="21"/>
              </w:rPr>
              <w:t>17.3.3(2)</w:t>
            </w:r>
          </w:p>
        </w:tc>
        <w:tc>
          <w:tcPr>
            <w:tcW w:w="7215" w:type="dxa"/>
            <w:gridSpan w:val="2"/>
          </w:tcPr>
          <w:p w14:paraId="291577B0">
            <w:pPr>
              <w:pStyle w:val="31"/>
              <w:spacing w:before="169"/>
              <w:ind w:left="536"/>
              <w:rPr>
                <w:rFonts w:ascii="宋体" w:hAnsi="宋体" w:eastAsia="宋体" w:cs="宋体"/>
                <w:sz w:val="21"/>
                <w:szCs w:val="21"/>
                <w:lang w:eastAsia="zh-CN"/>
              </w:rPr>
            </w:pPr>
            <w:r>
              <w:rPr>
                <w:rFonts w:hint="eastAsia" w:ascii="宋体" w:hAnsi="宋体" w:eastAsia="宋体" w:cs="宋体"/>
                <w:sz w:val="21"/>
                <w:szCs w:val="21"/>
                <w:lang w:eastAsia="zh-CN"/>
              </w:rPr>
              <w:t>逾期付款违约金的利率：0.15‰/天</w:t>
            </w:r>
          </w:p>
        </w:tc>
      </w:tr>
      <w:tr w14:paraId="3E82B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830" w:type="dxa"/>
          </w:tcPr>
          <w:p w14:paraId="4139473C">
            <w:pPr>
              <w:ind w:firstLine="422"/>
              <w:rPr>
                <w:sz w:val="21"/>
                <w:szCs w:val="21"/>
              </w:rPr>
            </w:pPr>
          </w:p>
          <w:p w14:paraId="75E373D8">
            <w:pPr>
              <w:ind w:firstLine="422"/>
              <w:rPr>
                <w:sz w:val="21"/>
                <w:szCs w:val="21"/>
              </w:rPr>
            </w:pPr>
          </w:p>
          <w:p w14:paraId="62C316D0">
            <w:pPr>
              <w:pStyle w:val="31"/>
              <w:spacing w:before="90"/>
              <w:ind w:left="322"/>
              <w:rPr>
                <w:rFonts w:ascii="宋体" w:hAnsi="宋体" w:eastAsia="宋体" w:cs="宋体"/>
                <w:sz w:val="21"/>
                <w:szCs w:val="21"/>
              </w:rPr>
            </w:pPr>
            <w:r>
              <w:rPr>
                <w:rFonts w:hint="eastAsia" w:ascii="宋体" w:hAnsi="宋体" w:eastAsia="宋体" w:cs="宋体"/>
                <w:sz w:val="21"/>
                <w:szCs w:val="21"/>
              </w:rPr>
              <w:t>20</w:t>
            </w:r>
          </w:p>
        </w:tc>
        <w:tc>
          <w:tcPr>
            <w:tcW w:w="1261" w:type="dxa"/>
          </w:tcPr>
          <w:p w14:paraId="6F26FF61">
            <w:pPr>
              <w:ind w:firstLine="422"/>
              <w:rPr>
                <w:sz w:val="21"/>
                <w:szCs w:val="21"/>
              </w:rPr>
            </w:pPr>
          </w:p>
          <w:p w14:paraId="53140593">
            <w:pPr>
              <w:ind w:firstLine="422"/>
              <w:rPr>
                <w:sz w:val="21"/>
                <w:szCs w:val="21"/>
              </w:rPr>
            </w:pPr>
          </w:p>
          <w:p w14:paraId="0A93B8B7">
            <w:pPr>
              <w:pStyle w:val="31"/>
              <w:spacing w:before="90"/>
              <w:ind w:left="336"/>
              <w:rPr>
                <w:rFonts w:ascii="宋体" w:hAnsi="宋体" w:eastAsia="宋体" w:cs="宋体"/>
                <w:sz w:val="21"/>
                <w:szCs w:val="21"/>
              </w:rPr>
            </w:pPr>
            <w:r>
              <w:rPr>
                <w:rFonts w:hint="eastAsia" w:ascii="宋体" w:hAnsi="宋体" w:eastAsia="宋体" w:cs="宋体"/>
                <w:sz w:val="21"/>
                <w:szCs w:val="21"/>
              </w:rPr>
              <w:t>17.4.1</w:t>
            </w:r>
          </w:p>
        </w:tc>
        <w:tc>
          <w:tcPr>
            <w:tcW w:w="7215" w:type="dxa"/>
            <w:gridSpan w:val="2"/>
          </w:tcPr>
          <w:p w14:paraId="08FA664F">
            <w:pPr>
              <w:pStyle w:val="31"/>
              <w:spacing w:before="27"/>
              <w:ind w:left="86" w:right="147" w:firstLine="422"/>
              <w:rPr>
                <w:rFonts w:ascii="宋体" w:hAnsi="宋体" w:eastAsia="宋体" w:cs="宋体"/>
                <w:sz w:val="21"/>
                <w:szCs w:val="21"/>
                <w:lang w:eastAsia="zh-CN"/>
              </w:rPr>
            </w:pPr>
          </w:p>
          <w:p w14:paraId="1B7AA976">
            <w:pPr>
              <w:pStyle w:val="31"/>
              <w:spacing w:before="27"/>
              <w:ind w:right="147" w:firstLine="420" w:firstLineChars="200"/>
              <w:rPr>
                <w:rFonts w:ascii="宋体" w:hAnsi="宋体" w:eastAsia="宋体" w:cs="宋体"/>
                <w:b/>
                <w:bCs/>
                <w:sz w:val="21"/>
                <w:szCs w:val="21"/>
                <w:u w:val="single"/>
                <w:lang w:eastAsia="zh-CN"/>
              </w:rPr>
            </w:pPr>
            <w:r>
              <w:rPr>
                <w:rFonts w:hint="eastAsia" w:ascii="宋体" w:hAnsi="宋体" w:eastAsia="宋体" w:cs="宋体"/>
                <w:sz w:val="21"/>
                <w:szCs w:val="21"/>
                <w:lang w:eastAsia="zh-CN"/>
              </w:rPr>
              <w:t>质量保证金金额：</w:t>
            </w:r>
            <w:r>
              <w:rPr>
                <w:rFonts w:hint="eastAsia" w:ascii="宋体" w:hAnsi="宋体" w:eastAsia="宋体" w:cs="宋体"/>
                <w:b/>
                <w:bCs/>
                <w:sz w:val="21"/>
                <w:szCs w:val="21"/>
                <w:u w:val="single"/>
                <w:lang w:eastAsia="zh-CN"/>
              </w:rPr>
              <w:t>2%签约合同价格，每次计量支付前按支付比例2%，转入建设单位指定银行账号</w:t>
            </w:r>
          </w:p>
          <w:p w14:paraId="7AF208A1">
            <w:pPr>
              <w:pStyle w:val="31"/>
              <w:spacing w:before="1"/>
              <w:ind w:left="505"/>
              <w:rPr>
                <w:rFonts w:ascii="宋体" w:hAnsi="宋体" w:eastAsia="宋体" w:cs="宋体"/>
                <w:sz w:val="21"/>
                <w:szCs w:val="21"/>
                <w:lang w:eastAsia="zh-CN"/>
              </w:rPr>
            </w:pPr>
            <w:r>
              <w:rPr>
                <w:rFonts w:hint="eastAsia" w:ascii="宋体" w:hAnsi="宋体" w:eastAsia="宋体" w:cs="宋体"/>
                <w:sz w:val="21"/>
                <w:szCs w:val="21"/>
                <w:lang w:eastAsia="zh-CN"/>
              </w:rPr>
              <w:t>质量保证金是否计付利息：</w:t>
            </w:r>
          </w:p>
          <w:p w14:paraId="0F42E5BC">
            <w:pPr>
              <w:pStyle w:val="31"/>
              <w:spacing w:before="8"/>
              <w:ind w:left="513"/>
              <w:rPr>
                <w:rFonts w:ascii="宋体" w:hAnsi="宋体" w:eastAsia="宋体" w:cs="宋体"/>
                <w:sz w:val="21"/>
                <w:szCs w:val="21"/>
                <w:lang w:eastAsia="zh-CN"/>
              </w:rPr>
            </w:pPr>
            <w:r>
              <w:rPr>
                <w:rFonts w:hint="eastAsia" w:ascii="宋体" w:hAnsi="宋体" w:eastAsia="宋体" w:cs="宋体"/>
                <w:sz w:val="21"/>
                <w:szCs w:val="21"/>
                <w:lang w:eastAsia="zh-CN"/>
              </w:rPr>
              <w:t>□是，利息的计算方式：</w:t>
            </w:r>
            <w:r>
              <w:rPr>
                <w:rFonts w:hint="eastAsia" w:ascii="宋体" w:hAnsi="宋体" w:eastAsia="宋体" w:cs="宋体"/>
                <w:sz w:val="21"/>
                <w:szCs w:val="21"/>
                <w:u w:val="single"/>
                <w:lang w:eastAsia="zh-CN"/>
              </w:rPr>
              <w:t>银行同期活期利息</w:t>
            </w:r>
          </w:p>
          <w:p w14:paraId="63CE822D">
            <w:pPr>
              <w:pStyle w:val="31"/>
              <w:spacing w:before="1"/>
              <w:ind w:left="525"/>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否</w:t>
            </w:r>
          </w:p>
        </w:tc>
      </w:tr>
      <w:tr w14:paraId="6C295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2ECC437A">
            <w:pPr>
              <w:pStyle w:val="31"/>
              <w:spacing w:before="203"/>
              <w:ind w:left="322"/>
              <w:rPr>
                <w:rFonts w:ascii="宋体" w:hAnsi="宋体" w:eastAsia="宋体" w:cs="宋体"/>
                <w:sz w:val="21"/>
                <w:szCs w:val="21"/>
              </w:rPr>
            </w:pPr>
            <w:r>
              <w:rPr>
                <w:rFonts w:hint="eastAsia" w:ascii="宋体" w:hAnsi="宋体" w:eastAsia="宋体" w:cs="宋体"/>
                <w:sz w:val="21"/>
                <w:szCs w:val="21"/>
              </w:rPr>
              <w:t>21</w:t>
            </w:r>
          </w:p>
        </w:tc>
        <w:tc>
          <w:tcPr>
            <w:tcW w:w="1261" w:type="dxa"/>
          </w:tcPr>
          <w:p w14:paraId="5B321A35">
            <w:pPr>
              <w:pStyle w:val="31"/>
              <w:spacing w:before="203"/>
              <w:ind w:left="336"/>
              <w:rPr>
                <w:rFonts w:ascii="宋体" w:hAnsi="宋体" w:eastAsia="宋体" w:cs="宋体"/>
                <w:sz w:val="21"/>
                <w:szCs w:val="21"/>
              </w:rPr>
            </w:pPr>
            <w:r>
              <w:rPr>
                <w:rFonts w:hint="eastAsia" w:ascii="宋体" w:hAnsi="宋体" w:eastAsia="宋体" w:cs="宋体"/>
                <w:sz w:val="21"/>
                <w:szCs w:val="21"/>
              </w:rPr>
              <w:t>17.5.1</w:t>
            </w:r>
          </w:p>
        </w:tc>
        <w:tc>
          <w:tcPr>
            <w:tcW w:w="7215" w:type="dxa"/>
            <w:gridSpan w:val="2"/>
          </w:tcPr>
          <w:p w14:paraId="272F6CD9">
            <w:pPr>
              <w:pStyle w:val="31"/>
              <w:spacing w:before="169"/>
              <w:ind w:left="115"/>
              <w:rPr>
                <w:rFonts w:ascii="宋体" w:hAnsi="宋体" w:eastAsia="宋体" w:cs="宋体"/>
                <w:sz w:val="21"/>
                <w:szCs w:val="21"/>
                <w:lang w:eastAsia="zh-CN"/>
              </w:rPr>
            </w:pPr>
            <w:r>
              <w:rPr>
                <w:rFonts w:hint="eastAsia" w:ascii="宋体" w:hAnsi="宋体" w:eastAsia="宋体" w:cs="宋体"/>
                <w:sz w:val="21"/>
                <w:szCs w:val="21"/>
                <w:lang w:eastAsia="zh-CN"/>
              </w:rPr>
              <w:t>承包人向发包人提交交工付款申请单（包括相关证明材料）的份数：5份</w:t>
            </w:r>
          </w:p>
        </w:tc>
      </w:tr>
      <w:tr w14:paraId="57E84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2D80CCEB">
            <w:pPr>
              <w:pStyle w:val="31"/>
              <w:spacing w:before="203"/>
              <w:ind w:left="322"/>
              <w:rPr>
                <w:rFonts w:ascii="宋体" w:hAnsi="宋体" w:eastAsia="宋体" w:cs="宋体"/>
                <w:sz w:val="21"/>
                <w:szCs w:val="21"/>
              </w:rPr>
            </w:pPr>
            <w:r>
              <w:rPr>
                <w:rFonts w:hint="eastAsia" w:ascii="宋体" w:hAnsi="宋体" w:eastAsia="宋体" w:cs="宋体"/>
                <w:sz w:val="21"/>
                <w:szCs w:val="21"/>
              </w:rPr>
              <w:t>22</w:t>
            </w:r>
          </w:p>
        </w:tc>
        <w:tc>
          <w:tcPr>
            <w:tcW w:w="1261" w:type="dxa"/>
          </w:tcPr>
          <w:p w14:paraId="5484974C">
            <w:pPr>
              <w:pStyle w:val="31"/>
              <w:spacing w:before="203"/>
              <w:ind w:left="336"/>
              <w:rPr>
                <w:rFonts w:ascii="宋体" w:hAnsi="宋体" w:eastAsia="宋体" w:cs="宋体"/>
                <w:sz w:val="21"/>
                <w:szCs w:val="21"/>
              </w:rPr>
            </w:pPr>
            <w:r>
              <w:rPr>
                <w:rFonts w:hint="eastAsia" w:ascii="宋体" w:hAnsi="宋体" w:eastAsia="宋体" w:cs="宋体"/>
                <w:sz w:val="21"/>
                <w:szCs w:val="21"/>
              </w:rPr>
              <w:t>17.6.1</w:t>
            </w:r>
          </w:p>
        </w:tc>
        <w:tc>
          <w:tcPr>
            <w:tcW w:w="7215" w:type="dxa"/>
            <w:gridSpan w:val="2"/>
          </w:tcPr>
          <w:p w14:paraId="33FF51D2">
            <w:pPr>
              <w:pStyle w:val="31"/>
              <w:spacing w:before="170"/>
              <w:ind w:left="115"/>
              <w:rPr>
                <w:rFonts w:ascii="宋体" w:hAnsi="宋体" w:eastAsia="宋体" w:cs="宋体"/>
                <w:sz w:val="21"/>
                <w:szCs w:val="21"/>
                <w:lang w:eastAsia="zh-CN"/>
              </w:rPr>
            </w:pPr>
            <w:r>
              <w:rPr>
                <w:rFonts w:hint="eastAsia" w:ascii="宋体" w:hAnsi="宋体" w:eastAsia="宋体" w:cs="宋体"/>
                <w:sz w:val="21"/>
                <w:szCs w:val="21"/>
                <w:lang w:eastAsia="zh-CN"/>
              </w:rPr>
              <w:t>承包人向发包人提交最终结清申请单（包括相关证明材料）的份数：5份</w:t>
            </w:r>
          </w:p>
        </w:tc>
      </w:tr>
      <w:tr w14:paraId="1ABC1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03D8EBE8">
            <w:pPr>
              <w:pStyle w:val="31"/>
              <w:spacing w:before="204"/>
              <w:ind w:left="322"/>
              <w:rPr>
                <w:rFonts w:ascii="宋体" w:hAnsi="宋体" w:eastAsia="宋体" w:cs="宋体"/>
                <w:sz w:val="21"/>
                <w:szCs w:val="21"/>
              </w:rPr>
            </w:pPr>
            <w:r>
              <w:rPr>
                <w:rFonts w:hint="eastAsia" w:ascii="宋体" w:hAnsi="宋体" w:eastAsia="宋体" w:cs="宋体"/>
                <w:sz w:val="21"/>
                <w:szCs w:val="21"/>
              </w:rPr>
              <w:t>23</w:t>
            </w:r>
          </w:p>
        </w:tc>
        <w:tc>
          <w:tcPr>
            <w:tcW w:w="1261" w:type="dxa"/>
          </w:tcPr>
          <w:p w14:paraId="55870750">
            <w:pPr>
              <w:pStyle w:val="31"/>
              <w:spacing w:before="170"/>
              <w:ind w:left="177"/>
              <w:rPr>
                <w:rFonts w:ascii="宋体" w:hAnsi="宋体" w:eastAsia="宋体" w:cs="宋体"/>
                <w:sz w:val="21"/>
                <w:szCs w:val="21"/>
              </w:rPr>
            </w:pPr>
            <w:r>
              <w:rPr>
                <w:rFonts w:hint="eastAsia" w:ascii="宋体" w:hAnsi="宋体" w:eastAsia="宋体" w:cs="宋体"/>
                <w:sz w:val="21"/>
                <w:szCs w:val="21"/>
              </w:rPr>
              <w:t>18.2（2）</w:t>
            </w:r>
          </w:p>
        </w:tc>
        <w:tc>
          <w:tcPr>
            <w:tcW w:w="7215" w:type="dxa"/>
            <w:gridSpan w:val="2"/>
          </w:tcPr>
          <w:p w14:paraId="3354C1E4">
            <w:pPr>
              <w:pStyle w:val="31"/>
              <w:spacing w:before="171"/>
              <w:ind w:left="505"/>
              <w:rPr>
                <w:rFonts w:ascii="宋体" w:hAnsi="宋体" w:eastAsia="宋体" w:cs="宋体"/>
                <w:sz w:val="21"/>
                <w:szCs w:val="21"/>
              </w:rPr>
            </w:pPr>
            <w:r>
              <w:rPr>
                <w:rFonts w:hint="eastAsia" w:ascii="宋体" w:hAnsi="宋体" w:eastAsia="宋体" w:cs="宋体"/>
                <w:sz w:val="21"/>
                <w:szCs w:val="21"/>
              </w:rPr>
              <w:t>竣工资料的份数：</w:t>
            </w:r>
            <w:r>
              <w:rPr>
                <w:rFonts w:hint="eastAsia" w:ascii="宋体" w:hAnsi="宋体" w:eastAsia="宋体" w:cs="宋体"/>
                <w:sz w:val="21"/>
                <w:szCs w:val="21"/>
                <w:lang w:eastAsia="zh-CN"/>
              </w:rPr>
              <w:t>4</w:t>
            </w:r>
            <w:r>
              <w:rPr>
                <w:rFonts w:hint="eastAsia" w:ascii="宋体" w:hAnsi="宋体" w:eastAsia="宋体" w:cs="宋体"/>
                <w:sz w:val="21"/>
                <w:szCs w:val="21"/>
              </w:rPr>
              <w:t>份</w:t>
            </w:r>
          </w:p>
        </w:tc>
      </w:tr>
      <w:tr w14:paraId="38521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6" w:hRule="atLeast"/>
        </w:trPr>
        <w:tc>
          <w:tcPr>
            <w:tcW w:w="830" w:type="dxa"/>
          </w:tcPr>
          <w:p w14:paraId="2DCA73B9">
            <w:pPr>
              <w:ind w:firstLine="422"/>
              <w:rPr>
                <w:sz w:val="21"/>
                <w:szCs w:val="21"/>
              </w:rPr>
            </w:pPr>
          </w:p>
          <w:p w14:paraId="276ECCD0">
            <w:pPr>
              <w:pStyle w:val="31"/>
              <w:spacing w:before="90"/>
              <w:ind w:left="322"/>
              <w:rPr>
                <w:rFonts w:ascii="宋体" w:hAnsi="宋体" w:eastAsia="宋体" w:cs="宋体"/>
                <w:sz w:val="21"/>
                <w:szCs w:val="21"/>
              </w:rPr>
            </w:pPr>
            <w:r>
              <w:rPr>
                <w:rFonts w:hint="eastAsia" w:ascii="宋体" w:hAnsi="宋体" w:eastAsia="宋体" w:cs="宋体"/>
                <w:sz w:val="21"/>
                <w:szCs w:val="21"/>
              </w:rPr>
              <w:t>24</w:t>
            </w:r>
          </w:p>
        </w:tc>
        <w:tc>
          <w:tcPr>
            <w:tcW w:w="1261" w:type="dxa"/>
          </w:tcPr>
          <w:p w14:paraId="5C407EA4">
            <w:pPr>
              <w:ind w:firstLine="422"/>
              <w:rPr>
                <w:sz w:val="21"/>
                <w:szCs w:val="21"/>
              </w:rPr>
            </w:pPr>
          </w:p>
          <w:p w14:paraId="4122E292">
            <w:pPr>
              <w:pStyle w:val="31"/>
              <w:spacing w:before="91"/>
              <w:ind w:left="336"/>
              <w:rPr>
                <w:rFonts w:ascii="宋体" w:hAnsi="宋体" w:eastAsia="宋体" w:cs="宋体"/>
                <w:sz w:val="21"/>
                <w:szCs w:val="21"/>
              </w:rPr>
            </w:pPr>
            <w:r>
              <w:rPr>
                <w:rFonts w:hint="eastAsia" w:ascii="宋体" w:hAnsi="宋体" w:eastAsia="宋体" w:cs="宋体"/>
                <w:sz w:val="21"/>
                <w:szCs w:val="21"/>
              </w:rPr>
              <w:t>18.5.1</w:t>
            </w:r>
          </w:p>
        </w:tc>
        <w:tc>
          <w:tcPr>
            <w:tcW w:w="7215" w:type="dxa"/>
            <w:gridSpan w:val="2"/>
          </w:tcPr>
          <w:p w14:paraId="7F7D2140">
            <w:pPr>
              <w:pStyle w:val="31"/>
              <w:spacing w:before="215"/>
              <w:ind w:left="505"/>
              <w:rPr>
                <w:rFonts w:ascii="宋体" w:hAnsi="宋体" w:eastAsia="宋体" w:cs="宋体"/>
                <w:sz w:val="21"/>
                <w:szCs w:val="21"/>
                <w:lang w:eastAsia="zh-CN"/>
              </w:rPr>
            </w:pPr>
            <w:r>
              <w:rPr>
                <w:rFonts w:hint="eastAsia" w:ascii="宋体" w:hAnsi="宋体" w:eastAsia="宋体" w:cs="宋体"/>
                <w:sz w:val="21"/>
                <w:szCs w:val="21"/>
                <w:lang w:eastAsia="zh-CN"/>
              </w:rPr>
              <w:t>单位工程或工程设备是否需投入施工期运行：是</w:t>
            </w:r>
          </w:p>
          <w:p w14:paraId="1EC741DD">
            <w:pPr>
              <w:pStyle w:val="31"/>
              <w:ind w:left="505"/>
              <w:rPr>
                <w:rFonts w:ascii="宋体" w:hAnsi="宋体" w:eastAsia="宋体" w:cs="宋体"/>
                <w:sz w:val="21"/>
                <w:szCs w:val="21"/>
                <w:lang w:eastAsia="zh-CN"/>
              </w:rPr>
            </w:pPr>
            <w:r>
              <w:rPr>
                <w:rFonts w:hint="eastAsia" w:ascii="宋体" w:hAnsi="宋体" w:eastAsia="宋体" w:cs="宋体"/>
                <w:sz w:val="21"/>
                <w:szCs w:val="21"/>
                <w:lang w:eastAsia="zh-CN"/>
              </w:rPr>
              <w:t>本项目属于路面大中修工程，需要在施工期间维持交通畅通。</w:t>
            </w:r>
          </w:p>
        </w:tc>
      </w:tr>
      <w:tr w14:paraId="26DBF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1DA1083D">
            <w:pPr>
              <w:pStyle w:val="31"/>
              <w:spacing w:before="200"/>
              <w:ind w:left="322"/>
              <w:rPr>
                <w:rFonts w:ascii="宋体" w:hAnsi="宋体" w:eastAsia="宋体" w:cs="宋体"/>
                <w:sz w:val="21"/>
                <w:szCs w:val="21"/>
              </w:rPr>
            </w:pPr>
            <w:r>
              <w:rPr>
                <w:rFonts w:hint="eastAsia" w:ascii="宋体" w:hAnsi="宋体" w:eastAsia="宋体" w:cs="宋体"/>
                <w:sz w:val="21"/>
                <w:szCs w:val="21"/>
              </w:rPr>
              <w:t>25</w:t>
            </w:r>
          </w:p>
        </w:tc>
        <w:tc>
          <w:tcPr>
            <w:tcW w:w="1261" w:type="dxa"/>
          </w:tcPr>
          <w:p w14:paraId="5BD1CC8B">
            <w:pPr>
              <w:pStyle w:val="31"/>
              <w:spacing w:before="199"/>
              <w:ind w:left="336"/>
              <w:rPr>
                <w:rFonts w:ascii="宋体" w:hAnsi="宋体" w:eastAsia="宋体" w:cs="宋体"/>
                <w:sz w:val="21"/>
                <w:szCs w:val="21"/>
              </w:rPr>
            </w:pPr>
            <w:r>
              <w:rPr>
                <w:rFonts w:hint="eastAsia" w:ascii="宋体" w:hAnsi="宋体" w:eastAsia="宋体" w:cs="宋体"/>
                <w:sz w:val="21"/>
                <w:szCs w:val="21"/>
              </w:rPr>
              <w:t>18.6.1</w:t>
            </w:r>
          </w:p>
        </w:tc>
        <w:tc>
          <w:tcPr>
            <w:tcW w:w="7215" w:type="dxa"/>
            <w:gridSpan w:val="2"/>
          </w:tcPr>
          <w:p w14:paraId="5B9FF579">
            <w:pPr>
              <w:pStyle w:val="31"/>
              <w:spacing w:before="167"/>
              <w:ind w:left="505"/>
              <w:rPr>
                <w:rFonts w:ascii="宋体" w:hAnsi="宋体" w:eastAsia="宋体" w:cs="宋体"/>
                <w:sz w:val="21"/>
                <w:szCs w:val="21"/>
                <w:lang w:eastAsia="zh-CN"/>
              </w:rPr>
            </w:pPr>
            <w:r>
              <w:rPr>
                <w:rFonts w:hint="eastAsia" w:ascii="宋体" w:hAnsi="宋体" w:eastAsia="宋体" w:cs="宋体"/>
                <w:sz w:val="21"/>
                <w:szCs w:val="21"/>
                <w:lang w:eastAsia="zh-CN"/>
              </w:rPr>
              <w:t>本工程及工程设备是否进行试运行：否</w:t>
            </w:r>
          </w:p>
        </w:tc>
      </w:tr>
      <w:tr w14:paraId="3EFFF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506FD4E9">
            <w:pPr>
              <w:pStyle w:val="31"/>
              <w:spacing w:before="200"/>
              <w:ind w:left="322"/>
              <w:rPr>
                <w:rFonts w:ascii="宋体" w:hAnsi="宋体" w:eastAsia="宋体" w:cs="宋体"/>
                <w:sz w:val="21"/>
                <w:szCs w:val="21"/>
              </w:rPr>
            </w:pPr>
            <w:r>
              <w:rPr>
                <w:rFonts w:hint="eastAsia" w:ascii="宋体" w:hAnsi="宋体" w:eastAsia="宋体" w:cs="宋体"/>
                <w:sz w:val="21"/>
                <w:szCs w:val="21"/>
              </w:rPr>
              <w:t>26</w:t>
            </w:r>
          </w:p>
        </w:tc>
        <w:tc>
          <w:tcPr>
            <w:tcW w:w="1261" w:type="dxa"/>
          </w:tcPr>
          <w:p w14:paraId="4D1EE380">
            <w:pPr>
              <w:pStyle w:val="31"/>
              <w:spacing w:before="166"/>
              <w:ind w:left="177"/>
              <w:rPr>
                <w:rFonts w:ascii="宋体" w:hAnsi="宋体" w:eastAsia="宋体" w:cs="宋体"/>
                <w:sz w:val="21"/>
                <w:szCs w:val="21"/>
              </w:rPr>
            </w:pPr>
            <w:r>
              <w:rPr>
                <w:rFonts w:hint="eastAsia" w:ascii="宋体" w:hAnsi="宋体" w:eastAsia="宋体" w:cs="宋体"/>
                <w:sz w:val="21"/>
                <w:szCs w:val="21"/>
              </w:rPr>
              <w:t>19.7（1）</w:t>
            </w:r>
          </w:p>
        </w:tc>
        <w:tc>
          <w:tcPr>
            <w:tcW w:w="7195" w:type="dxa"/>
          </w:tcPr>
          <w:p w14:paraId="02CC04D1">
            <w:pPr>
              <w:pStyle w:val="31"/>
              <w:spacing w:before="167"/>
              <w:ind w:left="505"/>
              <w:rPr>
                <w:rFonts w:ascii="宋体" w:hAnsi="宋体" w:eastAsia="宋体" w:cs="宋体"/>
                <w:sz w:val="21"/>
                <w:szCs w:val="21"/>
                <w:lang w:eastAsia="zh-CN"/>
              </w:rPr>
            </w:pPr>
            <w:r>
              <w:rPr>
                <w:rFonts w:hint="eastAsia" w:ascii="宋体" w:hAnsi="宋体" w:eastAsia="宋体" w:cs="宋体"/>
                <w:sz w:val="21"/>
                <w:szCs w:val="21"/>
                <w:lang w:eastAsia="zh-CN"/>
              </w:rPr>
              <w:t>保修期：自实际交工日期起计算5年</w:t>
            </w:r>
          </w:p>
        </w:tc>
        <w:tc>
          <w:tcPr>
            <w:tcW w:w="20" w:type="dxa"/>
            <w:tcBorders>
              <w:top w:val="single" w:color="FFFFFF" w:sz="2" w:space="0"/>
              <w:bottom w:val="nil"/>
              <w:right w:val="nil"/>
            </w:tcBorders>
          </w:tcPr>
          <w:p w14:paraId="07BD4ABA">
            <w:pPr>
              <w:ind w:firstLine="422"/>
              <w:rPr>
                <w:sz w:val="21"/>
                <w:szCs w:val="21"/>
              </w:rPr>
            </w:pPr>
          </w:p>
        </w:tc>
      </w:tr>
      <w:tr w14:paraId="7185E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30" w:type="dxa"/>
          </w:tcPr>
          <w:p w14:paraId="7315E92C">
            <w:pPr>
              <w:pStyle w:val="31"/>
              <w:spacing w:before="205"/>
              <w:ind w:left="322"/>
              <w:rPr>
                <w:rFonts w:ascii="宋体" w:hAnsi="宋体" w:eastAsia="宋体" w:cs="宋体"/>
                <w:sz w:val="21"/>
                <w:szCs w:val="21"/>
              </w:rPr>
            </w:pPr>
            <w:r>
              <w:rPr>
                <w:rFonts w:hint="eastAsia" w:ascii="宋体" w:hAnsi="宋体" w:eastAsia="宋体" w:cs="宋体"/>
                <w:sz w:val="21"/>
                <w:szCs w:val="21"/>
              </w:rPr>
              <w:t>27</w:t>
            </w:r>
          </w:p>
        </w:tc>
        <w:tc>
          <w:tcPr>
            <w:tcW w:w="1261" w:type="dxa"/>
          </w:tcPr>
          <w:p w14:paraId="7D660AD6">
            <w:pPr>
              <w:pStyle w:val="31"/>
              <w:spacing w:before="205"/>
              <w:ind w:left="428"/>
              <w:rPr>
                <w:rFonts w:ascii="宋体" w:hAnsi="宋体" w:eastAsia="宋体" w:cs="宋体"/>
                <w:sz w:val="21"/>
                <w:szCs w:val="21"/>
              </w:rPr>
            </w:pPr>
            <w:r>
              <w:rPr>
                <w:rFonts w:hint="eastAsia" w:ascii="宋体" w:hAnsi="宋体" w:eastAsia="宋体" w:cs="宋体"/>
                <w:sz w:val="21"/>
                <w:szCs w:val="21"/>
              </w:rPr>
              <w:t>20.1</w:t>
            </w:r>
          </w:p>
        </w:tc>
        <w:tc>
          <w:tcPr>
            <w:tcW w:w="7195" w:type="dxa"/>
          </w:tcPr>
          <w:p w14:paraId="6C7898D1">
            <w:pPr>
              <w:pStyle w:val="31"/>
              <w:spacing w:before="173"/>
              <w:ind w:left="505"/>
              <w:rPr>
                <w:rFonts w:ascii="宋体" w:hAnsi="宋体" w:eastAsia="宋体" w:cs="宋体"/>
                <w:sz w:val="21"/>
                <w:szCs w:val="21"/>
                <w:lang w:eastAsia="zh-CN"/>
              </w:rPr>
            </w:pPr>
            <w:r>
              <w:rPr>
                <w:rFonts w:hint="eastAsia" w:ascii="宋体" w:hAnsi="宋体" w:eastAsia="宋体" w:cs="宋体"/>
                <w:sz w:val="21"/>
                <w:szCs w:val="21"/>
                <w:lang w:eastAsia="zh-CN"/>
              </w:rPr>
              <w:t>本项目取消建筑工程一切险</w:t>
            </w:r>
          </w:p>
        </w:tc>
        <w:tc>
          <w:tcPr>
            <w:tcW w:w="20" w:type="dxa"/>
            <w:tcBorders>
              <w:top w:val="nil"/>
              <w:bottom w:val="nil"/>
              <w:right w:val="nil"/>
            </w:tcBorders>
          </w:tcPr>
          <w:p w14:paraId="37BA863D">
            <w:pPr>
              <w:ind w:firstLine="422"/>
              <w:rPr>
                <w:sz w:val="21"/>
                <w:szCs w:val="21"/>
              </w:rPr>
            </w:pPr>
          </w:p>
        </w:tc>
      </w:tr>
      <w:tr w14:paraId="2F449C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5" w:hRule="atLeast"/>
        </w:trPr>
        <w:tc>
          <w:tcPr>
            <w:tcW w:w="830" w:type="dxa"/>
          </w:tcPr>
          <w:p w14:paraId="74825C73">
            <w:pPr>
              <w:ind w:firstLine="422"/>
              <w:rPr>
                <w:sz w:val="21"/>
                <w:szCs w:val="21"/>
              </w:rPr>
            </w:pPr>
          </w:p>
          <w:p w14:paraId="0211CB86">
            <w:pPr>
              <w:ind w:firstLine="422"/>
              <w:rPr>
                <w:sz w:val="21"/>
                <w:szCs w:val="21"/>
              </w:rPr>
            </w:pPr>
          </w:p>
          <w:p w14:paraId="66E341A4">
            <w:pPr>
              <w:pStyle w:val="31"/>
              <w:spacing w:before="95"/>
              <w:ind w:left="318"/>
              <w:rPr>
                <w:rFonts w:ascii="宋体" w:hAnsi="宋体" w:eastAsia="宋体" w:cs="宋体"/>
                <w:sz w:val="21"/>
                <w:szCs w:val="21"/>
              </w:rPr>
            </w:pPr>
            <w:r>
              <w:rPr>
                <w:rFonts w:hint="eastAsia" w:ascii="宋体" w:hAnsi="宋体" w:eastAsia="宋体" w:cs="宋体"/>
                <w:sz w:val="21"/>
                <w:szCs w:val="21"/>
              </w:rPr>
              <w:t>28</w:t>
            </w:r>
          </w:p>
        </w:tc>
        <w:tc>
          <w:tcPr>
            <w:tcW w:w="1261" w:type="dxa"/>
          </w:tcPr>
          <w:p w14:paraId="0435E947">
            <w:pPr>
              <w:ind w:firstLine="422"/>
              <w:rPr>
                <w:sz w:val="21"/>
                <w:szCs w:val="21"/>
              </w:rPr>
            </w:pPr>
          </w:p>
          <w:p w14:paraId="1DC03573">
            <w:pPr>
              <w:ind w:firstLine="422"/>
              <w:rPr>
                <w:sz w:val="21"/>
                <w:szCs w:val="21"/>
              </w:rPr>
            </w:pPr>
          </w:p>
          <w:p w14:paraId="15EBE10C">
            <w:pPr>
              <w:pStyle w:val="31"/>
              <w:spacing w:before="94"/>
              <w:ind w:left="414"/>
              <w:rPr>
                <w:rFonts w:ascii="宋体" w:hAnsi="宋体" w:eastAsia="宋体" w:cs="宋体"/>
                <w:sz w:val="21"/>
                <w:szCs w:val="21"/>
              </w:rPr>
            </w:pPr>
            <w:r>
              <w:rPr>
                <w:rFonts w:hint="eastAsia" w:ascii="宋体" w:hAnsi="宋体" w:eastAsia="宋体" w:cs="宋体"/>
                <w:sz w:val="21"/>
                <w:szCs w:val="21"/>
              </w:rPr>
              <w:t>20.7</w:t>
            </w:r>
          </w:p>
        </w:tc>
        <w:tc>
          <w:tcPr>
            <w:tcW w:w="7195" w:type="dxa"/>
          </w:tcPr>
          <w:p w14:paraId="6D518BFE">
            <w:pPr>
              <w:pStyle w:val="31"/>
              <w:spacing w:before="95"/>
              <w:ind w:left="114" w:right="151" w:firstLine="422"/>
              <w:jc w:val="both"/>
              <w:rPr>
                <w:rFonts w:ascii="宋体" w:hAnsi="宋体" w:eastAsia="宋体" w:cs="宋体"/>
                <w:sz w:val="21"/>
                <w:szCs w:val="21"/>
                <w:lang w:eastAsia="zh-CN"/>
              </w:rPr>
            </w:pPr>
            <w:r>
              <w:rPr>
                <w:rFonts w:hint="eastAsia" w:ascii="宋体" w:hAnsi="宋体" w:eastAsia="宋体" w:cs="宋体"/>
                <w:sz w:val="21"/>
                <w:szCs w:val="21"/>
                <w:lang w:eastAsia="zh-CN"/>
              </w:rPr>
              <w:t>承包人应根据《广西壮族自治区交通运输厅关于推进实施行业工程建设领域安全生产责任保险工作的通知》（桂交安监函〔2021〕89号）要求购买安全生产责任保险。安全生产责任险的保险费已按固定金额列入工程量清单第100章内，不作为竞争性报价。发包人在接到保险单后，将按照保险单的费用直接向承包人支付。</w:t>
            </w:r>
          </w:p>
        </w:tc>
        <w:tc>
          <w:tcPr>
            <w:tcW w:w="20" w:type="dxa"/>
            <w:tcBorders>
              <w:top w:val="nil"/>
              <w:bottom w:val="nil"/>
              <w:right w:val="nil"/>
            </w:tcBorders>
          </w:tcPr>
          <w:p w14:paraId="1D90A9BA">
            <w:pPr>
              <w:ind w:firstLine="422"/>
              <w:rPr>
                <w:sz w:val="21"/>
                <w:szCs w:val="21"/>
              </w:rPr>
            </w:pPr>
          </w:p>
        </w:tc>
      </w:tr>
      <w:tr w14:paraId="3C98D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830" w:type="dxa"/>
          </w:tcPr>
          <w:p w14:paraId="494AA87F">
            <w:pPr>
              <w:pStyle w:val="31"/>
              <w:spacing w:before="312"/>
              <w:ind w:left="322"/>
              <w:rPr>
                <w:rFonts w:ascii="宋体" w:hAnsi="宋体" w:eastAsia="宋体" w:cs="宋体"/>
                <w:sz w:val="21"/>
                <w:szCs w:val="21"/>
              </w:rPr>
            </w:pPr>
            <w:r>
              <w:rPr>
                <w:rFonts w:hint="eastAsia" w:ascii="宋体" w:hAnsi="宋体" w:eastAsia="宋体" w:cs="宋体"/>
                <w:sz w:val="21"/>
                <w:szCs w:val="21"/>
              </w:rPr>
              <w:t>29</w:t>
            </w:r>
          </w:p>
        </w:tc>
        <w:tc>
          <w:tcPr>
            <w:tcW w:w="1261" w:type="dxa"/>
          </w:tcPr>
          <w:p w14:paraId="74FFCF71">
            <w:pPr>
              <w:pStyle w:val="31"/>
              <w:spacing w:before="312"/>
              <w:ind w:left="428"/>
              <w:rPr>
                <w:rFonts w:ascii="宋体" w:hAnsi="宋体" w:eastAsia="宋体" w:cs="宋体"/>
                <w:sz w:val="21"/>
                <w:szCs w:val="21"/>
              </w:rPr>
            </w:pPr>
            <w:r>
              <w:rPr>
                <w:rFonts w:hint="eastAsia" w:ascii="宋体" w:hAnsi="宋体" w:eastAsia="宋体" w:cs="宋体"/>
                <w:sz w:val="21"/>
                <w:szCs w:val="21"/>
              </w:rPr>
              <w:t>24.1</w:t>
            </w:r>
          </w:p>
        </w:tc>
        <w:tc>
          <w:tcPr>
            <w:tcW w:w="7195" w:type="dxa"/>
          </w:tcPr>
          <w:p w14:paraId="736791EC">
            <w:pPr>
              <w:pStyle w:val="31"/>
              <w:spacing w:before="279"/>
              <w:ind w:left="542"/>
              <w:rPr>
                <w:rFonts w:ascii="宋体" w:hAnsi="宋体" w:eastAsia="宋体" w:cs="宋体"/>
                <w:sz w:val="21"/>
                <w:szCs w:val="21"/>
                <w:lang w:eastAsia="zh-CN"/>
              </w:rPr>
            </w:pPr>
            <w:r>
              <w:rPr>
                <w:rFonts w:hint="eastAsia" w:ascii="宋体" w:hAnsi="宋体" w:eastAsia="宋体" w:cs="宋体"/>
                <w:sz w:val="21"/>
                <w:szCs w:val="21"/>
                <w:lang w:eastAsia="zh-CN"/>
              </w:rPr>
              <w:t>争议的最终解决方式：</w:t>
            </w:r>
            <w:r>
              <w:rPr>
                <w:rFonts w:hint="eastAsia" w:ascii="宋体" w:hAnsi="宋体" w:eastAsia="宋体" w:cs="宋体"/>
                <w:sz w:val="21"/>
                <w:szCs w:val="21"/>
                <w:u w:val="single"/>
                <w:lang w:eastAsia="zh-CN"/>
              </w:rPr>
              <w:t>诉讼</w:t>
            </w:r>
          </w:p>
        </w:tc>
        <w:tc>
          <w:tcPr>
            <w:tcW w:w="20" w:type="dxa"/>
            <w:tcBorders>
              <w:top w:val="nil"/>
              <w:bottom w:val="nil"/>
              <w:right w:val="nil"/>
            </w:tcBorders>
          </w:tcPr>
          <w:p w14:paraId="03709994">
            <w:pPr>
              <w:ind w:firstLine="422"/>
              <w:rPr>
                <w:sz w:val="21"/>
                <w:szCs w:val="21"/>
              </w:rPr>
            </w:pPr>
          </w:p>
        </w:tc>
      </w:tr>
    </w:tbl>
    <w:p w14:paraId="2FB2CA98">
      <w:pPr>
        <w:pStyle w:val="12"/>
        <w:ind w:firstLine="402"/>
        <w:rPr>
          <w:sz w:val="20"/>
        </w:rPr>
      </w:pPr>
    </w:p>
    <w:p w14:paraId="2F2AEE2D">
      <w:pPr>
        <w:pStyle w:val="12"/>
        <w:ind w:firstLine="402"/>
        <w:rPr>
          <w:sz w:val="20"/>
        </w:rPr>
      </w:pPr>
    </w:p>
    <w:p w14:paraId="3A59EA15">
      <w:pPr>
        <w:pStyle w:val="12"/>
        <w:ind w:firstLine="402"/>
        <w:rPr>
          <w:sz w:val="20"/>
        </w:rPr>
      </w:pPr>
    </w:p>
    <w:p w14:paraId="1A61A68C">
      <w:pPr>
        <w:pStyle w:val="12"/>
        <w:ind w:firstLine="640"/>
        <w:rPr>
          <w:b/>
          <w:sz w:val="32"/>
        </w:rPr>
      </w:pPr>
    </w:p>
    <w:p w14:paraId="675D9951">
      <w:pPr>
        <w:pStyle w:val="12"/>
        <w:ind w:firstLine="640"/>
        <w:rPr>
          <w:b/>
          <w:sz w:val="32"/>
        </w:rPr>
      </w:pPr>
    </w:p>
    <w:p w14:paraId="1750A524">
      <w:pPr>
        <w:pStyle w:val="12"/>
        <w:ind w:firstLine="640"/>
        <w:rPr>
          <w:b/>
          <w:sz w:val="32"/>
        </w:rPr>
      </w:pPr>
    </w:p>
    <w:p w14:paraId="75CA6B2B">
      <w:pPr>
        <w:spacing w:before="65" w:line="360" w:lineRule="auto"/>
        <w:ind w:left="3428" w:firstLine="643"/>
        <w:rPr>
          <w:sz w:val="32"/>
          <w:szCs w:val="32"/>
        </w:rPr>
      </w:pPr>
      <w:r>
        <w:rPr>
          <w:rFonts w:hint="eastAsia"/>
          <w:sz w:val="32"/>
          <w:szCs w:val="32"/>
        </w:rPr>
        <w:t>项目专用合同条款</w:t>
      </w:r>
    </w:p>
    <w:p w14:paraId="12EA9560">
      <w:pPr>
        <w:spacing w:before="194" w:line="360" w:lineRule="auto"/>
        <w:ind w:left="562" w:firstLine="482"/>
        <w:rPr>
          <w:sz w:val="24"/>
          <w:szCs w:val="24"/>
        </w:rPr>
      </w:pPr>
      <w:r>
        <w:rPr>
          <w:rFonts w:hint="eastAsia"/>
          <w:sz w:val="24"/>
          <w:szCs w:val="24"/>
        </w:rPr>
        <w:t>4.1承包人的一般义务</w:t>
      </w:r>
    </w:p>
    <w:p w14:paraId="5E54194C">
      <w:pPr>
        <w:spacing w:before="181" w:line="360" w:lineRule="auto"/>
        <w:ind w:left="480" w:firstLine="482"/>
        <w:rPr>
          <w:sz w:val="24"/>
          <w:szCs w:val="24"/>
        </w:rPr>
      </w:pPr>
      <w:r>
        <w:rPr>
          <w:rFonts w:hint="eastAsia"/>
          <w:sz w:val="24"/>
          <w:szCs w:val="24"/>
        </w:rPr>
        <w:t>4.1.10其他义务</w:t>
      </w:r>
    </w:p>
    <w:p w14:paraId="1E1EC569">
      <w:pPr>
        <w:spacing w:before="61" w:line="360" w:lineRule="auto"/>
        <w:ind w:firstLine="482"/>
        <w:rPr>
          <w:sz w:val="24"/>
          <w:szCs w:val="24"/>
        </w:rPr>
      </w:pPr>
      <w:r>
        <w:rPr>
          <w:rFonts w:hint="eastAsia"/>
          <w:sz w:val="24"/>
          <w:szCs w:val="24"/>
        </w:rPr>
        <w:t>（1）修改为：承包人应承担并支付为获得合同工程所需的石料、砂、砾石等其他当地材料所发生的料场使用费、资源费（税）及其他开支或补偿费。发包人应尽可能协助该项目部办理料场租用手续及解决使用过程中的有关问题。发包人协助办理的成功与否，不免除根据合同文件规定的承包人的一切责任。</w:t>
      </w:r>
    </w:p>
    <w:p w14:paraId="38A899F1">
      <w:pPr>
        <w:spacing w:before="60" w:line="360" w:lineRule="auto"/>
        <w:ind w:left="3" w:firstLine="482"/>
        <w:rPr>
          <w:sz w:val="24"/>
          <w:szCs w:val="24"/>
        </w:rPr>
      </w:pPr>
      <w:r>
        <w:rPr>
          <w:rFonts w:hint="eastAsia"/>
          <w:sz w:val="24"/>
          <w:szCs w:val="24"/>
        </w:rPr>
        <w:t>（2）（增加）承包人还应执行广西壮族自治区公路管理局《关于印发广西壮族自治区公路管理局公路工程建设农民工管理实施细则（修订）的通知》(桂路工程发[2014]300号)要求（注：文件内容附后）。各供应商必须对农民工工资保障金的问题作出以下承诺，格式见第八章响应文件格式“农民工工资保证金承诺书”。</w:t>
      </w:r>
    </w:p>
    <w:p w14:paraId="44BA5671">
      <w:pPr>
        <w:spacing w:before="60" w:line="360" w:lineRule="auto"/>
        <w:ind w:left="487" w:firstLine="482"/>
        <w:rPr>
          <w:sz w:val="24"/>
          <w:szCs w:val="24"/>
        </w:rPr>
      </w:pPr>
      <w:r>
        <w:rPr>
          <w:rFonts w:hint="eastAsia"/>
          <w:sz w:val="24"/>
          <w:szCs w:val="24"/>
        </w:rPr>
        <w:t>（3）（增加）承包人应履行的其他义务：</w:t>
      </w:r>
    </w:p>
    <w:p w14:paraId="5A99D804">
      <w:pPr>
        <w:spacing w:before="67" w:line="360" w:lineRule="auto"/>
        <w:ind w:left="4" w:right="105" w:firstLine="482"/>
        <w:rPr>
          <w:sz w:val="24"/>
          <w:szCs w:val="24"/>
        </w:rPr>
      </w:pPr>
      <w:r>
        <w:rPr>
          <w:rFonts w:hint="eastAsia"/>
          <w:sz w:val="24"/>
          <w:szCs w:val="24"/>
        </w:rPr>
        <w:t>a.与本工程项目相关的审计和稽查、检查、视察等活动，承包人应高度重视并有义务委派专人积极予以配合。</w:t>
      </w:r>
    </w:p>
    <w:p w14:paraId="1DC53DD4">
      <w:pPr>
        <w:spacing w:before="67" w:line="360" w:lineRule="auto"/>
        <w:ind w:left="4" w:right="105" w:firstLine="482"/>
        <w:rPr>
          <w:sz w:val="24"/>
          <w:szCs w:val="24"/>
        </w:rPr>
      </w:pPr>
      <w:r>
        <w:rPr>
          <w:rFonts w:hint="eastAsia"/>
          <w:sz w:val="24"/>
          <w:szCs w:val="24"/>
        </w:rPr>
        <w:t>b.发包人有权监督检查承包人的供货合同。</w:t>
      </w:r>
    </w:p>
    <w:p w14:paraId="61715965">
      <w:pPr>
        <w:spacing w:before="67" w:line="360" w:lineRule="auto"/>
        <w:ind w:left="4" w:right="105" w:firstLine="482"/>
        <w:rPr>
          <w:sz w:val="24"/>
          <w:szCs w:val="24"/>
        </w:rPr>
      </w:pPr>
      <w:r>
        <w:rPr>
          <w:rFonts w:hint="eastAsia"/>
          <w:sz w:val="24"/>
          <w:szCs w:val="24"/>
        </w:rPr>
        <w:t>c.对项目使用的原有道路的维护和管理，以确保正常通行。</w:t>
      </w:r>
    </w:p>
    <w:p w14:paraId="5A70D3EF">
      <w:pPr>
        <w:spacing w:before="67" w:line="360" w:lineRule="auto"/>
        <w:ind w:left="4" w:right="105" w:firstLine="482"/>
        <w:rPr>
          <w:sz w:val="24"/>
          <w:szCs w:val="24"/>
        </w:rPr>
      </w:pPr>
      <w:r>
        <w:rPr>
          <w:rFonts w:hint="eastAsia"/>
          <w:sz w:val="24"/>
          <w:szCs w:val="24"/>
        </w:rPr>
        <w:t>d.维护社会稳定，避免发生因承包人原因引起施工队伍或施工引起周边群众等群体上访事件。</w:t>
      </w:r>
    </w:p>
    <w:p w14:paraId="2D78F301">
      <w:pPr>
        <w:spacing w:before="67" w:line="360" w:lineRule="auto"/>
        <w:ind w:left="4" w:right="105" w:firstLine="482"/>
        <w:rPr>
          <w:sz w:val="24"/>
          <w:szCs w:val="24"/>
        </w:rPr>
      </w:pPr>
      <w:r>
        <w:rPr>
          <w:rFonts w:hint="eastAsia"/>
          <w:sz w:val="24"/>
          <w:szCs w:val="24"/>
        </w:rPr>
        <w:t>e.承包人应自觉接受交通主管部门、质量监督单位、公路管理机构的监督，对指出的问题进行认真的整改，及时报告处理结果。</w:t>
      </w:r>
    </w:p>
    <w:p w14:paraId="4548AF56">
      <w:pPr>
        <w:spacing w:before="67" w:line="360" w:lineRule="auto"/>
        <w:ind w:left="4" w:right="105" w:firstLine="482"/>
        <w:rPr>
          <w:sz w:val="24"/>
          <w:szCs w:val="24"/>
        </w:rPr>
      </w:pPr>
      <w:r>
        <w:rPr>
          <w:rFonts w:hint="eastAsia"/>
          <w:sz w:val="24"/>
          <w:szCs w:val="24"/>
        </w:rPr>
        <w:t>（4）合同实施时承包人应投入足够的技术和管理人员以满足工程施工需要，发包人要求承包人应投入本合同的最低人员要求见合同附件四（含相应要求的备选人员），在不少于合同附件四要求前提下，为确保工程进度，发包人有权要求承包人增加相应技术和管理人员以满足施工需要。</w:t>
      </w:r>
    </w:p>
    <w:p w14:paraId="25C405D0">
      <w:pPr>
        <w:spacing w:before="67" w:line="360" w:lineRule="auto"/>
        <w:ind w:left="4" w:right="105" w:firstLine="482"/>
        <w:rPr>
          <w:sz w:val="24"/>
          <w:szCs w:val="24"/>
        </w:rPr>
      </w:pPr>
      <w:r>
        <w:rPr>
          <w:rFonts w:hint="eastAsia"/>
          <w:sz w:val="24"/>
          <w:szCs w:val="24"/>
        </w:rPr>
        <w:t>4.1.11(增加)承包人响应“美丽广西·清洁乡村”行动</w:t>
      </w:r>
    </w:p>
    <w:p w14:paraId="3AC9308B">
      <w:pPr>
        <w:spacing w:before="67" w:line="360" w:lineRule="auto"/>
        <w:ind w:left="4" w:right="105" w:firstLine="482"/>
        <w:rPr>
          <w:sz w:val="24"/>
          <w:szCs w:val="24"/>
        </w:rPr>
      </w:pPr>
      <w:r>
        <w:rPr>
          <w:rFonts w:hint="eastAsia"/>
          <w:sz w:val="24"/>
          <w:szCs w:val="24"/>
        </w:rPr>
        <w:t>1、承包人应根据《中共广西壮族自治区交通厅党组关于印发自治区交通运输系统“美丽广西·清洁乡村”交通行动实施方案的通知》（桂交党宣[2013]15号）精神，响应号召，以清洁公路、清洁水路、清洁运输为目标，大力实施交通运输尤其是农村交通运输环境的净化、绿化、美化，为群众创造畅通、高效、平安、绿色的交通运输环境及服务，以实现“生态环境美、文明风尚美、平安和谐美”的“三美交通”。</w:t>
      </w:r>
    </w:p>
    <w:p w14:paraId="4862B5D4">
      <w:pPr>
        <w:spacing w:before="67" w:line="360" w:lineRule="auto"/>
        <w:ind w:left="4" w:right="105" w:firstLine="482"/>
        <w:rPr>
          <w:sz w:val="24"/>
          <w:szCs w:val="24"/>
        </w:rPr>
      </w:pPr>
      <w:r>
        <w:rPr>
          <w:rFonts w:hint="eastAsia"/>
          <w:sz w:val="24"/>
          <w:szCs w:val="24"/>
        </w:rPr>
        <w:t>2、具体要求：在建公路项目要文明施工，强化施工路段的环境整治，施工车辆要避免扬尘洒漏，避免对原有公路的破坏，做好水土保持、环境保护工作；旧路改建项目要保证施工期间维持良好通车秩序；承包人应高度重视，有义务积极配合并委派专人参加“美丽广西·清洁乡村”的相关活动。</w:t>
      </w:r>
    </w:p>
    <w:p w14:paraId="4CB25F54">
      <w:pPr>
        <w:spacing w:before="62" w:line="360" w:lineRule="auto"/>
        <w:ind w:right="45" w:firstLine="482"/>
        <w:rPr>
          <w:sz w:val="24"/>
          <w:szCs w:val="24"/>
        </w:rPr>
      </w:pPr>
      <w:r>
        <w:rPr>
          <w:rFonts w:hint="eastAsia"/>
          <w:sz w:val="24"/>
          <w:szCs w:val="24"/>
        </w:rPr>
        <w:t>4.1.12（增加）</w:t>
      </w:r>
    </w:p>
    <w:p w14:paraId="1B050E8E">
      <w:pPr>
        <w:spacing w:before="62" w:line="360" w:lineRule="auto"/>
        <w:ind w:right="45" w:firstLine="482"/>
        <w:rPr>
          <w:sz w:val="24"/>
          <w:szCs w:val="24"/>
        </w:rPr>
      </w:pPr>
      <w:r>
        <w:rPr>
          <w:rFonts w:hint="eastAsia"/>
          <w:sz w:val="24"/>
          <w:szCs w:val="24"/>
        </w:rPr>
        <w:t>1、发包人有权对承包人已标价工程量清单中的项目单价进行审查，如存在严重不平衡报价、损害发包人利益，则认为该项不平衡报价违反诚实信用原则，有损社会公共利益、扰乱社会经济秩序，认定该项不平衡报价无效；发包人有权在保持投标报价总价不变的情况下进行调价或要求承包人重新组价。</w:t>
      </w:r>
    </w:p>
    <w:p w14:paraId="3779EF6E">
      <w:pPr>
        <w:spacing w:before="181" w:line="360" w:lineRule="auto"/>
        <w:ind w:left="562" w:firstLine="482"/>
        <w:rPr>
          <w:sz w:val="24"/>
          <w:szCs w:val="24"/>
        </w:rPr>
      </w:pPr>
      <w:r>
        <w:rPr>
          <w:rFonts w:hint="eastAsia"/>
          <w:sz w:val="24"/>
          <w:szCs w:val="24"/>
        </w:rPr>
        <w:t>4.6承包人人员的管理</w:t>
      </w:r>
    </w:p>
    <w:p w14:paraId="2CEDDF24">
      <w:pPr>
        <w:spacing w:before="67" w:line="360" w:lineRule="auto"/>
        <w:ind w:left="4" w:right="105" w:firstLine="482"/>
        <w:rPr>
          <w:sz w:val="24"/>
          <w:szCs w:val="24"/>
        </w:rPr>
      </w:pPr>
      <w:r>
        <w:rPr>
          <w:rFonts w:hint="eastAsia"/>
          <w:sz w:val="24"/>
          <w:szCs w:val="24"/>
        </w:rPr>
        <w:t>（增加）4.6.5项目经理、总工及主要管理人员每月驻工地现场时间不应少于22天，项目经理、总工及主要管理人员，技术骨干离开工地必须向招标人书面请假，并经项目建设管理机构相关负责人书面同意方能离开，否则视为违约并按22.2.3款执行。</w:t>
      </w:r>
    </w:p>
    <w:p w14:paraId="4AEA9962">
      <w:pPr>
        <w:spacing w:before="181" w:line="360" w:lineRule="auto"/>
        <w:ind w:left="562" w:firstLine="482"/>
        <w:rPr>
          <w:sz w:val="24"/>
          <w:szCs w:val="24"/>
        </w:rPr>
      </w:pPr>
      <w:r>
        <w:rPr>
          <w:rFonts w:hint="eastAsia"/>
          <w:sz w:val="24"/>
          <w:szCs w:val="24"/>
        </w:rPr>
        <w:t>4.9工程价款应专款专用</w:t>
      </w:r>
    </w:p>
    <w:p w14:paraId="37E4FFB9">
      <w:pPr>
        <w:spacing w:before="67" w:line="360" w:lineRule="auto"/>
        <w:ind w:left="4" w:right="105" w:firstLine="482"/>
        <w:rPr>
          <w:sz w:val="24"/>
          <w:szCs w:val="24"/>
        </w:rPr>
      </w:pPr>
      <w:r>
        <w:rPr>
          <w:rFonts w:hint="eastAsia"/>
          <w:sz w:val="24"/>
          <w:szCs w:val="24"/>
        </w:rPr>
        <w:t>在原条款末增加：项目法人向承包人支付的工程进度款等为本工程的专款专用资金，承包人违反下述规定的，项目法人将中止其任何款项的支付。</w:t>
      </w:r>
    </w:p>
    <w:p w14:paraId="04C99A45">
      <w:pPr>
        <w:spacing w:before="67" w:line="360" w:lineRule="auto"/>
        <w:ind w:left="4" w:right="105" w:firstLine="482"/>
        <w:rPr>
          <w:sz w:val="24"/>
          <w:szCs w:val="24"/>
        </w:rPr>
      </w:pPr>
      <w:r>
        <w:rPr>
          <w:rFonts w:hint="eastAsia"/>
          <w:sz w:val="24"/>
          <w:szCs w:val="24"/>
        </w:rPr>
        <w:t>（1）凡不在项目法人指定银行开户的承包人，项目法人将不对其支付任何款项。</w:t>
      </w:r>
    </w:p>
    <w:p w14:paraId="2EA22E79">
      <w:pPr>
        <w:spacing w:before="67" w:line="360" w:lineRule="auto"/>
        <w:ind w:left="4" w:right="105" w:firstLine="482"/>
        <w:rPr>
          <w:sz w:val="24"/>
          <w:szCs w:val="24"/>
        </w:rPr>
      </w:pPr>
      <w:r>
        <w:rPr>
          <w:rFonts w:hint="eastAsia"/>
          <w:sz w:val="24"/>
          <w:szCs w:val="24"/>
        </w:rPr>
        <w:t>（2）根据中国人民银行有关规定，每个承包人只能在一个银行开立一个结算账户，不允许多头开户。项目法人按合同条款规定对承包人支付的款项，只对合同规定的法人或者法人代表的授权代理人支付，不对其内部独立核算单位或经批准的分包人直接支付（合同有专项规定者除外）。</w:t>
      </w:r>
    </w:p>
    <w:p w14:paraId="037A26CC">
      <w:pPr>
        <w:spacing w:before="67" w:line="360" w:lineRule="auto"/>
        <w:ind w:left="4" w:right="105" w:firstLine="482"/>
        <w:rPr>
          <w:sz w:val="24"/>
          <w:szCs w:val="24"/>
        </w:rPr>
      </w:pPr>
      <w:r>
        <w:rPr>
          <w:rFonts w:hint="eastAsia"/>
          <w:sz w:val="24"/>
          <w:szCs w:val="24"/>
        </w:rPr>
        <w:t>（3）在合同执行期间，项目法人或项目法人委托的公路审计部门有权不定期检查或审计承包人项目经理部的财务收支情况，承包人必须严格财经纪律，确保项目经理部的财务收支能客观、真实的反映工程实际成本，承包人及项目经理部必须接受项目法人或项目法人委托部门的监督和检查。</w:t>
      </w:r>
    </w:p>
    <w:p w14:paraId="6CBF8B5F">
      <w:pPr>
        <w:spacing w:before="67" w:line="360" w:lineRule="auto"/>
        <w:ind w:left="4" w:right="105" w:firstLine="482"/>
        <w:rPr>
          <w:sz w:val="24"/>
          <w:szCs w:val="24"/>
        </w:rPr>
      </w:pPr>
      <w:r>
        <w:rPr>
          <w:rFonts w:hint="eastAsia"/>
          <w:sz w:val="24"/>
          <w:szCs w:val="24"/>
        </w:rPr>
        <w:t>（4）在合同执行期间，为确保工程建设资金专款专用，承包人在收到项目法人支付的款项后，须向项目法人提供资金使用计划，详细说明资金使用流向，经项目法人批准并在项目法人的监督下使用，必须优先支付工人特别是农民工的工资，其次是材料价款以及工程建设直接的成本。</w:t>
      </w:r>
    </w:p>
    <w:p w14:paraId="6CD4B8D2">
      <w:pPr>
        <w:spacing w:before="67" w:line="360" w:lineRule="auto"/>
        <w:ind w:left="4" w:right="105" w:firstLine="482"/>
        <w:rPr>
          <w:sz w:val="24"/>
          <w:szCs w:val="24"/>
        </w:rPr>
      </w:pPr>
      <w:r>
        <w:rPr>
          <w:rFonts w:hint="eastAsia"/>
          <w:sz w:val="24"/>
          <w:szCs w:val="24"/>
        </w:rPr>
        <w:t>（5）项目法人有权监督承包人对其雇员的工资发放，项目法人支付的计量支付款，承包人首先应支付民工工资，并做好记录备案。</w:t>
      </w:r>
    </w:p>
    <w:p w14:paraId="0D7E4F9D">
      <w:pPr>
        <w:spacing w:before="182" w:line="360" w:lineRule="auto"/>
        <w:ind w:left="561" w:firstLine="482"/>
        <w:rPr>
          <w:sz w:val="24"/>
          <w:szCs w:val="24"/>
        </w:rPr>
      </w:pPr>
      <w:r>
        <w:rPr>
          <w:rFonts w:hint="eastAsia"/>
          <w:sz w:val="24"/>
          <w:szCs w:val="24"/>
        </w:rPr>
        <w:t>4.11不利物质条件</w:t>
      </w:r>
    </w:p>
    <w:p w14:paraId="5FB71576">
      <w:pPr>
        <w:spacing w:before="181" w:line="360" w:lineRule="auto"/>
        <w:ind w:left="480" w:firstLine="482"/>
        <w:rPr>
          <w:sz w:val="24"/>
          <w:szCs w:val="24"/>
        </w:rPr>
      </w:pPr>
      <w:r>
        <w:rPr>
          <w:rFonts w:hint="eastAsia"/>
          <w:sz w:val="24"/>
          <w:szCs w:val="24"/>
        </w:rPr>
        <w:t>4.11.1不利物质条件的范围：</w:t>
      </w:r>
      <w:r>
        <w:rPr>
          <w:rFonts w:hint="eastAsia"/>
          <w:sz w:val="24"/>
          <w:szCs w:val="24"/>
          <w:u w:val="single"/>
        </w:rPr>
        <w:t>/</w:t>
      </w:r>
    </w:p>
    <w:p w14:paraId="3CC2D786">
      <w:pPr>
        <w:spacing w:before="67" w:line="360" w:lineRule="auto"/>
        <w:ind w:left="4" w:right="105" w:firstLine="482"/>
        <w:rPr>
          <w:sz w:val="24"/>
          <w:szCs w:val="24"/>
        </w:rPr>
      </w:pPr>
      <w:r>
        <w:rPr>
          <w:rFonts w:hint="eastAsia"/>
          <w:sz w:val="24"/>
          <w:szCs w:val="24"/>
        </w:rPr>
        <w:t>7.3场外交通</w:t>
      </w:r>
    </w:p>
    <w:p w14:paraId="08ABAC14">
      <w:pPr>
        <w:spacing w:before="67" w:line="360" w:lineRule="auto"/>
        <w:ind w:left="4" w:right="105" w:firstLine="482"/>
        <w:rPr>
          <w:sz w:val="24"/>
          <w:szCs w:val="24"/>
        </w:rPr>
      </w:pPr>
      <w:r>
        <w:rPr>
          <w:rFonts w:hint="eastAsia"/>
          <w:sz w:val="24"/>
          <w:szCs w:val="24"/>
        </w:rPr>
        <w:t>（增加）7.3.3为保证道路交通安全及运输畅通，承包人应采取以下措施：</w:t>
      </w:r>
    </w:p>
    <w:p w14:paraId="7C390085">
      <w:pPr>
        <w:spacing w:before="67" w:line="360" w:lineRule="auto"/>
        <w:ind w:left="4" w:right="105" w:firstLine="482"/>
        <w:rPr>
          <w:sz w:val="24"/>
          <w:szCs w:val="24"/>
        </w:rPr>
      </w:pPr>
      <w:r>
        <w:rPr>
          <w:rFonts w:hint="eastAsia"/>
          <w:sz w:val="24"/>
          <w:szCs w:val="24"/>
        </w:rPr>
        <w:t>当施工期间，因施工原因造成原有道路暂时堵塞时，承包人必须与交通和公安部门协商，采取足够的措施引导、疏通交通。但不管何种原因，因其交通堵塞时间均不能超过30分钟。若堵塞交通超过上述规定的时间，将视为承包人违约按22.2.3款等相关条款处理，同时发包人可指令采取任何措施疏通，一切费用由承包人承担。</w:t>
      </w:r>
    </w:p>
    <w:p w14:paraId="026E4ED1">
      <w:pPr>
        <w:spacing w:before="67" w:line="360" w:lineRule="auto"/>
        <w:ind w:left="4" w:right="105" w:firstLine="482"/>
        <w:rPr>
          <w:sz w:val="24"/>
          <w:szCs w:val="24"/>
        </w:rPr>
      </w:pPr>
      <w:r>
        <w:rPr>
          <w:rFonts w:hint="eastAsia"/>
          <w:sz w:val="24"/>
          <w:szCs w:val="24"/>
        </w:rPr>
        <w:t>7.3.4承包人应加强文明施工，保障道路通畅的管理</w:t>
      </w:r>
    </w:p>
    <w:p w14:paraId="7CF6243B">
      <w:pPr>
        <w:spacing w:before="67" w:line="360" w:lineRule="auto"/>
        <w:ind w:left="4" w:right="105" w:firstLine="482"/>
        <w:rPr>
          <w:sz w:val="24"/>
          <w:szCs w:val="24"/>
        </w:rPr>
      </w:pPr>
      <w:r>
        <w:rPr>
          <w:rFonts w:hint="eastAsia"/>
          <w:sz w:val="24"/>
          <w:szCs w:val="24"/>
        </w:rPr>
        <w:t>（1）承包人在施工期内应按国家、交通主管部门与公路管理机构有关文明施工，保障畅通的规定组织施工，对出现的交通堵塞无条件地采取措施进行疏通。</w:t>
      </w:r>
    </w:p>
    <w:p w14:paraId="699C045A">
      <w:pPr>
        <w:spacing w:before="67" w:line="360" w:lineRule="auto"/>
        <w:ind w:left="4" w:right="105" w:firstLine="482"/>
        <w:rPr>
          <w:sz w:val="24"/>
          <w:szCs w:val="24"/>
        </w:rPr>
      </w:pPr>
      <w:r>
        <w:rPr>
          <w:rFonts w:hint="eastAsia"/>
          <w:sz w:val="24"/>
          <w:szCs w:val="24"/>
        </w:rPr>
        <w:t>（2）对于施工工程项目：破坏旧路必须作出交通维持与恢复路面通行条件方案并必须取得项目法人的书面批准，未经批准进行旧路开挖与填筑的，项目法人有权责令停工，并由承包人恢复原良好的通车条件，并需承担一切费用；不得在道路上堆放材料或占道施工影响交通；路基、路面施工应避免出现晴天扬尘，雨天打滑影响安全与交通和影响群众生活、生产的现象；维持交通的路基施工应保证表面平整，行车通畅。</w:t>
      </w:r>
    </w:p>
    <w:p w14:paraId="00D98795">
      <w:pPr>
        <w:spacing w:before="67" w:line="360" w:lineRule="auto"/>
        <w:ind w:left="4" w:right="105" w:firstLine="482"/>
        <w:rPr>
          <w:sz w:val="24"/>
          <w:szCs w:val="24"/>
        </w:rPr>
      </w:pPr>
      <w:r>
        <w:rPr>
          <w:rFonts w:hint="eastAsia"/>
          <w:sz w:val="24"/>
          <w:szCs w:val="24"/>
        </w:rPr>
        <w:t>9.2承包人的施工安全责任</w:t>
      </w:r>
    </w:p>
    <w:p w14:paraId="0B7F4C6E">
      <w:pPr>
        <w:spacing w:before="67" w:line="360" w:lineRule="auto"/>
        <w:ind w:left="4" w:right="105" w:firstLine="482"/>
        <w:rPr>
          <w:sz w:val="24"/>
          <w:szCs w:val="24"/>
        </w:rPr>
      </w:pPr>
      <w:r>
        <w:rPr>
          <w:rFonts w:hint="eastAsia"/>
          <w:sz w:val="24"/>
          <w:szCs w:val="24"/>
        </w:rPr>
        <w:t>9.2.5条款末增加：如项目法人在日常检查中发现承包人用于危险路段、有安全隐患路段施工安全防护的设施和用具（含交通标志牌、安全危险告知牌、安全隐患告知牌等）不齐全或缺乏，并且承包人没有按规定及时添置安放的情况，则项目法人应按照合同有关规定指令承包人纠正和整改，承包人拒不整改或整改不彻底的，项目法人有权进行直接购置施工安全防护设施和用具（含交通标志牌、安全危险告知牌、安全隐患告知牌等）并安排专人进行设置管理等安全管理工作，所发生的费用由承包人负责，并由项目法人在承包人合同价中计量扣除。</w:t>
      </w:r>
    </w:p>
    <w:p w14:paraId="5AD2D7A1">
      <w:pPr>
        <w:spacing w:before="67" w:line="360" w:lineRule="auto"/>
        <w:ind w:left="4" w:right="105" w:firstLine="482"/>
        <w:rPr>
          <w:sz w:val="24"/>
          <w:szCs w:val="24"/>
        </w:rPr>
      </w:pPr>
      <w:r>
        <w:rPr>
          <w:rFonts w:hint="eastAsia"/>
          <w:sz w:val="24"/>
          <w:szCs w:val="24"/>
        </w:rPr>
        <w:t>9.6运营中的公路道路施工安全（增加）</w:t>
      </w:r>
    </w:p>
    <w:p w14:paraId="44041C3A">
      <w:pPr>
        <w:spacing w:before="67" w:line="360" w:lineRule="auto"/>
        <w:ind w:left="4" w:right="105" w:firstLine="482"/>
        <w:rPr>
          <w:sz w:val="24"/>
          <w:szCs w:val="24"/>
        </w:rPr>
      </w:pPr>
      <w:r>
        <w:rPr>
          <w:rFonts w:hint="eastAsia"/>
          <w:sz w:val="24"/>
          <w:szCs w:val="24"/>
        </w:rPr>
        <w:t>9.6.1承包人进场施工前需到路政部门和安监部门办理上路施工许可证和安全监督等手续，签订路上施工安全协议书，并接受监督。</w:t>
      </w:r>
    </w:p>
    <w:p w14:paraId="594903F2">
      <w:pPr>
        <w:spacing w:before="67" w:line="360" w:lineRule="auto"/>
        <w:ind w:left="4" w:right="105" w:firstLine="482"/>
        <w:rPr>
          <w:sz w:val="24"/>
          <w:szCs w:val="24"/>
        </w:rPr>
      </w:pPr>
      <w:r>
        <w:rPr>
          <w:rFonts w:hint="eastAsia"/>
          <w:sz w:val="24"/>
          <w:szCs w:val="24"/>
        </w:rPr>
        <w:t>9.6.2在运营公路上进行施工，必须严格执行国家颁布的《公路法》、《安全生产法》、《道路交通标志和标线》（GB5768-1999）、《公路工程施工安全技术规程》（JTJ076）、《公路养护安全作业规程》（JTGH30-2015）要求等国家及交通部门颁发的有关安全生产的法律法规、标准及制度，并按照有关规定设置施工标志、标牌、水马等安全设施)，施工过程中承包人必须派专人维护各施工标志牌正常使用。路上作业施工人员应统一着桔红色反光标志服，招标文件要求的主要施工管理人员在现场时应挂戴统一制作的上岗牌做标识，每个施工点的现场应摆放由业主规定统一格式的施工公示牌。供应商报价时要充分考虑上述设施所需费用，以及施工、生活用水用电的费用，所需费用由供应商考虑在有关报价中，业主不单独进行计量支付。施工标志牌的制作应符合国家有关标准的规定，标志牌版面的反光膜应不低于国标GB5768-1999《道路交通标志和标线》的三级标准。</w:t>
      </w:r>
    </w:p>
    <w:p w14:paraId="75C31D07">
      <w:pPr>
        <w:spacing w:before="67" w:line="360" w:lineRule="auto"/>
        <w:ind w:left="4" w:right="105" w:firstLine="482"/>
        <w:rPr>
          <w:sz w:val="24"/>
          <w:szCs w:val="24"/>
        </w:rPr>
      </w:pPr>
      <w:r>
        <w:rPr>
          <w:rFonts w:hint="eastAsia"/>
          <w:sz w:val="24"/>
          <w:szCs w:val="24"/>
        </w:rPr>
        <w:t>9.6.3工程使用的水泥、碎石、砂等材料不得堆放在公路上，工棚搭设应设置在公路行车看不到的位置，如确需搭棚看守机械设备的，应按业主规定的式样搭设；机械设备摆放不得有碍路容路貌和行车安全。</w:t>
      </w:r>
    </w:p>
    <w:p w14:paraId="70168CBD">
      <w:pPr>
        <w:spacing w:before="67" w:line="360" w:lineRule="auto"/>
        <w:ind w:left="4" w:right="105" w:firstLine="482"/>
        <w:rPr>
          <w:sz w:val="24"/>
          <w:szCs w:val="24"/>
        </w:rPr>
      </w:pPr>
      <w:r>
        <w:rPr>
          <w:rFonts w:hint="eastAsia"/>
          <w:sz w:val="24"/>
          <w:szCs w:val="24"/>
        </w:rPr>
        <w:t>9.6.6破除的公路废弃材料应集中废弃到弃土场。</w:t>
      </w:r>
    </w:p>
    <w:p w14:paraId="4448AE18">
      <w:pPr>
        <w:spacing w:before="67" w:line="360" w:lineRule="auto"/>
        <w:ind w:left="4" w:right="105" w:firstLine="482"/>
        <w:rPr>
          <w:sz w:val="24"/>
          <w:szCs w:val="24"/>
        </w:rPr>
      </w:pPr>
      <w:r>
        <w:rPr>
          <w:rFonts w:hint="eastAsia"/>
          <w:sz w:val="24"/>
          <w:szCs w:val="24"/>
        </w:rPr>
        <w:t>9.6.7日常养护工程施工时，应设置相应防护措施确保公路行人及车流的安全畅通。安全生产发生的一切费用由供应商考虑在有关报价中，业主不单独进行计量支付。由于未采用防护措施或防护措施不力而造成公路下行人、车流受影响的，由承包人承担其责任。</w:t>
      </w:r>
    </w:p>
    <w:p w14:paraId="3CCAB54D">
      <w:pPr>
        <w:spacing w:before="67" w:line="360" w:lineRule="auto"/>
        <w:ind w:left="4" w:right="105" w:firstLine="482"/>
        <w:rPr>
          <w:sz w:val="24"/>
          <w:szCs w:val="24"/>
        </w:rPr>
      </w:pPr>
      <w:r>
        <w:rPr>
          <w:rFonts w:hint="eastAsia"/>
          <w:sz w:val="24"/>
          <w:szCs w:val="24"/>
        </w:rPr>
        <w:t>9.6.8承包人不得在公路路面上拌和公路材料。</w:t>
      </w:r>
    </w:p>
    <w:p w14:paraId="2E48ECB0">
      <w:pPr>
        <w:spacing w:before="67" w:line="360" w:lineRule="auto"/>
        <w:ind w:left="4" w:right="105" w:firstLine="482"/>
        <w:rPr>
          <w:sz w:val="24"/>
          <w:szCs w:val="24"/>
        </w:rPr>
      </w:pPr>
      <w:r>
        <w:rPr>
          <w:rFonts w:hint="eastAsia"/>
          <w:sz w:val="24"/>
          <w:szCs w:val="24"/>
        </w:rPr>
        <w:t>9.6.9承包人须将拟施工点报发包人审批后，方可进行施工。</w:t>
      </w:r>
    </w:p>
    <w:p w14:paraId="0E56F1D4">
      <w:pPr>
        <w:spacing w:before="67" w:line="360" w:lineRule="auto"/>
        <w:ind w:left="4" w:right="105" w:firstLine="482"/>
        <w:rPr>
          <w:sz w:val="24"/>
          <w:szCs w:val="24"/>
        </w:rPr>
      </w:pPr>
      <w:r>
        <w:rPr>
          <w:rFonts w:hint="eastAsia"/>
          <w:sz w:val="24"/>
          <w:szCs w:val="24"/>
        </w:rPr>
        <w:t>10.1合同进度计划</w:t>
      </w:r>
    </w:p>
    <w:p w14:paraId="67C85D2F">
      <w:pPr>
        <w:spacing w:before="67" w:line="360" w:lineRule="auto"/>
        <w:ind w:left="4" w:right="105" w:firstLine="482"/>
        <w:rPr>
          <w:sz w:val="24"/>
          <w:szCs w:val="24"/>
        </w:rPr>
      </w:pPr>
      <w:r>
        <w:rPr>
          <w:rFonts w:hint="eastAsia"/>
          <w:sz w:val="24"/>
          <w:szCs w:val="24"/>
        </w:rPr>
        <w:t>承包人编制施工计划的内容：承包人应在签订合同协议书后7天内，向发包人提交2份其格式和内容符合发包人规定的工程进度计划，以及为完成该计划而建议采用的实施性的施工安排和施工方案的说明。发包人应在收到该计划后7天内审查同意或提出修改意见，否则该进度计划视为已得到批准。经发包人批准的施工进度计划称为合同进度计划，是控制合同工程进度的依据。工程进度计划应按照关键线路网络图和主要工作横道图两种形式分别绘制，并应包括每月预计完成的工作量和形象进度。</w:t>
      </w:r>
    </w:p>
    <w:p w14:paraId="6DF249ED">
      <w:pPr>
        <w:spacing w:before="67" w:line="360" w:lineRule="auto"/>
        <w:ind w:left="4" w:right="105" w:firstLine="482"/>
        <w:rPr>
          <w:sz w:val="24"/>
          <w:szCs w:val="24"/>
        </w:rPr>
      </w:pPr>
      <w:r>
        <w:rPr>
          <w:rFonts w:hint="eastAsia"/>
          <w:sz w:val="24"/>
          <w:szCs w:val="24"/>
        </w:rPr>
        <w:t>11.4异常恶劣的气候条件</w:t>
      </w:r>
    </w:p>
    <w:p w14:paraId="334DF7FD">
      <w:pPr>
        <w:spacing w:before="67" w:line="360" w:lineRule="auto"/>
        <w:ind w:left="4" w:right="105" w:firstLine="482"/>
        <w:rPr>
          <w:sz w:val="24"/>
          <w:szCs w:val="24"/>
        </w:rPr>
      </w:pPr>
      <w:r>
        <w:rPr>
          <w:rFonts w:hint="eastAsia"/>
          <w:sz w:val="24"/>
          <w:szCs w:val="24"/>
        </w:rPr>
        <w:t>异常恶劣的气候条件的范围：对本项目而言，指发生烈度7度（含7度）以上地震、龙卷风、施工场地受淹超过项目法人提供的设计图纸指明的设计洪水水位引起的延误的情况。</w:t>
      </w:r>
    </w:p>
    <w:p w14:paraId="7C3D449D">
      <w:pPr>
        <w:spacing w:before="67" w:line="360" w:lineRule="auto"/>
        <w:ind w:left="4" w:right="105" w:firstLine="482"/>
        <w:rPr>
          <w:sz w:val="24"/>
          <w:szCs w:val="24"/>
        </w:rPr>
      </w:pPr>
      <w:r>
        <w:rPr>
          <w:rFonts w:hint="eastAsia"/>
          <w:sz w:val="24"/>
          <w:szCs w:val="24"/>
        </w:rPr>
        <w:t>增加：异常恶劣的气候条件，政府及有关部门预先有预报的，由于承包人没有应急措施或没有采取应急措施的，造成的损失和工期延误，由承包人负责。</w:t>
      </w:r>
    </w:p>
    <w:p w14:paraId="4DD5A2F3">
      <w:pPr>
        <w:spacing w:before="67" w:line="360" w:lineRule="auto"/>
        <w:ind w:left="4" w:right="105" w:firstLine="482"/>
        <w:rPr>
          <w:sz w:val="24"/>
          <w:szCs w:val="24"/>
        </w:rPr>
      </w:pPr>
      <w:r>
        <w:rPr>
          <w:rFonts w:hint="eastAsia"/>
          <w:sz w:val="24"/>
          <w:szCs w:val="24"/>
        </w:rPr>
        <w:t>（增加）11.8其它进度要求</w:t>
      </w:r>
    </w:p>
    <w:p w14:paraId="4874E582">
      <w:pPr>
        <w:spacing w:before="67" w:line="360" w:lineRule="auto"/>
        <w:ind w:left="4" w:right="105" w:firstLine="482"/>
        <w:rPr>
          <w:sz w:val="24"/>
          <w:szCs w:val="24"/>
        </w:rPr>
      </w:pPr>
      <w:r>
        <w:rPr>
          <w:rFonts w:hint="eastAsia"/>
          <w:sz w:val="24"/>
          <w:szCs w:val="24"/>
        </w:rPr>
        <w:t>（1）承包人应加强工程进度计划管理，努力实现均衡组织施工的目标。</w:t>
      </w:r>
    </w:p>
    <w:p w14:paraId="49634A46">
      <w:pPr>
        <w:spacing w:before="67" w:line="360" w:lineRule="auto"/>
        <w:ind w:left="4" w:right="105" w:firstLine="482"/>
        <w:rPr>
          <w:sz w:val="24"/>
          <w:szCs w:val="24"/>
        </w:rPr>
      </w:pPr>
      <w:r>
        <w:rPr>
          <w:rFonts w:hint="eastAsia"/>
          <w:sz w:val="24"/>
          <w:szCs w:val="24"/>
        </w:rPr>
        <w:t>a.养护工作影响原有道路交通的，应根据施工必须保证交通通畅的特点，科学合理安排施工时间，采取妥当的施工方法，避免在雨季破坏旧路利用新路基维持交通，对破坏旧路的路段应及时安排路面施工，确保不影响道路交通畅通。</w:t>
      </w:r>
    </w:p>
    <w:p w14:paraId="767C0D9A">
      <w:pPr>
        <w:spacing w:before="67" w:line="360" w:lineRule="auto"/>
        <w:ind w:left="4" w:right="105" w:firstLine="482"/>
        <w:rPr>
          <w:sz w:val="24"/>
          <w:szCs w:val="24"/>
        </w:rPr>
      </w:pPr>
      <w:r>
        <w:rPr>
          <w:rFonts w:hint="eastAsia"/>
          <w:sz w:val="24"/>
          <w:szCs w:val="24"/>
        </w:rPr>
        <w:t>b.路面碎石材料的采备应与路基施工进度同步，以保证路面施工进度。</w:t>
      </w:r>
    </w:p>
    <w:p w14:paraId="02989B61">
      <w:pPr>
        <w:spacing w:before="67" w:line="360" w:lineRule="auto"/>
        <w:ind w:left="4" w:right="105" w:firstLine="482"/>
        <w:rPr>
          <w:sz w:val="24"/>
          <w:szCs w:val="24"/>
        </w:rPr>
      </w:pPr>
      <w:r>
        <w:rPr>
          <w:rFonts w:hint="eastAsia"/>
          <w:sz w:val="24"/>
          <w:szCs w:val="24"/>
        </w:rPr>
        <w:t>c.桥梁、主要涵洞、高大支挡结构、旧路改建（破坏旧路路面）的路面等关键工程及分项应有独立详细的施工组织设计，并采取措施确保落实。</w:t>
      </w:r>
    </w:p>
    <w:p w14:paraId="6E1E218E">
      <w:pPr>
        <w:spacing w:before="67" w:line="360" w:lineRule="auto"/>
        <w:ind w:left="4" w:right="105" w:firstLine="482"/>
        <w:rPr>
          <w:sz w:val="24"/>
          <w:szCs w:val="24"/>
        </w:rPr>
      </w:pPr>
      <w:r>
        <w:rPr>
          <w:rFonts w:hint="eastAsia"/>
          <w:sz w:val="24"/>
          <w:szCs w:val="24"/>
        </w:rPr>
        <w:t>12．暂停施工</w:t>
      </w:r>
    </w:p>
    <w:p w14:paraId="544463DF">
      <w:pPr>
        <w:spacing w:before="67" w:line="360" w:lineRule="auto"/>
        <w:ind w:left="4" w:right="105" w:firstLine="482"/>
        <w:rPr>
          <w:sz w:val="24"/>
          <w:szCs w:val="24"/>
        </w:rPr>
      </w:pPr>
      <w:r>
        <w:rPr>
          <w:rFonts w:hint="eastAsia"/>
          <w:sz w:val="24"/>
          <w:szCs w:val="24"/>
        </w:rPr>
        <w:t>12.1承包人暂停施工的责任</w:t>
      </w:r>
    </w:p>
    <w:p w14:paraId="399E8AFF">
      <w:pPr>
        <w:spacing w:before="67" w:line="360" w:lineRule="auto"/>
        <w:ind w:left="4" w:right="105" w:firstLine="482"/>
        <w:rPr>
          <w:sz w:val="24"/>
          <w:szCs w:val="24"/>
        </w:rPr>
      </w:pPr>
      <w:r>
        <w:rPr>
          <w:rFonts w:hint="eastAsia"/>
          <w:sz w:val="24"/>
          <w:szCs w:val="24"/>
        </w:rPr>
        <w:t>公路工程专用合同条款12.1.(6）项约定:</w:t>
      </w:r>
    </w:p>
    <w:p w14:paraId="7679494D">
      <w:pPr>
        <w:spacing w:before="67" w:line="360" w:lineRule="auto"/>
        <w:ind w:left="4" w:right="105" w:firstLine="482"/>
        <w:rPr>
          <w:sz w:val="24"/>
          <w:szCs w:val="24"/>
        </w:rPr>
      </w:pPr>
      <w:r>
        <w:rPr>
          <w:rFonts w:hint="eastAsia"/>
          <w:sz w:val="24"/>
          <w:szCs w:val="24"/>
        </w:rPr>
        <w:t>(6）由承包人承担的其他暂停施工：/</w:t>
      </w:r>
    </w:p>
    <w:p w14:paraId="50E60BEB">
      <w:pPr>
        <w:spacing w:before="67" w:line="360" w:lineRule="auto"/>
        <w:ind w:left="4" w:right="105" w:firstLine="482"/>
        <w:rPr>
          <w:sz w:val="24"/>
          <w:szCs w:val="24"/>
        </w:rPr>
      </w:pPr>
      <w:r>
        <w:rPr>
          <w:rFonts w:hint="eastAsia"/>
          <w:sz w:val="24"/>
          <w:szCs w:val="24"/>
        </w:rPr>
        <w:t>13.3承包人的质量检查</w:t>
      </w:r>
    </w:p>
    <w:p w14:paraId="776C9E53">
      <w:pPr>
        <w:spacing w:before="67" w:line="360" w:lineRule="auto"/>
        <w:ind w:left="4" w:right="105" w:firstLine="482"/>
        <w:rPr>
          <w:sz w:val="24"/>
          <w:szCs w:val="24"/>
        </w:rPr>
      </w:pPr>
      <w:r>
        <w:rPr>
          <w:rFonts w:hint="eastAsia"/>
          <w:sz w:val="24"/>
          <w:szCs w:val="24"/>
        </w:rPr>
        <w:t>增加内容：（1）落实质量责任制和质量保证体系</w:t>
      </w:r>
    </w:p>
    <w:p w14:paraId="32BEA7E9">
      <w:pPr>
        <w:spacing w:before="67" w:line="360" w:lineRule="auto"/>
        <w:ind w:left="4" w:right="105" w:firstLine="482"/>
        <w:rPr>
          <w:sz w:val="24"/>
          <w:szCs w:val="24"/>
        </w:rPr>
      </w:pPr>
      <w:r>
        <w:rPr>
          <w:rFonts w:hint="eastAsia"/>
          <w:sz w:val="24"/>
          <w:szCs w:val="24"/>
        </w:rPr>
        <w:t>分项工程施工现场应实行质量责任牌管理，写明作业内容、项目质量管理责任人（施工单位、建设管理机构）和质量管理举报电话；</w:t>
      </w:r>
    </w:p>
    <w:p w14:paraId="0A3E33D9">
      <w:pPr>
        <w:spacing w:before="67" w:line="360" w:lineRule="auto"/>
        <w:ind w:left="4" w:right="105" w:firstLine="482"/>
        <w:rPr>
          <w:sz w:val="24"/>
          <w:szCs w:val="24"/>
        </w:rPr>
      </w:pPr>
      <w:r>
        <w:rPr>
          <w:rFonts w:hint="eastAsia"/>
          <w:sz w:val="24"/>
          <w:szCs w:val="24"/>
        </w:rPr>
        <w:t>（2）认真执行质量检查制度：</w:t>
      </w:r>
    </w:p>
    <w:p w14:paraId="15981F0B">
      <w:pPr>
        <w:spacing w:line="360" w:lineRule="auto"/>
        <w:ind w:firstLine="723" w:firstLineChars="300"/>
        <w:rPr>
          <w:b/>
          <w:bCs/>
          <w:sz w:val="24"/>
          <w:szCs w:val="24"/>
        </w:rPr>
      </w:pPr>
      <w:r>
        <w:rPr>
          <w:rFonts w:hint="eastAsia"/>
          <w:b/>
          <w:bCs/>
          <w:sz w:val="24"/>
          <w:szCs w:val="24"/>
        </w:rPr>
        <w:t>按照《公路养护技术规范》（JTGH10-2009）、《公路桥涵养护规范》（JTGH11-2004）、《公路隧道养护技术规范》（JTGH12-2015）、《公路养护安全作业规程》（JTGH30-2015）、《公路养护工程质量检验评定标准》第一册土建工程(JTG5220—2020)、《公路工程质量检验评定标准》（JTGF80/1-2017）、《公路养护技术标椎》（JTG5110-2023）等要求对公路进行路基路面小修保养工程。</w:t>
      </w:r>
    </w:p>
    <w:p w14:paraId="46F057EA">
      <w:pPr>
        <w:spacing w:before="67" w:line="360" w:lineRule="auto"/>
        <w:ind w:left="4" w:right="105" w:firstLine="482"/>
        <w:rPr>
          <w:sz w:val="24"/>
          <w:szCs w:val="24"/>
        </w:rPr>
      </w:pPr>
      <w:r>
        <w:rPr>
          <w:rFonts w:hint="eastAsia"/>
          <w:sz w:val="24"/>
          <w:szCs w:val="24"/>
        </w:rPr>
        <w:t>(3)承包人应加强文明施工，保障道路通畅的管理</w:t>
      </w:r>
    </w:p>
    <w:p w14:paraId="3606F03E">
      <w:pPr>
        <w:spacing w:before="67" w:line="360" w:lineRule="auto"/>
        <w:ind w:left="4" w:right="105" w:firstLine="482"/>
        <w:rPr>
          <w:sz w:val="24"/>
          <w:szCs w:val="24"/>
        </w:rPr>
      </w:pPr>
      <w:r>
        <w:rPr>
          <w:rFonts w:hint="eastAsia"/>
          <w:sz w:val="24"/>
          <w:szCs w:val="24"/>
        </w:rPr>
        <w:t>a.承包人在施工期内应按国家、交通主管部门与公路管理机构文明施工，保障畅通的有关规定组织施工，对出现的交通堵塞无条件地采取措施进行疏通。</w:t>
      </w:r>
    </w:p>
    <w:p w14:paraId="258279E9">
      <w:pPr>
        <w:spacing w:before="67" w:line="360" w:lineRule="auto"/>
        <w:ind w:left="4" w:right="105" w:firstLine="482"/>
        <w:rPr>
          <w:sz w:val="24"/>
          <w:szCs w:val="24"/>
        </w:rPr>
      </w:pPr>
      <w:r>
        <w:rPr>
          <w:rFonts w:hint="eastAsia"/>
          <w:sz w:val="24"/>
          <w:szCs w:val="24"/>
        </w:rPr>
        <w:t>b.破坏旧路必须作出交通维持与恢复路面通行条件方案并必须取得业主的批准，未经批准进行旧路开挖与填筑的，业主有权责令停工，并由承包人恢复原良好的通车条件，并需承担一切费用。</w:t>
      </w:r>
    </w:p>
    <w:p w14:paraId="31EDAFB9">
      <w:pPr>
        <w:spacing w:before="67" w:line="360" w:lineRule="auto"/>
        <w:ind w:left="4" w:right="105" w:firstLine="482"/>
        <w:rPr>
          <w:sz w:val="24"/>
          <w:szCs w:val="24"/>
        </w:rPr>
      </w:pPr>
      <w:r>
        <w:rPr>
          <w:rFonts w:hint="eastAsia"/>
          <w:sz w:val="24"/>
          <w:szCs w:val="24"/>
        </w:rPr>
        <w:t>c.不得在道路上堆放材料或占道施工影响交通。</w:t>
      </w:r>
    </w:p>
    <w:p w14:paraId="0AE8C76A">
      <w:pPr>
        <w:spacing w:before="67" w:line="360" w:lineRule="auto"/>
        <w:ind w:left="4" w:right="105" w:firstLine="482"/>
        <w:rPr>
          <w:sz w:val="24"/>
          <w:szCs w:val="24"/>
        </w:rPr>
      </w:pPr>
      <w:r>
        <w:rPr>
          <w:rFonts w:hint="eastAsia"/>
          <w:sz w:val="24"/>
          <w:szCs w:val="24"/>
        </w:rPr>
        <w:t>路基、路面施工应避免出现晴天扬尘，雨天打滑影响安全与交通和影响群众生活、生产的现象。维持交通的路基施工应保证表面平整，保证通畅。</w:t>
      </w:r>
    </w:p>
    <w:p w14:paraId="60B3B417">
      <w:pPr>
        <w:spacing w:before="67" w:line="360" w:lineRule="auto"/>
        <w:ind w:left="4" w:right="105" w:firstLine="482"/>
        <w:rPr>
          <w:b/>
          <w:bCs/>
          <w:sz w:val="24"/>
          <w:szCs w:val="24"/>
        </w:rPr>
      </w:pPr>
      <w:r>
        <w:rPr>
          <w:rFonts w:hint="eastAsia"/>
          <w:b/>
          <w:bCs/>
          <w:sz w:val="24"/>
          <w:szCs w:val="24"/>
        </w:rPr>
        <w:t>（4）承包人应在拌合站或关键施工点建立云监控影像视频。</w:t>
      </w:r>
    </w:p>
    <w:p w14:paraId="2CA73088">
      <w:pPr>
        <w:spacing w:before="67" w:line="360" w:lineRule="auto"/>
        <w:ind w:left="4" w:right="105" w:firstLine="482"/>
        <w:rPr>
          <w:sz w:val="24"/>
          <w:szCs w:val="24"/>
        </w:rPr>
      </w:pPr>
      <w:r>
        <w:rPr>
          <w:rFonts w:hint="eastAsia"/>
          <w:sz w:val="24"/>
          <w:szCs w:val="24"/>
        </w:rPr>
        <w:t>（5）承包人应自觉接受交通主管部门、质量监督单位、公路管理机构的监督，对指出的问题进行认真的整改，及时报告处理结果。</w:t>
      </w:r>
    </w:p>
    <w:p w14:paraId="156D14DF">
      <w:pPr>
        <w:spacing w:before="67" w:line="360" w:lineRule="auto"/>
        <w:ind w:left="4" w:right="105" w:firstLine="482"/>
        <w:rPr>
          <w:sz w:val="24"/>
          <w:szCs w:val="24"/>
        </w:rPr>
      </w:pPr>
      <w:r>
        <w:rPr>
          <w:rFonts w:hint="eastAsia"/>
          <w:sz w:val="24"/>
          <w:szCs w:val="24"/>
        </w:rPr>
        <w:t>在整个施工过程中，项目业主对承包人履行责任有权进行监督，并向承包人提出整改要求。承包人应认真履行责任，执行业主的指令，否则将按第22.1.1款视为承包人违约。</w:t>
      </w:r>
    </w:p>
    <w:p w14:paraId="3D20FED0">
      <w:pPr>
        <w:spacing w:before="67" w:line="360" w:lineRule="auto"/>
        <w:ind w:left="4" w:right="105" w:firstLine="482"/>
        <w:rPr>
          <w:sz w:val="24"/>
          <w:szCs w:val="24"/>
        </w:rPr>
      </w:pPr>
      <w:r>
        <w:rPr>
          <w:rFonts w:hint="eastAsia"/>
          <w:sz w:val="24"/>
          <w:szCs w:val="24"/>
        </w:rPr>
        <w:t>13.5工程隐蔽部位覆盖前的检查</w:t>
      </w:r>
    </w:p>
    <w:p w14:paraId="2743C240">
      <w:pPr>
        <w:spacing w:before="67" w:line="360" w:lineRule="auto"/>
        <w:ind w:left="4" w:right="105" w:firstLine="482"/>
        <w:rPr>
          <w:sz w:val="24"/>
          <w:szCs w:val="24"/>
        </w:rPr>
      </w:pPr>
      <w:r>
        <w:rPr>
          <w:rFonts w:hint="eastAsia"/>
          <w:sz w:val="24"/>
          <w:szCs w:val="24"/>
        </w:rPr>
        <w:t>（增加）13.5.1项补充：</w:t>
      </w:r>
    </w:p>
    <w:p w14:paraId="0A4B5FEB">
      <w:pPr>
        <w:spacing w:before="67" w:line="360" w:lineRule="auto"/>
        <w:ind w:left="4" w:right="105" w:firstLine="482"/>
        <w:rPr>
          <w:sz w:val="24"/>
          <w:szCs w:val="24"/>
        </w:rPr>
      </w:pPr>
      <w:r>
        <w:rPr>
          <w:rFonts w:hint="eastAsia"/>
          <w:sz w:val="24"/>
          <w:szCs w:val="24"/>
        </w:rPr>
        <w:t>路面修补隐蔽部位覆盖前应经发包人检查确认,分阶段(工序)进行拍摄或照相,并向发包人提供相关影像相片等书面资料作为计量支付的依据，否则不应给予计量.</w:t>
      </w:r>
    </w:p>
    <w:p w14:paraId="4CB4EB92">
      <w:pPr>
        <w:spacing w:before="67" w:line="360" w:lineRule="auto"/>
        <w:ind w:left="4" w:right="105" w:firstLine="482"/>
        <w:rPr>
          <w:sz w:val="24"/>
          <w:szCs w:val="24"/>
        </w:rPr>
      </w:pPr>
      <w:r>
        <w:rPr>
          <w:rFonts w:hint="eastAsia"/>
          <w:sz w:val="24"/>
          <w:szCs w:val="24"/>
        </w:rPr>
        <w:t>15.3变更</w:t>
      </w:r>
    </w:p>
    <w:p w14:paraId="4043E79E">
      <w:pPr>
        <w:spacing w:before="67" w:line="360" w:lineRule="auto"/>
        <w:ind w:left="4" w:right="105" w:firstLine="482"/>
        <w:rPr>
          <w:sz w:val="24"/>
          <w:szCs w:val="24"/>
        </w:rPr>
      </w:pPr>
      <w:r>
        <w:rPr>
          <w:rFonts w:hint="eastAsia"/>
          <w:sz w:val="24"/>
          <w:szCs w:val="24"/>
        </w:rPr>
        <w:t>（增加）15.3.5项补充：因工作需要发生工程量变化的，由项目业主根据实际情况对工程量清单中的工程数量作出调整，并列入计划下达给承包方。</w:t>
      </w:r>
    </w:p>
    <w:p w14:paraId="02CD4544">
      <w:pPr>
        <w:spacing w:before="67" w:line="360" w:lineRule="auto"/>
        <w:ind w:left="4" w:right="105" w:firstLine="482"/>
        <w:rPr>
          <w:sz w:val="24"/>
          <w:szCs w:val="24"/>
        </w:rPr>
      </w:pPr>
      <w:r>
        <w:rPr>
          <w:rFonts w:hint="eastAsia"/>
          <w:sz w:val="24"/>
          <w:szCs w:val="24"/>
        </w:rPr>
        <w:t>17.2预付款</w:t>
      </w:r>
    </w:p>
    <w:p w14:paraId="79ACCB60">
      <w:pPr>
        <w:spacing w:before="67" w:line="360" w:lineRule="auto"/>
        <w:ind w:left="4" w:right="105" w:firstLine="482"/>
        <w:rPr>
          <w:sz w:val="24"/>
          <w:szCs w:val="24"/>
        </w:rPr>
      </w:pPr>
      <w:r>
        <w:rPr>
          <w:rFonts w:hint="eastAsia"/>
          <w:sz w:val="24"/>
          <w:szCs w:val="24"/>
        </w:rPr>
        <w:t>（1）（修改）开工预付款的金额在项目专用合同条款数据表中约定。</w:t>
      </w:r>
    </w:p>
    <w:p w14:paraId="34B0C2C5">
      <w:pPr>
        <w:spacing w:before="67" w:line="360" w:lineRule="auto"/>
        <w:ind w:left="4" w:right="105" w:firstLine="482"/>
        <w:rPr>
          <w:sz w:val="24"/>
          <w:szCs w:val="24"/>
        </w:rPr>
      </w:pPr>
      <w:r>
        <w:rPr>
          <w:rFonts w:hint="eastAsia"/>
          <w:sz w:val="24"/>
          <w:szCs w:val="24"/>
        </w:rPr>
        <w:t>18.9竣工文件</w:t>
      </w:r>
    </w:p>
    <w:p w14:paraId="3F8819F8">
      <w:pPr>
        <w:spacing w:before="181" w:line="360" w:lineRule="auto"/>
        <w:ind w:left="593" w:firstLine="482"/>
        <w:rPr>
          <w:sz w:val="24"/>
          <w:szCs w:val="24"/>
        </w:rPr>
      </w:pPr>
      <w:r>
        <w:rPr>
          <w:rFonts w:hint="eastAsia"/>
          <w:b/>
          <w:bCs/>
          <w:sz w:val="24"/>
          <w:szCs w:val="24"/>
        </w:rPr>
        <w:t>（增加）承包方应按时完成各种小修资料的收集整理工作。</w:t>
      </w:r>
    </w:p>
    <w:p w14:paraId="506B4BA0">
      <w:pPr>
        <w:spacing w:before="67" w:line="360" w:lineRule="auto"/>
        <w:ind w:left="4" w:right="105" w:firstLine="482"/>
        <w:rPr>
          <w:sz w:val="24"/>
          <w:szCs w:val="24"/>
        </w:rPr>
      </w:pPr>
      <w:r>
        <w:rPr>
          <w:rFonts w:hint="eastAsia"/>
          <w:sz w:val="24"/>
          <w:szCs w:val="24"/>
        </w:rPr>
        <w:t>20.1工程保险</w:t>
      </w:r>
    </w:p>
    <w:p w14:paraId="729FF836">
      <w:pPr>
        <w:spacing w:before="67" w:line="360" w:lineRule="auto"/>
        <w:ind w:left="4" w:right="105" w:firstLine="482"/>
        <w:rPr>
          <w:sz w:val="24"/>
          <w:szCs w:val="24"/>
        </w:rPr>
      </w:pPr>
      <w:r>
        <w:rPr>
          <w:rFonts w:hint="eastAsia"/>
          <w:sz w:val="24"/>
          <w:szCs w:val="24"/>
        </w:rPr>
        <w:t>本项目取消建筑工程一切险</w:t>
      </w:r>
    </w:p>
    <w:p w14:paraId="7D7D698E">
      <w:pPr>
        <w:spacing w:before="67" w:line="360" w:lineRule="auto"/>
        <w:ind w:left="4" w:right="105" w:firstLine="482"/>
        <w:rPr>
          <w:sz w:val="24"/>
          <w:szCs w:val="24"/>
        </w:rPr>
      </w:pPr>
      <w:r>
        <w:rPr>
          <w:rFonts w:hint="eastAsia"/>
          <w:sz w:val="24"/>
          <w:szCs w:val="24"/>
        </w:rPr>
        <w:t>20.2人员工伤事故的保险</w:t>
      </w:r>
    </w:p>
    <w:p w14:paraId="66B60930">
      <w:pPr>
        <w:spacing w:before="67" w:line="360" w:lineRule="auto"/>
        <w:ind w:left="4" w:right="105" w:firstLine="482"/>
        <w:rPr>
          <w:sz w:val="24"/>
          <w:szCs w:val="24"/>
        </w:rPr>
      </w:pPr>
      <w:r>
        <w:rPr>
          <w:rFonts w:hint="eastAsia"/>
          <w:sz w:val="24"/>
          <w:szCs w:val="24"/>
        </w:rPr>
        <w:t>20.2.1承包人员工伤事故的保险增加内容：</w:t>
      </w:r>
    </w:p>
    <w:p w14:paraId="5B7846AB">
      <w:pPr>
        <w:spacing w:before="67" w:line="360" w:lineRule="auto"/>
        <w:ind w:left="4" w:right="105" w:firstLine="482"/>
        <w:rPr>
          <w:sz w:val="24"/>
          <w:szCs w:val="24"/>
        </w:rPr>
      </w:pPr>
      <w:r>
        <w:rPr>
          <w:rFonts w:hint="eastAsia"/>
          <w:sz w:val="24"/>
          <w:szCs w:val="24"/>
        </w:rPr>
        <w:t>办理保险的一切费用均由承包人承担，并包括在工程量清单的单价及总额价中，发包人不单独支付。</w:t>
      </w:r>
    </w:p>
    <w:p w14:paraId="0BF4AAFF">
      <w:pPr>
        <w:spacing w:before="67" w:line="360" w:lineRule="auto"/>
        <w:ind w:left="4" w:right="105" w:firstLine="482"/>
        <w:rPr>
          <w:sz w:val="24"/>
          <w:szCs w:val="24"/>
        </w:rPr>
      </w:pPr>
      <w:r>
        <w:rPr>
          <w:rFonts w:hint="eastAsia"/>
          <w:sz w:val="24"/>
          <w:szCs w:val="24"/>
        </w:rPr>
        <w:t>20.3人身意外伤害险</w:t>
      </w:r>
    </w:p>
    <w:p w14:paraId="729C9902">
      <w:pPr>
        <w:spacing w:before="67" w:line="360" w:lineRule="auto"/>
        <w:ind w:left="4" w:right="105" w:firstLine="482"/>
        <w:rPr>
          <w:sz w:val="24"/>
          <w:szCs w:val="24"/>
        </w:rPr>
      </w:pPr>
      <w:r>
        <w:rPr>
          <w:rFonts w:hint="eastAsia"/>
          <w:sz w:val="24"/>
          <w:szCs w:val="24"/>
        </w:rPr>
        <w:t>20.3.2承包人应在整个施工期间为其现场机构雇用的全部人员，投保人身意外伤害险，缴纳保险费，并要求其分包人也进行此项保险。办理保险的一切费用均由承包人承担，并包括在工程量清单的单价及总额价中，发包人不单独支付。</w:t>
      </w:r>
    </w:p>
    <w:p w14:paraId="26E2C149">
      <w:pPr>
        <w:spacing w:before="67" w:line="360" w:lineRule="auto"/>
        <w:ind w:left="4" w:right="105" w:firstLine="482"/>
        <w:rPr>
          <w:sz w:val="24"/>
          <w:szCs w:val="24"/>
        </w:rPr>
      </w:pPr>
      <w:r>
        <w:rPr>
          <w:rFonts w:hint="eastAsia"/>
          <w:sz w:val="24"/>
          <w:szCs w:val="24"/>
        </w:rPr>
        <w:t>其中：人身意外伤害险每位被保险人的最低保险金额为</w:t>
      </w:r>
      <w:r>
        <w:rPr>
          <w:rFonts w:hint="eastAsia"/>
          <w:b/>
          <w:bCs/>
          <w:sz w:val="24"/>
          <w:szCs w:val="24"/>
        </w:rPr>
        <w:t>60万元</w:t>
      </w:r>
      <w:r>
        <w:rPr>
          <w:rFonts w:hint="eastAsia"/>
          <w:sz w:val="24"/>
          <w:szCs w:val="24"/>
        </w:rPr>
        <w:t>人民币，附加意外伤害险医疗险的保险金额为</w:t>
      </w:r>
      <w:r>
        <w:rPr>
          <w:rFonts w:hint="eastAsia"/>
          <w:b/>
          <w:bCs/>
          <w:sz w:val="24"/>
          <w:szCs w:val="24"/>
        </w:rPr>
        <w:t>5万元</w:t>
      </w:r>
      <w:r>
        <w:rPr>
          <w:rFonts w:hint="eastAsia"/>
          <w:sz w:val="24"/>
          <w:szCs w:val="24"/>
        </w:rPr>
        <w:t>人民币，每合同段的人身意外伤害险和附加意外伤害医疗险保险费按合同价（不含该保险费）的</w:t>
      </w:r>
      <w:r>
        <w:rPr>
          <w:rFonts w:hint="eastAsia"/>
          <w:b/>
          <w:bCs/>
          <w:sz w:val="24"/>
          <w:szCs w:val="24"/>
        </w:rPr>
        <w:t>3‰</w:t>
      </w:r>
      <w:r>
        <w:rPr>
          <w:rFonts w:hint="eastAsia"/>
          <w:sz w:val="24"/>
          <w:szCs w:val="24"/>
        </w:rPr>
        <w:t>计列。人身意外伤害险和附加意外伤害医疗险的保险对象为建筑施工企业参加基建项目建设施工现场从事施工作业和管理的人员。时间上涵盖施工全过程的任一时段，在保险范围上覆盖所有参加工程建设的管理人员、施工人员（含农民工）。保险期限为自施工队伍进场之日起至工程通过竣工验收时止。</w:t>
      </w:r>
    </w:p>
    <w:p w14:paraId="5B7FCD09">
      <w:pPr>
        <w:spacing w:before="67" w:line="360" w:lineRule="auto"/>
        <w:ind w:left="4" w:right="105" w:firstLine="482"/>
        <w:rPr>
          <w:sz w:val="24"/>
          <w:szCs w:val="24"/>
        </w:rPr>
      </w:pPr>
      <w:r>
        <w:rPr>
          <w:rFonts w:hint="eastAsia"/>
          <w:sz w:val="24"/>
          <w:szCs w:val="24"/>
        </w:rPr>
        <w:t>施工合同签订后工程开工前15日，承包人必须按有关规定与保险公司签订人身意外伤害险和附加意外伤害医疗险以及其他需要投保的保险的保险合同。</w:t>
      </w:r>
    </w:p>
    <w:p w14:paraId="4CB5FBAF">
      <w:pPr>
        <w:spacing w:before="67" w:line="360" w:lineRule="auto"/>
        <w:ind w:left="4" w:right="105" w:firstLine="482"/>
        <w:rPr>
          <w:sz w:val="24"/>
          <w:szCs w:val="24"/>
        </w:rPr>
      </w:pPr>
      <w:r>
        <w:rPr>
          <w:rFonts w:hint="eastAsia"/>
          <w:sz w:val="24"/>
          <w:szCs w:val="24"/>
        </w:rPr>
        <w:t>20.4第三者责任险</w:t>
      </w:r>
    </w:p>
    <w:p w14:paraId="4F4AD61B">
      <w:pPr>
        <w:spacing w:before="67" w:line="360" w:lineRule="auto"/>
        <w:ind w:left="4" w:right="105" w:firstLine="482"/>
        <w:rPr>
          <w:sz w:val="24"/>
          <w:szCs w:val="24"/>
        </w:rPr>
      </w:pPr>
      <w:r>
        <w:rPr>
          <w:rFonts w:hint="eastAsia"/>
          <w:sz w:val="24"/>
          <w:szCs w:val="24"/>
        </w:rPr>
        <w:t>修改20.4.2款为：第三者责任险由承包人以承包人与项目法人的名义联名投保，保险费由承包人承担并支付，供应商应在所报的单价或总额价中对该保险费予以考虑，发包人不单独进行计量与支</w:t>
      </w:r>
    </w:p>
    <w:p w14:paraId="0BE0AE06">
      <w:pPr>
        <w:spacing w:before="67" w:line="360" w:lineRule="auto"/>
        <w:ind w:left="4" w:right="105" w:firstLine="482"/>
        <w:rPr>
          <w:sz w:val="24"/>
          <w:szCs w:val="24"/>
        </w:rPr>
      </w:pPr>
      <w:r>
        <w:rPr>
          <w:rFonts w:hint="eastAsia"/>
          <w:sz w:val="24"/>
          <w:szCs w:val="24"/>
        </w:rPr>
        <w:t>付。</w:t>
      </w:r>
    </w:p>
    <w:p w14:paraId="55B0670C">
      <w:pPr>
        <w:spacing w:before="67" w:line="360" w:lineRule="auto"/>
        <w:ind w:left="4" w:right="105" w:firstLine="482"/>
        <w:rPr>
          <w:sz w:val="24"/>
          <w:szCs w:val="24"/>
        </w:rPr>
      </w:pPr>
      <w:r>
        <w:rPr>
          <w:rFonts w:hint="eastAsia"/>
          <w:sz w:val="24"/>
          <w:szCs w:val="24"/>
        </w:rPr>
        <w:t>21.1不可抗力的确认</w:t>
      </w:r>
    </w:p>
    <w:p w14:paraId="7493B28C">
      <w:pPr>
        <w:spacing w:before="67" w:line="360" w:lineRule="auto"/>
        <w:ind w:left="4" w:right="105" w:firstLine="482"/>
        <w:rPr>
          <w:sz w:val="24"/>
          <w:szCs w:val="24"/>
        </w:rPr>
      </w:pPr>
      <w:r>
        <w:rPr>
          <w:rFonts w:hint="eastAsia"/>
          <w:sz w:val="24"/>
          <w:szCs w:val="24"/>
        </w:rPr>
        <w:t>公路工程专用合同条款21.1款</w:t>
      </w:r>
    </w:p>
    <w:p w14:paraId="4E8374E2">
      <w:pPr>
        <w:spacing w:before="67" w:line="360" w:lineRule="auto"/>
        <w:ind w:left="4" w:right="105" w:firstLine="482"/>
        <w:rPr>
          <w:sz w:val="24"/>
          <w:szCs w:val="24"/>
        </w:rPr>
      </w:pPr>
      <w:r>
        <w:rPr>
          <w:rFonts w:hint="eastAsia"/>
          <w:sz w:val="24"/>
          <w:szCs w:val="24"/>
        </w:rPr>
        <w:t>21.1.1(6）项目专用合同条款约定的其他情形：/</w:t>
      </w:r>
    </w:p>
    <w:p w14:paraId="5C3E647E">
      <w:pPr>
        <w:spacing w:before="67" w:line="360" w:lineRule="auto"/>
        <w:ind w:left="4" w:right="105" w:firstLine="482"/>
        <w:rPr>
          <w:sz w:val="24"/>
          <w:szCs w:val="24"/>
        </w:rPr>
      </w:pPr>
      <w:r>
        <w:rPr>
          <w:rFonts w:hint="eastAsia"/>
          <w:sz w:val="24"/>
          <w:szCs w:val="24"/>
        </w:rPr>
        <w:t>22.1承包人违约</w:t>
      </w:r>
    </w:p>
    <w:p w14:paraId="2C78D213">
      <w:pPr>
        <w:spacing w:before="178" w:line="360" w:lineRule="auto"/>
        <w:ind w:left="492" w:firstLine="482"/>
        <w:outlineLvl w:val="6"/>
        <w:rPr>
          <w:sz w:val="24"/>
          <w:szCs w:val="24"/>
        </w:rPr>
      </w:pPr>
      <w:r>
        <w:rPr>
          <w:rFonts w:hint="eastAsia"/>
          <w:sz w:val="24"/>
          <w:szCs w:val="24"/>
        </w:rPr>
        <w:t>22.1.1承包人违约的情形</w:t>
      </w:r>
    </w:p>
    <w:p w14:paraId="2651DFF8">
      <w:pPr>
        <w:spacing w:before="67" w:line="360" w:lineRule="auto"/>
        <w:ind w:left="4" w:right="105" w:firstLine="482"/>
        <w:rPr>
          <w:sz w:val="24"/>
          <w:szCs w:val="24"/>
        </w:rPr>
      </w:pPr>
      <w:r>
        <w:rPr>
          <w:rFonts w:hint="eastAsia"/>
          <w:sz w:val="24"/>
          <w:szCs w:val="24"/>
        </w:rPr>
        <w:t>(1)承包人违反约定，私自将合同的全部或部分权利转让给其他人，或私自将合同的全部或部分义务转移给其他人；</w:t>
      </w:r>
    </w:p>
    <w:p w14:paraId="49FB9EB2">
      <w:pPr>
        <w:spacing w:before="67" w:line="360" w:lineRule="auto"/>
        <w:ind w:left="4" w:right="105" w:firstLine="482"/>
        <w:rPr>
          <w:sz w:val="24"/>
          <w:szCs w:val="24"/>
        </w:rPr>
      </w:pPr>
      <w:r>
        <w:rPr>
          <w:rFonts w:hint="eastAsia"/>
          <w:sz w:val="24"/>
          <w:szCs w:val="24"/>
        </w:rPr>
        <w:t>(2)承包人违反约定，未经发包人批准，私自将已按合同约定进入施工场地的施工设备、临时设施、材料或工程设备撤离施工场地；</w:t>
      </w:r>
    </w:p>
    <w:p w14:paraId="4ACC345F">
      <w:pPr>
        <w:spacing w:before="67" w:line="360" w:lineRule="auto"/>
        <w:ind w:left="4" w:right="105" w:firstLine="482"/>
        <w:rPr>
          <w:sz w:val="24"/>
          <w:szCs w:val="24"/>
        </w:rPr>
      </w:pPr>
      <w:r>
        <w:rPr>
          <w:rFonts w:hint="eastAsia"/>
          <w:sz w:val="24"/>
          <w:szCs w:val="24"/>
        </w:rPr>
        <w:t>(3)承包人违反第13.3款的约定月度质量考核，工程质量达不到标准要求，又拒绝清理不合格工程；</w:t>
      </w:r>
    </w:p>
    <w:p w14:paraId="5F6D4340">
      <w:pPr>
        <w:spacing w:before="67" w:line="360" w:lineRule="auto"/>
        <w:ind w:left="4" w:right="105" w:firstLine="482"/>
        <w:rPr>
          <w:sz w:val="24"/>
          <w:szCs w:val="24"/>
        </w:rPr>
      </w:pPr>
      <w:r>
        <w:rPr>
          <w:rFonts w:hint="eastAsia"/>
          <w:sz w:val="24"/>
          <w:szCs w:val="24"/>
        </w:rPr>
        <w:t>(4)承包人未能按项目业主的月度工作计划完成工作量，己造成或预期造成工期延误；</w:t>
      </w:r>
    </w:p>
    <w:p w14:paraId="3748772D">
      <w:pPr>
        <w:spacing w:before="67" w:line="360" w:lineRule="auto"/>
        <w:ind w:left="4" w:right="105" w:firstLine="482"/>
        <w:rPr>
          <w:sz w:val="24"/>
          <w:szCs w:val="24"/>
        </w:rPr>
      </w:pPr>
      <w:r>
        <w:rPr>
          <w:rFonts w:hint="eastAsia"/>
          <w:sz w:val="24"/>
          <w:szCs w:val="24"/>
        </w:rPr>
        <w:t>(5)承包人在缺陷责任期内，未能对工程接受证书所列的缺陷清单的内容或缺陷责任期内发生的缺陷进行修复，而又拒绝按发包人指示再进行修补；</w:t>
      </w:r>
    </w:p>
    <w:p w14:paraId="46577B18">
      <w:pPr>
        <w:spacing w:before="67" w:line="360" w:lineRule="auto"/>
        <w:ind w:left="4" w:right="105" w:firstLine="482"/>
        <w:rPr>
          <w:sz w:val="24"/>
          <w:szCs w:val="24"/>
        </w:rPr>
      </w:pPr>
      <w:r>
        <w:rPr>
          <w:rFonts w:hint="eastAsia"/>
          <w:sz w:val="24"/>
          <w:szCs w:val="24"/>
        </w:rPr>
        <w:t>(6）承包人无法继续履行或明确表示不履行或实质上己停止履行合同；</w:t>
      </w:r>
    </w:p>
    <w:p w14:paraId="476B5600">
      <w:pPr>
        <w:spacing w:before="67" w:line="360" w:lineRule="auto"/>
        <w:ind w:left="4" w:right="105" w:firstLine="482"/>
        <w:rPr>
          <w:sz w:val="24"/>
          <w:szCs w:val="24"/>
        </w:rPr>
      </w:pPr>
      <w:r>
        <w:rPr>
          <w:rFonts w:hint="eastAsia"/>
          <w:sz w:val="24"/>
          <w:szCs w:val="24"/>
        </w:rPr>
        <w:t>(7)承包人未能按期开工；</w:t>
      </w:r>
    </w:p>
    <w:p w14:paraId="175FD80F">
      <w:pPr>
        <w:spacing w:before="67" w:line="360" w:lineRule="auto"/>
        <w:ind w:left="4" w:right="105" w:firstLine="482"/>
        <w:rPr>
          <w:sz w:val="24"/>
          <w:szCs w:val="24"/>
        </w:rPr>
      </w:pPr>
      <w:r>
        <w:rPr>
          <w:rFonts w:hint="eastAsia"/>
          <w:sz w:val="24"/>
          <w:szCs w:val="24"/>
        </w:rPr>
        <w:t>(8)承包人违反第4.6款的规定，未按承诺或未按发包人的要求及时配备称职的主要管理人员、技术骨干或关键施工设备；</w:t>
      </w:r>
    </w:p>
    <w:p w14:paraId="78AE5BEF">
      <w:pPr>
        <w:spacing w:before="67" w:line="360" w:lineRule="auto"/>
        <w:ind w:left="4" w:right="105" w:firstLine="482"/>
        <w:rPr>
          <w:sz w:val="24"/>
          <w:szCs w:val="24"/>
        </w:rPr>
      </w:pPr>
      <w:r>
        <w:rPr>
          <w:rFonts w:hint="eastAsia"/>
          <w:sz w:val="24"/>
          <w:szCs w:val="24"/>
        </w:rPr>
        <w:t>(9)经发包人检查，发现承包人有安全问题或有违反安全管理规章制度的情况；(10）承包人不按合同约定履行义务的其他情况。</w:t>
      </w:r>
    </w:p>
    <w:p w14:paraId="4CE77704">
      <w:pPr>
        <w:spacing w:before="67" w:line="360" w:lineRule="auto"/>
        <w:ind w:left="4" w:right="105" w:firstLine="482"/>
        <w:rPr>
          <w:b/>
          <w:bCs/>
          <w:sz w:val="24"/>
          <w:szCs w:val="24"/>
        </w:rPr>
      </w:pPr>
      <w:r>
        <w:rPr>
          <w:rFonts w:hint="eastAsia"/>
          <w:b/>
          <w:bCs/>
          <w:sz w:val="24"/>
          <w:szCs w:val="24"/>
        </w:rPr>
        <w:t>22.1.2对承包人违约的处理</w:t>
      </w:r>
    </w:p>
    <w:p w14:paraId="68EDEBBA">
      <w:pPr>
        <w:spacing w:before="67" w:line="360" w:lineRule="auto"/>
        <w:ind w:left="4" w:right="105" w:firstLine="482"/>
        <w:rPr>
          <w:sz w:val="24"/>
          <w:szCs w:val="24"/>
        </w:rPr>
      </w:pPr>
      <w:r>
        <w:rPr>
          <w:rFonts w:hint="eastAsia"/>
          <w:sz w:val="24"/>
          <w:szCs w:val="24"/>
        </w:rPr>
        <w:t>（1）承包人发生第22.1.1⑹目约定的违约情形时，发包人可通知承包人立即解除合同，并按有关法律处理。</w:t>
      </w:r>
    </w:p>
    <w:p w14:paraId="6F2401B6">
      <w:pPr>
        <w:spacing w:before="67" w:line="360" w:lineRule="auto"/>
        <w:ind w:left="4" w:right="105" w:firstLine="482"/>
        <w:rPr>
          <w:sz w:val="24"/>
          <w:szCs w:val="24"/>
        </w:rPr>
      </w:pPr>
      <w:r>
        <w:rPr>
          <w:rFonts w:hint="eastAsia"/>
          <w:sz w:val="24"/>
          <w:szCs w:val="24"/>
        </w:rPr>
        <w:t>（2）承包人发生第22.1.1⑹目约定以外的违约情形时，发包人可向承包人发出整改通知，要求其在指定的期限内改正。承包人应承担其违约所引起的费用增加和（或）工期延误。</w:t>
      </w:r>
    </w:p>
    <w:p w14:paraId="06BC15BC">
      <w:pPr>
        <w:spacing w:before="67" w:line="360" w:lineRule="auto"/>
        <w:ind w:left="4" w:right="105" w:firstLine="482"/>
        <w:rPr>
          <w:sz w:val="24"/>
          <w:szCs w:val="24"/>
        </w:rPr>
      </w:pPr>
      <w:r>
        <w:rPr>
          <w:rFonts w:hint="eastAsia"/>
          <w:sz w:val="24"/>
          <w:szCs w:val="24"/>
        </w:rPr>
        <w:t>（3）经检查证明承包人已采取了有效措施纠正违约行为，具备复工条件的可由发包人签发复工通知进行复工。</w:t>
      </w:r>
    </w:p>
    <w:p w14:paraId="5744A739">
      <w:pPr>
        <w:spacing w:before="67" w:line="360" w:lineRule="auto"/>
        <w:ind w:left="4" w:right="105" w:firstLine="482"/>
        <w:rPr>
          <w:sz w:val="24"/>
          <w:szCs w:val="24"/>
        </w:rPr>
      </w:pPr>
      <w:r>
        <w:rPr>
          <w:rFonts w:hint="eastAsia"/>
          <w:sz w:val="24"/>
          <w:szCs w:val="24"/>
        </w:rPr>
        <w:t>（4）承包人发生第22.1.1项约定的违约情况时，无论发包人是否解除合同，发包人均有权向承包人课以违约金，并由发包人将其违约行为上报省级交通主管部门，作为不良记录纳人公路建设市场信用信息管理系统。</w:t>
      </w:r>
    </w:p>
    <w:p w14:paraId="4B8F5F18">
      <w:pPr>
        <w:spacing w:before="42" w:line="360" w:lineRule="auto"/>
        <w:ind w:left="563" w:firstLine="482"/>
        <w:rPr>
          <w:sz w:val="24"/>
          <w:szCs w:val="24"/>
        </w:rPr>
      </w:pPr>
      <w:bookmarkStart w:id="98" w:name="bookmark6"/>
      <w:bookmarkEnd w:id="98"/>
      <w:r>
        <w:rPr>
          <w:rFonts w:hint="eastAsia"/>
          <w:b/>
          <w:bCs/>
          <w:sz w:val="24"/>
          <w:szCs w:val="24"/>
        </w:rPr>
        <w:t>增加</w:t>
      </w:r>
    </w:p>
    <w:p w14:paraId="1B6DCD7E">
      <w:pPr>
        <w:spacing w:before="205" w:line="360" w:lineRule="auto"/>
        <w:ind w:left="425" w:firstLine="482"/>
        <w:outlineLvl w:val="6"/>
        <w:rPr>
          <w:sz w:val="24"/>
          <w:szCs w:val="24"/>
        </w:rPr>
      </w:pPr>
      <w:r>
        <w:rPr>
          <w:rFonts w:hint="eastAsia"/>
          <w:b/>
          <w:bCs/>
          <w:sz w:val="24"/>
          <w:szCs w:val="24"/>
        </w:rPr>
        <w:t>22.1.3处罚行为</w:t>
      </w:r>
    </w:p>
    <w:p w14:paraId="145B4D52">
      <w:pPr>
        <w:spacing w:before="67" w:line="360" w:lineRule="auto"/>
        <w:ind w:left="4" w:right="105" w:firstLine="482"/>
        <w:rPr>
          <w:sz w:val="24"/>
          <w:szCs w:val="24"/>
        </w:rPr>
      </w:pPr>
      <w:r>
        <w:rPr>
          <w:rFonts w:hint="eastAsia"/>
          <w:sz w:val="24"/>
          <w:szCs w:val="24"/>
        </w:rPr>
        <w:t>（1）因承包人管理不善，造成本合同约定的公路养护工作范围内在上级检查部门检查、验收扣分1分（不含1分）以上的，每超过0.5分扣工程款0.5%。</w:t>
      </w:r>
    </w:p>
    <w:p w14:paraId="020C902E">
      <w:pPr>
        <w:spacing w:before="67" w:line="360" w:lineRule="auto"/>
        <w:ind w:left="4" w:right="105" w:firstLine="482"/>
        <w:rPr>
          <w:sz w:val="24"/>
          <w:szCs w:val="24"/>
        </w:rPr>
      </w:pPr>
      <w:r>
        <w:rPr>
          <w:rFonts w:hint="eastAsia"/>
          <w:sz w:val="24"/>
          <w:szCs w:val="24"/>
        </w:rPr>
        <w:t>（2）上级检查组等部门对承包人养护公路进行检查，因承包人履行合同不力造成被发书面“警告”的扣200元/次；被发“黄牌”警告扣500元/张；被发“红牌”警告扣1000元/张。</w:t>
      </w:r>
    </w:p>
    <w:p w14:paraId="32BC135F">
      <w:pPr>
        <w:spacing w:before="67" w:line="360" w:lineRule="auto"/>
        <w:ind w:left="4" w:right="105" w:firstLine="482"/>
        <w:rPr>
          <w:sz w:val="24"/>
          <w:szCs w:val="24"/>
        </w:rPr>
      </w:pPr>
      <w:r>
        <w:rPr>
          <w:rFonts w:hint="eastAsia"/>
          <w:sz w:val="24"/>
          <w:szCs w:val="24"/>
        </w:rPr>
        <w:t>（3）为强化承包人的履行合同职责，每月定期或不定期考核验收、每季度一次大检查和年终一次全面检查，存在以下情形的，发包人将承包人列为失信企业。</w:t>
      </w:r>
    </w:p>
    <w:p w14:paraId="213A389F">
      <w:pPr>
        <w:spacing w:before="67" w:line="360" w:lineRule="auto"/>
        <w:ind w:left="4" w:right="105" w:firstLine="482"/>
        <w:rPr>
          <w:sz w:val="24"/>
          <w:szCs w:val="24"/>
        </w:rPr>
      </w:pPr>
      <w:r>
        <w:rPr>
          <w:rFonts w:hint="eastAsia"/>
          <w:sz w:val="24"/>
          <w:szCs w:val="24"/>
        </w:rPr>
        <w:t>①连续叁个月或年累计五个月月度平分低于90分的。</w:t>
      </w:r>
    </w:p>
    <w:p w14:paraId="0B3B4B68">
      <w:pPr>
        <w:spacing w:before="67" w:line="360" w:lineRule="auto"/>
        <w:ind w:left="4" w:right="105" w:firstLine="482"/>
        <w:rPr>
          <w:sz w:val="24"/>
          <w:szCs w:val="24"/>
        </w:rPr>
      </w:pPr>
      <w:r>
        <w:rPr>
          <w:rFonts w:hint="eastAsia"/>
          <w:sz w:val="24"/>
          <w:szCs w:val="24"/>
        </w:rPr>
        <w:t>②年内累计2个季度在上级部门检查中被扣分2分（含2分）以上的。</w:t>
      </w:r>
    </w:p>
    <w:p w14:paraId="19BB1122">
      <w:pPr>
        <w:spacing w:before="67" w:line="360" w:lineRule="auto"/>
        <w:ind w:left="4" w:right="105" w:firstLine="482"/>
        <w:rPr>
          <w:sz w:val="24"/>
          <w:szCs w:val="24"/>
        </w:rPr>
      </w:pPr>
      <w:r>
        <w:rPr>
          <w:rFonts w:hint="eastAsia"/>
          <w:sz w:val="24"/>
          <w:szCs w:val="24"/>
        </w:rPr>
        <w:t>③上级部门年终检查中被扣2分（含2分）以上的。</w:t>
      </w:r>
    </w:p>
    <w:p w14:paraId="7820153F">
      <w:pPr>
        <w:spacing w:before="67" w:line="360" w:lineRule="auto"/>
        <w:ind w:left="4" w:right="105" w:firstLine="482"/>
        <w:rPr>
          <w:b/>
          <w:bCs/>
          <w:sz w:val="24"/>
          <w:szCs w:val="24"/>
        </w:rPr>
      </w:pPr>
      <w:r>
        <w:rPr>
          <w:rFonts w:hint="eastAsia"/>
          <w:b/>
          <w:bCs/>
          <w:sz w:val="24"/>
          <w:szCs w:val="24"/>
        </w:rPr>
        <w:t>（4）有22.1.1.（8）款行为或以下行为的，视为承包人违约，可对承包人处以以下的违约金：</w:t>
      </w:r>
    </w:p>
    <w:p w14:paraId="26A5D35F">
      <w:pPr>
        <w:spacing w:before="67" w:line="360" w:lineRule="auto"/>
        <w:ind w:left="4" w:right="105" w:firstLine="482"/>
        <w:rPr>
          <w:sz w:val="24"/>
          <w:szCs w:val="24"/>
        </w:rPr>
      </w:pPr>
      <w:r>
        <w:rPr>
          <w:rFonts w:hint="eastAsia"/>
          <w:sz w:val="24"/>
          <w:szCs w:val="24"/>
        </w:rPr>
        <w:t>a.承包人更换主要人员的（不管是否经项目法人同意），项目经理处10万元/人次，总工（或技术负责人）处5万元/人次；</w:t>
      </w:r>
    </w:p>
    <w:p w14:paraId="10A13F31">
      <w:pPr>
        <w:spacing w:before="67" w:line="360" w:lineRule="auto"/>
        <w:ind w:left="4" w:right="105" w:firstLine="482"/>
        <w:rPr>
          <w:sz w:val="24"/>
          <w:szCs w:val="24"/>
        </w:rPr>
      </w:pPr>
      <w:r>
        <w:rPr>
          <w:rFonts w:hint="eastAsia"/>
          <w:sz w:val="24"/>
          <w:szCs w:val="24"/>
        </w:rPr>
        <w:t>b．项目经理或项目技术负责人未经发包人同意擅自离开工地，每天课以违约金500元／人；若虽经批准离开工地但每月在工地天数不足22天（特殊情况经发包人批准报发包人同意例外）的，每不足一天课以违约金500元／人；</w:t>
      </w:r>
    </w:p>
    <w:p w14:paraId="6748F995">
      <w:pPr>
        <w:spacing w:before="67" w:line="360" w:lineRule="auto"/>
        <w:ind w:left="4" w:right="105" w:firstLine="482"/>
        <w:rPr>
          <w:sz w:val="24"/>
          <w:szCs w:val="24"/>
        </w:rPr>
      </w:pPr>
      <w:r>
        <w:rPr>
          <w:rFonts w:hint="eastAsia"/>
          <w:sz w:val="24"/>
          <w:szCs w:val="24"/>
        </w:rPr>
        <w:t>c.主要设备没有按进度和合同规定承诺进场的处500元/日台。</w:t>
      </w:r>
    </w:p>
    <w:p w14:paraId="30E5091E">
      <w:pPr>
        <w:spacing w:before="62" w:line="360" w:lineRule="auto"/>
        <w:ind w:left="424" w:firstLine="482"/>
        <w:rPr>
          <w:sz w:val="24"/>
          <w:szCs w:val="24"/>
        </w:rPr>
      </w:pPr>
      <w:r>
        <w:rPr>
          <w:rFonts w:hint="eastAsia"/>
          <w:b/>
          <w:bCs/>
          <w:sz w:val="24"/>
          <w:szCs w:val="24"/>
        </w:rPr>
        <w:t>（5）承包人存在以下情形的，可对承包人处以以下违约金：</w:t>
      </w:r>
    </w:p>
    <w:p w14:paraId="699C94DC">
      <w:pPr>
        <w:spacing w:before="67" w:line="360" w:lineRule="auto"/>
        <w:ind w:left="4" w:right="105" w:firstLine="482"/>
        <w:rPr>
          <w:sz w:val="24"/>
          <w:szCs w:val="24"/>
        </w:rPr>
      </w:pPr>
      <w:r>
        <w:rPr>
          <w:rFonts w:hint="eastAsia"/>
          <w:sz w:val="24"/>
          <w:szCs w:val="24"/>
        </w:rPr>
        <w:t>a.发生质量事故，未按有关规定和时间向有关部门报告的,处2000元/次；</w:t>
      </w:r>
    </w:p>
    <w:p w14:paraId="1543247E">
      <w:pPr>
        <w:spacing w:before="67" w:line="360" w:lineRule="auto"/>
        <w:ind w:left="4" w:right="105" w:firstLine="482"/>
        <w:rPr>
          <w:sz w:val="24"/>
          <w:szCs w:val="24"/>
        </w:rPr>
      </w:pPr>
      <w:r>
        <w:rPr>
          <w:rFonts w:hint="eastAsia"/>
          <w:sz w:val="24"/>
          <w:szCs w:val="24"/>
        </w:rPr>
        <w:t>b.出现二、三级一般质量事故，且承包人负有直接责任，或不能证明其履行其职责的,可处5000元/次；</w:t>
      </w:r>
    </w:p>
    <w:p w14:paraId="5076A7B2">
      <w:pPr>
        <w:spacing w:before="67" w:line="360" w:lineRule="auto"/>
        <w:ind w:left="4" w:right="105" w:firstLine="482"/>
        <w:rPr>
          <w:sz w:val="24"/>
          <w:szCs w:val="24"/>
        </w:rPr>
      </w:pPr>
      <w:r>
        <w:rPr>
          <w:rFonts w:hint="eastAsia"/>
          <w:sz w:val="24"/>
          <w:szCs w:val="24"/>
        </w:rPr>
        <w:t>c.发生一级一般质量事故或重大质量事故，且承包人负有直接责任，或不能证明其履行其职责的,可处10000元/次；</w:t>
      </w:r>
    </w:p>
    <w:p w14:paraId="647432E0">
      <w:pPr>
        <w:spacing w:before="67" w:line="360" w:lineRule="auto"/>
        <w:ind w:left="4" w:right="105" w:firstLine="482"/>
        <w:rPr>
          <w:sz w:val="24"/>
          <w:szCs w:val="24"/>
        </w:rPr>
      </w:pPr>
      <w:r>
        <w:rPr>
          <w:rFonts w:hint="eastAsia"/>
          <w:sz w:val="24"/>
          <w:szCs w:val="24"/>
        </w:rPr>
        <w:t>d.因质量问题被地市级及以上交通主管部门、质量监督单位、公路管理机构通报（批评）的，可对承包人处以20000元违约金/次，红牌警告10000元/次，黄牌警告5000元/次。</w:t>
      </w:r>
    </w:p>
    <w:p w14:paraId="79480DA0">
      <w:pPr>
        <w:spacing w:before="67" w:line="360" w:lineRule="auto"/>
        <w:ind w:left="4" w:right="105" w:firstLine="482"/>
        <w:rPr>
          <w:sz w:val="24"/>
          <w:szCs w:val="24"/>
        </w:rPr>
      </w:pPr>
      <w:r>
        <w:rPr>
          <w:rFonts w:hint="eastAsia"/>
          <w:sz w:val="24"/>
          <w:szCs w:val="24"/>
        </w:rPr>
        <w:t>e．出现一般安全生事故负有责任的或发生重大安全事故不按规定报告的,可处1000元/处·次。f.出现重大安全生产事故负有责任的，可处10000元/处·次。</w:t>
      </w:r>
    </w:p>
    <w:p w14:paraId="58848366">
      <w:pPr>
        <w:spacing w:before="67" w:line="360" w:lineRule="auto"/>
        <w:ind w:left="4" w:right="105" w:firstLine="482"/>
        <w:rPr>
          <w:sz w:val="24"/>
          <w:szCs w:val="24"/>
        </w:rPr>
      </w:pPr>
      <w:r>
        <w:rPr>
          <w:rFonts w:hint="eastAsia"/>
          <w:sz w:val="24"/>
          <w:szCs w:val="24"/>
        </w:rPr>
        <w:t>g．由于施工原因造成污染、破坏被群众向政府、主管单位投诉或被环保、水利部门责令整改的，处1000元/次。</w:t>
      </w:r>
    </w:p>
    <w:p w14:paraId="5741EFF1">
      <w:pPr>
        <w:spacing w:before="67" w:line="360" w:lineRule="auto"/>
        <w:ind w:left="4" w:right="105" w:firstLine="482"/>
        <w:rPr>
          <w:sz w:val="24"/>
          <w:szCs w:val="24"/>
        </w:rPr>
      </w:pPr>
      <w:r>
        <w:rPr>
          <w:rFonts w:hint="eastAsia"/>
          <w:sz w:val="24"/>
          <w:szCs w:val="24"/>
        </w:rPr>
        <w:t>h.由于承包人原因违反7.3等条款造成交通堵塞，堵车30分钟至60分钟的处3000元/次，堵车60分钟至二小时的处5000元/次，堵车二小时至三小时的处1万元/次，堵车三小时以上的处每小时（不满1小时按1小时计）1万元，严重的建议上级主管单位进行通报。</w:t>
      </w:r>
    </w:p>
    <w:p w14:paraId="518B6D2E">
      <w:pPr>
        <w:spacing w:before="67" w:line="360" w:lineRule="auto"/>
        <w:ind w:left="4" w:right="105" w:firstLine="482"/>
        <w:rPr>
          <w:sz w:val="24"/>
          <w:szCs w:val="24"/>
        </w:rPr>
      </w:pPr>
      <w:r>
        <w:rPr>
          <w:rFonts w:hint="eastAsia"/>
          <w:sz w:val="24"/>
          <w:szCs w:val="24"/>
        </w:rPr>
        <w:t>j．劳务人员未按规定签订聘用合同并向项目法人报备的,处500元/人次。</w:t>
      </w:r>
    </w:p>
    <w:p w14:paraId="1B9B371C">
      <w:pPr>
        <w:spacing w:before="67" w:line="360" w:lineRule="auto"/>
        <w:ind w:left="4" w:right="105" w:firstLine="482"/>
        <w:rPr>
          <w:b/>
          <w:bCs/>
          <w:sz w:val="24"/>
          <w:szCs w:val="24"/>
        </w:rPr>
      </w:pPr>
      <w:r>
        <w:rPr>
          <w:rFonts w:hint="eastAsia"/>
          <w:b/>
          <w:bCs/>
          <w:sz w:val="24"/>
          <w:szCs w:val="24"/>
        </w:rPr>
        <w:t>22.2发包人违约</w:t>
      </w:r>
    </w:p>
    <w:p w14:paraId="607D77C7">
      <w:pPr>
        <w:spacing w:before="67" w:line="360" w:lineRule="auto"/>
        <w:ind w:left="4" w:right="105" w:firstLine="482"/>
        <w:rPr>
          <w:sz w:val="24"/>
          <w:szCs w:val="24"/>
        </w:rPr>
      </w:pPr>
      <w:r>
        <w:rPr>
          <w:rFonts w:hint="eastAsia"/>
          <w:sz w:val="24"/>
          <w:szCs w:val="24"/>
        </w:rPr>
        <w:t>22.2.2发包人无正当理由不按时返还质量保证金或农民工资保证金的，发包人应向承包人支付的违约金如下：/</w:t>
      </w:r>
    </w:p>
    <w:p w14:paraId="504E5EEE">
      <w:pPr>
        <w:spacing w:before="67" w:line="360" w:lineRule="auto"/>
        <w:ind w:left="4" w:right="105" w:firstLine="482"/>
        <w:rPr>
          <w:sz w:val="24"/>
          <w:szCs w:val="24"/>
        </w:rPr>
        <w:sectPr>
          <w:footerReference r:id="rId8" w:type="default"/>
          <w:pgSz w:w="11900" w:h="16840"/>
          <w:pgMar w:top="1112" w:right="1193" w:bottom="801" w:left="1303" w:header="0" w:footer="637" w:gutter="0"/>
          <w:cols w:space="720" w:num="1"/>
        </w:sectPr>
      </w:pPr>
    </w:p>
    <w:p w14:paraId="1A6C8934">
      <w:pPr>
        <w:spacing w:line="360" w:lineRule="auto"/>
        <w:ind w:firstLine="482" w:firstLineChars="200"/>
        <w:rPr>
          <w:b/>
          <w:bCs/>
          <w:sz w:val="24"/>
          <w:szCs w:val="24"/>
        </w:rPr>
      </w:pPr>
      <w:r>
        <w:rPr>
          <w:rFonts w:hint="eastAsia"/>
          <w:b/>
          <w:bCs/>
          <w:sz w:val="24"/>
          <w:szCs w:val="24"/>
        </w:rPr>
        <w:t>补充以下项目专用条款：</w:t>
      </w:r>
    </w:p>
    <w:p w14:paraId="59E2DA4C">
      <w:pPr>
        <w:pStyle w:val="12"/>
        <w:spacing w:line="360" w:lineRule="auto"/>
        <w:ind w:firstLine="482" w:firstLineChars="200"/>
        <w:rPr>
          <w:b/>
          <w:bCs/>
          <w:sz w:val="24"/>
          <w:szCs w:val="24"/>
        </w:rPr>
      </w:pPr>
      <w:r>
        <w:rPr>
          <w:rFonts w:hint="eastAsia"/>
          <w:b/>
          <w:bCs/>
          <w:sz w:val="24"/>
          <w:szCs w:val="24"/>
        </w:rPr>
        <w:t>25、技术规范新增加内容：道路交通标线</w:t>
      </w:r>
    </w:p>
    <w:p w14:paraId="714AE53B">
      <w:pPr>
        <w:spacing w:line="440" w:lineRule="exact"/>
        <w:ind w:firstLine="482" w:firstLineChars="200"/>
        <w:rPr>
          <w:b/>
          <w:bCs/>
          <w:sz w:val="24"/>
          <w:szCs w:val="24"/>
        </w:rPr>
      </w:pPr>
      <w:bookmarkStart w:id="99" w:name="_Toc26177982"/>
      <w:bookmarkStart w:id="100" w:name="_Toc25928"/>
      <w:bookmarkStart w:id="101" w:name="_Toc16915"/>
      <w:bookmarkStart w:id="102" w:name="_Toc34838410"/>
      <w:r>
        <w:rPr>
          <w:rFonts w:hint="eastAsia"/>
          <w:b/>
          <w:bCs/>
          <w:sz w:val="24"/>
          <w:szCs w:val="24"/>
        </w:rPr>
        <w:t>25.1 材 料</w:t>
      </w:r>
      <w:bookmarkEnd w:id="99"/>
      <w:bookmarkEnd w:id="100"/>
      <w:bookmarkEnd w:id="101"/>
      <w:bookmarkEnd w:id="102"/>
    </w:p>
    <w:p w14:paraId="4C107CAE">
      <w:pPr>
        <w:spacing w:line="440" w:lineRule="exact"/>
        <w:ind w:firstLine="480" w:firstLineChars="200"/>
        <w:rPr>
          <w:sz w:val="24"/>
          <w:szCs w:val="24"/>
        </w:rPr>
      </w:pPr>
      <w:r>
        <w:rPr>
          <w:rFonts w:hint="eastAsia"/>
          <w:sz w:val="24"/>
          <w:szCs w:val="24"/>
        </w:rPr>
        <w:t>25.1.1  路面标线所用涂料应符合《路面标线涂料》（JT/T 280-2004）的规定，应能满足在沥青混凝土、水泥混凝土路面上耐久使用的要求，且应有合适的施工机械与之配套。</w:t>
      </w:r>
    </w:p>
    <w:p w14:paraId="0739B6E5">
      <w:pPr>
        <w:spacing w:line="440" w:lineRule="exact"/>
        <w:ind w:firstLine="480" w:firstLineChars="200"/>
        <w:rPr>
          <w:sz w:val="24"/>
          <w:szCs w:val="24"/>
        </w:rPr>
      </w:pPr>
      <w:r>
        <w:rPr>
          <w:rFonts w:hint="eastAsia"/>
          <w:sz w:val="24"/>
          <w:szCs w:val="24"/>
        </w:rPr>
        <w:t>25.1.2  路面标线涂料的色度性能应符合《安全色》（GB 2893-2008）的要求，其色品坐标应符合《路面标线涂料》（JT/T 280-2004）表6和图1中规定的范围。</w:t>
      </w:r>
    </w:p>
    <w:p w14:paraId="232FE88F">
      <w:pPr>
        <w:spacing w:line="440" w:lineRule="exact"/>
        <w:ind w:firstLine="480" w:firstLineChars="200"/>
        <w:rPr>
          <w:sz w:val="24"/>
          <w:szCs w:val="24"/>
        </w:rPr>
      </w:pPr>
      <w:r>
        <w:rPr>
          <w:rFonts w:hint="eastAsia"/>
          <w:sz w:val="24"/>
          <w:szCs w:val="24"/>
        </w:rPr>
        <w:t>25.1.3 宜用1号玻璃珠作为面撒玻璃珠、2号玻璃珠作为预混玻璃珠，玻璃珠的各项指标应满足《路面标线用玻璃珠》（GB/T 24722-2009）的相关要求。</w:t>
      </w:r>
    </w:p>
    <w:p w14:paraId="104E22D6">
      <w:pPr>
        <w:spacing w:line="440" w:lineRule="exact"/>
        <w:ind w:firstLine="480" w:firstLineChars="200"/>
        <w:rPr>
          <w:sz w:val="24"/>
          <w:szCs w:val="24"/>
        </w:rPr>
      </w:pPr>
      <w:r>
        <w:rPr>
          <w:rFonts w:hint="eastAsia"/>
          <w:sz w:val="24"/>
          <w:szCs w:val="24"/>
        </w:rPr>
        <w:t>25.1.4 所采用的热熔涂料及玻璃珠材料，在满足《路面标线涂料》（JT/T 280）、《路面标线用玻璃珠》（GB/T 24722）和《安全色》（GB 2893）标准的全部要求外，还应满足表1、表2规定的关键技术指标要求：</w:t>
      </w:r>
    </w:p>
    <w:p w14:paraId="6FAE968B">
      <w:pPr>
        <w:spacing w:line="440" w:lineRule="exact"/>
        <w:ind w:firstLine="482"/>
        <w:jc w:val="center"/>
        <w:rPr>
          <w:sz w:val="24"/>
          <w:szCs w:val="24"/>
        </w:rPr>
      </w:pPr>
      <w:r>
        <w:rPr>
          <w:rFonts w:hint="eastAsia"/>
          <w:sz w:val="24"/>
          <w:szCs w:val="24"/>
        </w:rPr>
        <w:t>表1  热熔型涂料原材料关键技术指标</w:t>
      </w:r>
    </w:p>
    <w:tbl>
      <w:tblPr>
        <w:tblStyle w:val="25"/>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778"/>
        <w:gridCol w:w="2050"/>
        <w:gridCol w:w="5053"/>
      </w:tblGrid>
      <w:tr w14:paraId="6603110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Align w:val="center"/>
          </w:tcPr>
          <w:p w14:paraId="1032A237">
            <w:pPr>
              <w:spacing w:line="440" w:lineRule="exact"/>
              <w:ind w:firstLine="422"/>
              <w:rPr>
                <w:szCs w:val="21"/>
              </w:rPr>
            </w:pPr>
            <w:r>
              <w:rPr>
                <w:rFonts w:hint="eastAsia"/>
                <w:szCs w:val="21"/>
              </w:rPr>
              <w:t>材料名称</w:t>
            </w:r>
          </w:p>
        </w:tc>
        <w:tc>
          <w:tcPr>
            <w:tcW w:w="2050" w:type="dxa"/>
            <w:vAlign w:val="center"/>
          </w:tcPr>
          <w:p w14:paraId="6F7EB3EB">
            <w:pPr>
              <w:spacing w:line="440" w:lineRule="exact"/>
              <w:ind w:firstLine="422"/>
              <w:rPr>
                <w:szCs w:val="21"/>
              </w:rPr>
            </w:pPr>
            <w:r>
              <w:rPr>
                <w:rFonts w:hint="eastAsia"/>
                <w:szCs w:val="21"/>
              </w:rPr>
              <w:t>技术指标</w:t>
            </w:r>
          </w:p>
        </w:tc>
        <w:tc>
          <w:tcPr>
            <w:tcW w:w="5053" w:type="dxa"/>
            <w:vAlign w:val="center"/>
          </w:tcPr>
          <w:p w14:paraId="55840AE6">
            <w:pPr>
              <w:spacing w:line="440" w:lineRule="exact"/>
              <w:ind w:firstLine="422"/>
              <w:rPr>
                <w:szCs w:val="21"/>
              </w:rPr>
            </w:pPr>
            <w:r>
              <w:rPr>
                <w:rFonts w:hint="eastAsia"/>
                <w:szCs w:val="21"/>
              </w:rPr>
              <w:t>技术要求</w:t>
            </w:r>
          </w:p>
        </w:tc>
      </w:tr>
      <w:tr w14:paraId="02B441E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Merge w:val="restart"/>
            <w:vAlign w:val="center"/>
          </w:tcPr>
          <w:p w14:paraId="619139CC">
            <w:pPr>
              <w:spacing w:line="440" w:lineRule="exact"/>
              <w:ind w:firstLine="422"/>
              <w:rPr>
                <w:szCs w:val="21"/>
              </w:rPr>
            </w:pPr>
            <w:r>
              <w:rPr>
                <w:rFonts w:hint="eastAsia"/>
                <w:szCs w:val="21"/>
              </w:rPr>
              <w:t>标线涂料</w:t>
            </w:r>
          </w:p>
        </w:tc>
        <w:tc>
          <w:tcPr>
            <w:tcW w:w="2050" w:type="dxa"/>
            <w:vAlign w:val="center"/>
          </w:tcPr>
          <w:p w14:paraId="12C814EF">
            <w:pPr>
              <w:spacing w:line="440" w:lineRule="exact"/>
              <w:ind w:firstLine="422"/>
              <w:rPr>
                <w:szCs w:val="21"/>
              </w:rPr>
            </w:pPr>
            <w:r>
              <w:rPr>
                <w:rFonts w:hint="eastAsia"/>
                <w:szCs w:val="21"/>
              </w:rPr>
              <w:t>总有机物含量</w:t>
            </w:r>
          </w:p>
        </w:tc>
        <w:tc>
          <w:tcPr>
            <w:tcW w:w="5053" w:type="dxa"/>
            <w:vAlign w:val="center"/>
          </w:tcPr>
          <w:p w14:paraId="0DDDCC72">
            <w:pPr>
              <w:spacing w:line="440" w:lineRule="exact"/>
              <w:ind w:firstLine="422"/>
              <w:rPr>
                <w:szCs w:val="21"/>
              </w:rPr>
            </w:pPr>
            <w:r>
              <w:rPr>
                <w:rFonts w:hint="eastAsia"/>
                <w:szCs w:val="21"/>
              </w:rPr>
              <w:t>≥19</w:t>
            </w:r>
            <w:r>
              <w:rPr>
                <w:szCs w:val="21"/>
              </w:rPr>
              <w:t>%</w:t>
            </w:r>
          </w:p>
        </w:tc>
      </w:tr>
      <w:tr w14:paraId="405C401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Merge w:val="continue"/>
            <w:vAlign w:val="center"/>
          </w:tcPr>
          <w:p w14:paraId="406E7CBA">
            <w:pPr>
              <w:spacing w:line="440" w:lineRule="exact"/>
              <w:ind w:firstLine="422"/>
              <w:rPr>
                <w:szCs w:val="21"/>
              </w:rPr>
            </w:pPr>
          </w:p>
        </w:tc>
        <w:tc>
          <w:tcPr>
            <w:tcW w:w="2050" w:type="dxa"/>
            <w:vAlign w:val="center"/>
          </w:tcPr>
          <w:p w14:paraId="15C6A473">
            <w:pPr>
              <w:spacing w:line="440" w:lineRule="exact"/>
              <w:ind w:firstLine="422"/>
              <w:rPr>
                <w:szCs w:val="21"/>
              </w:rPr>
            </w:pPr>
            <w:r>
              <w:rPr>
                <w:rFonts w:hint="eastAsia"/>
                <w:szCs w:val="21"/>
              </w:rPr>
              <w:t>钛白粉含量</w:t>
            </w:r>
          </w:p>
        </w:tc>
        <w:tc>
          <w:tcPr>
            <w:tcW w:w="5053" w:type="dxa"/>
            <w:vAlign w:val="center"/>
          </w:tcPr>
          <w:p w14:paraId="1B28BD1D">
            <w:pPr>
              <w:spacing w:line="440" w:lineRule="exact"/>
              <w:ind w:firstLine="422"/>
              <w:rPr>
                <w:szCs w:val="21"/>
              </w:rPr>
            </w:pPr>
            <w:r>
              <w:rPr>
                <w:rFonts w:hint="eastAsia"/>
                <w:szCs w:val="21"/>
              </w:rPr>
              <w:t>≥</w:t>
            </w:r>
            <w:r>
              <w:rPr>
                <w:szCs w:val="21"/>
              </w:rPr>
              <w:t>7</w:t>
            </w:r>
            <w:r>
              <w:rPr>
                <w:rFonts w:hint="eastAsia"/>
                <w:szCs w:val="21"/>
              </w:rPr>
              <w:t>%（重量比）</w:t>
            </w:r>
          </w:p>
        </w:tc>
      </w:tr>
      <w:tr w14:paraId="4B82EC1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778" w:type="dxa"/>
            <w:vAlign w:val="center"/>
          </w:tcPr>
          <w:p w14:paraId="3E47ED4D">
            <w:pPr>
              <w:spacing w:line="440" w:lineRule="exact"/>
              <w:rPr>
                <w:szCs w:val="21"/>
              </w:rPr>
            </w:pPr>
            <w:r>
              <w:rPr>
                <w:rFonts w:hint="eastAsia"/>
                <w:szCs w:val="21"/>
              </w:rPr>
              <w:t>面撒及内混玻璃珠</w:t>
            </w:r>
          </w:p>
        </w:tc>
        <w:tc>
          <w:tcPr>
            <w:tcW w:w="2050" w:type="dxa"/>
            <w:vAlign w:val="center"/>
          </w:tcPr>
          <w:p w14:paraId="5DC080D7">
            <w:pPr>
              <w:spacing w:line="440" w:lineRule="exact"/>
              <w:ind w:firstLine="422"/>
              <w:rPr>
                <w:szCs w:val="21"/>
              </w:rPr>
            </w:pPr>
            <w:r>
              <w:rPr>
                <w:rFonts w:hint="eastAsia"/>
                <w:szCs w:val="21"/>
              </w:rPr>
              <w:t>成圆率</w:t>
            </w:r>
          </w:p>
        </w:tc>
        <w:tc>
          <w:tcPr>
            <w:tcW w:w="5053" w:type="dxa"/>
            <w:vAlign w:val="center"/>
          </w:tcPr>
          <w:p w14:paraId="0F6005B9">
            <w:pPr>
              <w:spacing w:line="440" w:lineRule="exact"/>
              <w:ind w:firstLine="422"/>
              <w:rPr>
                <w:szCs w:val="21"/>
              </w:rPr>
            </w:pPr>
            <w:r>
              <w:rPr>
                <w:rFonts w:hint="eastAsia"/>
                <w:szCs w:val="21"/>
              </w:rPr>
              <w:t>≥90%（面撒</w:t>
            </w:r>
            <w:r>
              <w:rPr>
                <w:szCs w:val="21"/>
              </w:rPr>
              <w:t>玻璃珠）</w:t>
            </w:r>
            <w:r>
              <w:rPr>
                <w:rFonts w:hint="eastAsia"/>
                <w:szCs w:val="21"/>
              </w:rPr>
              <w:t>、≥80%（内混</w:t>
            </w:r>
            <w:r>
              <w:rPr>
                <w:szCs w:val="21"/>
              </w:rPr>
              <w:t>玻璃珠）</w:t>
            </w:r>
          </w:p>
        </w:tc>
      </w:tr>
    </w:tbl>
    <w:p w14:paraId="0A5499DB">
      <w:pPr>
        <w:spacing w:line="440" w:lineRule="exact"/>
        <w:ind w:firstLine="482"/>
        <w:jc w:val="center"/>
        <w:rPr>
          <w:sz w:val="24"/>
          <w:szCs w:val="24"/>
        </w:rPr>
      </w:pPr>
      <w:r>
        <w:rPr>
          <w:rFonts w:hint="eastAsia"/>
          <w:sz w:val="24"/>
          <w:szCs w:val="24"/>
        </w:rPr>
        <w:t>表2  热熔型涂料混合料的性能</w:t>
      </w:r>
    </w:p>
    <w:tbl>
      <w:tblPr>
        <w:tblStyle w:val="25"/>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261"/>
        <w:gridCol w:w="1419"/>
        <w:gridCol w:w="3015"/>
        <w:gridCol w:w="242"/>
        <w:gridCol w:w="2972"/>
      </w:tblGrid>
      <w:tr w14:paraId="7633C29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Merge w:val="restart"/>
            <w:vAlign w:val="center"/>
          </w:tcPr>
          <w:p w14:paraId="7D22F9CE">
            <w:pPr>
              <w:spacing w:line="440" w:lineRule="exact"/>
              <w:ind w:firstLine="422"/>
              <w:rPr>
                <w:szCs w:val="21"/>
              </w:rPr>
            </w:pPr>
            <w:r>
              <w:rPr>
                <w:szCs w:val="21"/>
              </w:rPr>
              <w:t>项目</w:t>
            </w:r>
          </w:p>
        </w:tc>
        <w:tc>
          <w:tcPr>
            <w:tcW w:w="6229" w:type="dxa"/>
            <w:gridSpan w:val="3"/>
            <w:vAlign w:val="center"/>
          </w:tcPr>
          <w:p w14:paraId="45AC80B7">
            <w:pPr>
              <w:spacing w:line="440" w:lineRule="exact"/>
              <w:ind w:firstLine="422"/>
              <w:rPr>
                <w:szCs w:val="21"/>
              </w:rPr>
            </w:pPr>
            <w:r>
              <w:rPr>
                <w:rFonts w:hint="eastAsia"/>
                <w:szCs w:val="21"/>
              </w:rPr>
              <w:t xml:space="preserve">      热熔型</w:t>
            </w:r>
          </w:p>
        </w:tc>
      </w:tr>
      <w:tr w14:paraId="77382F9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Merge w:val="continue"/>
            <w:vAlign w:val="center"/>
          </w:tcPr>
          <w:p w14:paraId="0EC2F050">
            <w:pPr>
              <w:spacing w:line="440" w:lineRule="exact"/>
              <w:ind w:firstLine="422"/>
              <w:rPr>
                <w:szCs w:val="21"/>
              </w:rPr>
            </w:pPr>
          </w:p>
        </w:tc>
        <w:tc>
          <w:tcPr>
            <w:tcW w:w="3257" w:type="dxa"/>
            <w:gridSpan w:val="2"/>
            <w:tcBorders>
              <w:right w:val="single" w:color="auto" w:sz="4" w:space="0"/>
            </w:tcBorders>
            <w:vAlign w:val="center"/>
          </w:tcPr>
          <w:p w14:paraId="342B93B4">
            <w:pPr>
              <w:spacing w:line="440" w:lineRule="exact"/>
              <w:ind w:firstLine="422"/>
              <w:rPr>
                <w:szCs w:val="21"/>
              </w:rPr>
            </w:pPr>
            <w:r>
              <w:rPr>
                <w:rFonts w:hint="eastAsia"/>
                <w:szCs w:val="21"/>
              </w:rPr>
              <w:t>反光型</w:t>
            </w:r>
          </w:p>
        </w:tc>
        <w:tc>
          <w:tcPr>
            <w:tcW w:w="2972" w:type="dxa"/>
            <w:tcBorders>
              <w:left w:val="single" w:color="auto" w:sz="4" w:space="0"/>
            </w:tcBorders>
            <w:vAlign w:val="center"/>
          </w:tcPr>
          <w:p w14:paraId="6ECCD7F8">
            <w:pPr>
              <w:spacing w:line="440" w:lineRule="exact"/>
              <w:ind w:firstLine="422"/>
              <w:rPr>
                <w:szCs w:val="21"/>
              </w:rPr>
            </w:pPr>
            <w:r>
              <w:rPr>
                <w:szCs w:val="21"/>
              </w:rPr>
              <w:t>突起型</w:t>
            </w:r>
          </w:p>
        </w:tc>
      </w:tr>
      <w:tr w14:paraId="3AEAC16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Align w:val="center"/>
          </w:tcPr>
          <w:p w14:paraId="3B595C55">
            <w:pPr>
              <w:spacing w:line="440" w:lineRule="exact"/>
              <w:ind w:firstLine="422"/>
              <w:rPr>
                <w:szCs w:val="21"/>
              </w:rPr>
            </w:pPr>
            <w:r>
              <w:rPr>
                <w:szCs w:val="21"/>
              </w:rPr>
              <w:t>软化点(℃)</w:t>
            </w:r>
          </w:p>
        </w:tc>
        <w:tc>
          <w:tcPr>
            <w:tcW w:w="6229" w:type="dxa"/>
            <w:gridSpan w:val="3"/>
            <w:vAlign w:val="center"/>
          </w:tcPr>
          <w:p w14:paraId="1AA8BB0E">
            <w:pPr>
              <w:spacing w:line="440" w:lineRule="exact"/>
              <w:ind w:firstLine="422"/>
              <w:rPr>
                <w:szCs w:val="21"/>
              </w:rPr>
            </w:pPr>
            <w:r>
              <w:rPr>
                <w:rFonts w:hint="eastAsia"/>
                <w:szCs w:val="21"/>
              </w:rPr>
              <w:t>100</w:t>
            </w:r>
            <w:r>
              <w:rPr>
                <w:szCs w:val="21"/>
              </w:rPr>
              <w:t>～125</w:t>
            </w:r>
          </w:p>
          <w:p w14:paraId="797BB8B4">
            <w:pPr>
              <w:spacing w:line="440" w:lineRule="exact"/>
              <w:ind w:firstLine="422"/>
              <w:rPr>
                <w:szCs w:val="21"/>
              </w:rPr>
            </w:pPr>
            <w:r>
              <w:rPr>
                <w:szCs w:val="21"/>
              </w:rPr>
              <w:t>100</w:t>
            </w:r>
          </w:p>
        </w:tc>
      </w:tr>
      <w:tr w14:paraId="22AEB1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2680" w:type="dxa"/>
            <w:gridSpan w:val="2"/>
            <w:vAlign w:val="center"/>
          </w:tcPr>
          <w:p w14:paraId="72239007">
            <w:pPr>
              <w:spacing w:line="440" w:lineRule="exact"/>
              <w:ind w:firstLine="422"/>
              <w:rPr>
                <w:szCs w:val="21"/>
              </w:rPr>
            </w:pPr>
            <w:r>
              <w:rPr>
                <w:rFonts w:hint="eastAsia"/>
                <w:szCs w:val="21"/>
              </w:rPr>
              <w:t>内混</w:t>
            </w:r>
            <w:r>
              <w:rPr>
                <w:szCs w:val="21"/>
              </w:rPr>
              <w:t>玻璃珠含量(%)</w:t>
            </w:r>
          </w:p>
        </w:tc>
        <w:tc>
          <w:tcPr>
            <w:tcW w:w="6229" w:type="dxa"/>
            <w:gridSpan w:val="3"/>
            <w:vAlign w:val="center"/>
          </w:tcPr>
          <w:p w14:paraId="55638E03">
            <w:pPr>
              <w:spacing w:line="440" w:lineRule="exact"/>
              <w:ind w:firstLine="422"/>
              <w:rPr>
                <w:szCs w:val="21"/>
              </w:rPr>
            </w:pPr>
            <w:r>
              <w:rPr>
                <w:rFonts w:hint="eastAsia"/>
                <w:szCs w:val="21"/>
              </w:rPr>
              <w:t>≥18</w:t>
            </w:r>
          </w:p>
        </w:tc>
      </w:tr>
      <w:tr w14:paraId="4291BEE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1261" w:type="dxa"/>
            <w:vMerge w:val="restart"/>
            <w:vAlign w:val="center"/>
          </w:tcPr>
          <w:p w14:paraId="021972E8">
            <w:pPr>
              <w:spacing w:line="440" w:lineRule="exact"/>
              <w:jc w:val="center"/>
              <w:rPr>
                <w:szCs w:val="21"/>
              </w:rPr>
            </w:pPr>
            <w:r>
              <w:rPr>
                <w:rFonts w:hint="eastAsia"/>
                <w:szCs w:val="21"/>
              </w:rPr>
              <w:t>亮度因素</w:t>
            </w:r>
          </w:p>
        </w:tc>
        <w:tc>
          <w:tcPr>
            <w:tcW w:w="1419" w:type="dxa"/>
            <w:vAlign w:val="center"/>
          </w:tcPr>
          <w:p w14:paraId="08CFE343">
            <w:pPr>
              <w:spacing w:line="440" w:lineRule="exact"/>
              <w:ind w:firstLine="422"/>
              <w:rPr>
                <w:szCs w:val="21"/>
              </w:rPr>
            </w:pPr>
            <w:r>
              <w:rPr>
                <w:szCs w:val="21"/>
              </w:rPr>
              <w:t>白色</w:t>
            </w:r>
          </w:p>
        </w:tc>
        <w:tc>
          <w:tcPr>
            <w:tcW w:w="3015" w:type="dxa"/>
            <w:tcBorders>
              <w:right w:val="single" w:color="auto" w:sz="4" w:space="0"/>
            </w:tcBorders>
            <w:vAlign w:val="center"/>
          </w:tcPr>
          <w:p w14:paraId="786E7A93">
            <w:pPr>
              <w:spacing w:line="440" w:lineRule="exact"/>
              <w:ind w:firstLine="422"/>
              <w:rPr>
                <w:szCs w:val="21"/>
              </w:rPr>
            </w:pPr>
            <w:r>
              <w:rPr>
                <w:rFonts w:hint="eastAsia"/>
                <w:szCs w:val="21"/>
              </w:rPr>
              <w:t>≥0.82</w:t>
            </w:r>
          </w:p>
        </w:tc>
        <w:tc>
          <w:tcPr>
            <w:tcW w:w="3214" w:type="dxa"/>
            <w:gridSpan w:val="2"/>
            <w:tcBorders>
              <w:left w:val="single" w:color="auto" w:sz="4" w:space="0"/>
              <w:bottom w:val="single" w:color="auto" w:sz="4" w:space="0"/>
            </w:tcBorders>
            <w:vAlign w:val="center"/>
          </w:tcPr>
          <w:p w14:paraId="5864A778">
            <w:pPr>
              <w:spacing w:line="440" w:lineRule="exact"/>
              <w:ind w:firstLine="422"/>
              <w:rPr>
                <w:szCs w:val="21"/>
              </w:rPr>
            </w:pPr>
            <w:r>
              <w:rPr>
                <w:rFonts w:hint="eastAsia"/>
                <w:szCs w:val="21"/>
              </w:rPr>
              <w:t>≥0.8</w:t>
            </w:r>
            <w:r>
              <w:rPr>
                <w:szCs w:val="21"/>
              </w:rPr>
              <w:t>0</w:t>
            </w:r>
          </w:p>
        </w:tc>
      </w:tr>
      <w:tr w14:paraId="77D3DB8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1261" w:type="dxa"/>
            <w:vMerge w:val="continue"/>
            <w:vAlign w:val="center"/>
          </w:tcPr>
          <w:p w14:paraId="7F73F237">
            <w:pPr>
              <w:spacing w:line="440" w:lineRule="exact"/>
              <w:ind w:firstLine="422"/>
              <w:rPr>
                <w:szCs w:val="21"/>
              </w:rPr>
            </w:pPr>
          </w:p>
        </w:tc>
        <w:tc>
          <w:tcPr>
            <w:tcW w:w="1419" w:type="dxa"/>
            <w:vAlign w:val="center"/>
          </w:tcPr>
          <w:p w14:paraId="602BFA19">
            <w:pPr>
              <w:spacing w:line="440" w:lineRule="exact"/>
              <w:ind w:firstLine="422"/>
              <w:rPr>
                <w:szCs w:val="21"/>
              </w:rPr>
            </w:pPr>
            <w:r>
              <w:rPr>
                <w:szCs w:val="21"/>
              </w:rPr>
              <w:t>黄色</w:t>
            </w:r>
          </w:p>
        </w:tc>
        <w:tc>
          <w:tcPr>
            <w:tcW w:w="3015" w:type="dxa"/>
            <w:tcBorders>
              <w:right w:val="single" w:color="auto" w:sz="4" w:space="0"/>
            </w:tcBorders>
            <w:vAlign w:val="center"/>
          </w:tcPr>
          <w:p w14:paraId="3051911D">
            <w:pPr>
              <w:spacing w:line="440" w:lineRule="exact"/>
              <w:ind w:firstLine="422"/>
              <w:rPr>
                <w:szCs w:val="21"/>
              </w:rPr>
            </w:pPr>
            <w:r>
              <w:rPr>
                <w:rFonts w:hint="eastAsia"/>
                <w:szCs w:val="21"/>
              </w:rPr>
              <w:t xml:space="preserve">≥0.45  </w:t>
            </w:r>
          </w:p>
        </w:tc>
        <w:tc>
          <w:tcPr>
            <w:tcW w:w="3214" w:type="dxa"/>
            <w:gridSpan w:val="2"/>
            <w:tcBorders>
              <w:top w:val="single" w:color="auto" w:sz="4" w:space="0"/>
              <w:left w:val="single" w:color="auto" w:sz="4" w:space="0"/>
            </w:tcBorders>
            <w:vAlign w:val="center"/>
          </w:tcPr>
          <w:p w14:paraId="417B5431">
            <w:pPr>
              <w:spacing w:line="440" w:lineRule="exact"/>
              <w:ind w:firstLine="422"/>
              <w:rPr>
                <w:szCs w:val="21"/>
              </w:rPr>
            </w:pPr>
            <w:r>
              <w:rPr>
                <w:rFonts w:hint="eastAsia"/>
                <w:szCs w:val="21"/>
              </w:rPr>
              <w:t>≥0.45</w:t>
            </w:r>
          </w:p>
        </w:tc>
      </w:tr>
      <w:tr w14:paraId="5336766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90" w:hRule="exact"/>
          <w:jc w:val="center"/>
        </w:trPr>
        <w:tc>
          <w:tcPr>
            <w:tcW w:w="2680" w:type="dxa"/>
            <w:gridSpan w:val="2"/>
            <w:vAlign w:val="center"/>
          </w:tcPr>
          <w:p w14:paraId="19761756">
            <w:pPr>
              <w:spacing w:line="440" w:lineRule="exact"/>
              <w:ind w:firstLine="422"/>
              <w:rPr>
                <w:szCs w:val="21"/>
              </w:rPr>
            </w:pPr>
            <w:r>
              <w:rPr>
                <w:szCs w:val="21"/>
              </w:rPr>
              <w:t>抗压强度(MPa)</w:t>
            </w:r>
          </w:p>
        </w:tc>
        <w:tc>
          <w:tcPr>
            <w:tcW w:w="3257" w:type="dxa"/>
            <w:gridSpan w:val="2"/>
            <w:vAlign w:val="center"/>
          </w:tcPr>
          <w:p w14:paraId="2B150DD2">
            <w:pPr>
              <w:spacing w:line="440" w:lineRule="exact"/>
              <w:ind w:firstLine="422"/>
              <w:rPr>
                <w:szCs w:val="21"/>
              </w:rPr>
            </w:pPr>
            <w:r>
              <w:rPr>
                <w:szCs w:val="21"/>
              </w:rPr>
              <w:t>≥1</w:t>
            </w:r>
            <w:r>
              <w:rPr>
                <w:rFonts w:hint="eastAsia"/>
                <w:szCs w:val="21"/>
              </w:rPr>
              <w:t>5.0</w:t>
            </w:r>
          </w:p>
        </w:tc>
        <w:tc>
          <w:tcPr>
            <w:tcW w:w="2972" w:type="dxa"/>
            <w:vAlign w:val="center"/>
          </w:tcPr>
          <w:p w14:paraId="786E8DDA">
            <w:pPr>
              <w:spacing w:line="440" w:lineRule="exact"/>
              <w:ind w:firstLine="422"/>
              <w:rPr>
                <w:szCs w:val="21"/>
                <w:vertAlign w:val="superscript"/>
              </w:rPr>
            </w:pPr>
            <w:r>
              <w:rPr>
                <w:szCs w:val="21"/>
              </w:rPr>
              <w:t>23℃±1℃时，≥1</w:t>
            </w:r>
            <w:r>
              <w:rPr>
                <w:rFonts w:hint="eastAsia"/>
                <w:szCs w:val="21"/>
              </w:rPr>
              <w:t>5.0</w:t>
            </w:r>
          </w:p>
          <w:p w14:paraId="163A6123">
            <w:pPr>
              <w:spacing w:line="440" w:lineRule="exact"/>
              <w:ind w:firstLine="422"/>
              <w:rPr>
                <w:szCs w:val="21"/>
              </w:rPr>
            </w:pPr>
            <w:r>
              <w:rPr>
                <w:rFonts w:hint="eastAsia"/>
                <w:szCs w:val="21"/>
              </w:rPr>
              <w:t>50</w:t>
            </w:r>
            <w:r>
              <w:rPr>
                <w:szCs w:val="21"/>
              </w:rPr>
              <w:t>℃±2℃时，≥2</w:t>
            </w:r>
            <w:r>
              <w:rPr>
                <w:rFonts w:hint="eastAsia"/>
                <w:szCs w:val="21"/>
              </w:rPr>
              <w:t>.0</w:t>
            </w:r>
            <w:r>
              <w:rPr>
                <w:szCs w:val="21"/>
              </w:rPr>
              <w:t>（压下试块高度的20%）</w:t>
            </w:r>
          </w:p>
        </w:tc>
      </w:tr>
      <w:tr w14:paraId="4A88B06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200" w:hRule="exact"/>
          <w:jc w:val="center"/>
        </w:trPr>
        <w:tc>
          <w:tcPr>
            <w:tcW w:w="2680" w:type="dxa"/>
            <w:gridSpan w:val="2"/>
            <w:vAlign w:val="center"/>
          </w:tcPr>
          <w:p w14:paraId="130AD709">
            <w:pPr>
              <w:spacing w:line="440" w:lineRule="exact"/>
              <w:ind w:firstLine="422"/>
              <w:rPr>
                <w:szCs w:val="21"/>
              </w:rPr>
            </w:pPr>
            <w:r>
              <w:rPr>
                <w:szCs w:val="21"/>
              </w:rPr>
              <w:t>耐磨性（mg）</w:t>
            </w:r>
          </w:p>
          <w:p w14:paraId="7C4EFD40">
            <w:pPr>
              <w:spacing w:line="440" w:lineRule="exact"/>
              <w:ind w:firstLine="422"/>
              <w:rPr>
                <w:szCs w:val="21"/>
              </w:rPr>
            </w:pPr>
            <w:r>
              <w:rPr>
                <w:szCs w:val="21"/>
              </w:rPr>
              <w:t>(200转/1000g后减重)</w:t>
            </w:r>
          </w:p>
        </w:tc>
        <w:tc>
          <w:tcPr>
            <w:tcW w:w="3257" w:type="dxa"/>
            <w:gridSpan w:val="2"/>
            <w:vAlign w:val="center"/>
          </w:tcPr>
          <w:p w14:paraId="13EA7E0D">
            <w:pPr>
              <w:spacing w:line="440" w:lineRule="exact"/>
              <w:ind w:firstLine="422"/>
              <w:rPr>
                <w:szCs w:val="21"/>
              </w:rPr>
            </w:pPr>
            <w:r>
              <w:rPr>
                <w:szCs w:val="21"/>
              </w:rPr>
              <w:t></w:t>
            </w:r>
            <w:r>
              <w:rPr>
                <w:rFonts w:hint="eastAsia"/>
                <w:szCs w:val="21"/>
              </w:rPr>
              <w:t>≤6</w:t>
            </w:r>
            <w:r>
              <w:rPr>
                <w:szCs w:val="21"/>
              </w:rPr>
              <w:t>0（JM-100橡胶砂轮）</w:t>
            </w:r>
          </w:p>
        </w:tc>
        <w:tc>
          <w:tcPr>
            <w:tcW w:w="2972" w:type="dxa"/>
            <w:vAlign w:val="center"/>
          </w:tcPr>
          <w:p w14:paraId="41DF66AE">
            <w:pPr>
              <w:spacing w:line="440" w:lineRule="exact"/>
              <w:ind w:firstLine="422"/>
              <w:rPr>
                <w:szCs w:val="21"/>
              </w:rPr>
            </w:pPr>
            <w:r>
              <w:rPr>
                <w:szCs w:val="21"/>
              </w:rPr>
              <w:t>—</w:t>
            </w:r>
          </w:p>
        </w:tc>
      </w:tr>
    </w:tbl>
    <w:p w14:paraId="6D95F613">
      <w:pPr>
        <w:spacing w:line="440" w:lineRule="exact"/>
        <w:ind w:firstLine="480" w:firstLineChars="200"/>
        <w:rPr>
          <w:sz w:val="24"/>
          <w:szCs w:val="24"/>
        </w:rPr>
      </w:pPr>
      <w:r>
        <w:rPr>
          <w:rFonts w:hint="eastAsia"/>
          <w:sz w:val="24"/>
          <w:szCs w:val="24"/>
        </w:rPr>
        <w:t>25.1.5 材料的检验、包装、运输和储存以及涂料的试验应满足《公路工程标准施工招标文件》（2018年版）的有关要求。</w:t>
      </w:r>
    </w:p>
    <w:p w14:paraId="20C8185A">
      <w:pPr>
        <w:spacing w:line="440" w:lineRule="exact"/>
        <w:ind w:firstLine="480" w:firstLineChars="200"/>
        <w:rPr>
          <w:sz w:val="24"/>
          <w:szCs w:val="24"/>
          <w:u w:val="double"/>
        </w:rPr>
      </w:pPr>
      <w:r>
        <w:rPr>
          <w:rFonts w:hint="eastAsia"/>
          <w:sz w:val="24"/>
          <w:szCs w:val="24"/>
          <w:u w:val="double"/>
        </w:rPr>
        <w:t>25.1.6  应对运至工地的涂料和玻璃珠等材料进行抽样检验，不合格产品，严禁使用。</w:t>
      </w:r>
    </w:p>
    <w:p w14:paraId="0A2AF71A">
      <w:pPr>
        <w:spacing w:line="440" w:lineRule="exact"/>
        <w:ind w:firstLine="482" w:firstLineChars="200"/>
        <w:rPr>
          <w:b/>
          <w:bCs/>
          <w:sz w:val="24"/>
          <w:szCs w:val="24"/>
        </w:rPr>
      </w:pPr>
      <w:bookmarkStart w:id="103" w:name="_Toc26177988"/>
      <w:bookmarkStart w:id="104" w:name="_Toc30984"/>
      <w:bookmarkStart w:id="105" w:name="_Toc17671"/>
      <w:bookmarkStart w:id="106" w:name="_Toc34838411"/>
      <w:r>
        <w:rPr>
          <w:rFonts w:hint="eastAsia"/>
          <w:b/>
          <w:bCs/>
          <w:sz w:val="24"/>
          <w:szCs w:val="24"/>
        </w:rPr>
        <w:t>25.2 施工要求</w:t>
      </w:r>
      <w:bookmarkEnd w:id="103"/>
      <w:bookmarkEnd w:id="104"/>
      <w:bookmarkEnd w:id="105"/>
      <w:bookmarkEnd w:id="106"/>
      <w:bookmarkStart w:id="107" w:name="_Toc11817"/>
      <w:bookmarkStart w:id="108" w:name="_Toc22743"/>
      <w:bookmarkStart w:id="109" w:name="_Toc26177989"/>
      <w:bookmarkStart w:id="110" w:name="_Toc2661"/>
    </w:p>
    <w:p w14:paraId="6A0662EC">
      <w:pPr>
        <w:spacing w:line="440" w:lineRule="exact"/>
        <w:ind w:firstLine="480" w:firstLineChars="200"/>
        <w:rPr>
          <w:sz w:val="24"/>
          <w:szCs w:val="24"/>
        </w:rPr>
      </w:pPr>
      <w:bookmarkStart w:id="111" w:name="_Toc34838412"/>
      <w:r>
        <w:rPr>
          <w:rFonts w:hint="eastAsia"/>
          <w:sz w:val="24"/>
          <w:szCs w:val="24"/>
        </w:rPr>
        <w:t>25.2.1 旧标线清除</w:t>
      </w:r>
      <w:bookmarkEnd w:id="107"/>
      <w:bookmarkEnd w:id="108"/>
      <w:bookmarkEnd w:id="109"/>
      <w:bookmarkEnd w:id="110"/>
      <w:bookmarkEnd w:id="111"/>
      <w:r>
        <w:rPr>
          <w:rFonts w:hint="eastAsia"/>
          <w:sz w:val="24"/>
          <w:szCs w:val="24"/>
        </w:rPr>
        <w:t>（如有）</w:t>
      </w:r>
    </w:p>
    <w:p w14:paraId="66E033C5">
      <w:pPr>
        <w:spacing w:line="440" w:lineRule="exact"/>
        <w:ind w:firstLine="480" w:firstLineChars="200"/>
        <w:rPr>
          <w:sz w:val="24"/>
          <w:szCs w:val="24"/>
          <w:u w:val="double"/>
        </w:rPr>
      </w:pPr>
      <w:r>
        <w:rPr>
          <w:rFonts w:hint="eastAsia"/>
          <w:sz w:val="24"/>
          <w:szCs w:val="24"/>
          <w:u w:val="double"/>
        </w:rPr>
        <w:t>（1） 旧标线应采用除线机清除。除线机应运转正常，磨头损坏后应及时更换，以免在除线过程中损伤路面；</w:t>
      </w:r>
    </w:p>
    <w:p w14:paraId="0C0C3A5C">
      <w:pPr>
        <w:spacing w:line="440" w:lineRule="exact"/>
        <w:ind w:firstLine="480" w:firstLineChars="200"/>
        <w:rPr>
          <w:sz w:val="24"/>
          <w:szCs w:val="24"/>
          <w:u w:val="double"/>
        </w:rPr>
      </w:pPr>
      <w:r>
        <w:rPr>
          <w:rFonts w:hint="eastAsia"/>
          <w:sz w:val="24"/>
          <w:szCs w:val="24"/>
          <w:u w:val="double"/>
        </w:rPr>
        <w:t>（2） 清除旧标线时，每处以打磨两遍为宜，清除掉的旧标线废弃物应及时回收不得随意丢弃，避免污染环境；</w:t>
      </w:r>
    </w:p>
    <w:p w14:paraId="2F78627C">
      <w:pPr>
        <w:spacing w:line="440" w:lineRule="exact"/>
        <w:ind w:firstLine="480" w:firstLineChars="200"/>
        <w:rPr>
          <w:sz w:val="24"/>
          <w:szCs w:val="24"/>
          <w:u w:val="double"/>
        </w:rPr>
      </w:pPr>
      <w:r>
        <w:rPr>
          <w:rFonts w:hint="eastAsia"/>
          <w:sz w:val="24"/>
          <w:szCs w:val="24"/>
          <w:u w:val="double"/>
        </w:rPr>
        <w:t>（3） 旧标线清除后，应使用带钢丝刷的扫地机清扫已除标线部位，然后采用吹风机将路面上的标线废弃物、沙石、尘埃等清扫干净；</w:t>
      </w:r>
    </w:p>
    <w:p w14:paraId="60D260B0">
      <w:pPr>
        <w:spacing w:line="440" w:lineRule="exact"/>
        <w:ind w:firstLine="480" w:firstLineChars="200"/>
        <w:rPr>
          <w:sz w:val="24"/>
          <w:szCs w:val="24"/>
          <w:u w:val="double"/>
        </w:rPr>
      </w:pPr>
      <w:r>
        <w:rPr>
          <w:rFonts w:hint="eastAsia"/>
          <w:sz w:val="24"/>
          <w:szCs w:val="24"/>
          <w:u w:val="double"/>
        </w:rPr>
        <w:t>（4） 清除旧标线时应以保护原路面不受损坏为前提，清除面应保持与原路面相平，沥青路面清除面积应尽可能达到80%以上，水泥路面清除面积应尽可能达到95%以上，清除的旧标线应清扫干净。</w:t>
      </w:r>
    </w:p>
    <w:p w14:paraId="5CACC2D8">
      <w:pPr>
        <w:spacing w:line="440" w:lineRule="exact"/>
        <w:ind w:firstLine="480" w:firstLineChars="200"/>
        <w:rPr>
          <w:sz w:val="24"/>
          <w:szCs w:val="24"/>
        </w:rPr>
      </w:pPr>
      <w:bookmarkStart w:id="112" w:name="_Toc26177990"/>
      <w:bookmarkStart w:id="113" w:name="_Toc34838413"/>
      <w:bookmarkStart w:id="114" w:name="_Toc17275"/>
      <w:bookmarkStart w:id="115" w:name="_Toc25210"/>
      <w:bookmarkStart w:id="116" w:name="_Toc16836"/>
      <w:r>
        <w:rPr>
          <w:rFonts w:hint="eastAsia"/>
          <w:sz w:val="24"/>
          <w:szCs w:val="24"/>
        </w:rPr>
        <w:t>25.2.2  路面标线施划</w:t>
      </w:r>
      <w:bookmarkEnd w:id="112"/>
      <w:bookmarkEnd w:id="113"/>
      <w:bookmarkEnd w:id="114"/>
      <w:bookmarkEnd w:id="115"/>
      <w:bookmarkEnd w:id="116"/>
    </w:p>
    <w:p w14:paraId="52F56788">
      <w:pPr>
        <w:spacing w:line="440" w:lineRule="exact"/>
        <w:ind w:firstLine="480" w:firstLineChars="200"/>
        <w:rPr>
          <w:sz w:val="24"/>
          <w:szCs w:val="24"/>
        </w:rPr>
      </w:pPr>
      <w:r>
        <w:rPr>
          <w:rFonts w:hint="eastAsia"/>
          <w:sz w:val="24"/>
          <w:szCs w:val="24"/>
        </w:rPr>
        <w:t>25.2.2.1 标线施划前的准备</w:t>
      </w:r>
    </w:p>
    <w:p w14:paraId="3F073A83">
      <w:pPr>
        <w:spacing w:line="440" w:lineRule="exact"/>
        <w:ind w:firstLine="480" w:firstLineChars="200"/>
        <w:rPr>
          <w:sz w:val="24"/>
          <w:szCs w:val="24"/>
        </w:rPr>
      </w:pPr>
      <w:r>
        <w:rPr>
          <w:rFonts w:hint="eastAsia"/>
          <w:sz w:val="24"/>
          <w:szCs w:val="24"/>
        </w:rPr>
        <w:t>（1）设置标线的路面表面应清洁干燥，无松散颗粒、灰尘、沥青、油污或其他有害物质。</w:t>
      </w:r>
    </w:p>
    <w:p w14:paraId="50FFF21F">
      <w:pPr>
        <w:spacing w:line="440" w:lineRule="exact"/>
        <w:ind w:firstLine="480" w:firstLineChars="200"/>
        <w:rPr>
          <w:sz w:val="24"/>
          <w:szCs w:val="24"/>
        </w:rPr>
      </w:pPr>
      <w:r>
        <w:rPr>
          <w:rFonts w:hint="eastAsia"/>
          <w:sz w:val="24"/>
          <w:szCs w:val="24"/>
        </w:rPr>
        <w:t>（2） 应根据公路横断面的具体尺寸和设计文件的要求确定标线位置和标线宽度、长度，在路面上划出标线位置，</w:t>
      </w:r>
      <w:r>
        <w:rPr>
          <w:rFonts w:hint="eastAsia"/>
          <w:sz w:val="24"/>
          <w:szCs w:val="24"/>
          <w:u w:val="double"/>
        </w:rPr>
        <w:t>保证线条顺直、流畅 ，线型美观。</w:t>
      </w:r>
    </w:p>
    <w:p w14:paraId="10260FB7">
      <w:pPr>
        <w:spacing w:line="440" w:lineRule="exact"/>
        <w:ind w:firstLine="480" w:firstLineChars="200"/>
        <w:rPr>
          <w:sz w:val="24"/>
          <w:szCs w:val="24"/>
        </w:rPr>
      </w:pPr>
      <w:r>
        <w:rPr>
          <w:rFonts w:hint="eastAsia"/>
          <w:sz w:val="24"/>
          <w:szCs w:val="24"/>
        </w:rPr>
        <w:t>25.2.2.2 涂刷底油</w:t>
      </w:r>
    </w:p>
    <w:p w14:paraId="200CDFF8">
      <w:pPr>
        <w:spacing w:line="440" w:lineRule="exact"/>
        <w:ind w:firstLine="480" w:firstLineChars="200"/>
        <w:rPr>
          <w:sz w:val="24"/>
          <w:szCs w:val="24"/>
        </w:rPr>
      </w:pPr>
      <w:r>
        <w:rPr>
          <w:rFonts w:hint="eastAsia"/>
          <w:sz w:val="24"/>
          <w:szCs w:val="24"/>
        </w:rPr>
        <w:t>（1）在水泥路面和旧的沥青路面施加标线需要预涂底油时，应先喷涂热熔底油下涂剂，按试验决定的间隔时间喷涂热熔涂料，以提高其粘结力。</w:t>
      </w:r>
    </w:p>
    <w:p w14:paraId="284EF156">
      <w:pPr>
        <w:spacing w:line="440" w:lineRule="exact"/>
        <w:ind w:firstLine="480" w:firstLineChars="200"/>
        <w:rPr>
          <w:sz w:val="24"/>
          <w:szCs w:val="24"/>
          <w:u w:val="double"/>
        </w:rPr>
      </w:pPr>
      <w:r>
        <w:rPr>
          <w:rFonts w:hint="eastAsia"/>
          <w:sz w:val="24"/>
          <w:szCs w:val="24"/>
        </w:rPr>
        <w:t>（2）为了确保标线涂料和路面材料完全相适应，底油的类型和用量应经监理人批准，</w:t>
      </w:r>
      <w:r>
        <w:rPr>
          <w:rFonts w:hint="eastAsia"/>
          <w:sz w:val="24"/>
          <w:szCs w:val="24"/>
          <w:u w:val="double"/>
        </w:rPr>
        <w:t>原则上，底油用量为0.15kg/㎡～0.20kg/㎡，应使用涂料厂家提供的底油，严禁使用废机油。</w:t>
      </w:r>
    </w:p>
    <w:p w14:paraId="74A1E690">
      <w:pPr>
        <w:spacing w:line="440" w:lineRule="exact"/>
        <w:ind w:firstLine="480" w:firstLineChars="200"/>
        <w:rPr>
          <w:sz w:val="24"/>
          <w:szCs w:val="24"/>
          <w:u w:val="double"/>
        </w:rPr>
      </w:pPr>
      <w:r>
        <w:rPr>
          <w:rFonts w:hint="eastAsia"/>
          <w:sz w:val="24"/>
          <w:szCs w:val="24"/>
          <w:u w:val="double"/>
        </w:rPr>
        <w:t>（3）底油应使用底油喷涂机进行喷涂，喷涂的底油应完全覆盖待划标线部位，且其边缘应较标线宽约1cm。</w:t>
      </w:r>
    </w:p>
    <w:p w14:paraId="4587B123">
      <w:pPr>
        <w:spacing w:line="440" w:lineRule="exact"/>
        <w:ind w:firstLine="480" w:firstLineChars="200"/>
        <w:rPr>
          <w:sz w:val="24"/>
          <w:szCs w:val="24"/>
        </w:rPr>
      </w:pPr>
      <w:r>
        <w:rPr>
          <w:rFonts w:hint="eastAsia"/>
          <w:sz w:val="24"/>
          <w:szCs w:val="24"/>
        </w:rPr>
        <w:t>（4）待底油彻底干燥，不粘附灰尘、沙土时，方可进行标线施划，以避免产生气泡甚至脱落等严重质量问题。</w:t>
      </w:r>
    </w:p>
    <w:p w14:paraId="2DFF374B">
      <w:pPr>
        <w:spacing w:line="440" w:lineRule="exact"/>
        <w:ind w:firstLine="480" w:firstLineChars="200"/>
        <w:rPr>
          <w:sz w:val="24"/>
          <w:szCs w:val="24"/>
        </w:rPr>
      </w:pPr>
      <w:r>
        <w:rPr>
          <w:rFonts w:hint="eastAsia"/>
          <w:sz w:val="24"/>
          <w:szCs w:val="24"/>
        </w:rPr>
        <w:t>25.2.2.3  涂料加热</w:t>
      </w:r>
    </w:p>
    <w:p w14:paraId="2E7FA4F4">
      <w:pPr>
        <w:spacing w:line="440" w:lineRule="exact"/>
        <w:ind w:firstLine="480" w:firstLineChars="200"/>
        <w:rPr>
          <w:sz w:val="24"/>
          <w:szCs w:val="24"/>
          <w:u w:val="double"/>
        </w:rPr>
      </w:pPr>
      <w:r>
        <w:rPr>
          <w:rFonts w:hint="eastAsia"/>
          <w:sz w:val="24"/>
          <w:szCs w:val="24"/>
          <w:u w:val="double"/>
        </w:rPr>
        <w:t>（1）根据环境气温和涂料特性，涂料熔融温度宜保持在215℃～240℃，涂料应在完全熔化，并搅拌均匀后方可使用，禁止使用烧焦的物料。</w:t>
      </w:r>
    </w:p>
    <w:p w14:paraId="477A2B92">
      <w:pPr>
        <w:spacing w:line="440" w:lineRule="exact"/>
        <w:ind w:firstLine="480" w:firstLineChars="200"/>
        <w:rPr>
          <w:sz w:val="24"/>
          <w:szCs w:val="24"/>
        </w:rPr>
      </w:pPr>
      <w:r>
        <w:rPr>
          <w:rFonts w:hint="eastAsia"/>
          <w:sz w:val="24"/>
          <w:szCs w:val="24"/>
        </w:rPr>
        <w:t>（2）涂料在容器内加热时，温度应控制在涂料生产商的使用说明规定值内，不得超过最高限制温度。烃树脂类材料，保持在熔融状态的时间不得大于6h，树胶树脂类材料，保持在熔融状态的时间不得大于4h。</w:t>
      </w:r>
    </w:p>
    <w:p w14:paraId="23C89D63">
      <w:pPr>
        <w:spacing w:line="440" w:lineRule="exact"/>
        <w:ind w:firstLine="480" w:firstLineChars="200"/>
        <w:rPr>
          <w:sz w:val="24"/>
          <w:szCs w:val="24"/>
        </w:rPr>
      </w:pPr>
      <w:r>
        <w:rPr>
          <w:rFonts w:hint="eastAsia"/>
          <w:sz w:val="24"/>
          <w:szCs w:val="24"/>
        </w:rPr>
        <w:t>25.2.2.4 标线施划</w:t>
      </w:r>
    </w:p>
    <w:p w14:paraId="79C1AF97">
      <w:pPr>
        <w:spacing w:line="440" w:lineRule="exact"/>
        <w:ind w:firstLine="480" w:firstLineChars="200"/>
        <w:rPr>
          <w:sz w:val="24"/>
          <w:szCs w:val="24"/>
        </w:rPr>
      </w:pPr>
      <w:r>
        <w:rPr>
          <w:rFonts w:hint="eastAsia"/>
          <w:sz w:val="24"/>
          <w:szCs w:val="24"/>
        </w:rPr>
        <w:t>（1）标线施工应在白天进行，雨天、风大、灰尘大或气温低于10℃时应暂时停止施工。</w:t>
      </w:r>
    </w:p>
    <w:p w14:paraId="4C18F95A">
      <w:pPr>
        <w:spacing w:line="440" w:lineRule="exact"/>
        <w:ind w:firstLine="480" w:firstLineChars="200"/>
        <w:rPr>
          <w:sz w:val="24"/>
          <w:szCs w:val="24"/>
        </w:rPr>
      </w:pPr>
      <w:r>
        <w:rPr>
          <w:rFonts w:hint="eastAsia"/>
          <w:sz w:val="24"/>
          <w:szCs w:val="24"/>
        </w:rPr>
        <w:t>（2）正式施划前应进行试划，以检验划线车的行驶速度、线宽、标线厚度、玻璃珠撒布量等能否满足要求。调试合格后才能开始正式施工。</w:t>
      </w:r>
    </w:p>
    <w:p w14:paraId="55A8682B">
      <w:pPr>
        <w:spacing w:line="440" w:lineRule="exact"/>
        <w:ind w:firstLine="480" w:firstLineChars="200"/>
        <w:rPr>
          <w:sz w:val="24"/>
          <w:szCs w:val="24"/>
          <w:u w:val="double"/>
        </w:rPr>
      </w:pPr>
      <w:r>
        <w:rPr>
          <w:rFonts w:hint="eastAsia"/>
          <w:sz w:val="24"/>
          <w:szCs w:val="24"/>
          <w:u w:val="double"/>
        </w:rPr>
        <w:t>（3）应使用安装有玻璃珠双撒播器的热熔划线车施划热熔标线，撒布在标线涂层上的玻璃珠应分布均匀，其撒布量应大于0.5kg/㎡，玻璃珠的撒布应经试验确认后方可实施。施工时应根据环境气温和路面状况，将涂料粘度调整到适宜的状态，尽量使面撒的玻璃珠颗粒有约2/3的体积沉入到标线涂层中。</w:t>
      </w:r>
    </w:p>
    <w:p w14:paraId="755C4F0A">
      <w:pPr>
        <w:spacing w:line="440" w:lineRule="exact"/>
        <w:ind w:firstLine="480" w:firstLineChars="200"/>
        <w:rPr>
          <w:sz w:val="24"/>
          <w:szCs w:val="24"/>
        </w:rPr>
      </w:pPr>
      <w:r>
        <w:rPr>
          <w:rFonts w:hint="eastAsia"/>
          <w:sz w:val="24"/>
          <w:szCs w:val="24"/>
        </w:rPr>
        <w:t>（4）连续设置的实线类标线，应每隔15m左右设置排水缝，其他标线有可能阻水时，应沿排水方向设置排水缝。排水缝宽度一般为3cm-5cm。</w:t>
      </w:r>
    </w:p>
    <w:p w14:paraId="56564669">
      <w:pPr>
        <w:spacing w:line="440" w:lineRule="exact"/>
        <w:ind w:firstLine="480" w:firstLineChars="200"/>
        <w:rPr>
          <w:sz w:val="24"/>
          <w:szCs w:val="24"/>
        </w:rPr>
      </w:pPr>
      <w:r>
        <w:rPr>
          <w:rFonts w:hint="eastAsia"/>
          <w:sz w:val="24"/>
          <w:szCs w:val="24"/>
        </w:rPr>
        <w:t>（5）有缺陷的、施工不当、尺寸不正确或位置错误的标线均应清除，重新施划。</w:t>
      </w:r>
    </w:p>
    <w:p w14:paraId="064660F3">
      <w:pPr>
        <w:spacing w:line="440" w:lineRule="exact"/>
        <w:ind w:firstLine="480" w:firstLineChars="200"/>
        <w:rPr>
          <w:sz w:val="24"/>
          <w:szCs w:val="24"/>
        </w:rPr>
      </w:pPr>
      <w:r>
        <w:rPr>
          <w:rFonts w:hint="eastAsia"/>
          <w:sz w:val="24"/>
          <w:szCs w:val="24"/>
        </w:rPr>
        <w:t>（6）在作业区内通行，防止将涂料带出或形成车辙，直至标线充分干燥，方可开放交通。</w:t>
      </w:r>
    </w:p>
    <w:p w14:paraId="7123BF99">
      <w:pPr>
        <w:spacing w:line="440" w:lineRule="exact"/>
        <w:ind w:firstLine="482" w:firstLineChars="200"/>
        <w:rPr>
          <w:b/>
          <w:bCs/>
          <w:sz w:val="24"/>
          <w:szCs w:val="24"/>
        </w:rPr>
      </w:pPr>
      <w:bookmarkStart w:id="117" w:name="_Toc34838414"/>
      <w:bookmarkStart w:id="118" w:name="_Toc2130"/>
      <w:bookmarkStart w:id="119" w:name="_Toc28247"/>
      <w:bookmarkStart w:id="120" w:name="_Toc26177995"/>
      <w:r>
        <w:rPr>
          <w:rFonts w:hint="eastAsia"/>
          <w:b/>
          <w:bCs/>
          <w:sz w:val="24"/>
          <w:szCs w:val="24"/>
        </w:rPr>
        <w:t>25.3 质量检验</w:t>
      </w:r>
      <w:bookmarkEnd w:id="117"/>
      <w:bookmarkEnd w:id="118"/>
      <w:bookmarkEnd w:id="119"/>
      <w:bookmarkEnd w:id="120"/>
    </w:p>
    <w:p w14:paraId="57CF09AF">
      <w:pPr>
        <w:spacing w:line="440" w:lineRule="exact"/>
        <w:ind w:firstLine="480" w:firstLineChars="200"/>
        <w:rPr>
          <w:sz w:val="24"/>
          <w:szCs w:val="24"/>
        </w:rPr>
      </w:pPr>
      <w:bookmarkStart w:id="121" w:name="_Toc34838415"/>
      <w:bookmarkStart w:id="122" w:name="_Toc32535"/>
      <w:bookmarkStart w:id="123" w:name="_Toc26177996"/>
      <w:bookmarkStart w:id="124" w:name="_Toc5572"/>
      <w:bookmarkStart w:id="125" w:name="_Toc7400"/>
      <w:r>
        <w:rPr>
          <w:rFonts w:hint="eastAsia"/>
          <w:sz w:val="24"/>
          <w:szCs w:val="24"/>
        </w:rPr>
        <w:t>25.3.1 基本要求</w:t>
      </w:r>
      <w:bookmarkEnd w:id="121"/>
      <w:bookmarkEnd w:id="122"/>
      <w:bookmarkEnd w:id="123"/>
      <w:bookmarkEnd w:id="124"/>
      <w:bookmarkEnd w:id="125"/>
    </w:p>
    <w:p w14:paraId="42555DCB">
      <w:pPr>
        <w:spacing w:line="440" w:lineRule="exact"/>
        <w:ind w:firstLine="480" w:firstLineChars="200"/>
        <w:rPr>
          <w:sz w:val="24"/>
          <w:szCs w:val="24"/>
        </w:rPr>
      </w:pPr>
      <w:r>
        <w:rPr>
          <w:rFonts w:hint="eastAsia"/>
          <w:sz w:val="24"/>
          <w:szCs w:val="24"/>
        </w:rPr>
        <w:t>（1）标线的颜色、形状和位置应符合《道路交通标志和标线》（GB 5768）的规定并满足设计要求。</w:t>
      </w:r>
    </w:p>
    <w:p w14:paraId="1904BBF1">
      <w:pPr>
        <w:spacing w:line="440" w:lineRule="exact"/>
        <w:ind w:firstLine="480" w:firstLineChars="200"/>
        <w:rPr>
          <w:sz w:val="24"/>
          <w:szCs w:val="24"/>
        </w:rPr>
      </w:pPr>
      <w:r>
        <w:rPr>
          <w:rFonts w:hint="eastAsia"/>
          <w:sz w:val="24"/>
          <w:szCs w:val="24"/>
        </w:rPr>
        <w:t>（2）施划后的标线应具有良好的全天候视认性，颜色均匀、边缘整齐、线型规则、线条流畅。</w:t>
      </w:r>
    </w:p>
    <w:p w14:paraId="21A48B6D">
      <w:pPr>
        <w:spacing w:line="440" w:lineRule="exact"/>
        <w:ind w:firstLine="480" w:firstLineChars="200"/>
        <w:rPr>
          <w:sz w:val="24"/>
          <w:szCs w:val="24"/>
        </w:rPr>
      </w:pPr>
      <w:r>
        <w:rPr>
          <w:rFonts w:hint="eastAsia"/>
          <w:sz w:val="24"/>
          <w:szCs w:val="24"/>
        </w:rPr>
        <w:t>（3）标线面撒玻璃珠应撒布均匀。标线无明显起泡、皱纹、开裂、剥落等缺陷。</w:t>
      </w:r>
    </w:p>
    <w:p w14:paraId="5038F315">
      <w:pPr>
        <w:spacing w:line="440" w:lineRule="exact"/>
        <w:ind w:firstLine="480" w:firstLineChars="200"/>
        <w:rPr>
          <w:sz w:val="24"/>
          <w:szCs w:val="24"/>
          <w:u w:val="double"/>
        </w:rPr>
      </w:pPr>
      <w:r>
        <w:rPr>
          <w:rFonts w:hint="eastAsia"/>
          <w:sz w:val="24"/>
          <w:szCs w:val="24"/>
          <w:u w:val="double"/>
        </w:rPr>
        <w:t>（4）标线施工污染路面应及时清理。</w:t>
      </w:r>
    </w:p>
    <w:p w14:paraId="2EE71E42">
      <w:pPr>
        <w:spacing w:line="440" w:lineRule="exact"/>
        <w:ind w:firstLine="480" w:firstLineChars="200"/>
        <w:rPr>
          <w:sz w:val="24"/>
          <w:szCs w:val="24"/>
        </w:rPr>
      </w:pPr>
      <w:bookmarkStart w:id="126" w:name="_Toc6679"/>
      <w:bookmarkStart w:id="127" w:name="_Toc31844"/>
      <w:bookmarkStart w:id="128" w:name="_Toc31345"/>
      <w:r>
        <w:rPr>
          <w:rFonts w:hint="eastAsia"/>
          <w:sz w:val="24"/>
          <w:szCs w:val="24"/>
        </w:rPr>
        <w:t>25.3.2 实测项目</w:t>
      </w:r>
      <w:bookmarkEnd w:id="126"/>
      <w:bookmarkEnd w:id="127"/>
      <w:bookmarkEnd w:id="128"/>
    </w:p>
    <w:p w14:paraId="3C12ABDA">
      <w:pPr>
        <w:spacing w:line="440" w:lineRule="exact"/>
        <w:ind w:firstLine="480" w:firstLineChars="200"/>
        <w:rPr>
          <w:sz w:val="24"/>
          <w:szCs w:val="24"/>
        </w:rPr>
      </w:pPr>
      <w:r>
        <w:rPr>
          <w:rFonts w:hint="eastAsia"/>
          <w:sz w:val="24"/>
          <w:szCs w:val="24"/>
        </w:rPr>
        <w:t>热熔标线实测项目见表3和表4。</w:t>
      </w:r>
    </w:p>
    <w:p w14:paraId="6576B40D">
      <w:pPr>
        <w:spacing w:line="440" w:lineRule="exact"/>
        <w:ind w:firstLine="482"/>
        <w:jc w:val="center"/>
        <w:rPr>
          <w:sz w:val="24"/>
          <w:szCs w:val="24"/>
        </w:rPr>
      </w:pPr>
      <w:r>
        <w:rPr>
          <w:rFonts w:hint="eastAsia"/>
          <w:sz w:val="24"/>
          <w:szCs w:val="24"/>
        </w:rPr>
        <w:t>表3 热熔标线实测项目</w:t>
      </w:r>
    </w:p>
    <w:tbl>
      <w:tblPr>
        <w:tblStyle w:val="25"/>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829"/>
        <w:gridCol w:w="1580"/>
        <w:gridCol w:w="817"/>
        <w:gridCol w:w="1196"/>
        <w:gridCol w:w="2011"/>
        <w:gridCol w:w="2471"/>
      </w:tblGrid>
      <w:tr w14:paraId="0D4E5DB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9" w:hRule="exact"/>
          <w:jc w:val="center"/>
        </w:trPr>
        <w:tc>
          <w:tcPr>
            <w:tcW w:w="829" w:type="dxa"/>
            <w:vAlign w:val="center"/>
          </w:tcPr>
          <w:p w14:paraId="4D8D6516">
            <w:pPr>
              <w:spacing w:line="440" w:lineRule="exact"/>
              <w:jc w:val="center"/>
              <w:rPr>
                <w:szCs w:val="21"/>
              </w:rPr>
            </w:pPr>
            <w:r>
              <w:rPr>
                <w:szCs w:val="21"/>
              </w:rPr>
              <w:t>项次</w:t>
            </w:r>
          </w:p>
        </w:tc>
        <w:tc>
          <w:tcPr>
            <w:tcW w:w="3593" w:type="dxa"/>
            <w:gridSpan w:val="3"/>
            <w:vAlign w:val="center"/>
          </w:tcPr>
          <w:p w14:paraId="549A6137">
            <w:pPr>
              <w:spacing w:line="440" w:lineRule="exact"/>
              <w:ind w:firstLine="422"/>
              <w:jc w:val="center"/>
              <w:rPr>
                <w:szCs w:val="21"/>
              </w:rPr>
            </w:pPr>
            <w:r>
              <w:rPr>
                <w:szCs w:val="21"/>
              </w:rPr>
              <w:t>检查项目</w:t>
            </w:r>
          </w:p>
        </w:tc>
        <w:tc>
          <w:tcPr>
            <w:tcW w:w="2011" w:type="dxa"/>
            <w:vAlign w:val="center"/>
          </w:tcPr>
          <w:p w14:paraId="6FC99B74">
            <w:pPr>
              <w:spacing w:line="440" w:lineRule="exact"/>
              <w:ind w:firstLine="422"/>
              <w:jc w:val="center"/>
              <w:rPr>
                <w:szCs w:val="21"/>
              </w:rPr>
            </w:pPr>
            <w:r>
              <w:rPr>
                <w:szCs w:val="21"/>
              </w:rPr>
              <w:t>规定值或允许偏差</w:t>
            </w:r>
          </w:p>
        </w:tc>
        <w:tc>
          <w:tcPr>
            <w:tcW w:w="2471" w:type="dxa"/>
            <w:vAlign w:val="center"/>
          </w:tcPr>
          <w:p w14:paraId="0960C03A">
            <w:pPr>
              <w:spacing w:line="440" w:lineRule="exact"/>
              <w:ind w:firstLine="422"/>
              <w:jc w:val="center"/>
              <w:rPr>
                <w:szCs w:val="21"/>
              </w:rPr>
            </w:pPr>
            <w:r>
              <w:rPr>
                <w:szCs w:val="21"/>
              </w:rPr>
              <w:t>检查方法和频率</w:t>
            </w:r>
          </w:p>
        </w:tc>
      </w:tr>
      <w:tr w14:paraId="1A94312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51" w:hRule="exact"/>
          <w:jc w:val="center"/>
        </w:trPr>
        <w:tc>
          <w:tcPr>
            <w:tcW w:w="829" w:type="dxa"/>
            <w:vMerge w:val="restart"/>
            <w:vAlign w:val="center"/>
          </w:tcPr>
          <w:p w14:paraId="1F537EF9">
            <w:pPr>
              <w:spacing w:line="440" w:lineRule="exact"/>
              <w:ind w:firstLine="422"/>
              <w:jc w:val="center"/>
              <w:rPr>
                <w:szCs w:val="21"/>
              </w:rPr>
            </w:pPr>
            <w:r>
              <w:rPr>
                <w:szCs w:val="21"/>
              </w:rPr>
              <w:t>1</w:t>
            </w:r>
          </w:p>
        </w:tc>
        <w:tc>
          <w:tcPr>
            <w:tcW w:w="1580" w:type="dxa"/>
            <w:vMerge w:val="restart"/>
            <w:vAlign w:val="center"/>
          </w:tcPr>
          <w:p w14:paraId="622F61CE">
            <w:pPr>
              <w:spacing w:line="440" w:lineRule="exact"/>
              <w:ind w:firstLine="422"/>
              <w:rPr>
                <w:szCs w:val="21"/>
              </w:rPr>
            </w:pPr>
            <w:r>
              <w:rPr>
                <w:szCs w:val="21"/>
              </w:rPr>
              <w:t>标线线段长度（mm）</w:t>
            </w:r>
          </w:p>
        </w:tc>
        <w:tc>
          <w:tcPr>
            <w:tcW w:w="2012" w:type="dxa"/>
            <w:gridSpan w:val="2"/>
            <w:vAlign w:val="center"/>
          </w:tcPr>
          <w:p w14:paraId="6AB34039">
            <w:pPr>
              <w:spacing w:line="440" w:lineRule="exact"/>
              <w:ind w:firstLine="422"/>
              <w:rPr>
                <w:szCs w:val="21"/>
              </w:rPr>
            </w:pPr>
            <w:r>
              <w:rPr>
                <w:szCs w:val="21"/>
              </w:rPr>
              <w:t>6000</w:t>
            </w:r>
          </w:p>
        </w:tc>
        <w:tc>
          <w:tcPr>
            <w:tcW w:w="2011" w:type="dxa"/>
            <w:vAlign w:val="center"/>
          </w:tcPr>
          <w:p w14:paraId="0278107F">
            <w:pPr>
              <w:spacing w:line="440" w:lineRule="exact"/>
              <w:ind w:firstLine="422"/>
              <w:rPr>
                <w:szCs w:val="21"/>
              </w:rPr>
            </w:pPr>
            <w:r>
              <w:rPr>
                <w:szCs w:val="21"/>
              </w:rPr>
              <w:t>±30</w:t>
            </w:r>
          </w:p>
        </w:tc>
        <w:tc>
          <w:tcPr>
            <w:tcW w:w="2471" w:type="dxa"/>
            <w:vMerge w:val="restart"/>
            <w:vAlign w:val="center"/>
          </w:tcPr>
          <w:p w14:paraId="485C868C">
            <w:pPr>
              <w:spacing w:line="440" w:lineRule="exact"/>
              <w:ind w:firstLine="422"/>
              <w:rPr>
                <w:szCs w:val="21"/>
              </w:rPr>
            </w:pPr>
            <w:r>
              <w:rPr>
                <w:szCs w:val="21"/>
              </w:rPr>
              <w:t>尺量：每1km测3处，每处测3个线段</w:t>
            </w:r>
          </w:p>
        </w:tc>
      </w:tr>
      <w:tr w14:paraId="357643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1" w:hRule="exact"/>
          <w:jc w:val="center"/>
        </w:trPr>
        <w:tc>
          <w:tcPr>
            <w:tcW w:w="829" w:type="dxa"/>
            <w:vMerge w:val="continue"/>
            <w:vAlign w:val="center"/>
          </w:tcPr>
          <w:p w14:paraId="59E4C6AF">
            <w:pPr>
              <w:spacing w:line="440" w:lineRule="exact"/>
              <w:ind w:firstLine="422"/>
              <w:jc w:val="center"/>
              <w:rPr>
                <w:szCs w:val="21"/>
              </w:rPr>
            </w:pPr>
          </w:p>
        </w:tc>
        <w:tc>
          <w:tcPr>
            <w:tcW w:w="1580" w:type="dxa"/>
            <w:vMerge w:val="continue"/>
            <w:vAlign w:val="center"/>
          </w:tcPr>
          <w:p w14:paraId="7DDA71D1">
            <w:pPr>
              <w:spacing w:line="440" w:lineRule="exact"/>
              <w:ind w:firstLine="422"/>
              <w:rPr>
                <w:szCs w:val="21"/>
              </w:rPr>
            </w:pPr>
          </w:p>
        </w:tc>
        <w:tc>
          <w:tcPr>
            <w:tcW w:w="2012" w:type="dxa"/>
            <w:gridSpan w:val="2"/>
            <w:vAlign w:val="center"/>
          </w:tcPr>
          <w:p w14:paraId="34DDBFC9">
            <w:pPr>
              <w:spacing w:line="440" w:lineRule="exact"/>
              <w:ind w:firstLine="422"/>
              <w:rPr>
                <w:szCs w:val="21"/>
              </w:rPr>
            </w:pPr>
            <w:r>
              <w:rPr>
                <w:szCs w:val="21"/>
              </w:rPr>
              <w:t>4000</w:t>
            </w:r>
          </w:p>
        </w:tc>
        <w:tc>
          <w:tcPr>
            <w:tcW w:w="2011" w:type="dxa"/>
            <w:vAlign w:val="center"/>
          </w:tcPr>
          <w:p w14:paraId="61517709">
            <w:pPr>
              <w:spacing w:line="440" w:lineRule="exact"/>
              <w:ind w:firstLine="422"/>
              <w:rPr>
                <w:szCs w:val="21"/>
              </w:rPr>
            </w:pPr>
            <w:r>
              <w:rPr>
                <w:szCs w:val="21"/>
              </w:rPr>
              <w:t>±20</w:t>
            </w:r>
          </w:p>
        </w:tc>
        <w:tc>
          <w:tcPr>
            <w:tcW w:w="2471" w:type="dxa"/>
            <w:vMerge w:val="continue"/>
            <w:vAlign w:val="center"/>
          </w:tcPr>
          <w:p w14:paraId="374EEC67">
            <w:pPr>
              <w:spacing w:line="440" w:lineRule="exact"/>
              <w:ind w:firstLine="422"/>
              <w:rPr>
                <w:szCs w:val="21"/>
              </w:rPr>
            </w:pPr>
          </w:p>
        </w:tc>
      </w:tr>
      <w:tr w14:paraId="5AD5311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6" w:hRule="exact"/>
          <w:jc w:val="center"/>
        </w:trPr>
        <w:tc>
          <w:tcPr>
            <w:tcW w:w="829" w:type="dxa"/>
            <w:vMerge w:val="continue"/>
            <w:vAlign w:val="center"/>
          </w:tcPr>
          <w:p w14:paraId="14B525B7">
            <w:pPr>
              <w:spacing w:line="440" w:lineRule="exact"/>
              <w:ind w:firstLine="422"/>
              <w:jc w:val="center"/>
              <w:rPr>
                <w:szCs w:val="21"/>
              </w:rPr>
            </w:pPr>
          </w:p>
        </w:tc>
        <w:tc>
          <w:tcPr>
            <w:tcW w:w="1580" w:type="dxa"/>
            <w:vMerge w:val="continue"/>
            <w:vAlign w:val="center"/>
          </w:tcPr>
          <w:p w14:paraId="78D00FE0">
            <w:pPr>
              <w:spacing w:line="440" w:lineRule="exact"/>
              <w:ind w:firstLine="422"/>
              <w:rPr>
                <w:szCs w:val="21"/>
              </w:rPr>
            </w:pPr>
          </w:p>
        </w:tc>
        <w:tc>
          <w:tcPr>
            <w:tcW w:w="2012" w:type="dxa"/>
            <w:gridSpan w:val="2"/>
            <w:vAlign w:val="center"/>
          </w:tcPr>
          <w:p w14:paraId="159DF3DD">
            <w:pPr>
              <w:spacing w:line="440" w:lineRule="exact"/>
              <w:ind w:firstLine="422"/>
              <w:rPr>
                <w:szCs w:val="21"/>
              </w:rPr>
            </w:pPr>
            <w:r>
              <w:rPr>
                <w:szCs w:val="21"/>
              </w:rPr>
              <w:t>3000</w:t>
            </w:r>
          </w:p>
        </w:tc>
        <w:tc>
          <w:tcPr>
            <w:tcW w:w="2011" w:type="dxa"/>
            <w:vAlign w:val="center"/>
          </w:tcPr>
          <w:p w14:paraId="0F0ED0DD">
            <w:pPr>
              <w:spacing w:line="440" w:lineRule="exact"/>
              <w:ind w:firstLine="422"/>
              <w:rPr>
                <w:szCs w:val="21"/>
              </w:rPr>
            </w:pPr>
            <w:r>
              <w:rPr>
                <w:szCs w:val="21"/>
              </w:rPr>
              <w:t>±15</w:t>
            </w:r>
          </w:p>
        </w:tc>
        <w:tc>
          <w:tcPr>
            <w:tcW w:w="2471" w:type="dxa"/>
            <w:vMerge w:val="continue"/>
            <w:vAlign w:val="center"/>
          </w:tcPr>
          <w:p w14:paraId="342DEC05">
            <w:pPr>
              <w:spacing w:line="440" w:lineRule="exact"/>
              <w:ind w:firstLine="422"/>
              <w:rPr>
                <w:szCs w:val="21"/>
              </w:rPr>
            </w:pPr>
          </w:p>
        </w:tc>
      </w:tr>
      <w:tr w14:paraId="56D461B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61" w:hRule="exact"/>
          <w:jc w:val="center"/>
        </w:trPr>
        <w:tc>
          <w:tcPr>
            <w:tcW w:w="829" w:type="dxa"/>
            <w:vMerge w:val="continue"/>
            <w:vAlign w:val="center"/>
          </w:tcPr>
          <w:p w14:paraId="703E09C9">
            <w:pPr>
              <w:spacing w:line="440" w:lineRule="exact"/>
              <w:ind w:firstLine="422"/>
              <w:jc w:val="center"/>
              <w:rPr>
                <w:szCs w:val="21"/>
              </w:rPr>
            </w:pPr>
          </w:p>
        </w:tc>
        <w:tc>
          <w:tcPr>
            <w:tcW w:w="1580" w:type="dxa"/>
            <w:vMerge w:val="continue"/>
            <w:vAlign w:val="center"/>
          </w:tcPr>
          <w:p w14:paraId="5586CF15">
            <w:pPr>
              <w:spacing w:line="440" w:lineRule="exact"/>
              <w:ind w:firstLine="422"/>
              <w:rPr>
                <w:szCs w:val="21"/>
              </w:rPr>
            </w:pPr>
          </w:p>
        </w:tc>
        <w:tc>
          <w:tcPr>
            <w:tcW w:w="2012" w:type="dxa"/>
            <w:gridSpan w:val="2"/>
            <w:vAlign w:val="center"/>
          </w:tcPr>
          <w:p w14:paraId="18061C4E">
            <w:pPr>
              <w:spacing w:line="440" w:lineRule="exact"/>
              <w:ind w:firstLine="422"/>
              <w:rPr>
                <w:szCs w:val="21"/>
              </w:rPr>
            </w:pPr>
            <w:r>
              <w:rPr>
                <w:szCs w:val="21"/>
              </w:rPr>
              <w:t>2000</w:t>
            </w:r>
          </w:p>
        </w:tc>
        <w:tc>
          <w:tcPr>
            <w:tcW w:w="2011" w:type="dxa"/>
            <w:vAlign w:val="center"/>
          </w:tcPr>
          <w:p w14:paraId="1D449A27">
            <w:pPr>
              <w:spacing w:line="440" w:lineRule="exact"/>
              <w:ind w:firstLine="422"/>
              <w:rPr>
                <w:szCs w:val="21"/>
              </w:rPr>
            </w:pPr>
            <w:r>
              <w:rPr>
                <w:szCs w:val="21"/>
              </w:rPr>
              <w:t>±10</w:t>
            </w:r>
          </w:p>
        </w:tc>
        <w:tc>
          <w:tcPr>
            <w:tcW w:w="2471" w:type="dxa"/>
            <w:vMerge w:val="continue"/>
            <w:vAlign w:val="center"/>
          </w:tcPr>
          <w:p w14:paraId="0EAEFE50">
            <w:pPr>
              <w:spacing w:line="440" w:lineRule="exact"/>
              <w:ind w:firstLine="422"/>
              <w:rPr>
                <w:szCs w:val="21"/>
              </w:rPr>
            </w:pPr>
          </w:p>
        </w:tc>
      </w:tr>
      <w:tr w14:paraId="2CB0517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6" w:hRule="exact"/>
          <w:jc w:val="center"/>
        </w:trPr>
        <w:tc>
          <w:tcPr>
            <w:tcW w:w="829" w:type="dxa"/>
            <w:vMerge w:val="continue"/>
            <w:vAlign w:val="center"/>
          </w:tcPr>
          <w:p w14:paraId="4FC93537">
            <w:pPr>
              <w:spacing w:line="440" w:lineRule="exact"/>
              <w:ind w:firstLine="422"/>
              <w:jc w:val="center"/>
              <w:rPr>
                <w:szCs w:val="21"/>
              </w:rPr>
            </w:pPr>
          </w:p>
        </w:tc>
        <w:tc>
          <w:tcPr>
            <w:tcW w:w="1580" w:type="dxa"/>
            <w:vMerge w:val="continue"/>
            <w:vAlign w:val="center"/>
          </w:tcPr>
          <w:p w14:paraId="6E988FCA">
            <w:pPr>
              <w:spacing w:line="440" w:lineRule="exact"/>
              <w:ind w:firstLine="422"/>
              <w:rPr>
                <w:szCs w:val="21"/>
              </w:rPr>
            </w:pPr>
          </w:p>
        </w:tc>
        <w:tc>
          <w:tcPr>
            <w:tcW w:w="2012" w:type="dxa"/>
            <w:gridSpan w:val="2"/>
            <w:vAlign w:val="center"/>
          </w:tcPr>
          <w:p w14:paraId="24D7EB5F">
            <w:pPr>
              <w:spacing w:line="440" w:lineRule="exact"/>
              <w:ind w:firstLine="422"/>
              <w:rPr>
                <w:szCs w:val="21"/>
              </w:rPr>
            </w:pPr>
            <w:r>
              <w:rPr>
                <w:szCs w:val="21"/>
              </w:rPr>
              <w:t>1000</w:t>
            </w:r>
          </w:p>
        </w:tc>
        <w:tc>
          <w:tcPr>
            <w:tcW w:w="2011" w:type="dxa"/>
            <w:vAlign w:val="center"/>
          </w:tcPr>
          <w:p w14:paraId="084DF07C">
            <w:pPr>
              <w:spacing w:line="440" w:lineRule="exact"/>
              <w:ind w:firstLine="422"/>
              <w:rPr>
                <w:szCs w:val="21"/>
              </w:rPr>
            </w:pPr>
            <w:r>
              <w:rPr>
                <w:szCs w:val="21"/>
              </w:rPr>
              <w:t>±10</w:t>
            </w:r>
          </w:p>
        </w:tc>
        <w:tc>
          <w:tcPr>
            <w:tcW w:w="2471" w:type="dxa"/>
            <w:vMerge w:val="continue"/>
            <w:vAlign w:val="center"/>
          </w:tcPr>
          <w:p w14:paraId="60A4E0AC">
            <w:pPr>
              <w:spacing w:line="440" w:lineRule="exact"/>
              <w:ind w:firstLine="422"/>
              <w:rPr>
                <w:szCs w:val="21"/>
              </w:rPr>
            </w:pPr>
          </w:p>
        </w:tc>
      </w:tr>
      <w:tr w14:paraId="7F4B664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87" w:hRule="exact"/>
          <w:jc w:val="center"/>
        </w:trPr>
        <w:tc>
          <w:tcPr>
            <w:tcW w:w="829" w:type="dxa"/>
            <w:vAlign w:val="center"/>
          </w:tcPr>
          <w:p w14:paraId="40008758">
            <w:pPr>
              <w:spacing w:line="440" w:lineRule="exact"/>
              <w:ind w:firstLine="422"/>
              <w:jc w:val="center"/>
              <w:rPr>
                <w:szCs w:val="21"/>
              </w:rPr>
            </w:pPr>
            <w:r>
              <w:rPr>
                <w:szCs w:val="21"/>
              </w:rPr>
              <w:t>2</w:t>
            </w:r>
          </w:p>
        </w:tc>
        <w:tc>
          <w:tcPr>
            <w:tcW w:w="3593" w:type="dxa"/>
            <w:gridSpan w:val="3"/>
            <w:vAlign w:val="center"/>
          </w:tcPr>
          <w:p w14:paraId="2F064E39">
            <w:pPr>
              <w:spacing w:line="440" w:lineRule="exact"/>
              <w:ind w:firstLine="422"/>
              <w:rPr>
                <w:szCs w:val="21"/>
              </w:rPr>
            </w:pPr>
            <w:r>
              <w:rPr>
                <w:szCs w:val="21"/>
              </w:rPr>
              <w:t>标线宽度（mm）</w:t>
            </w:r>
          </w:p>
        </w:tc>
        <w:tc>
          <w:tcPr>
            <w:tcW w:w="2011" w:type="dxa"/>
            <w:vAlign w:val="center"/>
          </w:tcPr>
          <w:p w14:paraId="27042F47">
            <w:pPr>
              <w:spacing w:line="440" w:lineRule="exact"/>
              <w:ind w:firstLine="422"/>
              <w:rPr>
                <w:szCs w:val="21"/>
              </w:rPr>
            </w:pPr>
            <w:r>
              <w:rPr>
                <w:szCs w:val="21"/>
              </w:rPr>
              <w:t>+5，0</w:t>
            </w:r>
          </w:p>
        </w:tc>
        <w:tc>
          <w:tcPr>
            <w:tcW w:w="2471" w:type="dxa"/>
            <w:vAlign w:val="center"/>
          </w:tcPr>
          <w:p w14:paraId="793370F2">
            <w:pPr>
              <w:spacing w:line="440" w:lineRule="exact"/>
              <w:ind w:firstLine="422"/>
              <w:rPr>
                <w:szCs w:val="21"/>
              </w:rPr>
            </w:pPr>
            <w:r>
              <w:rPr>
                <w:szCs w:val="21"/>
              </w:rPr>
              <w:t>尺量：每1km测3处，每处测</w:t>
            </w:r>
          </w:p>
          <w:p w14:paraId="4FDED7F9">
            <w:pPr>
              <w:spacing w:line="440" w:lineRule="exact"/>
              <w:ind w:firstLine="422"/>
              <w:rPr>
                <w:szCs w:val="21"/>
              </w:rPr>
            </w:pPr>
            <w:r>
              <w:rPr>
                <w:szCs w:val="21"/>
              </w:rPr>
              <w:t>3点</w:t>
            </w:r>
          </w:p>
        </w:tc>
      </w:tr>
      <w:tr w14:paraId="2C8958A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31" w:hRule="exact"/>
          <w:jc w:val="center"/>
        </w:trPr>
        <w:tc>
          <w:tcPr>
            <w:tcW w:w="829" w:type="dxa"/>
            <w:vMerge w:val="restart"/>
            <w:vAlign w:val="center"/>
          </w:tcPr>
          <w:p w14:paraId="7F75935A">
            <w:pPr>
              <w:spacing w:line="440" w:lineRule="exact"/>
              <w:ind w:firstLine="422"/>
              <w:jc w:val="center"/>
              <w:rPr>
                <w:szCs w:val="21"/>
              </w:rPr>
            </w:pPr>
            <w:r>
              <w:rPr>
                <w:szCs w:val="21"/>
              </w:rPr>
              <w:t>3</w:t>
            </w:r>
          </w:p>
        </w:tc>
        <w:tc>
          <w:tcPr>
            <w:tcW w:w="1580" w:type="dxa"/>
            <w:vMerge w:val="restart"/>
            <w:vAlign w:val="center"/>
          </w:tcPr>
          <w:p w14:paraId="6F007A61">
            <w:pPr>
              <w:spacing w:line="440" w:lineRule="exact"/>
              <w:ind w:firstLine="422"/>
              <w:rPr>
                <w:szCs w:val="21"/>
              </w:rPr>
            </w:pPr>
            <w:r>
              <w:rPr>
                <w:szCs w:val="21"/>
              </w:rPr>
              <w:t>标线厚度</w:t>
            </w:r>
          </w:p>
          <w:p w14:paraId="34262C38">
            <w:pPr>
              <w:spacing w:line="440" w:lineRule="exact"/>
              <w:jc w:val="center"/>
              <w:rPr>
                <w:szCs w:val="21"/>
              </w:rPr>
            </w:pPr>
            <w:r>
              <w:rPr>
                <w:szCs w:val="21"/>
              </w:rPr>
              <w:t>（干膜，mm）</w:t>
            </w:r>
          </w:p>
        </w:tc>
        <w:tc>
          <w:tcPr>
            <w:tcW w:w="2012" w:type="dxa"/>
            <w:gridSpan w:val="2"/>
            <w:vAlign w:val="center"/>
          </w:tcPr>
          <w:p w14:paraId="7F7247FB">
            <w:pPr>
              <w:spacing w:line="440" w:lineRule="exact"/>
              <w:ind w:firstLine="422"/>
              <w:rPr>
                <w:szCs w:val="21"/>
              </w:rPr>
            </w:pPr>
            <w:r>
              <w:rPr>
                <w:szCs w:val="21"/>
              </w:rPr>
              <w:t>热熔型</w:t>
            </w:r>
          </w:p>
        </w:tc>
        <w:tc>
          <w:tcPr>
            <w:tcW w:w="2011" w:type="dxa"/>
            <w:vAlign w:val="center"/>
          </w:tcPr>
          <w:p w14:paraId="54C1E6B0">
            <w:pPr>
              <w:spacing w:line="440" w:lineRule="exact"/>
              <w:ind w:firstLine="422"/>
              <w:rPr>
                <w:szCs w:val="21"/>
              </w:rPr>
            </w:pPr>
            <w:r>
              <w:rPr>
                <w:rFonts w:hint="eastAsia"/>
                <w:szCs w:val="21"/>
              </w:rPr>
              <w:t>2.0mm(0,+0.5)</w:t>
            </w:r>
          </w:p>
        </w:tc>
        <w:tc>
          <w:tcPr>
            <w:tcW w:w="2471" w:type="dxa"/>
            <w:vMerge w:val="restart"/>
            <w:vAlign w:val="center"/>
          </w:tcPr>
          <w:p w14:paraId="446B0604">
            <w:pPr>
              <w:spacing w:line="440" w:lineRule="exact"/>
              <w:ind w:firstLine="422"/>
              <w:rPr>
                <w:szCs w:val="21"/>
              </w:rPr>
            </w:pPr>
            <w:r>
              <w:rPr>
                <w:szCs w:val="21"/>
              </w:rPr>
              <w:t>标线厚度测量仪或卡尺：每1km测3处，每处测6点</w:t>
            </w:r>
          </w:p>
        </w:tc>
      </w:tr>
      <w:tr w14:paraId="57E905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86" w:hRule="exact"/>
          <w:jc w:val="center"/>
        </w:trPr>
        <w:tc>
          <w:tcPr>
            <w:tcW w:w="829" w:type="dxa"/>
            <w:vMerge w:val="continue"/>
            <w:vAlign w:val="center"/>
          </w:tcPr>
          <w:p w14:paraId="645F2794">
            <w:pPr>
              <w:spacing w:line="440" w:lineRule="exact"/>
              <w:ind w:firstLine="422"/>
              <w:jc w:val="center"/>
              <w:rPr>
                <w:szCs w:val="21"/>
              </w:rPr>
            </w:pPr>
          </w:p>
        </w:tc>
        <w:tc>
          <w:tcPr>
            <w:tcW w:w="1580" w:type="dxa"/>
            <w:vMerge w:val="continue"/>
            <w:vAlign w:val="center"/>
          </w:tcPr>
          <w:p w14:paraId="56CB3851">
            <w:pPr>
              <w:spacing w:line="440" w:lineRule="exact"/>
              <w:ind w:firstLine="422"/>
              <w:rPr>
                <w:szCs w:val="21"/>
              </w:rPr>
            </w:pPr>
          </w:p>
        </w:tc>
        <w:tc>
          <w:tcPr>
            <w:tcW w:w="817" w:type="dxa"/>
            <w:vMerge w:val="restart"/>
            <w:vAlign w:val="center"/>
          </w:tcPr>
          <w:p w14:paraId="7563B846">
            <w:pPr>
              <w:spacing w:line="440" w:lineRule="exact"/>
              <w:rPr>
                <w:szCs w:val="21"/>
              </w:rPr>
            </w:pPr>
            <w:r>
              <w:rPr>
                <w:szCs w:val="21"/>
              </w:rPr>
              <w:t>突起型</w:t>
            </w:r>
          </w:p>
        </w:tc>
        <w:tc>
          <w:tcPr>
            <w:tcW w:w="1195" w:type="dxa"/>
            <w:vAlign w:val="center"/>
          </w:tcPr>
          <w:p w14:paraId="301997FF">
            <w:pPr>
              <w:spacing w:line="440" w:lineRule="exact"/>
              <w:ind w:firstLine="422"/>
              <w:rPr>
                <w:szCs w:val="21"/>
              </w:rPr>
            </w:pPr>
            <w:r>
              <w:rPr>
                <w:szCs w:val="21"/>
              </w:rPr>
              <w:t>突起高度</w:t>
            </w:r>
          </w:p>
        </w:tc>
        <w:tc>
          <w:tcPr>
            <w:tcW w:w="2011" w:type="dxa"/>
            <w:vAlign w:val="center"/>
          </w:tcPr>
          <w:p w14:paraId="7B9F9B17">
            <w:pPr>
              <w:spacing w:line="440" w:lineRule="exact"/>
              <w:ind w:firstLine="422"/>
              <w:rPr>
                <w:szCs w:val="21"/>
              </w:rPr>
            </w:pPr>
            <w:r>
              <w:rPr>
                <w:szCs w:val="21"/>
              </w:rPr>
              <w:t>不小于设计值</w:t>
            </w:r>
          </w:p>
        </w:tc>
        <w:tc>
          <w:tcPr>
            <w:tcW w:w="2471" w:type="dxa"/>
            <w:vMerge w:val="continue"/>
            <w:vAlign w:val="center"/>
          </w:tcPr>
          <w:p w14:paraId="4CE92B9B">
            <w:pPr>
              <w:spacing w:line="440" w:lineRule="exact"/>
              <w:ind w:firstLine="422"/>
              <w:rPr>
                <w:szCs w:val="21"/>
              </w:rPr>
            </w:pPr>
          </w:p>
        </w:tc>
      </w:tr>
      <w:tr w14:paraId="698A136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1" w:hRule="exact"/>
          <w:jc w:val="center"/>
        </w:trPr>
        <w:tc>
          <w:tcPr>
            <w:tcW w:w="829" w:type="dxa"/>
            <w:vMerge w:val="continue"/>
            <w:vAlign w:val="center"/>
          </w:tcPr>
          <w:p w14:paraId="3B22F91F">
            <w:pPr>
              <w:spacing w:line="440" w:lineRule="exact"/>
              <w:ind w:firstLine="422"/>
              <w:jc w:val="center"/>
              <w:rPr>
                <w:szCs w:val="21"/>
              </w:rPr>
            </w:pPr>
          </w:p>
        </w:tc>
        <w:tc>
          <w:tcPr>
            <w:tcW w:w="1580" w:type="dxa"/>
            <w:vMerge w:val="continue"/>
            <w:vAlign w:val="center"/>
          </w:tcPr>
          <w:p w14:paraId="08557036">
            <w:pPr>
              <w:spacing w:line="440" w:lineRule="exact"/>
              <w:ind w:firstLine="422"/>
              <w:rPr>
                <w:szCs w:val="21"/>
              </w:rPr>
            </w:pPr>
          </w:p>
        </w:tc>
        <w:tc>
          <w:tcPr>
            <w:tcW w:w="817" w:type="dxa"/>
            <w:vMerge w:val="continue"/>
            <w:vAlign w:val="center"/>
          </w:tcPr>
          <w:p w14:paraId="02366865">
            <w:pPr>
              <w:spacing w:line="440" w:lineRule="exact"/>
              <w:ind w:firstLine="422"/>
              <w:rPr>
                <w:szCs w:val="21"/>
              </w:rPr>
            </w:pPr>
          </w:p>
        </w:tc>
        <w:tc>
          <w:tcPr>
            <w:tcW w:w="1195" w:type="dxa"/>
            <w:vAlign w:val="center"/>
          </w:tcPr>
          <w:p w14:paraId="664B1AC4">
            <w:pPr>
              <w:spacing w:line="440" w:lineRule="exact"/>
              <w:ind w:firstLine="422"/>
              <w:rPr>
                <w:szCs w:val="21"/>
              </w:rPr>
            </w:pPr>
            <w:r>
              <w:rPr>
                <w:szCs w:val="21"/>
              </w:rPr>
              <w:t>基线厚度</w:t>
            </w:r>
          </w:p>
        </w:tc>
        <w:tc>
          <w:tcPr>
            <w:tcW w:w="2011" w:type="dxa"/>
            <w:vAlign w:val="center"/>
          </w:tcPr>
          <w:p w14:paraId="15211223">
            <w:pPr>
              <w:spacing w:line="440" w:lineRule="exact"/>
              <w:ind w:firstLine="422"/>
              <w:rPr>
                <w:szCs w:val="21"/>
              </w:rPr>
            </w:pPr>
            <w:r>
              <w:rPr>
                <w:szCs w:val="21"/>
              </w:rPr>
              <w:t>不小于设计值</w:t>
            </w:r>
          </w:p>
        </w:tc>
        <w:tc>
          <w:tcPr>
            <w:tcW w:w="2471" w:type="dxa"/>
            <w:vMerge w:val="continue"/>
            <w:vAlign w:val="center"/>
          </w:tcPr>
          <w:p w14:paraId="1090BFB2">
            <w:pPr>
              <w:spacing w:line="440" w:lineRule="exact"/>
              <w:ind w:firstLine="422"/>
              <w:rPr>
                <w:szCs w:val="21"/>
              </w:rPr>
            </w:pPr>
          </w:p>
        </w:tc>
      </w:tr>
      <w:tr w14:paraId="2A9A527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79" w:hRule="exact"/>
          <w:jc w:val="center"/>
        </w:trPr>
        <w:tc>
          <w:tcPr>
            <w:tcW w:w="829" w:type="dxa"/>
            <w:vAlign w:val="center"/>
          </w:tcPr>
          <w:p w14:paraId="075C6474">
            <w:pPr>
              <w:spacing w:line="440" w:lineRule="exact"/>
              <w:ind w:firstLine="422"/>
              <w:jc w:val="center"/>
              <w:rPr>
                <w:szCs w:val="21"/>
              </w:rPr>
            </w:pPr>
            <w:r>
              <w:rPr>
                <w:szCs w:val="21"/>
              </w:rPr>
              <w:t>4</w:t>
            </w:r>
          </w:p>
        </w:tc>
        <w:tc>
          <w:tcPr>
            <w:tcW w:w="3593" w:type="dxa"/>
            <w:gridSpan w:val="3"/>
            <w:vAlign w:val="center"/>
          </w:tcPr>
          <w:p w14:paraId="7F0A7B56">
            <w:pPr>
              <w:spacing w:line="440" w:lineRule="exact"/>
              <w:ind w:firstLine="422"/>
              <w:rPr>
                <w:szCs w:val="21"/>
              </w:rPr>
            </w:pPr>
            <w:r>
              <w:rPr>
                <w:szCs w:val="21"/>
              </w:rPr>
              <w:t>标线横向偏位（mm）</w:t>
            </w:r>
          </w:p>
        </w:tc>
        <w:tc>
          <w:tcPr>
            <w:tcW w:w="2011" w:type="dxa"/>
            <w:vAlign w:val="center"/>
          </w:tcPr>
          <w:p w14:paraId="0C60D0D7">
            <w:pPr>
              <w:spacing w:line="440" w:lineRule="exact"/>
              <w:ind w:firstLine="422"/>
              <w:rPr>
                <w:szCs w:val="21"/>
              </w:rPr>
            </w:pPr>
            <w:r>
              <w:rPr>
                <w:szCs w:val="21"/>
              </w:rPr>
              <w:t>≤30</w:t>
            </w:r>
          </w:p>
        </w:tc>
        <w:tc>
          <w:tcPr>
            <w:tcW w:w="2471" w:type="dxa"/>
            <w:vAlign w:val="center"/>
          </w:tcPr>
          <w:p w14:paraId="5EDD2F6C">
            <w:pPr>
              <w:spacing w:line="440" w:lineRule="exact"/>
              <w:ind w:firstLine="422"/>
              <w:rPr>
                <w:szCs w:val="21"/>
              </w:rPr>
            </w:pPr>
            <w:r>
              <w:rPr>
                <w:szCs w:val="21"/>
              </w:rPr>
              <w:t>尺量：每1km测3处，每处测</w:t>
            </w:r>
          </w:p>
          <w:p w14:paraId="699A4477">
            <w:pPr>
              <w:spacing w:line="440" w:lineRule="exact"/>
              <w:ind w:firstLine="422"/>
              <w:rPr>
                <w:szCs w:val="21"/>
              </w:rPr>
            </w:pPr>
            <w:r>
              <w:rPr>
                <w:szCs w:val="21"/>
              </w:rPr>
              <w:t>3点</w:t>
            </w:r>
          </w:p>
        </w:tc>
      </w:tr>
      <w:tr w14:paraId="585E60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01" w:hRule="exact"/>
          <w:jc w:val="center"/>
        </w:trPr>
        <w:tc>
          <w:tcPr>
            <w:tcW w:w="829" w:type="dxa"/>
            <w:vMerge w:val="restart"/>
            <w:vAlign w:val="center"/>
          </w:tcPr>
          <w:p w14:paraId="6EB08188">
            <w:pPr>
              <w:spacing w:line="440" w:lineRule="exact"/>
              <w:ind w:firstLine="422"/>
              <w:jc w:val="center"/>
              <w:rPr>
                <w:szCs w:val="21"/>
              </w:rPr>
            </w:pPr>
            <w:r>
              <w:rPr>
                <w:szCs w:val="21"/>
              </w:rPr>
              <w:t>5</w:t>
            </w:r>
          </w:p>
        </w:tc>
        <w:tc>
          <w:tcPr>
            <w:tcW w:w="1580" w:type="dxa"/>
            <w:vMerge w:val="restart"/>
            <w:vAlign w:val="center"/>
          </w:tcPr>
          <w:p w14:paraId="295C823D">
            <w:pPr>
              <w:spacing w:line="440" w:lineRule="exact"/>
              <w:ind w:firstLine="422"/>
              <w:rPr>
                <w:szCs w:val="21"/>
              </w:rPr>
            </w:pPr>
            <w:r>
              <w:rPr>
                <w:szCs w:val="21"/>
              </w:rPr>
              <w:t>标线纵向间距（mm）</w:t>
            </w:r>
          </w:p>
        </w:tc>
        <w:tc>
          <w:tcPr>
            <w:tcW w:w="2012" w:type="dxa"/>
            <w:gridSpan w:val="2"/>
            <w:vAlign w:val="center"/>
          </w:tcPr>
          <w:p w14:paraId="09F5EF95">
            <w:pPr>
              <w:spacing w:line="440" w:lineRule="exact"/>
              <w:ind w:firstLine="422"/>
              <w:rPr>
                <w:szCs w:val="21"/>
              </w:rPr>
            </w:pPr>
            <w:r>
              <w:rPr>
                <w:szCs w:val="21"/>
              </w:rPr>
              <w:t>9000</w:t>
            </w:r>
          </w:p>
        </w:tc>
        <w:tc>
          <w:tcPr>
            <w:tcW w:w="2011" w:type="dxa"/>
            <w:vAlign w:val="center"/>
          </w:tcPr>
          <w:p w14:paraId="15A623EB">
            <w:pPr>
              <w:spacing w:line="440" w:lineRule="exact"/>
              <w:ind w:firstLine="422"/>
              <w:rPr>
                <w:szCs w:val="21"/>
              </w:rPr>
            </w:pPr>
            <w:r>
              <w:rPr>
                <w:szCs w:val="21"/>
              </w:rPr>
              <w:t>±45</w:t>
            </w:r>
          </w:p>
        </w:tc>
        <w:tc>
          <w:tcPr>
            <w:tcW w:w="2471" w:type="dxa"/>
            <w:vMerge w:val="restart"/>
            <w:vAlign w:val="center"/>
          </w:tcPr>
          <w:p w14:paraId="0C509449">
            <w:pPr>
              <w:spacing w:line="440" w:lineRule="exact"/>
              <w:ind w:firstLine="422"/>
              <w:rPr>
                <w:szCs w:val="21"/>
              </w:rPr>
            </w:pPr>
            <w:r>
              <w:rPr>
                <w:szCs w:val="21"/>
              </w:rPr>
              <w:t>尺量：每1km测3处，每处测3个线段</w:t>
            </w:r>
          </w:p>
        </w:tc>
      </w:tr>
      <w:tr w14:paraId="4AB2FF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1" w:hRule="exact"/>
          <w:jc w:val="center"/>
        </w:trPr>
        <w:tc>
          <w:tcPr>
            <w:tcW w:w="829" w:type="dxa"/>
            <w:vMerge w:val="continue"/>
            <w:vAlign w:val="center"/>
          </w:tcPr>
          <w:p w14:paraId="48DFFC0D">
            <w:pPr>
              <w:spacing w:line="440" w:lineRule="exact"/>
              <w:ind w:firstLine="422"/>
              <w:jc w:val="center"/>
              <w:rPr>
                <w:szCs w:val="21"/>
              </w:rPr>
            </w:pPr>
          </w:p>
        </w:tc>
        <w:tc>
          <w:tcPr>
            <w:tcW w:w="1580" w:type="dxa"/>
            <w:vMerge w:val="continue"/>
            <w:vAlign w:val="center"/>
          </w:tcPr>
          <w:p w14:paraId="34EF3BAB">
            <w:pPr>
              <w:spacing w:line="440" w:lineRule="exact"/>
              <w:ind w:firstLine="422"/>
              <w:rPr>
                <w:szCs w:val="21"/>
              </w:rPr>
            </w:pPr>
          </w:p>
        </w:tc>
        <w:tc>
          <w:tcPr>
            <w:tcW w:w="2012" w:type="dxa"/>
            <w:gridSpan w:val="2"/>
            <w:vAlign w:val="center"/>
          </w:tcPr>
          <w:p w14:paraId="00AE21A1">
            <w:pPr>
              <w:spacing w:line="440" w:lineRule="exact"/>
              <w:ind w:firstLine="422"/>
              <w:rPr>
                <w:szCs w:val="21"/>
              </w:rPr>
            </w:pPr>
            <w:r>
              <w:rPr>
                <w:szCs w:val="21"/>
              </w:rPr>
              <w:t>6000</w:t>
            </w:r>
          </w:p>
        </w:tc>
        <w:tc>
          <w:tcPr>
            <w:tcW w:w="2011" w:type="dxa"/>
            <w:vAlign w:val="center"/>
          </w:tcPr>
          <w:p w14:paraId="50E6093A">
            <w:pPr>
              <w:spacing w:line="440" w:lineRule="exact"/>
              <w:ind w:firstLine="422"/>
              <w:rPr>
                <w:szCs w:val="21"/>
              </w:rPr>
            </w:pPr>
            <w:r>
              <w:rPr>
                <w:szCs w:val="21"/>
              </w:rPr>
              <w:t>±30</w:t>
            </w:r>
          </w:p>
        </w:tc>
        <w:tc>
          <w:tcPr>
            <w:tcW w:w="2471" w:type="dxa"/>
            <w:vMerge w:val="continue"/>
            <w:vAlign w:val="center"/>
          </w:tcPr>
          <w:p w14:paraId="7EB297C1">
            <w:pPr>
              <w:spacing w:line="440" w:lineRule="exact"/>
              <w:ind w:firstLine="422"/>
              <w:rPr>
                <w:szCs w:val="21"/>
              </w:rPr>
            </w:pPr>
          </w:p>
        </w:tc>
      </w:tr>
      <w:tr w14:paraId="3F52DF7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16" w:hRule="exact"/>
          <w:jc w:val="center"/>
        </w:trPr>
        <w:tc>
          <w:tcPr>
            <w:tcW w:w="829" w:type="dxa"/>
            <w:vMerge w:val="continue"/>
            <w:vAlign w:val="center"/>
          </w:tcPr>
          <w:p w14:paraId="43750C5C">
            <w:pPr>
              <w:spacing w:line="440" w:lineRule="exact"/>
              <w:ind w:firstLine="422"/>
              <w:jc w:val="center"/>
              <w:rPr>
                <w:szCs w:val="21"/>
              </w:rPr>
            </w:pPr>
          </w:p>
        </w:tc>
        <w:tc>
          <w:tcPr>
            <w:tcW w:w="1580" w:type="dxa"/>
            <w:vMerge w:val="continue"/>
            <w:vAlign w:val="center"/>
          </w:tcPr>
          <w:p w14:paraId="221B08C2">
            <w:pPr>
              <w:spacing w:line="440" w:lineRule="exact"/>
              <w:ind w:firstLine="422"/>
              <w:rPr>
                <w:szCs w:val="21"/>
              </w:rPr>
            </w:pPr>
          </w:p>
        </w:tc>
        <w:tc>
          <w:tcPr>
            <w:tcW w:w="2012" w:type="dxa"/>
            <w:gridSpan w:val="2"/>
            <w:vAlign w:val="center"/>
          </w:tcPr>
          <w:p w14:paraId="6CFB4E34">
            <w:pPr>
              <w:spacing w:line="440" w:lineRule="exact"/>
              <w:ind w:firstLine="422"/>
              <w:rPr>
                <w:szCs w:val="21"/>
              </w:rPr>
            </w:pPr>
            <w:r>
              <w:rPr>
                <w:szCs w:val="21"/>
              </w:rPr>
              <w:t>4000</w:t>
            </w:r>
          </w:p>
        </w:tc>
        <w:tc>
          <w:tcPr>
            <w:tcW w:w="2011" w:type="dxa"/>
            <w:vAlign w:val="center"/>
          </w:tcPr>
          <w:p w14:paraId="5EEE7F04">
            <w:pPr>
              <w:spacing w:line="440" w:lineRule="exact"/>
              <w:ind w:firstLine="422"/>
              <w:rPr>
                <w:szCs w:val="21"/>
              </w:rPr>
            </w:pPr>
            <w:r>
              <w:rPr>
                <w:szCs w:val="21"/>
              </w:rPr>
              <w:t>±20</w:t>
            </w:r>
          </w:p>
        </w:tc>
        <w:tc>
          <w:tcPr>
            <w:tcW w:w="2471" w:type="dxa"/>
            <w:vMerge w:val="continue"/>
            <w:vAlign w:val="center"/>
          </w:tcPr>
          <w:p w14:paraId="6268C09D">
            <w:pPr>
              <w:spacing w:line="440" w:lineRule="exact"/>
              <w:ind w:firstLine="422"/>
              <w:rPr>
                <w:szCs w:val="21"/>
              </w:rPr>
            </w:pPr>
          </w:p>
        </w:tc>
      </w:tr>
      <w:tr w14:paraId="45BC1CC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6" w:hRule="exact"/>
          <w:jc w:val="center"/>
        </w:trPr>
        <w:tc>
          <w:tcPr>
            <w:tcW w:w="829" w:type="dxa"/>
            <w:vMerge w:val="continue"/>
            <w:vAlign w:val="center"/>
          </w:tcPr>
          <w:p w14:paraId="753E0F30">
            <w:pPr>
              <w:spacing w:line="440" w:lineRule="exact"/>
              <w:ind w:firstLine="422"/>
              <w:jc w:val="center"/>
              <w:rPr>
                <w:szCs w:val="21"/>
              </w:rPr>
            </w:pPr>
          </w:p>
        </w:tc>
        <w:tc>
          <w:tcPr>
            <w:tcW w:w="1580" w:type="dxa"/>
            <w:vMerge w:val="continue"/>
            <w:vAlign w:val="center"/>
          </w:tcPr>
          <w:p w14:paraId="7F3F3818">
            <w:pPr>
              <w:spacing w:line="440" w:lineRule="exact"/>
              <w:ind w:firstLine="422"/>
              <w:rPr>
                <w:szCs w:val="21"/>
              </w:rPr>
            </w:pPr>
          </w:p>
        </w:tc>
        <w:tc>
          <w:tcPr>
            <w:tcW w:w="2012" w:type="dxa"/>
            <w:gridSpan w:val="2"/>
            <w:vAlign w:val="center"/>
          </w:tcPr>
          <w:p w14:paraId="26634DB2">
            <w:pPr>
              <w:spacing w:line="440" w:lineRule="exact"/>
              <w:ind w:firstLine="422"/>
              <w:rPr>
                <w:szCs w:val="21"/>
              </w:rPr>
            </w:pPr>
            <w:r>
              <w:rPr>
                <w:szCs w:val="21"/>
              </w:rPr>
              <w:t>3000</w:t>
            </w:r>
          </w:p>
        </w:tc>
        <w:tc>
          <w:tcPr>
            <w:tcW w:w="2011" w:type="dxa"/>
            <w:vAlign w:val="center"/>
          </w:tcPr>
          <w:p w14:paraId="1657BC31">
            <w:pPr>
              <w:spacing w:line="440" w:lineRule="exact"/>
              <w:ind w:firstLine="422"/>
              <w:rPr>
                <w:szCs w:val="21"/>
              </w:rPr>
            </w:pPr>
            <w:r>
              <w:rPr>
                <w:szCs w:val="21"/>
              </w:rPr>
              <w:t>±15</w:t>
            </w:r>
          </w:p>
        </w:tc>
        <w:tc>
          <w:tcPr>
            <w:tcW w:w="2471" w:type="dxa"/>
            <w:vMerge w:val="continue"/>
            <w:vAlign w:val="center"/>
          </w:tcPr>
          <w:p w14:paraId="1D27CC6D">
            <w:pPr>
              <w:spacing w:line="440" w:lineRule="exact"/>
              <w:ind w:firstLine="422"/>
              <w:rPr>
                <w:szCs w:val="21"/>
              </w:rPr>
            </w:pPr>
          </w:p>
        </w:tc>
      </w:tr>
      <w:tr w14:paraId="59D6D81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989" w:hRule="exact"/>
          <w:jc w:val="center"/>
        </w:trPr>
        <w:tc>
          <w:tcPr>
            <w:tcW w:w="829" w:type="dxa"/>
            <w:vAlign w:val="center"/>
          </w:tcPr>
          <w:p w14:paraId="69F1BB0B">
            <w:pPr>
              <w:spacing w:line="440" w:lineRule="exact"/>
              <w:ind w:firstLine="422"/>
              <w:jc w:val="center"/>
              <w:rPr>
                <w:szCs w:val="21"/>
              </w:rPr>
            </w:pPr>
            <w:r>
              <w:rPr>
                <w:rFonts w:hint="eastAsia"/>
                <w:szCs w:val="21"/>
              </w:rPr>
              <w:t>6</w:t>
            </w:r>
          </w:p>
        </w:tc>
        <w:tc>
          <w:tcPr>
            <w:tcW w:w="1580" w:type="dxa"/>
            <w:vAlign w:val="center"/>
          </w:tcPr>
          <w:p w14:paraId="263B90E3">
            <w:pPr>
              <w:spacing w:line="440" w:lineRule="exact"/>
              <w:ind w:firstLine="422"/>
              <w:rPr>
                <w:szCs w:val="21"/>
              </w:rPr>
            </w:pPr>
            <w:r>
              <w:rPr>
                <w:szCs w:val="21"/>
              </w:rPr>
              <w:t>抗滑值</w:t>
            </w:r>
          </w:p>
          <w:p w14:paraId="484DCACC">
            <w:pPr>
              <w:spacing w:line="440" w:lineRule="exact"/>
              <w:ind w:firstLine="422"/>
              <w:rPr>
                <w:szCs w:val="21"/>
              </w:rPr>
            </w:pPr>
            <w:r>
              <w:rPr>
                <w:szCs w:val="21"/>
              </w:rPr>
              <w:t>（BPN）</w:t>
            </w:r>
          </w:p>
        </w:tc>
        <w:tc>
          <w:tcPr>
            <w:tcW w:w="2012" w:type="dxa"/>
            <w:gridSpan w:val="2"/>
            <w:vAlign w:val="center"/>
          </w:tcPr>
          <w:p w14:paraId="10660275">
            <w:pPr>
              <w:spacing w:line="440" w:lineRule="exact"/>
              <w:ind w:firstLine="422"/>
              <w:rPr>
                <w:szCs w:val="21"/>
              </w:rPr>
            </w:pPr>
            <w:r>
              <w:rPr>
                <w:rFonts w:hint="eastAsia"/>
                <w:szCs w:val="21"/>
              </w:rPr>
              <w:t>防</w:t>
            </w:r>
            <w:r>
              <w:rPr>
                <w:szCs w:val="21"/>
              </w:rPr>
              <w:t>滑标线</w:t>
            </w:r>
          </w:p>
        </w:tc>
        <w:tc>
          <w:tcPr>
            <w:tcW w:w="2011" w:type="dxa"/>
            <w:vAlign w:val="center"/>
          </w:tcPr>
          <w:p w14:paraId="4670627E">
            <w:pPr>
              <w:spacing w:line="440" w:lineRule="exact"/>
              <w:ind w:firstLine="422"/>
              <w:rPr>
                <w:szCs w:val="21"/>
              </w:rPr>
            </w:pPr>
            <w:r>
              <w:rPr>
                <w:szCs w:val="21"/>
              </w:rPr>
              <w:t>≥45</w:t>
            </w:r>
          </w:p>
        </w:tc>
        <w:tc>
          <w:tcPr>
            <w:tcW w:w="2471" w:type="dxa"/>
            <w:vAlign w:val="center"/>
          </w:tcPr>
          <w:p w14:paraId="5A2858DA">
            <w:pPr>
              <w:spacing w:line="440" w:lineRule="exact"/>
              <w:ind w:firstLine="422"/>
              <w:rPr>
                <w:szCs w:val="21"/>
              </w:rPr>
            </w:pPr>
            <w:r>
              <w:rPr>
                <w:szCs w:val="21"/>
              </w:rPr>
              <w:t>摆式摩擦系数测试仪：每1km测3处</w:t>
            </w:r>
          </w:p>
        </w:tc>
      </w:tr>
    </w:tbl>
    <w:p w14:paraId="6F4F9162">
      <w:pPr>
        <w:spacing w:line="440" w:lineRule="exact"/>
        <w:ind w:firstLine="422"/>
        <w:jc w:val="center"/>
        <w:rPr>
          <w:szCs w:val="21"/>
        </w:rPr>
      </w:pPr>
      <w:r>
        <w:rPr>
          <w:rFonts w:hint="eastAsia"/>
          <w:szCs w:val="21"/>
        </w:rPr>
        <w:t>表</w:t>
      </w:r>
      <w:r>
        <w:rPr>
          <w:szCs w:val="21"/>
        </w:rPr>
        <w:t xml:space="preserve">4 </w:t>
      </w:r>
      <w:r>
        <w:rPr>
          <w:rFonts w:hint="eastAsia"/>
          <w:szCs w:val="21"/>
        </w:rPr>
        <w:t>热熔标线逆反射亮度系数RL技术要求</w:t>
      </w:r>
    </w:p>
    <w:tbl>
      <w:tblPr>
        <w:tblStyle w:val="25"/>
        <w:tblW w:w="88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2979"/>
        <w:gridCol w:w="3262"/>
        <w:gridCol w:w="2598"/>
      </w:tblGrid>
      <w:tr w14:paraId="0AB420D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6" w:hRule="atLeast"/>
          <w:jc w:val="center"/>
        </w:trPr>
        <w:tc>
          <w:tcPr>
            <w:tcW w:w="2979" w:type="dxa"/>
            <w:vAlign w:val="center"/>
          </w:tcPr>
          <w:p w14:paraId="5958C25A">
            <w:pPr>
              <w:spacing w:line="440" w:lineRule="exact"/>
              <w:ind w:firstLine="422"/>
              <w:jc w:val="center"/>
              <w:rPr>
                <w:szCs w:val="21"/>
              </w:rPr>
            </w:pPr>
            <w:r>
              <w:rPr>
                <w:rFonts w:hint="eastAsia"/>
                <w:szCs w:val="21"/>
              </w:rPr>
              <w:t>检测项目</w:t>
            </w:r>
          </w:p>
        </w:tc>
        <w:tc>
          <w:tcPr>
            <w:tcW w:w="3262" w:type="dxa"/>
            <w:vAlign w:val="center"/>
          </w:tcPr>
          <w:p w14:paraId="0F9C7054">
            <w:pPr>
              <w:spacing w:line="440" w:lineRule="exact"/>
              <w:ind w:firstLine="422"/>
              <w:jc w:val="center"/>
              <w:rPr>
                <w:szCs w:val="21"/>
              </w:rPr>
            </w:pPr>
            <w:r>
              <w:rPr>
                <w:rFonts w:hint="eastAsia"/>
                <w:szCs w:val="21"/>
              </w:rPr>
              <w:t>检测时间</w:t>
            </w:r>
          </w:p>
        </w:tc>
        <w:tc>
          <w:tcPr>
            <w:tcW w:w="2598" w:type="dxa"/>
            <w:vAlign w:val="center"/>
          </w:tcPr>
          <w:p w14:paraId="5D54C4E0">
            <w:pPr>
              <w:spacing w:line="440" w:lineRule="exact"/>
              <w:ind w:firstLine="422"/>
              <w:jc w:val="center"/>
              <w:rPr>
                <w:szCs w:val="21"/>
              </w:rPr>
            </w:pPr>
            <w:r>
              <w:rPr>
                <w:rFonts w:hint="eastAsia"/>
                <w:szCs w:val="21"/>
              </w:rPr>
              <w:t>合格标准</w:t>
            </w:r>
          </w:p>
        </w:tc>
      </w:tr>
      <w:tr w14:paraId="2121088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2979" w:type="dxa"/>
            <w:vMerge w:val="restart"/>
            <w:vAlign w:val="center"/>
          </w:tcPr>
          <w:p w14:paraId="4A7EE0DE">
            <w:pPr>
              <w:spacing w:line="440" w:lineRule="exact"/>
              <w:ind w:firstLine="422"/>
              <w:rPr>
                <w:szCs w:val="21"/>
              </w:rPr>
            </w:pPr>
            <w:r>
              <w:rPr>
                <w:rFonts w:hint="eastAsia"/>
                <w:szCs w:val="21"/>
              </w:rPr>
              <w:t>白色标线R</w:t>
            </w:r>
            <w:r>
              <w:rPr>
                <w:rFonts w:hint="eastAsia"/>
                <w:szCs w:val="21"/>
                <w:vertAlign w:val="subscript"/>
              </w:rPr>
              <w:t>L</w:t>
            </w:r>
            <w:r>
              <w:rPr>
                <w:rFonts w:hint="eastAsia"/>
                <w:szCs w:val="21"/>
              </w:rPr>
              <w:t>（干态））</w:t>
            </w:r>
          </w:p>
          <w:p w14:paraId="2A218F8A">
            <w:pPr>
              <w:spacing w:line="440" w:lineRule="exact"/>
              <w:ind w:firstLine="422"/>
              <w:rPr>
                <w:szCs w:val="21"/>
              </w:rPr>
            </w:pPr>
            <w:r>
              <w:rPr>
                <w:rFonts w:hint="eastAsia"/>
                <w:szCs w:val="21"/>
              </w:rPr>
              <w:t>mcd• m</w:t>
            </w:r>
            <w:r>
              <w:rPr>
                <w:rFonts w:hint="eastAsia"/>
                <w:szCs w:val="21"/>
                <w:vertAlign w:val="superscript"/>
              </w:rPr>
              <w:t>-2</w:t>
            </w:r>
            <w:r>
              <w:rPr>
                <w:rFonts w:hint="eastAsia"/>
                <w:szCs w:val="21"/>
              </w:rPr>
              <w:t>•lx</w:t>
            </w:r>
            <w:r>
              <w:rPr>
                <w:rFonts w:hint="eastAsia"/>
                <w:szCs w:val="21"/>
                <w:vertAlign w:val="superscript"/>
              </w:rPr>
              <w:t>-1</w:t>
            </w:r>
          </w:p>
        </w:tc>
        <w:tc>
          <w:tcPr>
            <w:tcW w:w="3262" w:type="dxa"/>
            <w:vAlign w:val="center"/>
          </w:tcPr>
          <w:p w14:paraId="7EC9D1D4">
            <w:pPr>
              <w:pStyle w:val="21"/>
              <w:spacing w:line="360" w:lineRule="auto"/>
              <w:ind w:right="-20" w:firstLine="480" w:firstLineChars="200"/>
              <w:jc w:val="center"/>
              <w:rPr>
                <w:kern w:val="2"/>
              </w:rPr>
            </w:pPr>
            <w:r>
              <w:rPr>
                <w:rFonts w:hint="eastAsia"/>
                <w:szCs w:val="21"/>
              </w:rPr>
              <w:t>交工验收前的任何时间</w:t>
            </w:r>
          </w:p>
        </w:tc>
        <w:tc>
          <w:tcPr>
            <w:tcW w:w="2598" w:type="dxa"/>
            <w:vAlign w:val="center"/>
          </w:tcPr>
          <w:p w14:paraId="630BD3E8">
            <w:pPr>
              <w:pStyle w:val="21"/>
              <w:spacing w:line="360" w:lineRule="auto"/>
              <w:ind w:right="-20" w:firstLine="480" w:firstLineChars="200"/>
              <w:jc w:val="center"/>
              <w:rPr>
                <w:kern w:val="2"/>
              </w:rPr>
            </w:pPr>
            <w:r>
              <w:rPr>
                <w:rFonts w:hint="eastAsia"/>
                <w:kern w:val="2"/>
              </w:rPr>
              <w:t xml:space="preserve">≥150 </w:t>
            </w:r>
          </w:p>
        </w:tc>
      </w:tr>
      <w:tr w14:paraId="6174276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979" w:type="dxa"/>
            <w:vMerge w:val="continue"/>
            <w:vAlign w:val="center"/>
          </w:tcPr>
          <w:p w14:paraId="0144EFAF">
            <w:pPr>
              <w:spacing w:line="440" w:lineRule="exact"/>
              <w:ind w:firstLine="422"/>
              <w:rPr>
                <w:szCs w:val="21"/>
              </w:rPr>
            </w:pPr>
          </w:p>
        </w:tc>
        <w:tc>
          <w:tcPr>
            <w:tcW w:w="3262" w:type="dxa"/>
            <w:vAlign w:val="center"/>
          </w:tcPr>
          <w:p w14:paraId="48C5BD2D">
            <w:pPr>
              <w:pStyle w:val="21"/>
              <w:spacing w:line="360" w:lineRule="auto"/>
              <w:ind w:right="-20" w:firstLine="480" w:firstLineChars="200"/>
              <w:jc w:val="center"/>
              <w:rPr>
                <w:kern w:val="2"/>
              </w:rPr>
            </w:pPr>
            <w:r>
              <w:rPr>
                <w:rFonts w:hint="eastAsia"/>
                <w:szCs w:val="21"/>
              </w:rPr>
              <w:t>正常使用一年后</w:t>
            </w:r>
          </w:p>
        </w:tc>
        <w:tc>
          <w:tcPr>
            <w:tcW w:w="2598" w:type="dxa"/>
            <w:vAlign w:val="center"/>
          </w:tcPr>
          <w:p w14:paraId="76437D09">
            <w:pPr>
              <w:pStyle w:val="21"/>
              <w:spacing w:line="360" w:lineRule="auto"/>
              <w:ind w:right="-20" w:firstLine="480" w:firstLineChars="200"/>
              <w:jc w:val="center"/>
              <w:rPr>
                <w:kern w:val="2"/>
              </w:rPr>
            </w:pPr>
            <w:r>
              <w:rPr>
                <w:rFonts w:hint="eastAsia"/>
                <w:kern w:val="2"/>
              </w:rPr>
              <w:t>≥80</w:t>
            </w:r>
          </w:p>
        </w:tc>
      </w:tr>
      <w:tr w14:paraId="62C8935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53" w:hRule="atLeast"/>
          <w:jc w:val="center"/>
        </w:trPr>
        <w:tc>
          <w:tcPr>
            <w:tcW w:w="2979" w:type="dxa"/>
            <w:vMerge w:val="restart"/>
            <w:vAlign w:val="center"/>
          </w:tcPr>
          <w:p w14:paraId="15294A09">
            <w:pPr>
              <w:spacing w:line="440" w:lineRule="exact"/>
              <w:ind w:firstLine="422"/>
              <w:rPr>
                <w:szCs w:val="21"/>
              </w:rPr>
            </w:pPr>
          </w:p>
          <w:p w14:paraId="4D201CA5">
            <w:pPr>
              <w:spacing w:line="440" w:lineRule="exact"/>
              <w:ind w:firstLine="422"/>
              <w:rPr>
                <w:szCs w:val="21"/>
              </w:rPr>
            </w:pPr>
            <w:r>
              <w:rPr>
                <w:rFonts w:hint="eastAsia"/>
                <w:szCs w:val="21"/>
              </w:rPr>
              <w:t xml:space="preserve">黄色标线RL（干态）） </w:t>
            </w:r>
          </w:p>
          <w:p w14:paraId="6EA10F50">
            <w:pPr>
              <w:spacing w:line="440" w:lineRule="exact"/>
              <w:ind w:firstLine="422"/>
              <w:rPr>
                <w:szCs w:val="21"/>
              </w:rPr>
            </w:pPr>
            <w:r>
              <w:rPr>
                <w:rFonts w:hint="eastAsia"/>
                <w:szCs w:val="21"/>
              </w:rPr>
              <w:t xml:space="preserve">mcd• m-2•lx-1 </w:t>
            </w:r>
          </w:p>
        </w:tc>
        <w:tc>
          <w:tcPr>
            <w:tcW w:w="3262" w:type="dxa"/>
            <w:vAlign w:val="center"/>
          </w:tcPr>
          <w:p w14:paraId="230A94CB">
            <w:pPr>
              <w:pStyle w:val="21"/>
              <w:spacing w:line="360" w:lineRule="auto"/>
              <w:ind w:right="-20" w:firstLine="480" w:firstLineChars="200"/>
              <w:jc w:val="center"/>
              <w:rPr>
                <w:kern w:val="2"/>
              </w:rPr>
            </w:pPr>
            <w:r>
              <w:rPr>
                <w:rFonts w:hint="eastAsia"/>
                <w:szCs w:val="21"/>
              </w:rPr>
              <w:t>交工验收前的任何时间</w:t>
            </w:r>
          </w:p>
        </w:tc>
        <w:tc>
          <w:tcPr>
            <w:tcW w:w="2598" w:type="dxa"/>
            <w:vAlign w:val="center"/>
          </w:tcPr>
          <w:p w14:paraId="232379D2">
            <w:pPr>
              <w:pStyle w:val="21"/>
              <w:spacing w:line="360" w:lineRule="auto"/>
              <w:ind w:right="-20" w:firstLine="480" w:firstLineChars="200"/>
              <w:jc w:val="center"/>
              <w:rPr>
                <w:kern w:val="2"/>
              </w:rPr>
            </w:pPr>
            <w:r>
              <w:rPr>
                <w:rFonts w:hint="eastAsia"/>
                <w:kern w:val="2"/>
              </w:rPr>
              <w:t>≥100</w:t>
            </w:r>
          </w:p>
        </w:tc>
      </w:tr>
      <w:tr w14:paraId="65AFC2C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3" w:hRule="atLeast"/>
          <w:jc w:val="center"/>
        </w:trPr>
        <w:tc>
          <w:tcPr>
            <w:tcW w:w="2979" w:type="dxa"/>
            <w:vMerge w:val="continue"/>
            <w:vAlign w:val="center"/>
          </w:tcPr>
          <w:p w14:paraId="296F5810">
            <w:pPr>
              <w:spacing w:line="440" w:lineRule="exact"/>
              <w:ind w:firstLine="422"/>
              <w:rPr>
                <w:szCs w:val="21"/>
              </w:rPr>
            </w:pPr>
          </w:p>
        </w:tc>
        <w:tc>
          <w:tcPr>
            <w:tcW w:w="3262" w:type="dxa"/>
            <w:vAlign w:val="center"/>
          </w:tcPr>
          <w:p w14:paraId="4B3C67E0">
            <w:pPr>
              <w:pStyle w:val="21"/>
              <w:spacing w:line="360" w:lineRule="auto"/>
              <w:ind w:right="-20" w:firstLine="480" w:firstLineChars="200"/>
              <w:jc w:val="center"/>
              <w:rPr>
                <w:kern w:val="2"/>
              </w:rPr>
            </w:pPr>
            <w:r>
              <w:rPr>
                <w:rFonts w:hint="eastAsia"/>
                <w:szCs w:val="21"/>
              </w:rPr>
              <w:t>正常使用一年后</w:t>
            </w:r>
          </w:p>
        </w:tc>
        <w:tc>
          <w:tcPr>
            <w:tcW w:w="2598" w:type="dxa"/>
            <w:vAlign w:val="center"/>
          </w:tcPr>
          <w:p w14:paraId="4B5A592E">
            <w:pPr>
              <w:pStyle w:val="21"/>
              <w:spacing w:line="360" w:lineRule="auto"/>
              <w:ind w:right="-20" w:firstLine="480" w:firstLineChars="200"/>
              <w:jc w:val="center"/>
              <w:rPr>
                <w:kern w:val="2"/>
              </w:rPr>
            </w:pPr>
            <w:r>
              <w:rPr>
                <w:rFonts w:hint="eastAsia"/>
                <w:kern w:val="2"/>
              </w:rPr>
              <w:t>≥50</w:t>
            </w:r>
          </w:p>
        </w:tc>
      </w:tr>
    </w:tbl>
    <w:p w14:paraId="0284D9BA">
      <w:pPr>
        <w:spacing w:line="440" w:lineRule="exact"/>
        <w:ind w:firstLine="562"/>
        <w:rPr>
          <w:rFonts w:ascii="仿宋_GB2312" w:eastAsia="仿宋_GB2312"/>
          <w:sz w:val="28"/>
          <w:szCs w:val="28"/>
        </w:rPr>
      </w:pPr>
    </w:p>
    <w:p w14:paraId="279C7522">
      <w:pPr>
        <w:pStyle w:val="12"/>
        <w:spacing w:line="296" w:lineRule="auto"/>
      </w:pPr>
    </w:p>
    <w:p w14:paraId="7B2B209A">
      <w:pPr>
        <w:ind w:firstLine="422"/>
      </w:pPr>
    </w:p>
    <w:p w14:paraId="53919C40">
      <w:pPr>
        <w:ind w:firstLine="422"/>
      </w:pPr>
    </w:p>
    <w:p w14:paraId="13A32CF6">
      <w:pPr>
        <w:ind w:firstLine="422"/>
      </w:pPr>
    </w:p>
    <w:p w14:paraId="78B7DC4E">
      <w:pPr>
        <w:ind w:firstLine="422"/>
      </w:pPr>
    </w:p>
    <w:p w14:paraId="7A567066">
      <w:pPr>
        <w:pStyle w:val="12"/>
        <w:spacing w:line="296" w:lineRule="auto"/>
      </w:pPr>
    </w:p>
    <w:p w14:paraId="4288DEAA">
      <w:pPr>
        <w:spacing w:before="155" w:line="186" w:lineRule="auto"/>
        <w:ind w:left="2429" w:firstLine="723"/>
        <w:rPr>
          <w:sz w:val="36"/>
          <w:szCs w:val="36"/>
        </w:rPr>
      </w:pPr>
      <w:r>
        <w:rPr>
          <w:rFonts w:hint="eastAsia"/>
          <w:sz w:val="36"/>
          <w:szCs w:val="36"/>
        </w:rPr>
        <w:t>第三节合同附件格式</w:t>
      </w:r>
    </w:p>
    <w:p w14:paraId="2FDD6472">
      <w:pPr>
        <w:spacing w:before="278" w:line="181" w:lineRule="auto"/>
        <w:ind w:left="1" w:firstLine="482"/>
        <w:rPr>
          <w:sz w:val="24"/>
          <w:szCs w:val="24"/>
        </w:rPr>
      </w:pPr>
      <w:r>
        <w:rPr>
          <w:rFonts w:hint="eastAsia"/>
          <w:b/>
          <w:bCs/>
          <w:sz w:val="24"/>
          <w:szCs w:val="24"/>
        </w:rPr>
        <w:t>均采用交通运输部《公路工程标准施工招标文件》（2018年版）的格式。</w:t>
      </w:r>
    </w:p>
    <w:p w14:paraId="17975937">
      <w:pPr>
        <w:spacing w:line="181" w:lineRule="auto"/>
        <w:ind w:firstLine="482"/>
        <w:rPr>
          <w:sz w:val="24"/>
          <w:szCs w:val="24"/>
        </w:rPr>
        <w:sectPr>
          <w:footerReference r:id="rId9" w:type="default"/>
          <w:pgSz w:w="11900" w:h="16840"/>
          <w:pgMar w:top="1431" w:right="1785" w:bottom="801" w:left="1785" w:header="0" w:footer="637" w:gutter="0"/>
          <w:cols w:space="720" w:num="1"/>
        </w:sectPr>
      </w:pPr>
    </w:p>
    <w:p w14:paraId="2A0B1E37">
      <w:pPr>
        <w:spacing w:before="64" w:line="360" w:lineRule="auto"/>
        <w:ind w:left="30" w:firstLine="643"/>
        <w:rPr>
          <w:sz w:val="32"/>
          <w:szCs w:val="32"/>
        </w:rPr>
      </w:pPr>
      <w:r>
        <w:rPr>
          <w:rFonts w:hint="eastAsia"/>
          <w:sz w:val="32"/>
          <w:szCs w:val="32"/>
        </w:rPr>
        <w:t>附件一合同协议书</w:t>
      </w:r>
    </w:p>
    <w:p w14:paraId="32873FCA">
      <w:pPr>
        <w:spacing w:before="1" w:line="360" w:lineRule="auto"/>
        <w:jc w:val="center"/>
        <w:rPr>
          <w:sz w:val="36"/>
          <w:szCs w:val="36"/>
        </w:rPr>
      </w:pPr>
      <w:r>
        <w:rPr>
          <w:rFonts w:hint="eastAsia"/>
          <w:sz w:val="36"/>
          <w:szCs w:val="36"/>
        </w:rPr>
        <w:t>合同协议书</w:t>
      </w:r>
    </w:p>
    <w:p w14:paraId="0319689A">
      <w:pPr>
        <w:spacing w:line="360" w:lineRule="auto"/>
        <w:ind w:firstLine="440" w:firstLineChars="200"/>
      </w:pPr>
      <w:r>
        <w:rPr>
          <w:rFonts w:hint="eastAsia"/>
          <w:u w:val="single"/>
        </w:rPr>
        <w:t>广西壮族自治区资源公路养护中心</w:t>
      </w:r>
      <w:r>
        <w:rPr>
          <w:rFonts w:hint="eastAsia"/>
        </w:rPr>
        <w:t>（发包人名称，以下简称“发包人”）为实施S301线</w:t>
      </w:r>
      <w:r>
        <w:rPr>
          <w:rFonts w:hint="eastAsia"/>
          <w:u w:val="single"/>
        </w:rPr>
        <w:t>K131+000～K142+000段普通省道安全设施精细化提升工程</w:t>
      </w:r>
      <w:r>
        <w:rPr>
          <w:rFonts w:hint="eastAsia"/>
        </w:rPr>
        <w:t>（项目名称），已接受</w:t>
      </w:r>
      <w:r>
        <w:rPr>
          <w:rFonts w:hint="eastAsia"/>
          <w:u w:val="single"/>
        </w:rPr>
        <w:tab/>
      </w:r>
      <w:r>
        <w:rPr>
          <w:rFonts w:hint="eastAsia"/>
        </w:rPr>
        <w:t>（承包人名称，以下简称“承包人”）对该项目</w:t>
      </w:r>
      <w:r>
        <w:rPr>
          <w:rFonts w:hint="eastAsia"/>
          <w:u w:val="single"/>
        </w:rPr>
        <w:t xml:space="preserve">第  1  </w:t>
      </w:r>
      <w:r>
        <w:rPr>
          <w:rFonts w:hint="eastAsia"/>
        </w:rPr>
        <w:t>标段施工的投标。发包人和承包人共同达成如下协议。</w:t>
      </w:r>
    </w:p>
    <w:p w14:paraId="4465DB99">
      <w:pPr>
        <w:numPr>
          <w:ilvl w:val="0"/>
          <w:numId w:val="5"/>
        </w:numPr>
        <w:spacing w:line="360" w:lineRule="auto"/>
        <w:ind w:firstLine="440" w:firstLineChars="200"/>
      </w:pPr>
      <w:r>
        <w:rPr>
          <w:rFonts w:hint="eastAsia"/>
        </w:rPr>
        <w:t>该项目位于资源县境内，全长约11km，施工路段为S301线K131+000～K142+000，道路等级为二级公路。设计速度为40Km/h，路面结构层: 15cm级配碎石底基层+30cm水泥稳定碎石基层+1cm沥青碎石封油层+4cm沥青混凝土面层，路面总厚度50cm。有路基工程、交安工程等。</w:t>
      </w:r>
    </w:p>
    <w:p w14:paraId="2650037E">
      <w:pPr>
        <w:spacing w:line="360" w:lineRule="auto"/>
        <w:ind w:firstLine="440" w:firstLineChars="200"/>
      </w:pPr>
      <w:r>
        <w:rPr>
          <w:rFonts w:hint="eastAsia"/>
        </w:rPr>
        <w:t>主要施工内容:新建C25砼边沟84.9m3/202m，C25盖板沟150.2m3/166m，沟底及平台硬化(C20砼)219.9m3，新建A级埋入式波形梁护栏312m(Gr-A-4C标准段108m,上下游端头段48m,波形梁护栏与混凝土护栏过渡结构段156m)，混凝土护栏端部加高26处/7.982m3，立面标记492.9m2/70处，热熔路面标线5280.5m2，突起路标2202个，太阳能黄闪灯30套，雾天公路行车安全诱导装置10个，弯道会车预警装置1套，详见设计施工图纸及招标工程量清单要求范围内的工程内容。</w:t>
      </w:r>
    </w:p>
    <w:p w14:paraId="389EDE5B">
      <w:pPr>
        <w:spacing w:line="360" w:lineRule="auto"/>
        <w:ind w:firstLine="440" w:firstLineChars="200"/>
      </w:pPr>
      <w:r>
        <w:rPr>
          <w:rFonts w:hint="eastAsia"/>
        </w:rPr>
        <w:t>2.下列文件应视为构成合同文件的组成部分：</w:t>
      </w:r>
    </w:p>
    <w:p w14:paraId="27441AA8">
      <w:pPr>
        <w:pStyle w:val="37"/>
        <w:numPr>
          <w:ilvl w:val="0"/>
          <w:numId w:val="6"/>
        </w:numPr>
        <w:tabs>
          <w:tab w:val="left" w:pos="1643"/>
        </w:tabs>
        <w:spacing w:before="132" w:line="360" w:lineRule="auto"/>
        <w:ind w:right="418" w:firstLine="420"/>
        <w:rPr>
          <w:spacing w:val="-1"/>
          <w:szCs w:val="21"/>
        </w:rPr>
      </w:pPr>
      <w:r>
        <w:rPr>
          <w:rFonts w:hint="eastAsia"/>
          <w:spacing w:val="-1"/>
          <w:szCs w:val="21"/>
        </w:rPr>
        <w:t>本协议书及各种合同附件（含评标期间和合同谈判过程中的澄清文件和补充资料）；</w:t>
      </w:r>
    </w:p>
    <w:p w14:paraId="3FC85C08">
      <w:pPr>
        <w:pStyle w:val="37"/>
        <w:numPr>
          <w:ilvl w:val="0"/>
          <w:numId w:val="6"/>
        </w:numPr>
        <w:tabs>
          <w:tab w:val="left" w:pos="1643"/>
        </w:tabs>
        <w:spacing w:before="132" w:line="360" w:lineRule="auto"/>
        <w:ind w:right="418" w:firstLine="420"/>
        <w:rPr>
          <w:spacing w:val="-1"/>
          <w:szCs w:val="21"/>
        </w:rPr>
      </w:pPr>
      <w:r>
        <w:rPr>
          <w:rFonts w:hint="eastAsia"/>
          <w:spacing w:val="-1"/>
          <w:szCs w:val="21"/>
        </w:rPr>
        <w:t>中标通知书；</w:t>
      </w:r>
    </w:p>
    <w:p w14:paraId="496BA464">
      <w:pPr>
        <w:pStyle w:val="37"/>
        <w:numPr>
          <w:ilvl w:val="0"/>
          <w:numId w:val="6"/>
        </w:numPr>
        <w:tabs>
          <w:tab w:val="left" w:pos="1643"/>
        </w:tabs>
        <w:spacing w:before="132" w:line="360" w:lineRule="auto"/>
        <w:ind w:right="418" w:firstLine="420"/>
        <w:rPr>
          <w:spacing w:val="-1"/>
          <w:szCs w:val="21"/>
        </w:rPr>
      </w:pPr>
      <w:r>
        <w:rPr>
          <w:rFonts w:hint="eastAsia"/>
          <w:spacing w:val="-1"/>
          <w:szCs w:val="21"/>
        </w:rPr>
        <w:t>投标函及投标函附录；</w:t>
      </w:r>
    </w:p>
    <w:p w14:paraId="16ECEFFE">
      <w:pPr>
        <w:pStyle w:val="37"/>
        <w:numPr>
          <w:ilvl w:val="0"/>
          <w:numId w:val="6"/>
        </w:numPr>
        <w:tabs>
          <w:tab w:val="left" w:pos="1643"/>
        </w:tabs>
        <w:spacing w:before="132" w:line="360" w:lineRule="auto"/>
        <w:ind w:right="418" w:firstLine="420"/>
        <w:rPr>
          <w:spacing w:val="-1"/>
          <w:szCs w:val="21"/>
        </w:rPr>
      </w:pPr>
      <w:r>
        <w:rPr>
          <w:rFonts w:hint="eastAsia"/>
          <w:spacing w:val="-1"/>
          <w:szCs w:val="21"/>
        </w:rPr>
        <w:t>项目专用合同条款；</w:t>
      </w:r>
    </w:p>
    <w:p w14:paraId="12B3F951">
      <w:pPr>
        <w:pStyle w:val="37"/>
        <w:numPr>
          <w:ilvl w:val="0"/>
          <w:numId w:val="6"/>
        </w:numPr>
        <w:tabs>
          <w:tab w:val="left" w:pos="1643"/>
        </w:tabs>
        <w:spacing w:before="132" w:line="360" w:lineRule="auto"/>
        <w:ind w:right="418" w:firstLine="420"/>
        <w:rPr>
          <w:spacing w:val="-1"/>
          <w:szCs w:val="21"/>
        </w:rPr>
      </w:pPr>
      <w:r>
        <w:rPr>
          <w:rFonts w:hint="eastAsia"/>
          <w:spacing w:val="-1"/>
          <w:szCs w:val="21"/>
        </w:rPr>
        <w:t>公路工程专用合同条款；</w:t>
      </w:r>
    </w:p>
    <w:p w14:paraId="38A68701">
      <w:pPr>
        <w:pStyle w:val="37"/>
        <w:numPr>
          <w:ilvl w:val="0"/>
          <w:numId w:val="6"/>
        </w:numPr>
        <w:tabs>
          <w:tab w:val="left" w:pos="1643"/>
        </w:tabs>
        <w:spacing w:before="132" w:line="360" w:lineRule="auto"/>
        <w:ind w:right="418" w:firstLine="420"/>
        <w:rPr>
          <w:spacing w:val="-1"/>
          <w:szCs w:val="21"/>
        </w:rPr>
      </w:pPr>
      <w:r>
        <w:rPr>
          <w:rFonts w:hint="eastAsia"/>
          <w:spacing w:val="-1"/>
          <w:szCs w:val="21"/>
        </w:rPr>
        <w:t>通用合同条款；</w:t>
      </w:r>
    </w:p>
    <w:p w14:paraId="14722042">
      <w:pPr>
        <w:pStyle w:val="37"/>
        <w:numPr>
          <w:ilvl w:val="0"/>
          <w:numId w:val="6"/>
        </w:numPr>
        <w:tabs>
          <w:tab w:val="left" w:pos="1643"/>
        </w:tabs>
        <w:spacing w:before="132" w:line="360" w:lineRule="auto"/>
        <w:ind w:right="418" w:firstLine="420"/>
        <w:rPr>
          <w:spacing w:val="-1"/>
          <w:szCs w:val="21"/>
        </w:rPr>
      </w:pPr>
      <w:r>
        <w:rPr>
          <w:rFonts w:hint="eastAsia"/>
          <w:spacing w:val="-1"/>
          <w:szCs w:val="21"/>
        </w:rPr>
        <w:t>工程量清单计量规则；</w:t>
      </w:r>
    </w:p>
    <w:p w14:paraId="3AD002C3">
      <w:pPr>
        <w:pStyle w:val="37"/>
        <w:numPr>
          <w:ilvl w:val="0"/>
          <w:numId w:val="6"/>
        </w:numPr>
        <w:tabs>
          <w:tab w:val="left" w:pos="1643"/>
        </w:tabs>
        <w:spacing w:before="132" w:line="360" w:lineRule="auto"/>
        <w:ind w:right="418" w:firstLine="420"/>
        <w:rPr>
          <w:spacing w:val="-1"/>
          <w:szCs w:val="21"/>
        </w:rPr>
      </w:pPr>
      <w:r>
        <w:rPr>
          <w:rFonts w:hint="eastAsia"/>
          <w:spacing w:val="-1"/>
          <w:szCs w:val="21"/>
        </w:rPr>
        <w:t>技术规范；</w:t>
      </w:r>
    </w:p>
    <w:p w14:paraId="2A31402D">
      <w:pPr>
        <w:pStyle w:val="37"/>
        <w:numPr>
          <w:ilvl w:val="0"/>
          <w:numId w:val="6"/>
        </w:numPr>
        <w:tabs>
          <w:tab w:val="left" w:pos="1643"/>
        </w:tabs>
        <w:spacing w:before="132" w:line="360" w:lineRule="auto"/>
        <w:ind w:right="418" w:firstLine="420"/>
        <w:rPr>
          <w:spacing w:val="-1"/>
          <w:szCs w:val="21"/>
        </w:rPr>
      </w:pPr>
      <w:r>
        <w:rPr>
          <w:rFonts w:hint="eastAsia"/>
          <w:spacing w:val="-1"/>
          <w:szCs w:val="21"/>
        </w:rPr>
        <w:t>图纸；</w:t>
      </w:r>
    </w:p>
    <w:p w14:paraId="4C27A7F6">
      <w:pPr>
        <w:pStyle w:val="37"/>
        <w:numPr>
          <w:ilvl w:val="0"/>
          <w:numId w:val="6"/>
        </w:numPr>
        <w:tabs>
          <w:tab w:val="left" w:pos="1643"/>
        </w:tabs>
        <w:spacing w:before="132" w:line="360" w:lineRule="auto"/>
        <w:ind w:right="418" w:firstLine="420"/>
        <w:rPr>
          <w:spacing w:val="-1"/>
          <w:szCs w:val="21"/>
        </w:rPr>
      </w:pPr>
      <w:r>
        <w:rPr>
          <w:rFonts w:hint="eastAsia"/>
          <w:spacing w:val="-1"/>
          <w:szCs w:val="21"/>
        </w:rPr>
        <w:t>已标价工程量清单；</w:t>
      </w:r>
    </w:p>
    <w:p w14:paraId="7694AC77">
      <w:pPr>
        <w:pStyle w:val="37"/>
        <w:numPr>
          <w:ilvl w:val="0"/>
          <w:numId w:val="6"/>
        </w:numPr>
        <w:tabs>
          <w:tab w:val="left" w:pos="1643"/>
        </w:tabs>
        <w:spacing w:before="132" w:line="360" w:lineRule="auto"/>
        <w:ind w:right="418" w:firstLine="420"/>
        <w:rPr>
          <w:spacing w:val="-1"/>
          <w:szCs w:val="21"/>
        </w:rPr>
      </w:pPr>
      <w:r>
        <w:rPr>
          <w:rFonts w:hint="eastAsia"/>
          <w:spacing w:val="-1"/>
          <w:szCs w:val="21"/>
        </w:rPr>
        <w:t>承包人有关人员、设备投入的承诺及响应文件中的施工组织设计；</w:t>
      </w:r>
    </w:p>
    <w:p w14:paraId="004FE429">
      <w:pPr>
        <w:pStyle w:val="37"/>
        <w:numPr>
          <w:ilvl w:val="0"/>
          <w:numId w:val="6"/>
        </w:numPr>
        <w:tabs>
          <w:tab w:val="left" w:pos="1643"/>
        </w:tabs>
        <w:spacing w:before="132" w:line="360" w:lineRule="auto"/>
        <w:ind w:right="418" w:firstLine="420"/>
        <w:rPr>
          <w:spacing w:val="-1"/>
          <w:szCs w:val="21"/>
        </w:rPr>
      </w:pPr>
      <w:r>
        <w:rPr>
          <w:rFonts w:hint="eastAsia"/>
          <w:spacing w:val="-1"/>
          <w:szCs w:val="21"/>
        </w:rPr>
        <w:t>其他合同文件。</w:t>
      </w:r>
    </w:p>
    <w:p w14:paraId="3DA40B77">
      <w:pPr>
        <w:spacing w:line="360" w:lineRule="auto"/>
        <w:ind w:firstLine="440" w:firstLineChars="200"/>
      </w:pPr>
      <w:r>
        <w:rPr>
          <w:rFonts w:hint="eastAsia"/>
        </w:rPr>
        <w:t>上述合同文件互相补充和解释。如果合同文件之间存在矛盾或不一致之处， 以上述文件的排列顺序在先者为准。</w:t>
      </w:r>
    </w:p>
    <w:p w14:paraId="703F6DA2">
      <w:pPr>
        <w:spacing w:line="360" w:lineRule="auto"/>
        <w:ind w:firstLine="440" w:firstLineChars="200"/>
      </w:pPr>
      <w:r>
        <w:rPr>
          <w:rFonts w:hint="eastAsia"/>
        </w:rPr>
        <w:t>3.根据工程量清单所列的预计数量和单价或总额价计算的签约合同价：人民币_________（大写）</w:t>
      </w:r>
      <w:r>
        <w:rPr>
          <w:rFonts w:hint="eastAsia"/>
          <w:u w:val="single"/>
        </w:rPr>
        <w:tab/>
      </w:r>
      <w:r>
        <w:rPr>
          <w:rFonts w:hint="eastAsia"/>
        </w:rPr>
        <w:t>元（¥</w:t>
      </w:r>
      <w:r>
        <w:rPr>
          <w:rFonts w:hint="eastAsia"/>
        </w:rPr>
        <w:tab/>
      </w:r>
      <w:r>
        <w:rPr>
          <w:rFonts w:hint="eastAsia"/>
        </w:rPr>
        <w:t xml:space="preserve">  ）。</w:t>
      </w:r>
    </w:p>
    <w:p w14:paraId="08BB59CD">
      <w:pPr>
        <w:spacing w:line="360" w:lineRule="auto"/>
        <w:ind w:firstLine="440" w:firstLineChars="200"/>
      </w:pPr>
      <w:r>
        <w:rPr>
          <w:rFonts w:hint="eastAsia"/>
        </w:rPr>
        <w:t>4.承包人项目经理：</w:t>
      </w:r>
      <w:r>
        <w:rPr>
          <w:rFonts w:hint="eastAsia"/>
          <w:u w:val="single"/>
        </w:rPr>
        <w:tab/>
      </w:r>
      <w:r>
        <w:rPr>
          <w:rFonts w:hint="eastAsia"/>
        </w:rPr>
        <w:t>。承包人项目总工：</w:t>
      </w:r>
      <w:r>
        <w:rPr>
          <w:rFonts w:hint="eastAsia"/>
          <w:u w:val="single"/>
        </w:rPr>
        <w:tab/>
      </w:r>
      <w:r>
        <w:rPr>
          <w:rFonts w:hint="eastAsia"/>
        </w:rPr>
        <w:t>。</w:t>
      </w:r>
    </w:p>
    <w:p w14:paraId="51D72825">
      <w:pPr>
        <w:spacing w:line="360" w:lineRule="auto"/>
        <w:ind w:firstLine="440" w:firstLineChars="200"/>
      </w:pPr>
      <w:r>
        <w:rPr>
          <w:rFonts w:hint="eastAsia"/>
        </w:rPr>
        <w:t>5.工程质量:</w:t>
      </w:r>
      <w:r>
        <w:rPr>
          <w:rFonts w:hint="eastAsia"/>
          <w:u w:val="single"/>
        </w:rPr>
        <w:t xml:space="preserve"> 交工验收的质量评定合格,竣工验收的质量评定优良 </w:t>
      </w:r>
      <w:r>
        <w:rPr>
          <w:rFonts w:hint="eastAsia"/>
        </w:rPr>
        <w:t xml:space="preserve">标准。工程安全目标： </w:t>
      </w:r>
      <w:r>
        <w:rPr>
          <w:rFonts w:hint="eastAsia"/>
          <w:u w:val="single"/>
        </w:rPr>
        <w:t xml:space="preserve">无安全生产责任事故 </w:t>
      </w:r>
      <w:r>
        <w:rPr>
          <w:rFonts w:hint="eastAsia"/>
        </w:rPr>
        <w:t>。</w:t>
      </w:r>
    </w:p>
    <w:p w14:paraId="57AB8EC6">
      <w:pPr>
        <w:spacing w:line="360" w:lineRule="auto"/>
        <w:ind w:firstLine="440" w:firstLineChars="200"/>
      </w:pPr>
      <w:r>
        <w:rPr>
          <w:rFonts w:hint="eastAsia"/>
        </w:rPr>
        <w:t>6</w:t>
      </w:r>
      <w:r>
        <w:rPr>
          <w:rFonts w:hint="eastAsia"/>
          <w:lang w:val="zh-CN"/>
        </w:rPr>
        <w:t>.</w:t>
      </w:r>
      <w:r>
        <w:rPr>
          <w:rFonts w:hint="eastAsia"/>
        </w:rPr>
        <w:t>承包人承诺按合同约定承担工程的实施、完成及缺陷修复。</w:t>
      </w:r>
    </w:p>
    <w:p w14:paraId="29C8B1C2">
      <w:pPr>
        <w:spacing w:line="360" w:lineRule="auto"/>
        <w:ind w:firstLine="440" w:firstLineChars="200"/>
      </w:pPr>
      <w:r>
        <w:rPr>
          <w:rFonts w:hint="eastAsia"/>
        </w:rPr>
        <w:t>7</w:t>
      </w:r>
      <w:r>
        <w:rPr>
          <w:rFonts w:hint="eastAsia"/>
          <w:lang w:val="zh-CN"/>
        </w:rPr>
        <w:t>.</w:t>
      </w:r>
      <w:r>
        <w:rPr>
          <w:rFonts w:hint="eastAsia"/>
        </w:rPr>
        <w:t>发包人承诺按合同约定的条件、时间和方式向承包人支付合同价款。</w:t>
      </w:r>
    </w:p>
    <w:p w14:paraId="231F34C4">
      <w:pPr>
        <w:spacing w:line="360" w:lineRule="auto"/>
        <w:ind w:firstLine="440" w:firstLineChars="200"/>
      </w:pPr>
      <w:r>
        <w:rPr>
          <w:rFonts w:hint="eastAsia"/>
        </w:rPr>
        <w:t>8</w:t>
      </w:r>
      <w:r>
        <w:rPr>
          <w:rFonts w:hint="eastAsia"/>
          <w:lang w:val="zh-CN"/>
        </w:rPr>
        <w:t>.</w:t>
      </w:r>
      <w:r>
        <w:rPr>
          <w:rFonts w:hint="eastAsia"/>
        </w:rPr>
        <w:t>承包人应按照监理人指示开工，工期为</w:t>
      </w:r>
      <w:r>
        <w:rPr>
          <w:rFonts w:hint="eastAsia"/>
          <w:u w:val="single"/>
        </w:rPr>
        <w:tab/>
      </w:r>
      <w:r>
        <w:rPr>
          <w:rFonts w:hint="eastAsia"/>
        </w:rPr>
        <w:t>日历天。</w:t>
      </w:r>
    </w:p>
    <w:p w14:paraId="0B5D681A">
      <w:pPr>
        <w:spacing w:line="360" w:lineRule="auto"/>
        <w:ind w:firstLine="440" w:firstLineChars="200"/>
      </w:pPr>
      <w:r>
        <w:rPr>
          <w:rFonts w:hint="eastAsia"/>
        </w:rPr>
        <w:t>9</w:t>
      </w:r>
      <w:r>
        <w:rPr>
          <w:rFonts w:hint="eastAsia"/>
          <w:lang w:val="zh-CN"/>
        </w:rPr>
        <w:t>.</w:t>
      </w:r>
      <w:r>
        <w:rPr>
          <w:rFonts w:hint="eastAsia"/>
        </w:rPr>
        <w:t>本协议书在承包人提供履约保证金后，由双方法定代表人或其委托代理人签署并加盖单位章后生效。全部工程完工后经交工验收合格、缺陷责任期满签发缺陷责任终止证书后失效。</w:t>
      </w:r>
    </w:p>
    <w:p w14:paraId="5E1188EA">
      <w:pPr>
        <w:spacing w:line="360" w:lineRule="auto"/>
        <w:ind w:firstLine="440" w:firstLineChars="200"/>
      </w:pPr>
      <w:r>
        <w:rPr>
          <w:rFonts w:hint="eastAsia"/>
        </w:rPr>
        <w:t>10</w:t>
      </w:r>
      <w:r>
        <w:rPr>
          <w:rFonts w:hint="eastAsia"/>
          <w:lang w:val="zh-CN"/>
        </w:rPr>
        <w:t>.</w:t>
      </w:r>
      <w:r>
        <w:rPr>
          <w:rFonts w:hint="eastAsia"/>
        </w:rPr>
        <w:t>本协议书一式六份，合同双方各执三份。</w:t>
      </w:r>
    </w:p>
    <w:p w14:paraId="1E7BA713">
      <w:pPr>
        <w:spacing w:line="360" w:lineRule="auto"/>
        <w:ind w:firstLine="440" w:firstLineChars="200"/>
      </w:pPr>
      <w:r>
        <w:rPr>
          <w:rFonts w:hint="eastAsia"/>
        </w:rPr>
        <w:t>11</w:t>
      </w:r>
      <w:r>
        <w:rPr>
          <w:rFonts w:hint="eastAsia"/>
          <w:lang w:val="zh-CN"/>
        </w:rPr>
        <w:t>.</w:t>
      </w:r>
      <w:r>
        <w:rPr>
          <w:rFonts w:hint="eastAsia"/>
        </w:rPr>
        <w:t>合同未尽事宜，双方另行签订补充协议。补充协议是合同的组成部分。</w:t>
      </w:r>
    </w:p>
    <w:p w14:paraId="72DD4F00">
      <w:pPr>
        <w:pStyle w:val="12"/>
        <w:spacing w:line="360" w:lineRule="auto"/>
        <w:ind w:firstLine="442"/>
        <w:rPr>
          <w:sz w:val="22"/>
          <w:szCs w:val="22"/>
        </w:rPr>
      </w:pPr>
    </w:p>
    <w:p w14:paraId="618D7FB5">
      <w:pPr>
        <w:pStyle w:val="12"/>
        <w:spacing w:before="7"/>
        <w:ind w:firstLine="442"/>
        <w:rPr>
          <w:sz w:val="22"/>
          <w:szCs w:val="22"/>
        </w:rPr>
      </w:pPr>
    </w:p>
    <w:p w14:paraId="14E880AC">
      <w:pPr>
        <w:pStyle w:val="12"/>
        <w:tabs>
          <w:tab w:val="left" w:pos="3151"/>
          <w:tab w:val="left" w:pos="4934"/>
          <w:tab w:val="left" w:pos="5174"/>
          <w:tab w:val="left" w:pos="7781"/>
        </w:tabs>
        <w:spacing w:line="345" w:lineRule="auto"/>
        <w:ind w:left="424" w:right="262" w:firstLine="442"/>
        <w:rPr>
          <w:spacing w:val="-17"/>
          <w:sz w:val="22"/>
          <w:szCs w:val="22"/>
        </w:rPr>
      </w:pPr>
      <w:r>
        <w:rPr>
          <w:rFonts w:hint="eastAsia"/>
          <w:sz w:val="22"/>
          <w:szCs w:val="22"/>
        </w:rPr>
        <w:t>发包人</w:t>
      </w:r>
      <w:r>
        <w:rPr>
          <w:rFonts w:hint="eastAsia"/>
          <w:spacing w:val="-17"/>
          <w:sz w:val="22"/>
          <w:szCs w:val="22"/>
        </w:rPr>
        <w:t>：</w:t>
      </w:r>
      <w:r>
        <w:rPr>
          <w:rFonts w:hint="eastAsia"/>
          <w:sz w:val="22"/>
          <w:szCs w:val="22"/>
        </w:rPr>
        <w:t>（盖单位章）承包人</w:t>
      </w:r>
      <w:r>
        <w:rPr>
          <w:rFonts w:hint="eastAsia"/>
          <w:spacing w:val="-17"/>
          <w:sz w:val="22"/>
          <w:szCs w:val="22"/>
        </w:rPr>
        <w:t>：</w:t>
      </w:r>
      <w:r>
        <w:rPr>
          <w:rFonts w:hint="eastAsia"/>
          <w:sz w:val="22"/>
          <w:szCs w:val="22"/>
        </w:rPr>
        <w:t>（盖单位章</w:t>
      </w:r>
      <w:r>
        <w:rPr>
          <w:rFonts w:hint="eastAsia"/>
          <w:spacing w:val="-17"/>
          <w:sz w:val="22"/>
          <w:szCs w:val="22"/>
        </w:rPr>
        <w:t xml:space="preserve">） </w:t>
      </w:r>
    </w:p>
    <w:p w14:paraId="61162EFA">
      <w:pPr>
        <w:pStyle w:val="12"/>
        <w:tabs>
          <w:tab w:val="left" w:pos="3151"/>
          <w:tab w:val="left" w:pos="4934"/>
          <w:tab w:val="left" w:pos="5174"/>
          <w:tab w:val="left" w:pos="7781"/>
        </w:tabs>
        <w:spacing w:line="345" w:lineRule="auto"/>
        <w:ind w:left="424" w:right="37" w:firstLine="442"/>
        <w:rPr>
          <w:sz w:val="22"/>
          <w:szCs w:val="22"/>
        </w:rPr>
      </w:pPr>
      <w:r>
        <w:rPr>
          <w:rFonts w:hint="eastAsia"/>
          <w:sz w:val="22"/>
          <w:szCs w:val="22"/>
        </w:rPr>
        <w:t>法定代表人或其委托代理人</w:t>
      </w:r>
      <w:r>
        <w:rPr>
          <w:rFonts w:hint="eastAsia"/>
          <w:spacing w:val="-17"/>
          <w:sz w:val="22"/>
          <w:szCs w:val="22"/>
        </w:rPr>
        <w:t>：</w:t>
      </w:r>
      <w:r>
        <w:rPr>
          <w:rFonts w:hint="eastAsia"/>
          <w:sz w:val="22"/>
          <w:szCs w:val="22"/>
        </w:rPr>
        <w:t>（签字）法定代表人或其委托代理人</w:t>
      </w:r>
      <w:r>
        <w:rPr>
          <w:rFonts w:hint="eastAsia"/>
          <w:spacing w:val="-16"/>
          <w:sz w:val="22"/>
          <w:szCs w:val="22"/>
        </w:rPr>
        <w:t>：</w:t>
      </w:r>
      <w:r>
        <w:rPr>
          <w:rFonts w:hint="eastAsia"/>
          <w:sz w:val="22"/>
          <w:szCs w:val="22"/>
        </w:rPr>
        <w:t>（签字</w:t>
      </w:r>
      <w:r>
        <w:rPr>
          <w:rFonts w:hint="eastAsia"/>
          <w:spacing w:val="-17"/>
          <w:sz w:val="22"/>
          <w:szCs w:val="22"/>
        </w:rPr>
        <w:t>）</w:t>
      </w:r>
    </w:p>
    <w:p w14:paraId="0EE5CD79">
      <w:pPr>
        <w:pStyle w:val="12"/>
        <w:tabs>
          <w:tab w:val="left" w:pos="2344"/>
          <w:tab w:val="left" w:pos="3184"/>
          <w:tab w:val="left" w:pos="4024"/>
          <w:tab w:val="left" w:pos="5945"/>
          <w:tab w:val="left" w:pos="7025"/>
          <w:tab w:val="left" w:pos="7865"/>
          <w:tab w:val="left" w:pos="8705"/>
        </w:tabs>
        <w:spacing w:line="303" w:lineRule="exact"/>
        <w:ind w:left="1264" w:firstLine="442"/>
        <w:rPr>
          <w:sz w:val="22"/>
          <w:szCs w:val="22"/>
        </w:rPr>
        <w:sectPr>
          <w:pgSz w:w="11911" w:h="16849"/>
          <w:pgMar w:top="1417" w:right="1417" w:bottom="1417" w:left="1417" w:header="720" w:footer="720" w:gutter="0"/>
          <w:cols w:space="720" w:num="1"/>
        </w:sectPr>
      </w:pPr>
      <w:r>
        <w:rPr>
          <w:rFonts w:hint="eastAsia"/>
          <w:sz w:val="22"/>
          <w:szCs w:val="22"/>
          <w:u w:val="single"/>
        </w:rPr>
        <w:tab/>
      </w:r>
      <w:r>
        <w:rPr>
          <w:rFonts w:hint="eastAsia"/>
          <w:sz w:val="22"/>
          <w:szCs w:val="22"/>
        </w:rPr>
        <w:t>年</w:t>
      </w:r>
      <w:r>
        <w:rPr>
          <w:rFonts w:hint="eastAsia"/>
          <w:sz w:val="22"/>
          <w:szCs w:val="22"/>
          <w:u w:val="single"/>
        </w:rPr>
        <w:tab/>
      </w:r>
      <w:r>
        <w:rPr>
          <w:rFonts w:hint="eastAsia"/>
          <w:sz w:val="22"/>
          <w:szCs w:val="22"/>
        </w:rPr>
        <w:t>月</w:t>
      </w:r>
      <w:r>
        <w:rPr>
          <w:rFonts w:hint="eastAsia"/>
          <w:sz w:val="22"/>
          <w:szCs w:val="22"/>
          <w:u w:val="single"/>
        </w:rPr>
        <w:tab/>
      </w:r>
      <w:r>
        <w:rPr>
          <w:rFonts w:hint="eastAsia"/>
          <w:sz w:val="22"/>
          <w:szCs w:val="22"/>
        </w:rPr>
        <w:t>日</w:t>
      </w:r>
      <w:r>
        <w:rPr>
          <w:rFonts w:hint="eastAsia"/>
          <w:sz w:val="22"/>
          <w:szCs w:val="22"/>
        </w:rPr>
        <w:tab/>
      </w:r>
      <w:r>
        <w:rPr>
          <w:rFonts w:hint="eastAsia"/>
          <w:sz w:val="22"/>
          <w:szCs w:val="22"/>
          <w:u w:val="single"/>
        </w:rPr>
        <w:tab/>
      </w:r>
      <w:r>
        <w:rPr>
          <w:rFonts w:hint="eastAsia"/>
          <w:sz w:val="22"/>
          <w:szCs w:val="22"/>
        </w:rPr>
        <w:t>年</w:t>
      </w:r>
      <w:r>
        <w:rPr>
          <w:rFonts w:hint="eastAsia"/>
          <w:sz w:val="22"/>
          <w:szCs w:val="22"/>
          <w:u w:val="single"/>
        </w:rPr>
        <w:tab/>
      </w:r>
      <w:r>
        <w:rPr>
          <w:rFonts w:hint="eastAsia"/>
          <w:sz w:val="22"/>
          <w:szCs w:val="22"/>
        </w:rPr>
        <w:t>月</w:t>
      </w:r>
      <w:r>
        <w:rPr>
          <w:rFonts w:hint="eastAsia"/>
          <w:sz w:val="22"/>
          <w:szCs w:val="22"/>
          <w:u w:val="single"/>
        </w:rPr>
        <w:tab/>
      </w:r>
      <w:r>
        <w:rPr>
          <w:rFonts w:hint="eastAsia"/>
          <w:sz w:val="22"/>
          <w:szCs w:val="22"/>
        </w:rPr>
        <w:t>日</w:t>
      </w:r>
    </w:p>
    <w:p w14:paraId="486DFFE2">
      <w:pPr>
        <w:spacing w:line="420" w:lineRule="exact"/>
        <w:ind w:firstLine="482"/>
        <w:rPr>
          <w:b/>
          <w:sz w:val="24"/>
        </w:rPr>
      </w:pPr>
      <w:r>
        <w:rPr>
          <w:rFonts w:hint="eastAsia"/>
          <w:b/>
          <w:sz w:val="24"/>
        </w:rPr>
        <w:t>附件二：廉政合同</w:t>
      </w:r>
    </w:p>
    <w:p w14:paraId="65F2F67A">
      <w:pPr>
        <w:spacing w:line="420" w:lineRule="exact"/>
        <w:ind w:firstLine="643"/>
        <w:jc w:val="center"/>
        <w:rPr>
          <w:b/>
          <w:sz w:val="32"/>
          <w:szCs w:val="32"/>
        </w:rPr>
      </w:pPr>
      <w:r>
        <w:rPr>
          <w:rFonts w:hint="eastAsia"/>
          <w:b/>
          <w:sz w:val="32"/>
          <w:szCs w:val="32"/>
        </w:rPr>
        <w:t xml:space="preserve">  廉政合同</w:t>
      </w:r>
    </w:p>
    <w:p w14:paraId="16CABFCA">
      <w:pPr>
        <w:spacing w:line="420" w:lineRule="exact"/>
        <w:ind w:firstLine="640"/>
        <w:jc w:val="center"/>
        <w:rPr>
          <w:b/>
          <w:sz w:val="32"/>
          <w:szCs w:val="32"/>
        </w:rPr>
      </w:pPr>
    </w:p>
    <w:p w14:paraId="56860B94">
      <w:pPr>
        <w:spacing w:line="420" w:lineRule="exact"/>
        <w:ind w:firstLine="440" w:firstLineChars="200"/>
        <w:rPr>
          <w:szCs w:val="21"/>
        </w:rPr>
      </w:pPr>
      <w:r>
        <w:rPr>
          <w:rFonts w:hint="eastAsia"/>
          <w:szCs w:val="21"/>
        </w:rPr>
        <w:t>根据《关于在交通基础设施建设中加强廉政建设的若干意见》以及有关工程建设、廉政建设的规定，为做好工程建设中的党风廉政建设，保证工程建设高效优质，保证建设资金的安全和有效使用以及投资效益，（项目名称）的项目法人（项目法人名称，以下简称“发包人”）与该项目标段的施工单位 （施工单位名称，以下简称“承包人”），特订立如下合同。</w:t>
      </w:r>
    </w:p>
    <w:p w14:paraId="23CDC54E">
      <w:pPr>
        <w:spacing w:line="420" w:lineRule="exact"/>
        <w:ind w:firstLine="440" w:firstLineChars="200"/>
        <w:rPr>
          <w:szCs w:val="21"/>
        </w:rPr>
      </w:pPr>
      <w:r>
        <w:rPr>
          <w:rFonts w:hint="eastAsia"/>
          <w:szCs w:val="21"/>
        </w:rPr>
        <w:t>1.发包人和承包人双方的权利和义务</w:t>
      </w:r>
    </w:p>
    <w:p w14:paraId="2A73018E">
      <w:pPr>
        <w:spacing w:line="420" w:lineRule="exact"/>
        <w:ind w:firstLine="220" w:firstLineChars="100"/>
        <w:rPr>
          <w:szCs w:val="21"/>
        </w:rPr>
      </w:pPr>
      <w:r>
        <w:rPr>
          <w:rFonts w:hint="eastAsia"/>
          <w:szCs w:val="21"/>
        </w:rPr>
        <w:t>（1）严格遵守党的政策规定和国家有关法律法规及交通运输部的有关规定。</w:t>
      </w:r>
    </w:p>
    <w:p w14:paraId="4D2CE8C2">
      <w:pPr>
        <w:spacing w:line="420" w:lineRule="exact"/>
        <w:ind w:firstLine="220" w:firstLineChars="100"/>
        <w:rPr>
          <w:szCs w:val="21"/>
        </w:rPr>
      </w:pPr>
      <w:r>
        <w:rPr>
          <w:rFonts w:hint="eastAsia"/>
          <w:szCs w:val="21"/>
        </w:rPr>
        <w:t>（2）严格执行（项目名称）标段施工合同文件，自觉按合同办事。</w:t>
      </w:r>
    </w:p>
    <w:p w14:paraId="4DC0F539">
      <w:pPr>
        <w:spacing w:line="420" w:lineRule="exact"/>
        <w:ind w:firstLine="220" w:firstLineChars="100"/>
        <w:rPr>
          <w:szCs w:val="21"/>
        </w:rPr>
      </w:pPr>
      <w:r>
        <w:rPr>
          <w:rFonts w:hint="eastAsia"/>
          <w:szCs w:val="21"/>
        </w:rPr>
        <w:t>（3）双方的业务活动坚持公开、公正、诚信、透明的原则（法律认定的商业秘密和合同文件另有规定除外），不得损害国家和集体利益，不得违反工程建设管理规章制度。</w:t>
      </w:r>
    </w:p>
    <w:p w14:paraId="3AE4B70B">
      <w:pPr>
        <w:spacing w:line="420" w:lineRule="exact"/>
        <w:ind w:firstLine="220" w:firstLineChars="100"/>
        <w:rPr>
          <w:szCs w:val="21"/>
        </w:rPr>
      </w:pPr>
      <w:r>
        <w:rPr>
          <w:rFonts w:hint="eastAsia"/>
          <w:szCs w:val="21"/>
        </w:rPr>
        <w:t>（4）建立健全廉政制度，开展廉政教育，设立廉政告示牌，公布举报电话， 监督并认真查处违法违纪行为。</w:t>
      </w:r>
    </w:p>
    <w:p w14:paraId="35AB6B93">
      <w:pPr>
        <w:spacing w:line="420" w:lineRule="exact"/>
        <w:ind w:firstLine="220" w:firstLineChars="100"/>
        <w:rPr>
          <w:szCs w:val="21"/>
        </w:rPr>
      </w:pPr>
      <w:r>
        <w:rPr>
          <w:rFonts w:hint="eastAsia"/>
          <w:szCs w:val="21"/>
        </w:rPr>
        <w:t>（5）发现对方在业务活动中有违反廉政规定的行为，有及时提醒对方纠正的权利和义务。</w:t>
      </w:r>
    </w:p>
    <w:p w14:paraId="62350133">
      <w:pPr>
        <w:spacing w:line="420" w:lineRule="exact"/>
        <w:ind w:firstLine="220" w:firstLineChars="100"/>
        <w:rPr>
          <w:szCs w:val="21"/>
        </w:rPr>
      </w:pPr>
      <w:r>
        <w:rPr>
          <w:rFonts w:hint="eastAsia"/>
          <w:szCs w:val="21"/>
        </w:rPr>
        <w:t>（6）发现对方严重违反本合同义务条款的行为，有向其上级有关部门举报、建议给予处理并要求告知处理结果的权利。</w:t>
      </w:r>
    </w:p>
    <w:p w14:paraId="6E80F913">
      <w:pPr>
        <w:spacing w:line="420" w:lineRule="exact"/>
        <w:ind w:firstLine="440" w:firstLineChars="200"/>
        <w:rPr>
          <w:szCs w:val="21"/>
        </w:rPr>
      </w:pPr>
      <w:r>
        <w:rPr>
          <w:rFonts w:hint="eastAsia"/>
          <w:szCs w:val="21"/>
        </w:rPr>
        <w:t>2.发包人的义务</w:t>
      </w:r>
    </w:p>
    <w:p w14:paraId="05B54D75">
      <w:pPr>
        <w:spacing w:line="420" w:lineRule="exact"/>
        <w:ind w:firstLine="220" w:firstLineChars="100"/>
        <w:rPr>
          <w:szCs w:val="21"/>
        </w:rPr>
      </w:pPr>
      <w:r>
        <w:rPr>
          <w:rFonts w:hint="eastAsia"/>
          <w:szCs w:val="21"/>
        </w:rPr>
        <w:t>（1）发包人及其工作人员不得索要或接受承包人的礼金、有价证券和贵重物品，不得让承包人报销任何应由发包人或发包人工作人员个人支付的费用等。</w:t>
      </w:r>
    </w:p>
    <w:p w14:paraId="491E49AA">
      <w:pPr>
        <w:spacing w:line="420" w:lineRule="exact"/>
        <w:ind w:firstLine="220" w:firstLineChars="100"/>
        <w:rPr>
          <w:szCs w:val="21"/>
        </w:rPr>
      </w:pPr>
      <w:r>
        <w:rPr>
          <w:rFonts w:hint="eastAsia"/>
          <w:szCs w:val="21"/>
        </w:rPr>
        <w:t>（2）发包人工作人员不得参加承包人安排的超标准宴请和娱乐活动；不得接受承包人提供的通信工具、交通工具和高档办公用品等。</w:t>
      </w:r>
    </w:p>
    <w:p w14:paraId="26463285">
      <w:pPr>
        <w:spacing w:line="420" w:lineRule="exact"/>
        <w:ind w:firstLine="220" w:firstLineChars="100"/>
        <w:rPr>
          <w:szCs w:val="21"/>
        </w:rPr>
      </w:pPr>
      <w:r>
        <w:rPr>
          <w:rFonts w:hint="eastAsia"/>
          <w:szCs w:val="21"/>
        </w:rPr>
        <w:t>（3）发包人及其工作人员不得要求或者接受承包人为其住房装修、婚丧嫁娶活动、配偶子女的工作安排以及出国出境、旅游等提供方便等。</w:t>
      </w:r>
    </w:p>
    <w:p w14:paraId="633273C8">
      <w:pPr>
        <w:spacing w:line="420" w:lineRule="exact"/>
        <w:ind w:firstLine="220" w:firstLineChars="100"/>
        <w:rPr>
          <w:szCs w:val="21"/>
        </w:rPr>
      </w:pPr>
      <w:r>
        <w:rPr>
          <w:rFonts w:hint="eastAsia"/>
          <w:szCs w:val="21"/>
        </w:rPr>
        <w:t>（4）发包人工作人员及其配偶、子女不得从事与发包人工程有关的材料设备供应、工程分包、劳务等经济活动等。</w:t>
      </w:r>
    </w:p>
    <w:p w14:paraId="240D0C03">
      <w:pPr>
        <w:spacing w:line="420" w:lineRule="exact"/>
        <w:ind w:firstLine="220" w:firstLineChars="100"/>
        <w:rPr>
          <w:szCs w:val="21"/>
        </w:rPr>
      </w:pPr>
      <w:r>
        <w:rPr>
          <w:rFonts w:hint="eastAsia"/>
          <w:szCs w:val="21"/>
        </w:rPr>
        <w:t>（5）发包人及其工作人员不得以任何理由向承包人推荐分包单位或推销材料，不得要求承包人购买合同规定外的材料和设备。</w:t>
      </w:r>
    </w:p>
    <w:p w14:paraId="2695B248">
      <w:pPr>
        <w:spacing w:line="420" w:lineRule="exact"/>
        <w:ind w:firstLine="220" w:firstLineChars="100"/>
        <w:rPr>
          <w:szCs w:val="21"/>
        </w:rPr>
      </w:pPr>
      <w:r>
        <w:rPr>
          <w:rFonts w:hint="eastAsia"/>
          <w:szCs w:val="21"/>
        </w:rPr>
        <w:t>（6）发包人工作人员要秉公办事，不准营私舞弊，不准利用职权从事各种个人有偿中介活动和安排个人施工队伍。</w:t>
      </w:r>
    </w:p>
    <w:p w14:paraId="0F63C1F5">
      <w:pPr>
        <w:spacing w:line="420" w:lineRule="exact"/>
        <w:ind w:firstLine="440" w:firstLineChars="200"/>
        <w:rPr>
          <w:szCs w:val="21"/>
        </w:rPr>
      </w:pPr>
      <w:r>
        <w:rPr>
          <w:rFonts w:hint="eastAsia"/>
          <w:szCs w:val="21"/>
        </w:rPr>
        <w:t>3.承包人的义务</w:t>
      </w:r>
    </w:p>
    <w:p w14:paraId="09D0E6B1">
      <w:pPr>
        <w:spacing w:line="420" w:lineRule="exact"/>
        <w:ind w:firstLine="220" w:firstLineChars="100"/>
        <w:rPr>
          <w:szCs w:val="21"/>
        </w:rPr>
      </w:pPr>
      <w:r>
        <w:rPr>
          <w:rFonts w:hint="eastAsia"/>
          <w:szCs w:val="21"/>
        </w:rPr>
        <w:t>（1）承包人不得以任何理由向发包人及其工作人员行贿或馈赠礼金、有价证券、贵重礼品。</w:t>
      </w:r>
    </w:p>
    <w:p w14:paraId="52140C31">
      <w:pPr>
        <w:spacing w:line="420" w:lineRule="exact"/>
        <w:ind w:firstLine="220" w:firstLineChars="100"/>
        <w:rPr>
          <w:szCs w:val="21"/>
        </w:rPr>
      </w:pPr>
      <w:r>
        <w:rPr>
          <w:rFonts w:hint="eastAsia"/>
          <w:szCs w:val="21"/>
        </w:rPr>
        <w:t>（2）承包人不得以任何名义为发包人及其工作人员报销应由发包人单位或个人支付的任何费用。</w:t>
      </w:r>
    </w:p>
    <w:p w14:paraId="2DD86F57">
      <w:pPr>
        <w:spacing w:line="420" w:lineRule="exact"/>
        <w:ind w:firstLine="220" w:firstLineChars="100"/>
        <w:rPr>
          <w:szCs w:val="21"/>
        </w:rPr>
      </w:pPr>
      <w:r>
        <w:rPr>
          <w:rFonts w:hint="eastAsia"/>
          <w:szCs w:val="21"/>
        </w:rPr>
        <w:t>（3）承包人不得以任何理由安排发包人工作人员参加超标准宴请及娱乐活动。</w:t>
      </w:r>
    </w:p>
    <w:p w14:paraId="425B1801">
      <w:pPr>
        <w:spacing w:line="420" w:lineRule="exact"/>
        <w:ind w:firstLine="220" w:firstLineChars="100"/>
        <w:rPr>
          <w:szCs w:val="21"/>
        </w:rPr>
      </w:pPr>
      <w:r>
        <w:rPr>
          <w:rFonts w:hint="eastAsia"/>
          <w:szCs w:val="21"/>
        </w:rPr>
        <w:t>（4）承包人不得为发包人单位和个人购置或提供通信工具、交通工具和高档办公用品等。</w:t>
      </w:r>
    </w:p>
    <w:p w14:paraId="67FEAE96">
      <w:pPr>
        <w:spacing w:line="420" w:lineRule="exact"/>
        <w:ind w:firstLine="440" w:firstLineChars="200"/>
        <w:rPr>
          <w:szCs w:val="21"/>
        </w:rPr>
      </w:pPr>
      <w:r>
        <w:rPr>
          <w:rFonts w:hint="eastAsia"/>
          <w:szCs w:val="21"/>
        </w:rPr>
        <w:t>4.违约责任</w:t>
      </w:r>
    </w:p>
    <w:p w14:paraId="4765E453">
      <w:pPr>
        <w:spacing w:line="420" w:lineRule="exact"/>
        <w:ind w:firstLine="220" w:firstLineChars="100"/>
        <w:rPr>
          <w:szCs w:val="21"/>
        </w:rPr>
      </w:pPr>
      <w:r>
        <w:rPr>
          <w:rFonts w:hint="eastAsia"/>
          <w:szCs w:val="21"/>
        </w:rPr>
        <w:t>（1）发包人及其工作人员违反本合同第 1、2 条，按管理权限，依据有关规定给予党纪、政纪或组织处理；涉嫌犯罪的，移交司法机关追究刑事责任；给承包人单位造成经济损失的，应予以赔偿。</w:t>
      </w:r>
    </w:p>
    <w:p w14:paraId="4887C505">
      <w:pPr>
        <w:spacing w:line="420" w:lineRule="exact"/>
        <w:ind w:firstLine="220" w:firstLineChars="100"/>
        <w:rPr>
          <w:szCs w:val="21"/>
        </w:rPr>
      </w:pPr>
      <w:r>
        <w:rPr>
          <w:rFonts w:hint="eastAsia"/>
          <w:szCs w:val="21"/>
        </w:rPr>
        <w:t>（2）承包人及其工作人员违反本合同第 1、3 条，按管理权限，依据有关规定给予党纪、政纪或组织处理；给发包人单位造成经济损失的，应予以赔偿；情节严重的，发包人建议交通运输主管部门给予承包人一至三年内不得进入其主管的公路建设市场的处罚。</w:t>
      </w:r>
    </w:p>
    <w:p w14:paraId="78118F40">
      <w:pPr>
        <w:spacing w:line="420" w:lineRule="exact"/>
        <w:ind w:firstLine="440" w:firstLineChars="200"/>
        <w:rPr>
          <w:szCs w:val="21"/>
        </w:rPr>
      </w:pPr>
      <w:r>
        <w:rPr>
          <w:rFonts w:hint="eastAsia"/>
          <w:szCs w:val="21"/>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0F769D9F">
      <w:pPr>
        <w:spacing w:line="420" w:lineRule="exact"/>
        <w:ind w:firstLine="440" w:firstLineChars="200"/>
        <w:rPr>
          <w:szCs w:val="21"/>
        </w:rPr>
      </w:pPr>
      <w:r>
        <w:rPr>
          <w:rFonts w:hint="eastAsia"/>
          <w:szCs w:val="21"/>
        </w:rPr>
        <w:t>6.本合同有效期为发包人和承包人签署之日起至该工程项目竣工验收后止。</w:t>
      </w:r>
    </w:p>
    <w:p w14:paraId="7CD68ED1">
      <w:pPr>
        <w:spacing w:line="420" w:lineRule="exact"/>
        <w:ind w:firstLine="440" w:firstLineChars="200"/>
        <w:rPr>
          <w:szCs w:val="21"/>
        </w:rPr>
      </w:pPr>
      <w:r>
        <w:rPr>
          <w:rFonts w:hint="eastAsia"/>
          <w:szCs w:val="21"/>
        </w:rPr>
        <w:t>7.本合同作为（项目名称）标段施工合同的附件，与工程施工合同具有同等的法律效力，经合同双方签署后立即生效。</w:t>
      </w:r>
    </w:p>
    <w:p w14:paraId="5D1AD521">
      <w:pPr>
        <w:spacing w:line="420" w:lineRule="exact"/>
        <w:ind w:firstLine="440" w:firstLineChars="200"/>
        <w:rPr>
          <w:szCs w:val="21"/>
        </w:rPr>
      </w:pPr>
      <w:r>
        <w:rPr>
          <w:rFonts w:hint="eastAsia"/>
          <w:szCs w:val="21"/>
        </w:rPr>
        <w:t>8.本合同一式六份，由发包人和承包人各执三份。</w:t>
      </w:r>
    </w:p>
    <w:p w14:paraId="7797451B">
      <w:pPr>
        <w:spacing w:line="420" w:lineRule="exact"/>
        <w:ind w:firstLine="440" w:firstLineChars="200"/>
        <w:rPr>
          <w:szCs w:val="21"/>
        </w:rPr>
      </w:pPr>
    </w:p>
    <w:p w14:paraId="2652AFE3">
      <w:pPr>
        <w:spacing w:line="420" w:lineRule="exact"/>
        <w:ind w:firstLine="422"/>
        <w:rPr>
          <w:szCs w:val="21"/>
        </w:rPr>
      </w:pPr>
    </w:p>
    <w:p w14:paraId="54920690">
      <w:pPr>
        <w:spacing w:line="420" w:lineRule="exact"/>
        <w:ind w:firstLine="440" w:firstLineChars="200"/>
        <w:rPr>
          <w:szCs w:val="21"/>
          <w:u w:val="single"/>
        </w:rPr>
      </w:pPr>
      <w:r>
        <w:rPr>
          <w:rFonts w:hint="eastAsia"/>
          <w:szCs w:val="21"/>
        </w:rPr>
        <w:t>发包人：承包人</w:t>
      </w:r>
      <w:r>
        <w:rPr>
          <w:rFonts w:hint="eastAsia"/>
          <w:spacing w:val="-17"/>
          <w:szCs w:val="21"/>
        </w:rPr>
        <w:t>：</w:t>
      </w:r>
    </w:p>
    <w:p w14:paraId="64789DD1">
      <w:pPr>
        <w:spacing w:line="420" w:lineRule="exact"/>
        <w:ind w:firstLine="1760" w:firstLineChars="800"/>
        <w:rPr>
          <w:szCs w:val="21"/>
        </w:rPr>
      </w:pPr>
      <w:r>
        <w:rPr>
          <w:rFonts w:hint="eastAsia"/>
          <w:szCs w:val="21"/>
        </w:rPr>
        <w:t>（盖单位章）                              （盖单位章）</w:t>
      </w:r>
    </w:p>
    <w:p w14:paraId="7427DAE4">
      <w:pPr>
        <w:spacing w:line="420" w:lineRule="exact"/>
        <w:ind w:firstLine="440" w:firstLineChars="200"/>
        <w:rPr>
          <w:szCs w:val="21"/>
        </w:rPr>
      </w:pPr>
      <w:r>
        <w:rPr>
          <w:rFonts w:hint="eastAsia"/>
          <w:szCs w:val="21"/>
        </w:rPr>
        <w:t>法定代表人：                                 法定代表人：</w:t>
      </w:r>
    </w:p>
    <w:p w14:paraId="7451C5E2">
      <w:pPr>
        <w:spacing w:line="420" w:lineRule="exact"/>
        <w:ind w:firstLine="440" w:firstLineChars="200"/>
        <w:rPr>
          <w:szCs w:val="21"/>
        </w:rPr>
      </w:pPr>
      <w:r>
        <w:rPr>
          <w:rFonts w:hint="eastAsia"/>
          <w:szCs w:val="21"/>
        </w:rPr>
        <w:t>或其委托代理人：（签字）             或其委托代理人：（签字）</w:t>
      </w:r>
    </w:p>
    <w:p w14:paraId="299490BA">
      <w:pPr>
        <w:spacing w:line="420" w:lineRule="exact"/>
        <w:ind w:firstLine="440" w:firstLineChars="200"/>
        <w:rPr>
          <w:szCs w:val="21"/>
        </w:rPr>
      </w:pPr>
      <w:r>
        <w:rPr>
          <w:rFonts w:hint="eastAsia"/>
          <w:szCs w:val="21"/>
        </w:rPr>
        <w:t xml:space="preserve">        年   月   日                               年   月    日</w:t>
      </w:r>
    </w:p>
    <w:p w14:paraId="739D6C94">
      <w:pPr>
        <w:pStyle w:val="12"/>
        <w:ind w:firstLine="400"/>
        <w:rPr>
          <w:b/>
          <w:sz w:val="20"/>
        </w:rPr>
      </w:pPr>
    </w:p>
    <w:p w14:paraId="0AD6A0BF">
      <w:pPr>
        <w:ind w:firstLine="400"/>
        <w:rPr>
          <w:b/>
          <w:sz w:val="20"/>
        </w:rPr>
      </w:pPr>
    </w:p>
    <w:p w14:paraId="617045A6">
      <w:pPr>
        <w:pStyle w:val="12"/>
        <w:ind w:firstLine="400"/>
        <w:rPr>
          <w:b/>
          <w:sz w:val="20"/>
        </w:rPr>
      </w:pPr>
    </w:p>
    <w:p w14:paraId="1E3D777C">
      <w:pPr>
        <w:ind w:firstLine="400"/>
        <w:rPr>
          <w:b/>
          <w:sz w:val="20"/>
        </w:rPr>
      </w:pPr>
    </w:p>
    <w:p w14:paraId="60477F01">
      <w:pPr>
        <w:pStyle w:val="12"/>
        <w:ind w:firstLine="400"/>
        <w:rPr>
          <w:b/>
          <w:sz w:val="20"/>
        </w:rPr>
      </w:pPr>
    </w:p>
    <w:p w14:paraId="4EB60830">
      <w:pPr>
        <w:ind w:firstLine="400"/>
        <w:rPr>
          <w:b/>
          <w:sz w:val="20"/>
        </w:rPr>
      </w:pPr>
    </w:p>
    <w:p w14:paraId="4D6AF0BD">
      <w:pPr>
        <w:pStyle w:val="12"/>
        <w:ind w:firstLine="400"/>
        <w:rPr>
          <w:b/>
          <w:sz w:val="20"/>
        </w:rPr>
      </w:pPr>
    </w:p>
    <w:p w14:paraId="3ED9A97B">
      <w:pPr>
        <w:ind w:firstLine="400"/>
        <w:rPr>
          <w:b/>
          <w:sz w:val="20"/>
        </w:rPr>
      </w:pPr>
    </w:p>
    <w:p w14:paraId="503855F2">
      <w:pPr>
        <w:pStyle w:val="12"/>
        <w:ind w:firstLine="400"/>
        <w:rPr>
          <w:b/>
          <w:sz w:val="20"/>
        </w:rPr>
      </w:pPr>
    </w:p>
    <w:p w14:paraId="2317120B">
      <w:pPr>
        <w:ind w:firstLine="400"/>
        <w:rPr>
          <w:b/>
          <w:sz w:val="20"/>
        </w:rPr>
      </w:pPr>
    </w:p>
    <w:p w14:paraId="7888C3E6">
      <w:pPr>
        <w:pStyle w:val="12"/>
        <w:ind w:firstLine="400"/>
        <w:rPr>
          <w:b/>
          <w:sz w:val="20"/>
        </w:rPr>
      </w:pPr>
    </w:p>
    <w:p w14:paraId="70184176">
      <w:pPr>
        <w:ind w:firstLine="400"/>
        <w:rPr>
          <w:b/>
          <w:sz w:val="20"/>
        </w:rPr>
      </w:pPr>
    </w:p>
    <w:p w14:paraId="1C0FBA1D">
      <w:pPr>
        <w:pStyle w:val="12"/>
        <w:ind w:firstLine="400"/>
        <w:rPr>
          <w:b/>
          <w:sz w:val="20"/>
        </w:rPr>
      </w:pPr>
    </w:p>
    <w:p w14:paraId="314EDBE9">
      <w:pPr>
        <w:ind w:firstLine="400"/>
        <w:rPr>
          <w:b/>
          <w:sz w:val="20"/>
        </w:rPr>
      </w:pPr>
    </w:p>
    <w:p w14:paraId="508C273B">
      <w:pPr>
        <w:pStyle w:val="12"/>
        <w:ind w:firstLine="400"/>
        <w:rPr>
          <w:b/>
          <w:sz w:val="20"/>
        </w:rPr>
      </w:pPr>
    </w:p>
    <w:p w14:paraId="68F9D353">
      <w:pPr>
        <w:ind w:firstLine="400"/>
        <w:rPr>
          <w:b/>
          <w:sz w:val="20"/>
        </w:rPr>
      </w:pPr>
    </w:p>
    <w:p w14:paraId="302EE55F">
      <w:pPr>
        <w:pStyle w:val="12"/>
        <w:ind w:firstLine="400"/>
        <w:rPr>
          <w:b/>
          <w:sz w:val="20"/>
        </w:rPr>
      </w:pPr>
    </w:p>
    <w:p w14:paraId="3ADBBAF0">
      <w:pPr>
        <w:ind w:firstLine="400"/>
        <w:rPr>
          <w:b/>
          <w:sz w:val="20"/>
        </w:rPr>
      </w:pPr>
    </w:p>
    <w:p w14:paraId="0BB66837">
      <w:pPr>
        <w:pStyle w:val="12"/>
        <w:ind w:firstLine="400"/>
        <w:rPr>
          <w:b/>
          <w:sz w:val="20"/>
        </w:rPr>
      </w:pPr>
    </w:p>
    <w:p w14:paraId="79D25084">
      <w:pPr>
        <w:ind w:firstLine="422"/>
      </w:pPr>
    </w:p>
    <w:p w14:paraId="76802104">
      <w:pPr>
        <w:ind w:firstLine="400"/>
        <w:rPr>
          <w:b/>
          <w:sz w:val="20"/>
        </w:rPr>
      </w:pPr>
    </w:p>
    <w:p w14:paraId="24405C9A">
      <w:pPr>
        <w:widowControl/>
        <w:spacing w:line="420" w:lineRule="exact"/>
        <w:ind w:firstLine="482" w:firstLineChars="200"/>
        <w:rPr>
          <w:sz w:val="24"/>
        </w:rPr>
      </w:pPr>
      <w:r>
        <w:rPr>
          <w:rFonts w:hint="eastAsia"/>
          <w:b/>
          <w:bCs/>
          <w:sz w:val="24"/>
        </w:rPr>
        <w:t>附件三：安全生产合同</w:t>
      </w:r>
    </w:p>
    <w:p w14:paraId="4DA64A9D">
      <w:pPr>
        <w:widowControl/>
        <w:spacing w:line="420" w:lineRule="exact"/>
        <w:ind w:firstLine="643" w:firstLineChars="200"/>
        <w:jc w:val="center"/>
        <w:rPr>
          <w:b/>
          <w:sz w:val="32"/>
          <w:szCs w:val="32"/>
        </w:rPr>
      </w:pPr>
      <w:r>
        <w:rPr>
          <w:rFonts w:hint="eastAsia"/>
          <w:b/>
          <w:sz w:val="32"/>
          <w:szCs w:val="32"/>
        </w:rPr>
        <w:t>安全生产合同</w:t>
      </w:r>
    </w:p>
    <w:p w14:paraId="5199A860">
      <w:pPr>
        <w:widowControl/>
        <w:spacing w:line="420" w:lineRule="exact"/>
        <w:ind w:firstLine="643" w:firstLineChars="200"/>
        <w:jc w:val="center"/>
        <w:rPr>
          <w:b/>
          <w:sz w:val="32"/>
          <w:szCs w:val="32"/>
        </w:rPr>
      </w:pPr>
    </w:p>
    <w:p w14:paraId="11FEE275">
      <w:pPr>
        <w:spacing w:line="420" w:lineRule="exact"/>
        <w:ind w:firstLine="440" w:firstLineChars="200"/>
        <w:rPr>
          <w:szCs w:val="21"/>
        </w:rPr>
      </w:pPr>
      <w:r>
        <w:rPr>
          <w:rFonts w:hint="eastAsia"/>
          <w:szCs w:val="21"/>
        </w:rPr>
        <w:t xml:space="preserve">为在（项目名称）标段施工合同的实施过程中创造安全、高效的施工环境，切实搞好本项目的安全管理工作，本项目发包人（发包人名称，以下简称“发包人”）与承包人（承包人名称，以下简称“承包人”）特此签订安全生产合同。 </w:t>
      </w:r>
    </w:p>
    <w:p w14:paraId="54470E7B">
      <w:pPr>
        <w:spacing w:line="420" w:lineRule="exact"/>
        <w:ind w:firstLine="440" w:firstLineChars="200"/>
        <w:rPr>
          <w:szCs w:val="21"/>
        </w:rPr>
      </w:pPr>
      <w:r>
        <w:rPr>
          <w:rFonts w:hint="eastAsia"/>
          <w:szCs w:val="21"/>
        </w:rPr>
        <w:t>1.发包人职责</w:t>
      </w:r>
    </w:p>
    <w:p w14:paraId="11AD8754">
      <w:pPr>
        <w:spacing w:line="420" w:lineRule="exact"/>
        <w:ind w:firstLine="220" w:firstLineChars="100"/>
        <w:rPr>
          <w:szCs w:val="21"/>
        </w:rPr>
      </w:pPr>
      <w:r>
        <w:rPr>
          <w:rFonts w:hint="eastAsia"/>
          <w:szCs w:val="21"/>
        </w:rPr>
        <w:t>（1）严格遵守国家有关安全生产的法律法规，认真执行工程承包合同中的有关安全要求。</w:t>
      </w:r>
    </w:p>
    <w:p w14:paraId="7149164D">
      <w:pPr>
        <w:spacing w:line="420" w:lineRule="exact"/>
        <w:ind w:firstLine="220" w:firstLineChars="100"/>
        <w:rPr>
          <w:szCs w:val="21"/>
        </w:rPr>
      </w:pPr>
      <w:r>
        <w:rPr>
          <w:rFonts w:hint="eastAsia"/>
          <w:szCs w:val="21"/>
        </w:rPr>
        <w:t>（2）按照“安全第一、预防为主、综合治理”和坚持“管生产必须管安全”的原则进行安全生产管理，做到生产与安全工作同时计划、布置、检查、总结和评比。</w:t>
      </w:r>
    </w:p>
    <w:p w14:paraId="76C4E0CF">
      <w:pPr>
        <w:spacing w:line="420" w:lineRule="exact"/>
        <w:ind w:firstLine="220" w:firstLineChars="100"/>
        <w:rPr>
          <w:szCs w:val="21"/>
        </w:rPr>
      </w:pPr>
      <w:r>
        <w:rPr>
          <w:rFonts w:hint="eastAsia"/>
          <w:szCs w:val="21"/>
        </w:rPr>
        <w:t>（3）重要的安全设施必须坚持与主体工程“三同时”的原则，即：同时设计、审批，同时施工，同时验收，投入使用。</w:t>
      </w:r>
    </w:p>
    <w:p w14:paraId="4C4EC1A5">
      <w:pPr>
        <w:spacing w:line="420" w:lineRule="exact"/>
        <w:ind w:firstLine="220" w:firstLineChars="100"/>
        <w:rPr>
          <w:szCs w:val="21"/>
        </w:rPr>
      </w:pPr>
      <w:r>
        <w:rPr>
          <w:rFonts w:hint="eastAsia"/>
          <w:szCs w:val="21"/>
        </w:rPr>
        <w:t>（4）定期召开安全生产调度会，及时传达中央及地方有关安全生产的精神。</w:t>
      </w:r>
    </w:p>
    <w:p w14:paraId="7DDA891F">
      <w:pPr>
        <w:spacing w:line="420" w:lineRule="exact"/>
        <w:ind w:firstLine="220" w:firstLineChars="100"/>
        <w:rPr>
          <w:szCs w:val="21"/>
        </w:rPr>
      </w:pPr>
      <w:r>
        <w:rPr>
          <w:rFonts w:hint="eastAsia"/>
          <w:szCs w:val="21"/>
        </w:rPr>
        <w:t>（5）组织对承包人施工现场进行安全生产检查，监督承包人及时处理发现的各种安全隐患。</w:t>
      </w:r>
    </w:p>
    <w:p w14:paraId="421E0347">
      <w:pPr>
        <w:spacing w:line="420" w:lineRule="exact"/>
        <w:ind w:firstLine="440" w:firstLineChars="200"/>
        <w:rPr>
          <w:szCs w:val="21"/>
        </w:rPr>
      </w:pPr>
      <w:r>
        <w:rPr>
          <w:rFonts w:hint="eastAsia"/>
          <w:szCs w:val="21"/>
        </w:rPr>
        <w:t>2.承包人职责</w:t>
      </w:r>
    </w:p>
    <w:p w14:paraId="5E5402F3">
      <w:pPr>
        <w:spacing w:line="420" w:lineRule="exact"/>
        <w:ind w:firstLine="220" w:firstLineChars="100"/>
        <w:rPr>
          <w:szCs w:val="21"/>
        </w:rPr>
      </w:pPr>
      <w:r>
        <w:rPr>
          <w:rFonts w:hint="eastAsia"/>
          <w:szCs w:val="21"/>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14:paraId="02939A00">
      <w:pPr>
        <w:spacing w:line="420" w:lineRule="exact"/>
        <w:ind w:firstLine="220" w:firstLineChars="100"/>
        <w:rPr>
          <w:szCs w:val="21"/>
        </w:rPr>
      </w:pPr>
      <w:r>
        <w:rPr>
          <w:rFonts w:hint="eastAsia"/>
          <w:szCs w:val="21"/>
        </w:rPr>
        <w:t>（2）坚持“安全第一、预防为主、综合治理”和“管生产必须管安全”的原则，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3BBB1EDC">
      <w:pPr>
        <w:spacing w:line="420" w:lineRule="exact"/>
        <w:ind w:firstLine="220" w:firstLineChars="100"/>
        <w:rPr>
          <w:szCs w:val="21"/>
        </w:rPr>
      </w:pPr>
      <w:r>
        <w:rPr>
          <w:rFonts w:hint="eastAsia"/>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5AEC08A9">
      <w:pPr>
        <w:spacing w:line="420" w:lineRule="exact"/>
        <w:ind w:firstLine="220" w:firstLineChars="100"/>
        <w:rPr>
          <w:szCs w:val="21"/>
        </w:rPr>
      </w:pPr>
      <w:r>
        <w:rPr>
          <w:rFonts w:hint="eastAsia"/>
          <w:szCs w:val="21"/>
        </w:rPr>
        <w:t>（4）承包人在任何时候都应采取各种合理的预防措施，防止其员工发生任何违法、违禁、暴力或妨碍治安的行为。</w:t>
      </w:r>
    </w:p>
    <w:p w14:paraId="025DB364">
      <w:pPr>
        <w:spacing w:line="420" w:lineRule="exact"/>
        <w:ind w:firstLine="220" w:firstLineChars="100"/>
        <w:rPr>
          <w:szCs w:val="21"/>
        </w:rPr>
      </w:pPr>
      <w:r>
        <w:rPr>
          <w:rFonts w:hint="eastAsia"/>
          <w:szCs w:val="21"/>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2EA72CEB">
      <w:pPr>
        <w:spacing w:line="420" w:lineRule="exact"/>
        <w:ind w:firstLine="220" w:firstLineChars="100"/>
        <w:rPr>
          <w:szCs w:val="21"/>
        </w:rPr>
      </w:pPr>
      <w:r>
        <w:rPr>
          <w:rFonts w:hint="eastAsia"/>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0B5C66B2">
      <w:pPr>
        <w:spacing w:line="420" w:lineRule="exact"/>
        <w:ind w:firstLine="220" w:firstLineChars="100"/>
        <w:rPr>
          <w:szCs w:val="21"/>
        </w:rPr>
      </w:pPr>
      <w:r>
        <w:rPr>
          <w:rFonts w:hint="eastAsia"/>
          <w:szCs w:val="21"/>
        </w:rPr>
        <w:t>（7）操作人员上岗，必须按规定穿戴防护用品。施工负责人和安全检查员应随时检查劳动防护用品的穿戴情况，不按规定穿戴防护用品的人员不得上岗。</w:t>
      </w:r>
    </w:p>
    <w:p w14:paraId="0F7CD99D">
      <w:pPr>
        <w:spacing w:line="420" w:lineRule="exact"/>
        <w:ind w:firstLine="220" w:firstLineChars="100"/>
        <w:rPr>
          <w:szCs w:val="21"/>
        </w:rPr>
      </w:pPr>
      <w:r>
        <w:rPr>
          <w:rFonts w:hint="eastAsia"/>
          <w:szCs w:val="21"/>
        </w:rPr>
        <w:t>（8）所有施工机具设备和高空作业的设备均应定期检查，并有安全员的签字记录，保证其经常处于完好状态；不合格的机具、设备和劳动保护用品严禁使用。</w:t>
      </w:r>
    </w:p>
    <w:p w14:paraId="6C898402">
      <w:pPr>
        <w:spacing w:line="420" w:lineRule="exact"/>
        <w:ind w:firstLine="220" w:firstLineChars="100"/>
        <w:rPr>
          <w:szCs w:val="21"/>
        </w:rPr>
      </w:pPr>
      <w:r>
        <w:rPr>
          <w:rFonts w:hint="eastAsia"/>
          <w:szCs w:val="21"/>
        </w:rPr>
        <w:t>（9）施工中采用新技术、新工艺、新设备、新材料时，必须制定相应的安全技术措施，施工现场必须具有相关的安全标志牌。</w:t>
      </w:r>
    </w:p>
    <w:p w14:paraId="54547C38">
      <w:pPr>
        <w:spacing w:line="420" w:lineRule="exact"/>
        <w:ind w:firstLine="220" w:firstLineChars="100"/>
        <w:rPr>
          <w:szCs w:val="21"/>
        </w:rPr>
      </w:pPr>
      <w:r>
        <w:rPr>
          <w:rFonts w:hint="eastAsia"/>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7096707C">
      <w:pPr>
        <w:spacing w:line="420" w:lineRule="exact"/>
        <w:ind w:firstLine="220" w:firstLineChars="100"/>
        <w:rPr>
          <w:szCs w:val="21"/>
        </w:rPr>
      </w:pPr>
      <w:r>
        <w:rPr>
          <w:rFonts w:hint="eastAsia"/>
          <w:szCs w:val="21"/>
        </w:rPr>
        <w:t>（11）安全生产费用按照《公路水运工程安全生产监督管理办法》的相关规定使用和管理。</w:t>
      </w:r>
    </w:p>
    <w:p w14:paraId="5DD3F588">
      <w:pPr>
        <w:spacing w:line="420" w:lineRule="exact"/>
        <w:ind w:firstLine="440" w:firstLineChars="200"/>
        <w:rPr>
          <w:szCs w:val="21"/>
        </w:rPr>
      </w:pPr>
      <w:r>
        <w:rPr>
          <w:rFonts w:hint="eastAsia"/>
          <w:szCs w:val="21"/>
        </w:rPr>
        <w:t>3.违约责任</w:t>
      </w:r>
    </w:p>
    <w:p w14:paraId="14FED105">
      <w:pPr>
        <w:spacing w:line="420" w:lineRule="exact"/>
        <w:ind w:firstLine="440" w:firstLineChars="200"/>
        <w:rPr>
          <w:szCs w:val="21"/>
        </w:rPr>
      </w:pPr>
      <w:r>
        <w:rPr>
          <w:rFonts w:hint="eastAsia"/>
          <w:szCs w:val="21"/>
        </w:rPr>
        <w:t>如因发包人或承包人违约造成安全事故，将依法追究责任。</w:t>
      </w:r>
    </w:p>
    <w:p w14:paraId="14E46236">
      <w:pPr>
        <w:spacing w:line="420" w:lineRule="exact"/>
        <w:ind w:firstLine="440" w:firstLineChars="200"/>
        <w:rPr>
          <w:szCs w:val="21"/>
        </w:rPr>
      </w:pPr>
      <w:r>
        <w:rPr>
          <w:rFonts w:hint="eastAsia"/>
          <w:szCs w:val="21"/>
        </w:rPr>
        <w:t>4.本合同由双方法定代表人或其授权的代理人签署并加盖单位章后生效， 全部工程竣工验收后失效。</w:t>
      </w:r>
    </w:p>
    <w:p w14:paraId="1A104DD1">
      <w:pPr>
        <w:spacing w:line="420" w:lineRule="exact"/>
        <w:ind w:firstLine="440" w:firstLineChars="200"/>
        <w:rPr>
          <w:szCs w:val="21"/>
        </w:rPr>
      </w:pPr>
      <w:r>
        <w:rPr>
          <w:rFonts w:hint="eastAsia"/>
          <w:szCs w:val="21"/>
        </w:rPr>
        <w:t>5.本合同一式六份，由发包人和承包人各执三份。</w:t>
      </w:r>
    </w:p>
    <w:p w14:paraId="2C34C59C">
      <w:pPr>
        <w:spacing w:line="420" w:lineRule="exact"/>
        <w:ind w:firstLine="422"/>
        <w:rPr>
          <w:szCs w:val="21"/>
        </w:rPr>
      </w:pPr>
    </w:p>
    <w:p w14:paraId="20734A23">
      <w:pPr>
        <w:spacing w:line="420" w:lineRule="exact"/>
        <w:ind w:firstLine="422"/>
        <w:rPr>
          <w:szCs w:val="21"/>
        </w:rPr>
      </w:pPr>
    </w:p>
    <w:p w14:paraId="1C88E8BE">
      <w:pPr>
        <w:spacing w:line="420" w:lineRule="exact"/>
        <w:ind w:firstLine="422"/>
        <w:rPr>
          <w:szCs w:val="21"/>
        </w:rPr>
      </w:pPr>
    </w:p>
    <w:p w14:paraId="55EFFEF5">
      <w:pPr>
        <w:spacing w:line="420" w:lineRule="exact"/>
        <w:ind w:firstLine="220" w:firstLineChars="100"/>
        <w:rPr>
          <w:szCs w:val="21"/>
          <w:u w:val="single"/>
        </w:rPr>
      </w:pPr>
      <w:r>
        <w:rPr>
          <w:rFonts w:hint="eastAsia"/>
          <w:szCs w:val="21"/>
        </w:rPr>
        <w:t>发包人：承包人：</w:t>
      </w:r>
    </w:p>
    <w:p w14:paraId="3FE9FA2D">
      <w:pPr>
        <w:spacing w:line="420" w:lineRule="exact"/>
        <w:ind w:firstLine="1760" w:firstLineChars="800"/>
        <w:rPr>
          <w:szCs w:val="21"/>
        </w:rPr>
      </w:pPr>
      <w:r>
        <w:rPr>
          <w:rFonts w:hint="eastAsia"/>
          <w:szCs w:val="21"/>
        </w:rPr>
        <w:t>（盖单位章）                              （盖单位章）</w:t>
      </w:r>
    </w:p>
    <w:p w14:paraId="70EC1325">
      <w:pPr>
        <w:spacing w:line="420" w:lineRule="exact"/>
        <w:ind w:firstLine="220" w:firstLineChars="100"/>
        <w:rPr>
          <w:szCs w:val="21"/>
        </w:rPr>
      </w:pPr>
      <w:r>
        <w:rPr>
          <w:rFonts w:hint="eastAsia"/>
          <w:szCs w:val="21"/>
        </w:rPr>
        <w:t>法定代表人：                                 法定代表人：</w:t>
      </w:r>
    </w:p>
    <w:p w14:paraId="675307B1">
      <w:pPr>
        <w:spacing w:line="420" w:lineRule="exact"/>
        <w:ind w:firstLine="220" w:firstLineChars="100"/>
        <w:rPr>
          <w:szCs w:val="21"/>
        </w:rPr>
      </w:pPr>
      <w:r>
        <w:rPr>
          <w:rFonts w:hint="eastAsia"/>
          <w:szCs w:val="21"/>
        </w:rPr>
        <w:t>或其委托代理人：（签字）             或其委托代理人：（签字）</w:t>
      </w:r>
    </w:p>
    <w:p w14:paraId="626B59E5">
      <w:pPr>
        <w:spacing w:line="420" w:lineRule="exact"/>
        <w:ind w:firstLine="440" w:firstLineChars="200"/>
        <w:rPr>
          <w:szCs w:val="21"/>
        </w:rPr>
      </w:pPr>
      <w:r>
        <w:rPr>
          <w:rFonts w:hint="eastAsia"/>
          <w:szCs w:val="21"/>
        </w:rPr>
        <w:t>年   月   日                            年   月    日</w:t>
      </w:r>
    </w:p>
    <w:p w14:paraId="107D5BA5">
      <w:pPr>
        <w:ind w:firstLine="422"/>
        <w:rPr>
          <w:szCs w:val="21"/>
        </w:rPr>
      </w:pPr>
    </w:p>
    <w:p w14:paraId="5271EFB2">
      <w:pPr>
        <w:tabs>
          <w:tab w:val="left" w:pos="1080"/>
        </w:tabs>
        <w:spacing w:line="280" w:lineRule="exact"/>
        <w:ind w:left="420" w:firstLine="422"/>
        <w:rPr>
          <w:szCs w:val="21"/>
        </w:rPr>
      </w:pPr>
      <w:r>
        <w:rPr>
          <w:rFonts w:hint="eastAsia"/>
          <w:szCs w:val="21"/>
        </w:rPr>
        <w:br w:type="page"/>
      </w:r>
    </w:p>
    <w:p w14:paraId="707D1FDD">
      <w:pPr>
        <w:spacing w:before="41" w:line="186" w:lineRule="auto"/>
        <w:ind w:firstLine="420"/>
        <w:rPr>
          <w:rFonts w:ascii="微软雅黑" w:hAnsi="微软雅黑" w:eastAsia="微软雅黑" w:cs="微软雅黑"/>
          <w:sz w:val="21"/>
          <w:szCs w:val="21"/>
        </w:rPr>
      </w:pPr>
    </w:p>
    <w:p w14:paraId="43883197">
      <w:pPr>
        <w:spacing w:before="41" w:line="186" w:lineRule="auto"/>
        <w:ind w:left="12" w:firstLine="420"/>
        <w:rPr>
          <w:rFonts w:ascii="微软雅黑" w:hAnsi="微软雅黑" w:eastAsia="微软雅黑" w:cs="微软雅黑"/>
          <w:sz w:val="21"/>
          <w:szCs w:val="21"/>
        </w:rPr>
      </w:pPr>
      <w:r>
        <w:rPr>
          <w:rFonts w:ascii="微软雅黑" w:hAnsi="微软雅黑" w:eastAsia="微软雅黑" w:cs="微软雅黑"/>
          <w:sz w:val="21"/>
          <w:szCs w:val="21"/>
        </w:rPr>
        <w:t>附件四其他主要管理人员和技术人员最低要求</w:t>
      </w:r>
    </w:p>
    <w:p w14:paraId="1BDF6D18">
      <w:pPr>
        <w:spacing w:line="238" w:lineRule="exact"/>
        <w:ind w:firstLine="422"/>
      </w:pPr>
    </w:p>
    <w:tbl>
      <w:tblPr>
        <w:tblStyle w:val="28"/>
        <w:tblW w:w="7919" w:type="dxa"/>
        <w:tblInd w:w="72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4"/>
        <w:gridCol w:w="1247"/>
        <w:gridCol w:w="4538"/>
      </w:tblGrid>
      <w:tr w14:paraId="68279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2134" w:type="dxa"/>
          </w:tcPr>
          <w:p w14:paraId="2F74C596">
            <w:pPr>
              <w:pStyle w:val="31"/>
              <w:spacing w:before="230" w:line="186" w:lineRule="auto"/>
              <w:jc w:val="center"/>
              <w:rPr>
                <w:sz w:val="21"/>
                <w:szCs w:val="21"/>
              </w:rPr>
            </w:pPr>
            <w:r>
              <w:rPr>
                <w:sz w:val="21"/>
                <w:szCs w:val="21"/>
              </w:rPr>
              <w:t>人员</w:t>
            </w:r>
          </w:p>
        </w:tc>
        <w:tc>
          <w:tcPr>
            <w:tcW w:w="1247" w:type="dxa"/>
          </w:tcPr>
          <w:p w14:paraId="205D81B2">
            <w:pPr>
              <w:pStyle w:val="31"/>
              <w:spacing w:before="231" w:line="185" w:lineRule="auto"/>
              <w:jc w:val="center"/>
              <w:rPr>
                <w:sz w:val="21"/>
                <w:szCs w:val="21"/>
              </w:rPr>
            </w:pPr>
            <w:r>
              <w:rPr>
                <w:sz w:val="21"/>
                <w:szCs w:val="21"/>
              </w:rPr>
              <w:t>数量</w:t>
            </w:r>
          </w:p>
        </w:tc>
        <w:tc>
          <w:tcPr>
            <w:tcW w:w="4538" w:type="dxa"/>
          </w:tcPr>
          <w:p w14:paraId="1A119A5C">
            <w:pPr>
              <w:pStyle w:val="31"/>
              <w:spacing w:before="231" w:line="186" w:lineRule="auto"/>
              <w:ind w:left="2064" w:firstLine="420"/>
              <w:rPr>
                <w:sz w:val="21"/>
                <w:szCs w:val="21"/>
              </w:rPr>
            </w:pPr>
            <w:r>
              <w:rPr>
                <w:sz w:val="21"/>
                <w:szCs w:val="21"/>
              </w:rPr>
              <w:t>资格要求</w:t>
            </w:r>
          </w:p>
        </w:tc>
      </w:tr>
      <w:tr w14:paraId="50327A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trPr>
        <w:tc>
          <w:tcPr>
            <w:tcW w:w="2134" w:type="dxa"/>
          </w:tcPr>
          <w:p w14:paraId="47150A20">
            <w:pPr>
              <w:ind w:firstLine="422"/>
              <w:rPr>
                <w:rFonts w:ascii="Arial"/>
                <w:sz w:val="21"/>
              </w:rPr>
            </w:pPr>
          </w:p>
        </w:tc>
        <w:tc>
          <w:tcPr>
            <w:tcW w:w="1247" w:type="dxa"/>
          </w:tcPr>
          <w:p w14:paraId="06328054">
            <w:pPr>
              <w:ind w:firstLine="422"/>
              <w:rPr>
                <w:rFonts w:ascii="Arial"/>
                <w:sz w:val="21"/>
              </w:rPr>
            </w:pPr>
          </w:p>
        </w:tc>
        <w:tc>
          <w:tcPr>
            <w:tcW w:w="4538" w:type="dxa"/>
          </w:tcPr>
          <w:p w14:paraId="0945EAC6">
            <w:pPr>
              <w:ind w:firstLine="422"/>
              <w:rPr>
                <w:rFonts w:ascii="Arial"/>
                <w:sz w:val="21"/>
              </w:rPr>
            </w:pPr>
          </w:p>
        </w:tc>
      </w:tr>
      <w:tr w14:paraId="347AE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trPr>
        <w:tc>
          <w:tcPr>
            <w:tcW w:w="2134" w:type="dxa"/>
          </w:tcPr>
          <w:p w14:paraId="0EA39C93">
            <w:pPr>
              <w:ind w:firstLine="422"/>
              <w:rPr>
                <w:rFonts w:ascii="Arial"/>
                <w:sz w:val="21"/>
              </w:rPr>
            </w:pPr>
          </w:p>
        </w:tc>
        <w:tc>
          <w:tcPr>
            <w:tcW w:w="1247" w:type="dxa"/>
          </w:tcPr>
          <w:p w14:paraId="74883634">
            <w:pPr>
              <w:ind w:firstLine="422"/>
              <w:rPr>
                <w:rFonts w:ascii="Arial"/>
                <w:sz w:val="21"/>
              </w:rPr>
            </w:pPr>
          </w:p>
        </w:tc>
        <w:tc>
          <w:tcPr>
            <w:tcW w:w="4538" w:type="dxa"/>
          </w:tcPr>
          <w:p w14:paraId="7A08185A">
            <w:pPr>
              <w:ind w:firstLine="422"/>
              <w:rPr>
                <w:rFonts w:ascii="Arial"/>
                <w:sz w:val="21"/>
              </w:rPr>
            </w:pPr>
          </w:p>
        </w:tc>
      </w:tr>
      <w:tr w14:paraId="584F66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2134" w:type="dxa"/>
          </w:tcPr>
          <w:p w14:paraId="36B79FF2">
            <w:pPr>
              <w:ind w:firstLine="422"/>
              <w:rPr>
                <w:rFonts w:ascii="Arial"/>
                <w:sz w:val="21"/>
              </w:rPr>
            </w:pPr>
          </w:p>
        </w:tc>
        <w:tc>
          <w:tcPr>
            <w:tcW w:w="1247" w:type="dxa"/>
          </w:tcPr>
          <w:p w14:paraId="4E20D636">
            <w:pPr>
              <w:ind w:firstLine="422"/>
              <w:rPr>
                <w:rFonts w:ascii="Arial"/>
                <w:sz w:val="21"/>
              </w:rPr>
            </w:pPr>
          </w:p>
        </w:tc>
        <w:tc>
          <w:tcPr>
            <w:tcW w:w="4538" w:type="dxa"/>
          </w:tcPr>
          <w:p w14:paraId="2BA41315">
            <w:pPr>
              <w:ind w:firstLine="422"/>
              <w:rPr>
                <w:rFonts w:ascii="Arial"/>
                <w:sz w:val="21"/>
              </w:rPr>
            </w:pPr>
          </w:p>
        </w:tc>
      </w:tr>
      <w:tr w14:paraId="08220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8" w:hRule="atLeast"/>
        </w:trPr>
        <w:tc>
          <w:tcPr>
            <w:tcW w:w="2134" w:type="dxa"/>
          </w:tcPr>
          <w:p w14:paraId="5C1EE45E">
            <w:pPr>
              <w:ind w:firstLine="422"/>
              <w:rPr>
                <w:rFonts w:ascii="Arial"/>
                <w:sz w:val="21"/>
              </w:rPr>
            </w:pPr>
          </w:p>
        </w:tc>
        <w:tc>
          <w:tcPr>
            <w:tcW w:w="1247" w:type="dxa"/>
          </w:tcPr>
          <w:p w14:paraId="4219CF1E">
            <w:pPr>
              <w:ind w:firstLine="422"/>
              <w:rPr>
                <w:rFonts w:ascii="Arial"/>
                <w:sz w:val="21"/>
              </w:rPr>
            </w:pPr>
          </w:p>
        </w:tc>
        <w:tc>
          <w:tcPr>
            <w:tcW w:w="4538" w:type="dxa"/>
          </w:tcPr>
          <w:p w14:paraId="6CCF9E87">
            <w:pPr>
              <w:ind w:firstLine="422"/>
              <w:rPr>
                <w:rFonts w:ascii="Arial"/>
                <w:sz w:val="21"/>
              </w:rPr>
            </w:pPr>
          </w:p>
        </w:tc>
      </w:tr>
      <w:tr w14:paraId="093CD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2134" w:type="dxa"/>
          </w:tcPr>
          <w:p w14:paraId="7E541A89">
            <w:pPr>
              <w:ind w:firstLine="422"/>
              <w:rPr>
                <w:rFonts w:ascii="Arial"/>
                <w:sz w:val="21"/>
              </w:rPr>
            </w:pPr>
          </w:p>
        </w:tc>
        <w:tc>
          <w:tcPr>
            <w:tcW w:w="1247" w:type="dxa"/>
          </w:tcPr>
          <w:p w14:paraId="550ADE44">
            <w:pPr>
              <w:ind w:firstLine="422"/>
              <w:rPr>
                <w:rFonts w:ascii="Arial"/>
                <w:sz w:val="21"/>
              </w:rPr>
            </w:pPr>
          </w:p>
        </w:tc>
        <w:tc>
          <w:tcPr>
            <w:tcW w:w="4538" w:type="dxa"/>
          </w:tcPr>
          <w:p w14:paraId="46EBD6E3">
            <w:pPr>
              <w:ind w:firstLine="422"/>
              <w:rPr>
                <w:rFonts w:ascii="Arial"/>
                <w:sz w:val="21"/>
              </w:rPr>
            </w:pPr>
          </w:p>
        </w:tc>
      </w:tr>
      <w:tr w14:paraId="12DB2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6" w:hRule="atLeast"/>
        </w:trPr>
        <w:tc>
          <w:tcPr>
            <w:tcW w:w="2134" w:type="dxa"/>
          </w:tcPr>
          <w:p w14:paraId="03A848CC">
            <w:pPr>
              <w:ind w:firstLine="422"/>
              <w:rPr>
                <w:rFonts w:ascii="Arial"/>
                <w:sz w:val="21"/>
              </w:rPr>
            </w:pPr>
          </w:p>
        </w:tc>
        <w:tc>
          <w:tcPr>
            <w:tcW w:w="1247" w:type="dxa"/>
          </w:tcPr>
          <w:p w14:paraId="30295A68">
            <w:pPr>
              <w:ind w:firstLine="422"/>
              <w:rPr>
                <w:rFonts w:ascii="Arial"/>
                <w:sz w:val="21"/>
              </w:rPr>
            </w:pPr>
          </w:p>
        </w:tc>
        <w:tc>
          <w:tcPr>
            <w:tcW w:w="4538" w:type="dxa"/>
          </w:tcPr>
          <w:p w14:paraId="100E8628">
            <w:pPr>
              <w:ind w:firstLine="422"/>
              <w:rPr>
                <w:rFonts w:ascii="Arial"/>
                <w:sz w:val="21"/>
              </w:rPr>
            </w:pPr>
          </w:p>
        </w:tc>
      </w:tr>
    </w:tbl>
    <w:p w14:paraId="501F404B">
      <w:pPr>
        <w:spacing w:before="298" w:line="184" w:lineRule="auto"/>
        <w:ind w:firstLine="420"/>
        <w:rPr>
          <w:rFonts w:ascii="微软雅黑" w:hAnsi="微软雅黑" w:eastAsia="微软雅黑" w:cs="微软雅黑"/>
          <w:sz w:val="21"/>
          <w:szCs w:val="21"/>
        </w:rPr>
      </w:pPr>
      <w:r>
        <w:rPr>
          <w:rFonts w:ascii="微软雅黑" w:hAnsi="微软雅黑" w:eastAsia="微软雅黑" w:cs="微软雅黑"/>
          <w:sz w:val="21"/>
          <w:szCs w:val="21"/>
        </w:rPr>
        <w:t>注：采购人将在发出成交通知书之前要求成交人按照本表的最低要求填报派驻本标段的其他主要管理人员，在经采购人审批后，作为派驻本标段的项目管理机构主要人员且不允许更换。</w:t>
      </w:r>
    </w:p>
    <w:p w14:paraId="55B34B3A">
      <w:pPr>
        <w:spacing w:line="184" w:lineRule="auto"/>
        <w:ind w:firstLine="420"/>
        <w:rPr>
          <w:rFonts w:ascii="微软雅黑" w:hAnsi="微软雅黑" w:eastAsia="微软雅黑" w:cs="微软雅黑"/>
          <w:sz w:val="21"/>
          <w:szCs w:val="21"/>
        </w:rPr>
        <w:sectPr>
          <w:footerReference r:id="rId10" w:type="default"/>
          <w:pgSz w:w="11900" w:h="16840"/>
          <w:pgMar w:top="1112" w:right="1359" w:bottom="801" w:left="1308" w:header="0" w:footer="637" w:gutter="0"/>
          <w:cols w:space="720" w:num="1"/>
        </w:sectPr>
      </w:pPr>
    </w:p>
    <w:p w14:paraId="39F8C3E4">
      <w:pPr>
        <w:spacing w:before="42" w:line="186" w:lineRule="auto"/>
        <w:ind w:left="43" w:firstLine="420"/>
        <w:rPr>
          <w:rFonts w:ascii="微软雅黑" w:hAnsi="微软雅黑" w:eastAsia="微软雅黑" w:cs="微软雅黑"/>
          <w:sz w:val="21"/>
          <w:szCs w:val="21"/>
        </w:rPr>
      </w:pPr>
      <w:r>
        <w:rPr>
          <w:rFonts w:ascii="微软雅黑" w:hAnsi="微软雅黑" w:eastAsia="微软雅黑" w:cs="微软雅黑"/>
          <w:sz w:val="21"/>
          <w:szCs w:val="21"/>
        </w:rPr>
        <w:t>附件五主要机械设备和试验检测设备最低要求</w:t>
      </w:r>
    </w:p>
    <w:p w14:paraId="50067DB0">
      <w:pPr>
        <w:spacing w:line="237" w:lineRule="exact"/>
        <w:ind w:firstLine="422"/>
      </w:pPr>
    </w:p>
    <w:tbl>
      <w:tblPr>
        <w:tblStyle w:val="28"/>
        <w:tblW w:w="884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80"/>
        <w:gridCol w:w="2159"/>
        <w:gridCol w:w="1257"/>
        <w:gridCol w:w="2350"/>
      </w:tblGrid>
      <w:tr w14:paraId="09E0D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jc w:val="center"/>
        </w:trPr>
        <w:tc>
          <w:tcPr>
            <w:tcW w:w="3080" w:type="dxa"/>
          </w:tcPr>
          <w:p w14:paraId="62959963">
            <w:pPr>
              <w:spacing w:line="274" w:lineRule="auto"/>
              <w:ind w:firstLine="482"/>
              <w:rPr>
                <w:rFonts w:asciiTheme="minorEastAsia" w:hAnsiTheme="minorEastAsia" w:eastAsiaTheme="minorEastAsia" w:cstheme="minorEastAsia"/>
                <w:sz w:val="24"/>
                <w:szCs w:val="24"/>
              </w:rPr>
            </w:pPr>
          </w:p>
          <w:p w14:paraId="59CA305F">
            <w:pPr>
              <w:pStyle w:val="31"/>
              <w:spacing w:before="103" w:line="186" w:lineRule="auto"/>
              <w:ind w:left="1068" w:firstLine="32"/>
              <w:rPr>
                <w:rFonts w:asciiTheme="minorEastAsia" w:hAnsiTheme="minorEastAsia" w:eastAsiaTheme="minorEastAsia" w:cstheme="minorEastAsia"/>
              </w:rPr>
            </w:pPr>
            <w:r>
              <w:rPr>
                <w:rFonts w:hint="eastAsia" w:asciiTheme="minorEastAsia" w:hAnsiTheme="minorEastAsia" w:eastAsiaTheme="minorEastAsia" w:cstheme="minorEastAsia"/>
              </w:rPr>
              <w:t>设备名称</w:t>
            </w:r>
          </w:p>
        </w:tc>
        <w:tc>
          <w:tcPr>
            <w:tcW w:w="2159" w:type="dxa"/>
          </w:tcPr>
          <w:p w14:paraId="3411D8FD">
            <w:pPr>
              <w:spacing w:line="273" w:lineRule="auto"/>
              <w:ind w:firstLine="482"/>
              <w:rPr>
                <w:rFonts w:asciiTheme="minorEastAsia" w:hAnsiTheme="minorEastAsia" w:eastAsiaTheme="minorEastAsia" w:cstheme="minorEastAsia"/>
                <w:sz w:val="24"/>
                <w:szCs w:val="24"/>
              </w:rPr>
            </w:pPr>
          </w:p>
          <w:p w14:paraId="135527BA">
            <w:pPr>
              <w:pStyle w:val="31"/>
              <w:spacing w:before="103" w:line="186" w:lineRule="auto"/>
              <w:ind w:left="122" w:firstLine="98"/>
              <w:rPr>
                <w:rFonts w:asciiTheme="minorEastAsia" w:hAnsiTheme="minorEastAsia" w:eastAsiaTheme="minorEastAsia" w:cstheme="minorEastAsia"/>
              </w:rPr>
            </w:pPr>
            <w:r>
              <w:rPr>
                <w:rFonts w:hint="eastAsia" w:asciiTheme="minorEastAsia" w:hAnsiTheme="minorEastAsia" w:eastAsiaTheme="minorEastAsia" w:cstheme="minorEastAsia"/>
              </w:rPr>
              <w:t>规格、功率及容量</w:t>
            </w:r>
          </w:p>
        </w:tc>
        <w:tc>
          <w:tcPr>
            <w:tcW w:w="1257" w:type="dxa"/>
          </w:tcPr>
          <w:p w14:paraId="10C767D7">
            <w:pPr>
              <w:spacing w:line="274" w:lineRule="auto"/>
              <w:ind w:firstLine="482"/>
              <w:rPr>
                <w:rFonts w:asciiTheme="minorEastAsia" w:hAnsiTheme="minorEastAsia" w:eastAsiaTheme="minorEastAsia" w:cstheme="minorEastAsia"/>
                <w:sz w:val="24"/>
                <w:szCs w:val="24"/>
              </w:rPr>
            </w:pPr>
          </w:p>
          <w:p w14:paraId="38E1CC92">
            <w:pPr>
              <w:pStyle w:val="31"/>
              <w:spacing w:before="103" w:line="186" w:lineRule="auto"/>
              <w:ind w:left="272" w:hanging="52"/>
              <w:rPr>
                <w:rFonts w:asciiTheme="minorEastAsia" w:hAnsiTheme="minorEastAsia" w:eastAsiaTheme="minorEastAsia" w:cstheme="minorEastAsia"/>
              </w:rPr>
            </w:pPr>
            <w:r>
              <w:rPr>
                <w:rFonts w:hint="eastAsia" w:asciiTheme="minorEastAsia" w:hAnsiTheme="minorEastAsia" w:eastAsiaTheme="minorEastAsia" w:cstheme="minorEastAsia"/>
              </w:rPr>
              <w:t>单位</w:t>
            </w:r>
          </w:p>
        </w:tc>
        <w:tc>
          <w:tcPr>
            <w:tcW w:w="2350" w:type="dxa"/>
          </w:tcPr>
          <w:p w14:paraId="4ED23AA8">
            <w:pPr>
              <w:pStyle w:val="31"/>
              <w:spacing w:before="66" w:line="360" w:lineRule="auto"/>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要求（注根据工作</w:t>
            </w:r>
          </w:p>
          <w:p w14:paraId="042074B0">
            <w:pPr>
              <w:pStyle w:val="31"/>
              <w:spacing w:before="2" w:line="360" w:lineRule="auto"/>
              <w:ind w:left="5" w:right="146" w:hanging="5"/>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量情况的最低配备）</w:t>
            </w:r>
          </w:p>
        </w:tc>
      </w:tr>
      <w:tr w14:paraId="793E6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55F0FF8E">
            <w:pPr>
              <w:pStyle w:val="31"/>
              <w:spacing w:before="288" w:line="186" w:lineRule="auto"/>
              <w:ind w:left="829" w:firstLine="482"/>
              <w:rPr>
                <w:rFonts w:asciiTheme="minorEastAsia" w:hAnsiTheme="minorEastAsia" w:eastAsiaTheme="minorEastAsia" w:cstheme="minorEastAsia"/>
                <w:lang w:eastAsia="zh-CN"/>
              </w:rPr>
            </w:pPr>
          </w:p>
        </w:tc>
        <w:tc>
          <w:tcPr>
            <w:tcW w:w="2159" w:type="dxa"/>
          </w:tcPr>
          <w:p w14:paraId="76D5A4CD">
            <w:pPr>
              <w:pStyle w:val="31"/>
              <w:spacing w:before="326" w:line="176" w:lineRule="auto"/>
              <w:ind w:left="715" w:firstLine="482"/>
              <w:rPr>
                <w:rFonts w:asciiTheme="minorEastAsia" w:hAnsiTheme="minorEastAsia" w:eastAsiaTheme="minorEastAsia" w:cstheme="minorEastAsia"/>
                <w:lang w:eastAsia="zh-CN"/>
              </w:rPr>
            </w:pPr>
          </w:p>
        </w:tc>
        <w:tc>
          <w:tcPr>
            <w:tcW w:w="1257" w:type="dxa"/>
          </w:tcPr>
          <w:p w14:paraId="5E0A689E">
            <w:pPr>
              <w:pStyle w:val="31"/>
              <w:spacing w:before="288" w:line="187" w:lineRule="auto"/>
              <w:ind w:left="529" w:firstLine="482"/>
              <w:rPr>
                <w:rFonts w:asciiTheme="minorEastAsia" w:hAnsiTheme="minorEastAsia" w:eastAsiaTheme="minorEastAsia" w:cstheme="minorEastAsia"/>
                <w:lang w:eastAsia="zh-CN"/>
              </w:rPr>
            </w:pPr>
          </w:p>
        </w:tc>
        <w:tc>
          <w:tcPr>
            <w:tcW w:w="2350" w:type="dxa"/>
          </w:tcPr>
          <w:p w14:paraId="186557CD">
            <w:pPr>
              <w:pStyle w:val="31"/>
              <w:spacing w:before="326" w:line="160" w:lineRule="auto"/>
              <w:ind w:left="1124" w:firstLine="482"/>
              <w:rPr>
                <w:rFonts w:asciiTheme="minorEastAsia" w:hAnsiTheme="minorEastAsia" w:eastAsiaTheme="minorEastAsia" w:cstheme="minorEastAsia"/>
                <w:lang w:eastAsia="zh-CN"/>
              </w:rPr>
            </w:pPr>
          </w:p>
        </w:tc>
      </w:tr>
      <w:tr w14:paraId="76B55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7356356D">
            <w:pPr>
              <w:pStyle w:val="31"/>
              <w:spacing w:before="124" w:line="186" w:lineRule="auto"/>
              <w:ind w:left="1064" w:firstLine="482"/>
              <w:rPr>
                <w:rFonts w:asciiTheme="minorEastAsia" w:hAnsiTheme="minorEastAsia" w:eastAsiaTheme="minorEastAsia" w:cstheme="minorEastAsia"/>
                <w:lang w:eastAsia="zh-CN"/>
              </w:rPr>
            </w:pPr>
          </w:p>
        </w:tc>
        <w:tc>
          <w:tcPr>
            <w:tcW w:w="2159" w:type="dxa"/>
          </w:tcPr>
          <w:p w14:paraId="3C3F4AA0">
            <w:pPr>
              <w:pStyle w:val="31"/>
              <w:spacing w:before="125" w:line="186" w:lineRule="auto"/>
              <w:ind w:left="604" w:firstLine="482"/>
              <w:rPr>
                <w:rFonts w:asciiTheme="minorEastAsia" w:hAnsiTheme="minorEastAsia" w:eastAsiaTheme="minorEastAsia" w:cstheme="minorEastAsia"/>
                <w:lang w:eastAsia="zh-CN"/>
              </w:rPr>
            </w:pPr>
          </w:p>
        </w:tc>
        <w:tc>
          <w:tcPr>
            <w:tcW w:w="1257" w:type="dxa"/>
          </w:tcPr>
          <w:p w14:paraId="01857BEC">
            <w:pPr>
              <w:pStyle w:val="31"/>
              <w:spacing w:before="125" w:line="187" w:lineRule="auto"/>
              <w:ind w:left="529" w:firstLine="482"/>
              <w:rPr>
                <w:rFonts w:asciiTheme="minorEastAsia" w:hAnsiTheme="minorEastAsia" w:eastAsiaTheme="minorEastAsia" w:cstheme="minorEastAsia"/>
                <w:lang w:eastAsia="zh-CN"/>
              </w:rPr>
            </w:pPr>
          </w:p>
        </w:tc>
        <w:tc>
          <w:tcPr>
            <w:tcW w:w="2350" w:type="dxa"/>
          </w:tcPr>
          <w:p w14:paraId="1E70CDE4">
            <w:pPr>
              <w:pStyle w:val="31"/>
              <w:spacing w:before="163" w:line="160" w:lineRule="auto"/>
              <w:ind w:left="1124" w:firstLine="482"/>
              <w:rPr>
                <w:rFonts w:asciiTheme="minorEastAsia" w:hAnsiTheme="minorEastAsia" w:eastAsiaTheme="minorEastAsia" w:cstheme="minorEastAsia"/>
                <w:lang w:eastAsia="zh-CN"/>
              </w:rPr>
            </w:pPr>
          </w:p>
        </w:tc>
      </w:tr>
      <w:tr w14:paraId="0229E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5593FAA8">
            <w:pPr>
              <w:pStyle w:val="31"/>
              <w:spacing w:before="125" w:line="186" w:lineRule="auto"/>
              <w:ind w:firstLine="482"/>
              <w:jc w:val="center"/>
              <w:rPr>
                <w:rFonts w:asciiTheme="minorEastAsia" w:hAnsiTheme="minorEastAsia" w:eastAsiaTheme="minorEastAsia" w:cstheme="minorEastAsia"/>
                <w:lang w:eastAsia="zh-CN"/>
              </w:rPr>
            </w:pPr>
          </w:p>
        </w:tc>
        <w:tc>
          <w:tcPr>
            <w:tcW w:w="2159" w:type="dxa"/>
          </w:tcPr>
          <w:p w14:paraId="61AD7884">
            <w:pPr>
              <w:pStyle w:val="31"/>
              <w:spacing w:before="126" w:line="193" w:lineRule="auto"/>
              <w:ind w:left="801" w:firstLine="482"/>
              <w:rPr>
                <w:rFonts w:asciiTheme="minorEastAsia" w:hAnsiTheme="minorEastAsia" w:eastAsiaTheme="minorEastAsia" w:cstheme="minorEastAsia"/>
                <w:lang w:eastAsia="zh-CN"/>
              </w:rPr>
            </w:pPr>
          </w:p>
        </w:tc>
        <w:tc>
          <w:tcPr>
            <w:tcW w:w="1257" w:type="dxa"/>
          </w:tcPr>
          <w:p w14:paraId="5D4AA48B">
            <w:pPr>
              <w:pStyle w:val="31"/>
              <w:spacing w:before="126" w:line="187" w:lineRule="auto"/>
              <w:ind w:left="529" w:firstLine="482"/>
              <w:rPr>
                <w:rFonts w:asciiTheme="minorEastAsia" w:hAnsiTheme="minorEastAsia" w:eastAsiaTheme="minorEastAsia" w:cstheme="minorEastAsia"/>
                <w:lang w:eastAsia="zh-CN"/>
              </w:rPr>
            </w:pPr>
          </w:p>
        </w:tc>
        <w:tc>
          <w:tcPr>
            <w:tcW w:w="2350" w:type="dxa"/>
          </w:tcPr>
          <w:p w14:paraId="78886B38">
            <w:pPr>
              <w:pStyle w:val="31"/>
              <w:spacing w:before="164" w:line="160" w:lineRule="auto"/>
              <w:ind w:left="1124" w:firstLine="482"/>
              <w:rPr>
                <w:rFonts w:asciiTheme="minorEastAsia" w:hAnsiTheme="minorEastAsia" w:eastAsiaTheme="minorEastAsia" w:cstheme="minorEastAsia"/>
                <w:lang w:eastAsia="zh-CN"/>
              </w:rPr>
            </w:pPr>
          </w:p>
        </w:tc>
      </w:tr>
      <w:tr w14:paraId="2D4B6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4AD84EA2">
            <w:pPr>
              <w:pStyle w:val="31"/>
              <w:spacing w:before="126" w:line="186" w:lineRule="auto"/>
              <w:ind w:firstLine="482"/>
              <w:jc w:val="center"/>
              <w:rPr>
                <w:rFonts w:asciiTheme="minorEastAsia" w:hAnsiTheme="minorEastAsia" w:eastAsiaTheme="minorEastAsia" w:cstheme="minorEastAsia"/>
                <w:lang w:eastAsia="zh-CN"/>
              </w:rPr>
            </w:pPr>
          </w:p>
        </w:tc>
        <w:tc>
          <w:tcPr>
            <w:tcW w:w="2159" w:type="dxa"/>
          </w:tcPr>
          <w:p w14:paraId="4D1BA356">
            <w:pPr>
              <w:pStyle w:val="31"/>
              <w:spacing w:before="126" w:line="186" w:lineRule="auto"/>
              <w:ind w:left="652" w:firstLine="482"/>
              <w:rPr>
                <w:rFonts w:asciiTheme="minorEastAsia" w:hAnsiTheme="minorEastAsia" w:eastAsiaTheme="minorEastAsia" w:cstheme="minorEastAsia"/>
                <w:lang w:eastAsia="zh-CN"/>
              </w:rPr>
            </w:pPr>
          </w:p>
        </w:tc>
        <w:tc>
          <w:tcPr>
            <w:tcW w:w="1257" w:type="dxa"/>
          </w:tcPr>
          <w:p w14:paraId="0041B27F">
            <w:pPr>
              <w:pStyle w:val="31"/>
              <w:spacing w:before="127" w:line="187" w:lineRule="auto"/>
              <w:ind w:left="529" w:firstLine="482"/>
              <w:rPr>
                <w:rFonts w:asciiTheme="minorEastAsia" w:hAnsiTheme="minorEastAsia" w:eastAsiaTheme="minorEastAsia" w:cstheme="minorEastAsia"/>
                <w:lang w:eastAsia="zh-CN"/>
              </w:rPr>
            </w:pPr>
          </w:p>
        </w:tc>
        <w:tc>
          <w:tcPr>
            <w:tcW w:w="2350" w:type="dxa"/>
          </w:tcPr>
          <w:p w14:paraId="77926BAA">
            <w:pPr>
              <w:pStyle w:val="31"/>
              <w:spacing w:before="165" w:line="160" w:lineRule="auto"/>
              <w:ind w:left="1124" w:firstLine="482"/>
              <w:rPr>
                <w:rFonts w:asciiTheme="minorEastAsia" w:hAnsiTheme="minorEastAsia" w:eastAsiaTheme="minorEastAsia" w:cstheme="minorEastAsia"/>
                <w:lang w:eastAsia="zh-CN"/>
              </w:rPr>
            </w:pPr>
          </w:p>
        </w:tc>
      </w:tr>
      <w:tr w14:paraId="547EB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69737547">
            <w:pPr>
              <w:pStyle w:val="31"/>
              <w:spacing w:before="127" w:line="186" w:lineRule="auto"/>
              <w:ind w:firstLine="482"/>
              <w:jc w:val="center"/>
              <w:rPr>
                <w:rFonts w:asciiTheme="minorEastAsia" w:hAnsiTheme="minorEastAsia" w:eastAsiaTheme="minorEastAsia" w:cstheme="minorEastAsia"/>
                <w:lang w:eastAsia="zh-CN"/>
              </w:rPr>
            </w:pPr>
          </w:p>
        </w:tc>
        <w:tc>
          <w:tcPr>
            <w:tcW w:w="2159" w:type="dxa"/>
          </w:tcPr>
          <w:p w14:paraId="0E119C1C">
            <w:pPr>
              <w:pStyle w:val="31"/>
              <w:spacing w:before="164" w:line="160" w:lineRule="auto"/>
              <w:ind w:left="475" w:firstLine="482"/>
              <w:rPr>
                <w:rFonts w:asciiTheme="minorEastAsia" w:hAnsiTheme="minorEastAsia" w:eastAsiaTheme="minorEastAsia" w:cstheme="minorEastAsia"/>
                <w:lang w:eastAsia="zh-CN"/>
              </w:rPr>
            </w:pPr>
          </w:p>
        </w:tc>
        <w:tc>
          <w:tcPr>
            <w:tcW w:w="1257" w:type="dxa"/>
          </w:tcPr>
          <w:p w14:paraId="46BE2BFF">
            <w:pPr>
              <w:pStyle w:val="31"/>
              <w:spacing w:before="127" w:line="187" w:lineRule="auto"/>
              <w:ind w:left="529" w:firstLine="482"/>
              <w:rPr>
                <w:rFonts w:asciiTheme="minorEastAsia" w:hAnsiTheme="minorEastAsia" w:eastAsiaTheme="minorEastAsia" w:cstheme="minorEastAsia"/>
                <w:lang w:eastAsia="zh-CN"/>
              </w:rPr>
            </w:pPr>
          </w:p>
        </w:tc>
        <w:tc>
          <w:tcPr>
            <w:tcW w:w="2350" w:type="dxa"/>
          </w:tcPr>
          <w:p w14:paraId="353E05C4">
            <w:pPr>
              <w:pStyle w:val="31"/>
              <w:spacing w:before="166" w:line="160" w:lineRule="auto"/>
              <w:ind w:left="1124" w:firstLine="482"/>
              <w:rPr>
                <w:rFonts w:asciiTheme="minorEastAsia" w:hAnsiTheme="minorEastAsia" w:eastAsiaTheme="minorEastAsia" w:cstheme="minorEastAsia"/>
                <w:lang w:eastAsia="zh-CN"/>
              </w:rPr>
            </w:pPr>
          </w:p>
        </w:tc>
      </w:tr>
      <w:tr w14:paraId="120F8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464D1C9D">
            <w:pPr>
              <w:pStyle w:val="31"/>
              <w:spacing w:before="128" w:line="186" w:lineRule="auto"/>
              <w:ind w:firstLine="482"/>
              <w:jc w:val="center"/>
              <w:rPr>
                <w:rFonts w:asciiTheme="minorEastAsia" w:hAnsiTheme="minorEastAsia" w:eastAsiaTheme="minorEastAsia" w:cstheme="minorEastAsia"/>
                <w:lang w:eastAsia="zh-CN"/>
              </w:rPr>
            </w:pPr>
          </w:p>
        </w:tc>
        <w:tc>
          <w:tcPr>
            <w:tcW w:w="2159" w:type="dxa"/>
          </w:tcPr>
          <w:p w14:paraId="4AD298F2">
            <w:pPr>
              <w:pStyle w:val="31"/>
              <w:spacing w:before="167" w:line="159" w:lineRule="auto"/>
              <w:ind w:left="840" w:firstLine="482"/>
              <w:rPr>
                <w:rFonts w:asciiTheme="minorEastAsia" w:hAnsiTheme="minorEastAsia" w:eastAsiaTheme="minorEastAsia" w:cstheme="minorEastAsia"/>
                <w:lang w:eastAsia="zh-CN"/>
              </w:rPr>
            </w:pPr>
          </w:p>
        </w:tc>
        <w:tc>
          <w:tcPr>
            <w:tcW w:w="1257" w:type="dxa"/>
          </w:tcPr>
          <w:p w14:paraId="6DD97FC2">
            <w:pPr>
              <w:pStyle w:val="31"/>
              <w:spacing w:before="128" w:line="187" w:lineRule="auto"/>
              <w:ind w:left="529" w:firstLine="482"/>
              <w:rPr>
                <w:rFonts w:asciiTheme="minorEastAsia" w:hAnsiTheme="minorEastAsia" w:eastAsiaTheme="minorEastAsia" w:cstheme="minorEastAsia"/>
                <w:lang w:eastAsia="zh-CN"/>
              </w:rPr>
            </w:pPr>
          </w:p>
        </w:tc>
        <w:tc>
          <w:tcPr>
            <w:tcW w:w="2350" w:type="dxa"/>
          </w:tcPr>
          <w:p w14:paraId="1444E9F4">
            <w:pPr>
              <w:pStyle w:val="31"/>
              <w:spacing w:before="169" w:line="158" w:lineRule="auto"/>
              <w:ind w:left="1125" w:firstLine="482"/>
              <w:rPr>
                <w:rFonts w:asciiTheme="minorEastAsia" w:hAnsiTheme="minorEastAsia" w:eastAsiaTheme="minorEastAsia" w:cstheme="minorEastAsia"/>
                <w:lang w:eastAsia="zh-CN"/>
              </w:rPr>
            </w:pPr>
          </w:p>
        </w:tc>
      </w:tr>
      <w:tr w14:paraId="2E21EE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666FC734">
            <w:pPr>
              <w:pStyle w:val="31"/>
              <w:spacing w:before="128" w:line="186" w:lineRule="auto"/>
              <w:ind w:firstLine="482"/>
              <w:jc w:val="center"/>
              <w:rPr>
                <w:rFonts w:asciiTheme="minorEastAsia" w:hAnsiTheme="minorEastAsia" w:eastAsiaTheme="minorEastAsia" w:cstheme="minorEastAsia"/>
                <w:lang w:eastAsia="zh-CN"/>
              </w:rPr>
            </w:pPr>
          </w:p>
        </w:tc>
        <w:tc>
          <w:tcPr>
            <w:tcW w:w="2159" w:type="dxa"/>
          </w:tcPr>
          <w:p w14:paraId="73EB612C">
            <w:pPr>
              <w:ind w:firstLine="482"/>
              <w:rPr>
                <w:rFonts w:asciiTheme="minorEastAsia" w:hAnsiTheme="minorEastAsia" w:eastAsiaTheme="minorEastAsia" w:cstheme="minorEastAsia"/>
                <w:sz w:val="24"/>
                <w:szCs w:val="24"/>
              </w:rPr>
            </w:pPr>
          </w:p>
        </w:tc>
        <w:tc>
          <w:tcPr>
            <w:tcW w:w="1257" w:type="dxa"/>
          </w:tcPr>
          <w:p w14:paraId="0B087426">
            <w:pPr>
              <w:pStyle w:val="31"/>
              <w:spacing w:before="129" w:line="187" w:lineRule="auto"/>
              <w:ind w:left="529" w:firstLine="482"/>
              <w:rPr>
                <w:rFonts w:asciiTheme="minorEastAsia" w:hAnsiTheme="minorEastAsia" w:eastAsiaTheme="minorEastAsia" w:cstheme="minorEastAsia"/>
                <w:lang w:eastAsia="zh-CN"/>
              </w:rPr>
            </w:pPr>
          </w:p>
        </w:tc>
        <w:tc>
          <w:tcPr>
            <w:tcW w:w="2350" w:type="dxa"/>
          </w:tcPr>
          <w:p w14:paraId="12128B2C">
            <w:pPr>
              <w:pStyle w:val="31"/>
              <w:spacing w:before="167" w:line="160" w:lineRule="auto"/>
              <w:ind w:left="1124" w:firstLine="482"/>
              <w:rPr>
                <w:rFonts w:asciiTheme="minorEastAsia" w:hAnsiTheme="minorEastAsia" w:eastAsiaTheme="minorEastAsia" w:cstheme="minorEastAsia"/>
                <w:lang w:eastAsia="zh-CN"/>
              </w:rPr>
            </w:pPr>
          </w:p>
        </w:tc>
      </w:tr>
      <w:tr w14:paraId="42F497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184B8EF7">
            <w:pPr>
              <w:pStyle w:val="31"/>
              <w:spacing w:before="125" w:line="185" w:lineRule="auto"/>
              <w:ind w:firstLine="482"/>
              <w:jc w:val="center"/>
              <w:rPr>
                <w:rFonts w:asciiTheme="minorEastAsia" w:hAnsiTheme="minorEastAsia" w:eastAsiaTheme="minorEastAsia" w:cstheme="minorEastAsia"/>
                <w:lang w:eastAsia="zh-CN"/>
              </w:rPr>
            </w:pPr>
          </w:p>
        </w:tc>
        <w:tc>
          <w:tcPr>
            <w:tcW w:w="2159" w:type="dxa"/>
          </w:tcPr>
          <w:p w14:paraId="761019BD">
            <w:pPr>
              <w:ind w:firstLine="482"/>
              <w:rPr>
                <w:rFonts w:asciiTheme="minorEastAsia" w:hAnsiTheme="minorEastAsia" w:eastAsiaTheme="minorEastAsia" w:cstheme="minorEastAsia"/>
                <w:sz w:val="24"/>
                <w:szCs w:val="24"/>
              </w:rPr>
            </w:pPr>
          </w:p>
        </w:tc>
        <w:tc>
          <w:tcPr>
            <w:tcW w:w="1257" w:type="dxa"/>
          </w:tcPr>
          <w:p w14:paraId="077CED9D">
            <w:pPr>
              <w:pStyle w:val="31"/>
              <w:spacing w:before="125" w:line="186" w:lineRule="auto"/>
              <w:ind w:left="509" w:firstLine="482"/>
              <w:rPr>
                <w:rFonts w:asciiTheme="minorEastAsia" w:hAnsiTheme="minorEastAsia" w:eastAsiaTheme="minorEastAsia" w:cstheme="minorEastAsia"/>
                <w:lang w:eastAsia="zh-CN"/>
              </w:rPr>
            </w:pPr>
          </w:p>
        </w:tc>
        <w:tc>
          <w:tcPr>
            <w:tcW w:w="2350" w:type="dxa"/>
          </w:tcPr>
          <w:p w14:paraId="1C9E56B8">
            <w:pPr>
              <w:pStyle w:val="31"/>
              <w:spacing w:before="165" w:line="158" w:lineRule="auto"/>
              <w:ind w:left="1125" w:firstLine="482"/>
              <w:rPr>
                <w:rFonts w:asciiTheme="minorEastAsia" w:hAnsiTheme="minorEastAsia" w:eastAsiaTheme="minorEastAsia" w:cstheme="minorEastAsia"/>
                <w:lang w:eastAsia="zh-CN"/>
              </w:rPr>
            </w:pPr>
          </w:p>
        </w:tc>
      </w:tr>
      <w:tr w14:paraId="45C11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624DA1EA">
            <w:pPr>
              <w:pStyle w:val="31"/>
              <w:spacing w:before="125" w:line="186" w:lineRule="auto"/>
              <w:ind w:left="1069" w:firstLine="482"/>
              <w:rPr>
                <w:rFonts w:asciiTheme="minorEastAsia" w:hAnsiTheme="minorEastAsia" w:eastAsiaTheme="minorEastAsia" w:cstheme="minorEastAsia"/>
                <w:lang w:eastAsia="zh-CN"/>
              </w:rPr>
            </w:pPr>
          </w:p>
        </w:tc>
        <w:tc>
          <w:tcPr>
            <w:tcW w:w="2159" w:type="dxa"/>
          </w:tcPr>
          <w:p w14:paraId="30C7E3D5">
            <w:pPr>
              <w:ind w:firstLine="482"/>
              <w:rPr>
                <w:rFonts w:asciiTheme="minorEastAsia" w:hAnsiTheme="minorEastAsia" w:eastAsiaTheme="minorEastAsia" w:cstheme="minorEastAsia"/>
                <w:sz w:val="24"/>
                <w:szCs w:val="24"/>
              </w:rPr>
            </w:pPr>
          </w:p>
        </w:tc>
        <w:tc>
          <w:tcPr>
            <w:tcW w:w="1257" w:type="dxa"/>
          </w:tcPr>
          <w:p w14:paraId="4C60B501">
            <w:pPr>
              <w:pStyle w:val="31"/>
              <w:spacing w:before="125" w:line="186" w:lineRule="auto"/>
              <w:ind w:left="511" w:firstLine="482"/>
              <w:rPr>
                <w:rFonts w:asciiTheme="minorEastAsia" w:hAnsiTheme="minorEastAsia" w:eastAsiaTheme="minorEastAsia" w:cstheme="minorEastAsia"/>
                <w:lang w:eastAsia="zh-CN"/>
              </w:rPr>
            </w:pPr>
          </w:p>
        </w:tc>
        <w:tc>
          <w:tcPr>
            <w:tcW w:w="2350" w:type="dxa"/>
          </w:tcPr>
          <w:p w14:paraId="1F1FC41F">
            <w:pPr>
              <w:pStyle w:val="31"/>
              <w:spacing w:before="162" w:line="161" w:lineRule="auto"/>
              <w:ind w:left="1138" w:firstLine="482"/>
              <w:rPr>
                <w:rFonts w:asciiTheme="minorEastAsia" w:hAnsiTheme="minorEastAsia" w:eastAsiaTheme="minorEastAsia" w:cstheme="minorEastAsia"/>
                <w:lang w:eastAsia="zh-CN"/>
              </w:rPr>
            </w:pPr>
          </w:p>
        </w:tc>
      </w:tr>
      <w:tr w14:paraId="409A2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61504382">
            <w:pPr>
              <w:pStyle w:val="31"/>
              <w:spacing w:before="125" w:line="186" w:lineRule="auto"/>
              <w:ind w:left="1069" w:firstLine="482"/>
              <w:rPr>
                <w:rFonts w:asciiTheme="minorEastAsia" w:hAnsiTheme="minorEastAsia" w:eastAsiaTheme="minorEastAsia" w:cstheme="minorEastAsia"/>
                <w:lang w:eastAsia="zh-CN"/>
              </w:rPr>
            </w:pPr>
          </w:p>
        </w:tc>
        <w:tc>
          <w:tcPr>
            <w:tcW w:w="2159" w:type="dxa"/>
          </w:tcPr>
          <w:p w14:paraId="5FE3B9E4">
            <w:pPr>
              <w:ind w:firstLine="482"/>
              <w:jc w:val="center"/>
              <w:rPr>
                <w:rFonts w:asciiTheme="minorEastAsia" w:hAnsiTheme="minorEastAsia" w:eastAsiaTheme="minorEastAsia" w:cstheme="minorEastAsia"/>
                <w:sz w:val="24"/>
                <w:szCs w:val="24"/>
              </w:rPr>
            </w:pPr>
          </w:p>
        </w:tc>
        <w:tc>
          <w:tcPr>
            <w:tcW w:w="1257" w:type="dxa"/>
          </w:tcPr>
          <w:p w14:paraId="1548FFB6">
            <w:pPr>
              <w:pStyle w:val="31"/>
              <w:spacing w:before="125" w:line="186" w:lineRule="auto"/>
              <w:ind w:left="511" w:firstLine="482"/>
              <w:rPr>
                <w:rFonts w:asciiTheme="minorEastAsia" w:hAnsiTheme="minorEastAsia" w:eastAsiaTheme="minorEastAsia" w:cstheme="minorEastAsia"/>
                <w:lang w:eastAsia="zh-CN"/>
              </w:rPr>
            </w:pPr>
          </w:p>
        </w:tc>
        <w:tc>
          <w:tcPr>
            <w:tcW w:w="2350" w:type="dxa"/>
          </w:tcPr>
          <w:p w14:paraId="414A848F">
            <w:pPr>
              <w:pStyle w:val="31"/>
              <w:spacing w:before="162" w:line="161" w:lineRule="auto"/>
              <w:ind w:left="1138" w:firstLine="482"/>
              <w:rPr>
                <w:rFonts w:asciiTheme="minorEastAsia" w:hAnsiTheme="minorEastAsia" w:eastAsiaTheme="minorEastAsia" w:cstheme="minorEastAsia"/>
                <w:lang w:eastAsia="zh-CN"/>
              </w:rPr>
            </w:pPr>
          </w:p>
        </w:tc>
      </w:tr>
      <w:tr w14:paraId="5B6C97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25B39FF3">
            <w:pPr>
              <w:pStyle w:val="31"/>
              <w:spacing w:before="125" w:line="186" w:lineRule="auto"/>
              <w:ind w:firstLine="482"/>
              <w:jc w:val="center"/>
              <w:rPr>
                <w:rFonts w:asciiTheme="minorEastAsia" w:hAnsiTheme="minorEastAsia" w:eastAsiaTheme="minorEastAsia" w:cstheme="minorEastAsia"/>
                <w:lang w:eastAsia="zh-CN"/>
              </w:rPr>
            </w:pPr>
          </w:p>
        </w:tc>
        <w:tc>
          <w:tcPr>
            <w:tcW w:w="2159" w:type="dxa"/>
          </w:tcPr>
          <w:p w14:paraId="5A2AD8F5">
            <w:pPr>
              <w:ind w:firstLine="482"/>
              <w:jc w:val="center"/>
              <w:rPr>
                <w:rFonts w:asciiTheme="minorEastAsia" w:hAnsiTheme="minorEastAsia" w:eastAsiaTheme="minorEastAsia" w:cstheme="minorEastAsia"/>
                <w:sz w:val="24"/>
                <w:szCs w:val="24"/>
              </w:rPr>
            </w:pPr>
          </w:p>
        </w:tc>
        <w:tc>
          <w:tcPr>
            <w:tcW w:w="1257" w:type="dxa"/>
          </w:tcPr>
          <w:p w14:paraId="4C1ACDBC">
            <w:pPr>
              <w:pStyle w:val="31"/>
              <w:spacing w:before="125" w:line="186" w:lineRule="auto"/>
              <w:ind w:left="511" w:firstLine="482"/>
              <w:rPr>
                <w:rFonts w:asciiTheme="minorEastAsia" w:hAnsiTheme="minorEastAsia" w:eastAsiaTheme="minorEastAsia" w:cstheme="minorEastAsia"/>
                <w:lang w:eastAsia="zh-CN"/>
              </w:rPr>
            </w:pPr>
          </w:p>
        </w:tc>
        <w:tc>
          <w:tcPr>
            <w:tcW w:w="2350" w:type="dxa"/>
          </w:tcPr>
          <w:p w14:paraId="484CDF41">
            <w:pPr>
              <w:pStyle w:val="31"/>
              <w:spacing w:before="162" w:line="161" w:lineRule="auto"/>
              <w:ind w:left="1138" w:firstLine="482"/>
              <w:rPr>
                <w:rFonts w:asciiTheme="minorEastAsia" w:hAnsiTheme="minorEastAsia" w:eastAsiaTheme="minorEastAsia" w:cstheme="minorEastAsia"/>
                <w:lang w:eastAsia="zh-CN"/>
              </w:rPr>
            </w:pPr>
          </w:p>
        </w:tc>
      </w:tr>
      <w:tr w14:paraId="50A456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5D3229F5">
            <w:pPr>
              <w:pStyle w:val="31"/>
              <w:spacing w:before="126" w:line="184" w:lineRule="auto"/>
              <w:ind w:firstLine="482"/>
              <w:jc w:val="center"/>
              <w:rPr>
                <w:rFonts w:asciiTheme="minorEastAsia" w:hAnsiTheme="minorEastAsia" w:eastAsiaTheme="minorEastAsia" w:cstheme="minorEastAsia"/>
                <w:lang w:eastAsia="zh-CN"/>
              </w:rPr>
            </w:pPr>
          </w:p>
        </w:tc>
        <w:tc>
          <w:tcPr>
            <w:tcW w:w="2159" w:type="dxa"/>
          </w:tcPr>
          <w:p w14:paraId="6433B41A">
            <w:pPr>
              <w:ind w:firstLine="482"/>
              <w:jc w:val="center"/>
              <w:rPr>
                <w:rFonts w:asciiTheme="minorEastAsia" w:hAnsiTheme="minorEastAsia" w:eastAsiaTheme="minorEastAsia" w:cstheme="minorEastAsia"/>
                <w:sz w:val="24"/>
                <w:szCs w:val="24"/>
              </w:rPr>
            </w:pPr>
          </w:p>
        </w:tc>
        <w:tc>
          <w:tcPr>
            <w:tcW w:w="1257" w:type="dxa"/>
          </w:tcPr>
          <w:p w14:paraId="7DB49CB8">
            <w:pPr>
              <w:pStyle w:val="31"/>
              <w:spacing w:before="126" w:line="188" w:lineRule="auto"/>
              <w:ind w:left="510" w:firstLine="482"/>
              <w:rPr>
                <w:rFonts w:asciiTheme="minorEastAsia" w:hAnsiTheme="minorEastAsia" w:eastAsiaTheme="minorEastAsia" w:cstheme="minorEastAsia"/>
                <w:lang w:eastAsia="zh-CN"/>
              </w:rPr>
            </w:pPr>
          </w:p>
        </w:tc>
        <w:tc>
          <w:tcPr>
            <w:tcW w:w="2350" w:type="dxa"/>
          </w:tcPr>
          <w:p w14:paraId="560F6B7C">
            <w:pPr>
              <w:pStyle w:val="31"/>
              <w:spacing w:before="163" w:line="160" w:lineRule="auto"/>
              <w:ind w:left="1124" w:firstLine="482"/>
              <w:rPr>
                <w:rFonts w:asciiTheme="minorEastAsia" w:hAnsiTheme="minorEastAsia" w:eastAsiaTheme="minorEastAsia" w:cstheme="minorEastAsia"/>
                <w:lang w:eastAsia="zh-CN"/>
              </w:rPr>
            </w:pPr>
          </w:p>
        </w:tc>
      </w:tr>
      <w:tr w14:paraId="5CF9B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766BEF3E">
            <w:pPr>
              <w:pStyle w:val="31"/>
              <w:spacing w:before="125" w:line="181" w:lineRule="auto"/>
              <w:ind w:firstLine="482"/>
              <w:jc w:val="center"/>
              <w:rPr>
                <w:rFonts w:asciiTheme="minorEastAsia" w:hAnsiTheme="minorEastAsia" w:eastAsiaTheme="minorEastAsia" w:cstheme="minorEastAsia"/>
                <w:lang w:eastAsia="zh-CN"/>
              </w:rPr>
            </w:pPr>
          </w:p>
        </w:tc>
        <w:tc>
          <w:tcPr>
            <w:tcW w:w="2159" w:type="dxa"/>
          </w:tcPr>
          <w:p w14:paraId="7F4D0827">
            <w:pPr>
              <w:ind w:firstLine="482"/>
              <w:jc w:val="center"/>
              <w:rPr>
                <w:rFonts w:asciiTheme="minorEastAsia" w:hAnsiTheme="minorEastAsia" w:eastAsiaTheme="minorEastAsia" w:cstheme="minorEastAsia"/>
                <w:sz w:val="24"/>
                <w:szCs w:val="24"/>
              </w:rPr>
            </w:pPr>
          </w:p>
        </w:tc>
        <w:tc>
          <w:tcPr>
            <w:tcW w:w="1257" w:type="dxa"/>
          </w:tcPr>
          <w:p w14:paraId="32CDC867">
            <w:pPr>
              <w:pStyle w:val="31"/>
              <w:spacing w:before="125" w:line="187" w:lineRule="auto"/>
              <w:ind w:left="529" w:firstLine="482"/>
              <w:rPr>
                <w:rFonts w:asciiTheme="minorEastAsia" w:hAnsiTheme="minorEastAsia" w:eastAsiaTheme="minorEastAsia" w:cstheme="minorEastAsia"/>
                <w:lang w:eastAsia="zh-CN"/>
              </w:rPr>
            </w:pPr>
          </w:p>
        </w:tc>
        <w:tc>
          <w:tcPr>
            <w:tcW w:w="2350" w:type="dxa"/>
          </w:tcPr>
          <w:p w14:paraId="50EF3A13">
            <w:pPr>
              <w:pStyle w:val="31"/>
              <w:spacing w:before="163" w:line="160" w:lineRule="auto"/>
              <w:ind w:left="1124" w:firstLine="482"/>
              <w:rPr>
                <w:rFonts w:asciiTheme="minorEastAsia" w:hAnsiTheme="minorEastAsia" w:eastAsiaTheme="minorEastAsia" w:cstheme="minorEastAsia"/>
                <w:lang w:eastAsia="zh-CN"/>
              </w:rPr>
            </w:pPr>
          </w:p>
        </w:tc>
      </w:tr>
      <w:tr w14:paraId="1A408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5065F332">
            <w:pPr>
              <w:pStyle w:val="31"/>
              <w:spacing w:before="126" w:line="184" w:lineRule="auto"/>
              <w:ind w:firstLine="482"/>
              <w:jc w:val="center"/>
              <w:rPr>
                <w:rFonts w:asciiTheme="minorEastAsia" w:hAnsiTheme="minorEastAsia" w:eastAsiaTheme="minorEastAsia" w:cstheme="minorEastAsia"/>
                <w:lang w:eastAsia="zh-CN"/>
              </w:rPr>
            </w:pPr>
          </w:p>
        </w:tc>
        <w:tc>
          <w:tcPr>
            <w:tcW w:w="2159" w:type="dxa"/>
          </w:tcPr>
          <w:p w14:paraId="67FB7F97">
            <w:pPr>
              <w:ind w:firstLine="482"/>
              <w:jc w:val="center"/>
              <w:rPr>
                <w:rFonts w:asciiTheme="minorEastAsia" w:hAnsiTheme="minorEastAsia" w:eastAsiaTheme="minorEastAsia" w:cstheme="minorEastAsia"/>
                <w:sz w:val="24"/>
                <w:szCs w:val="24"/>
              </w:rPr>
            </w:pPr>
          </w:p>
        </w:tc>
        <w:tc>
          <w:tcPr>
            <w:tcW w:w="1257" w:type="dxa"/>
          </w:tcPr>
          <w:p w14:paraId="5DA001C8">
            <w:pPr>
              <w:pStyle w:val="31"/>
              <w:spacing w:before="125" w:line="187" w:lineRule="auto"/>
              <w:ind w:left="529" w:firstLine="482"/>
              <w:rPr>
                <w:rFonts w:asciiTheme="minorEastAsia" w:hAnsiTheme="minorEastAsia" w:eastAsiaTheme="minorEastAsia" w:cstheme="minorEastAsia"/>
                <w:lang w:eastAsia="zh-CN"/>
              </w:rPr>
            </w:pPr>
          </w:p>
        </w:tc>
        <w:tc>
          <w:tcPr>
            <w:tcW w:w="2350" w:type="dxa"/>
          </w:tcPr>
          <w:p w14:paraId="18FD74D3">
            <w:pPr>
              <w:pStyle w:val="31"/>
              <w:spacing w:before="163" w:line="160" w:lineRule="auto"/>
              <w:ind w:firstLine="482"/>
              <w:jc w:val="center"/>
              <w:rPr>
                <w:rFonts w:asciiTheme="minorEastAsia" w:hAnsiTheme="minorEastAsia" w:eastAsiaTheme="minorEastAsia" w:cstheme="minorEastAsia"/>
                <w:lang w:eastAsia="zh-CN"/>
              </w:rPr>
            </w:pPr>
          </w:p>
        </w:tc>
      </w:tr>
      <w:tr w14:paraId="0D4CA7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53AC3A39">
            <w:pPr>
              <w:pStyle w:val="31"/>
              <w:spacing w:before="124" w:line="186" w:lineRule="auto"/>
              <w:ind w:firstLine="482"/>
              <w:jc w:val="center"/>
              <w:rPr>
                <w:rFonts w:asciiTheme="minorEastAsia" w:hAnsiTheme="minorEastAsia" w:eastAsiaTheme="minorEastAsia" w:cstheme="minorEastAsia"/>
                <w:lang w:eastAsia="zh-CN"/>
              </w:rPr>
            </w:pPr>
          </w:p>
        </w:tc>
        <w:tc>
          <w:tcPr>
            <w:tcW w:w="2159" w:type="dxa"/>
          </w:tcPr>
          <w:p w14:paraId="30160F90">
            <w:pPr>
              <w:ind w:firstLine="482"/>
              <w:jc w:val="center"/>
              <w:rPr>
                <w:rFonts w:asciiTheme="minorEastAsia" w:hAnsiTheme="minorEastAsia" w:eastAsiaTheme="minorEastAsia" w:cstheme="minorEastAsia"/>
                <w:sz w:val="24"/>
                <w:szCs w:val="24"/>
              </w:rPr>
            </w:pPr>
          </w:p>
        </w:tc>
        <w:tc>
          <w:tcPr>
            <w:tcW w:w="1257" w:type="dxa"/>
          </w:tcPr>
          <w:p w14:paraId="3145D5FE">
            <w:pPr>
              <w:pStyle w:val="31"/>
              <w:spacing w:before="125" w:line="187" w:lineRule="auto"/>
              <w:ind w:left="529" w:firstLine="482"/>
              <w:rPr>
                <w:rFonts w:asciiTheme="minorEastAsia" w:hAnsiTheme="minorEastAsia" w:eastAsiaTheme="minorEastAsia" w:cstheme="minorEastAsia"/>
                <w:lang w:eastAsia="zh-CN"/>
              </w:rPr>
            </w:pPr>
          </w:p>
        </w:tc>
        <w:tc>
          <w:tcPr>
            <w:tcW w:w="2350" w:type="dxa"/>
          </w:tcPr>
          <w:p w14:paraId="0AADFE8F">
            <w:pPr>
              <w:pStyle w:val="31"/>
              <w:spacing w:before="163" w:line="160" w:lineRule="auto"/>
              <w:ind w:left="1124" w:firstLine="482"/>
              <w:rPr>
                <w:rFonts w:asciiTheme="minorEastAsia" w:hAnsiTheme="minorEastAsia" w:eastAsiaTheme="minorEastAsia" w:cstheme="minorEastAsia"/>
                <w:lang w:eastAsia="zh-CN"/>
              </w:rPr>
            </w:pPr>
          </w:p>
        </w:tc>
      </w:tr>
      <w:tr w14:paraId="2D6BB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75EA3D37">
            <w:pPr>
              <w:pStyle w:val="31"/>
              <w:spacing w:before="125" w:line="185" w:lineRule="auto"/>
              <w:ind w:firstLine="482"/>
              <w:jc w:val="center"/>
              <w:rPr>
                <w:rFonts w:asciiTheme="minorEastAsia" w:hAnsiTheme="minorEastAsia" w:eastAsiaTheme="minorEastAsia" w:cstheme="minorEastAsia"/>
                <w:lang w:eastAsia="zh-CN"/>
              </w:rPr>
            </w:pPr>
          </w:p>
        </w:tc>
        <w:tc>
          <w:tcPr>
            <w:tcW w:w="2159" w:type="dxa"/>
          </w:tcPr>
          <w:p w14:paraId="44B66BDF">
            <w:pPr>
              <w:ind w:firstLine="482"/>
              <w:jc w:val="center"/>
              <w:rPr>
                <w:rFonts w:asciiTheme="minorEastAsia" w:hAnsiTheme="minorEastAsia" w:eastAsiaTheme="minorEastAsia" w:cstheme="minorEastAsia"/>
                <w:sz w:val="24"/>
                <w:szCs w:val="24"/>
              </w:rPr>
            </w:pPr>
          </w:p>
        </w:tc>
        <w:tc>
          <w:tcPr>
            <w:tcW w:w="1257" w:type="dxa"/>
          </w:tcPr>
          <w:p w14:paraId="4170B45F">
            <w:pPr>
              <w:pStyle w:val="31"/>
              <w:spacing w:before="124" w:line="186" w:lineRule="auto"/>
              <w:ind w:left="511" w:firstLine="482"/>
              <w:rPr>
                <w:rFonts w:asciiTheme="minorEastAsia" w:hAnsiTheme="minorEastAsia" w:eastAsiaTheme="minorEastAsia" w:cstheme="minorEastAsia"/>
                <w:lang w:eastAsia="zh-CN"/>
              </w:rPr>
            </w:pPr>
          </w:p>
        </w:tc>
        <w:tc>
          <w:tcPr>
            <w:tcW w:w="2350" w:type="dxa"/>
          </w:tcPr>
          <w:p w14:paraId="545F3D79">
            <w:pPr>
              <w:pStyle w:val="31"/>
              <w:spacing w:before="163" w:line="160" w:lineRule="auto"/>
              <w:ind w:left="1124" w:firstLine="482"/>
              <w:rPr>
                <w:rFonts w:asciiTheme="minorEastAsia" w:hAnsiTheme="minorEastAsia" w:eastAsiaTheme="minorEastAsia" w:cstheme="minorEastAsia"/>
                <w:lang w:eastAsia="zh-CN"/>
              </w:rPr>
            </w:pPr>
          </w:p>
        </w:tc>
      </w:tr>
      <w:tr w14:paraId="1A206C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24582C63">
            <w:pPr>
              <w:pStyle w:val="31"/>
              <w:spacing w:before="125" w:line="185" w:lineRule="auto"/>
              <w:ind w:firstLine="482"/>
              <w:jc w:val="center"/>
              <w:rPr>
                <w:rFonts w:asciiTheme="minorEastAsia" w:hAnsiTheme="minorEastAsia" w:eastAsiaTheme="minorEastAsia" w:cstheme="minorEastAsia"/>
                <w:lang w:eastAsia="zh-CN"/>
              </w:rPr>
            </w:pPr>
          </w:p>
        </w:tc>
        <w:tc>
          <w:tcPr>
            <w:tcW w:w="2159" w:type="dxa"/>
          </w:tcPr>
          <w:p w14:paraId="1670ABA5">
            <w:pPr>
              <w:ind w:firstLine="482"/>
              <w:rPr>
                <w:rFonts w:asciiTheme="minorEastAsia" w:hAnsiTheme="minorEastAsia" w:eastAsiaTheme="minorEastAsia" w:cstheme="minorEastAsia"/>
                <w:sz w:val="24"/>
                <w:szCs w:val="24"/>
              </w:rPr>
            </w:pPr>
          </w:p>
        </w:tc>
        <w:tc>
          <w:tcPr>
            <w:tcW w:w="1257" w:type="dxa"/>
          </w:tcPr>
          <w:p w14:paraId="018BCFF7">
            <w:pPr>
              <w:pStyle w:val="31"/>
              <w:spacing w:before="124" w:line="186" w:lineRule="auto"/>
              <w:ind w:left="511" w:firstLine="482"/>
              <w:rPr>
                <w:rFonts w:asciiTheme="minorEastAsia" w:hAnsiTheme="minorEastAsia" w:eastAsiaTheme="minorEastAsia" w:cstheme="minorEastAsia"/>
                <w:lang w:eastAsia="zh-CN"/>
              </w:rPr>
            </w:pPr>
          </w:p>
        </w:tc>
        <w:tc>
          <w:tcPr>
            <w:tcW w:w="2350" w:type="dxa"/>
          </w:tcPr>
          <w:p w14:paraId="0A324A45">
            <w:pPr>
              <w:pStyle w:val="31"/>
              <w:spacing w:before="163" w:line="160" w:lineRule="auto"/>
              <w:ind w:left="1124" w:firstLine="482"/>
              <w:rPr>
                <w:rFonts w:asciiTheme="minorEastAsia" w:hAnsiTheme="minorEastAsia" w:eastAsiaTheme="minorEastAsia" w:cstheme="minorEastAsia"/>
                <w:lang w:eastAsia="zh-CN"/>
              </w:rPr>
            </w:pPr>
          </w:p>
        </w:tc>
      </w:tr>
      <w:tr w14:paraId="6E1399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143892AD">
            <w:pPr>
              <w:pStyle w:val="31"/>
              <w:spacing w:before="125" w:line="185" w:lineRule="auto"/>
              <w:ind w:firstLine="482"/>
              <w:jc w:val="center"/>
              <w:rPr>
                <w:rFonts w:asciiTheme="minorEastAsia" w:hAnsiTheme="minorEastAsia" w:eastAsiaTheme="minorEastAsia" w:cstheme="minorEastAsia"/>
                <w:lang w:eastAsia="zh-CN"/>
              </w:rPr>
            </w:pPr>
          </w:p>
        </w:tc>
        <w:tc>
          <w:tcPr>
            <w:tcW w:w="2159" w:type="dxa"/>
          </w:tcPr>
          <w:p w14:paraId="63DB97E8">
            <w:pPr>
              <w:ind w:firstLine="482"/>
              <w:rPr>
                <w:rFonts w:asciiTheme="minorEastAsia" w:hAnsiTheme="minorEastAsia" w:eastAsiaTheme="minorEastAsia" w:cstheme="minorEastAsia"/>
                <w:sz w:val="24"/>
                <w:szCs w:val="24"/>
              </w:rPr>
            </w:pPr>
          </w:p>
        </w:tc>
        <w:tc>
          <w:tcPr>
            <w:tcW w:w="1257" w:type="dxa"/>
          </w:tcPr>
          <w:p w14:paraId="1D6C990D">
            <w:pPr>
              <w:pStyle w:val="31"/>
              <w:spacing w:before="124" w:line="186" w:lineRule="auto"/>
              <w:ind w:left="511" w:firstLine="482"/>
              <w:rPr>
                <w:rFonts w:asciiTheme="minorEastAsia" w:hAnsiTheme="minorEastAsia" w:eastAsiaTheme="minorEastAsia" w:cstheme="minorEastAsia"/>
                <w:lang w:eastAsia="zh-CN"/>
              </w:rPr>
            </w:pPr>
          </w:p>
        </w:tc>
        <w:tc>
          <w:tcPr>
            <w:tcW w:w="2350" w:type="dxa"/>
          </w:tcPr>
          <w:p w14:paraId="156B951D">
            <w:pPr>
              <w:pStyle w:val="31"/>
              <w:spacing w:before="163" w:line="160" w:lineRule="auto"/>
              <w:ind w:left="1124" w:firstLine="482"/>
              <w:rPr>
                <w:rFonts w:asciiTheme="minorEastAsia" w:hAnsiTheme="minorEastAsia" w:eastAsiaTheme="minorEastAsia" w:cstheme="minorEastAsia"/>
                <w:lang w:eastAsia="zh-CN"/>
              </w:rPr>
            </w:pPr>
          </w:p>
        </w:tc>
      </w:tr>
      <w:tr w14:paraId="5488C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76F90D5D">
            <w:pPr>
              <w:pStyle w:val="31"/>
              <w:spacing w:before="125" w:line="185" w:lineRule="auto"/>
              <w:ind w:firstLine="482"/>
              <w:jc w:val="center"/>
              <w:rPr>
                <w:rFonts w:asciiTheme="minorEastAsia" w:hAnsiTheme="minorEastAsia" w:eastAsiaTheme="minorEastAsia" w:cstheme="minorEastAsia"/>
                <w:lang w:eastAsia="zh-CN"/>
              </w:rPr>
            </w:pPr>
          </w:p>
        </w:tc>
        <w:tc>
          <w:tcPr>
            <w:tcW w:w="2159" w:type="dxa"/>
          </w:tcPr>
          <w:p w14:paraId="59DC0297">
            <w:pPr>
              <w:ind w:firstLine="482"/>
              <w:rPr>
                <w:rFonts w:asciiTheme="minorEastAsia" w:hAnsiTheme="minorEastAsia" w:eastAsiaTheme="minorEastAsia" w:cstheme="minorEastAsia"/>
                <w:sz w:val="24"/>
                <w:szCs w:val="24"/>
              </w:rPr>
            </w:pPr>
          </w:p>
        </w:tc>
        <w:tc>
          <w:tcPr>
            <w:tcW w:w="1257" w:type="dxa"/>
          </w:tcPr>
          <w:p w14:paraId="48EAF2A0">
            <w:pPr>
              <w:pStyle w:val="31"/>
              <w:spacing w:before="124" w:line="186" w:lineRule="auto"/>
              <w:ind w:left="511" w:firstLine="482"/>
              <w:rPr>
                <w:rFonts w:asciiTheme="minorEastAsia" w:hAnsiTheme="minorEastAsia" w:eastAsiaTheme="minorEastAsia" w:cstheme="minorEastAsia"/>
                <w:lang w:eastAsia="zh-CN"/>
              </w:rPr>
            </w:pPr>
          </w:p>
        </w:tc>
        <w:tc>
          <w:tcPr>
            <w:tcW w:w="2350" w:type="dxa"/>
          </w:tcPr>
          <w:p w14:paraId="4CD31802">
            <w:pPr>
              <w:pStyle w:val="31"/>
              <w:spacing w:before="163" w:line="160" w:lineRule="auto"/>
              <w:ind w:left="1124" w:firstLine="482"/>
              <w:rPr>
                <w:rFonts w:asciiTheme="minorEastAsia" w:hAnsiTheme="minorEastAsia" w:eastAsiaTheme="minorEastAsia" w:cstheme="minorEastAsia"/>
                <w:lang w:eastAsia="zh-CN"/>
              </w:rPr>
            </w:pPr>
          </w:p>
        </w:tc>
      </w:tr>
      <w:tr w14:paraId="2A80C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1D0B811A">
            <w:pPr>
              <w:pStyle w:val="31"/>
              <w:spacing w:before="125" w:line="185" w:lineRule="auto"/>
              <w:ind w:firstLine="482"/>
              <w:jc w:val="center"/>
              <w:rPr>
                <w:rFonts w:asciiTheme="minorEastAsia" w:hAnsiTheme="minorEastAsia" w:eastAsiaTheme="minorEastAsia" w:cstheme="minorEastAsia"/>
                <w:lang w:eastAsia="zh-CN"/>
              </w:rPr>
            </w:pPr>
          </w:p>
        </w:tc>
        <w:tc>
          <w:tcPr>
            <w:tcW w:w="2159" w:type="dxa"/>
          </w:tcPr>
          <w:p w14:paraId="175EFDA9">
            <w:pPr>
              <w:ind w:firstLine="482"/>
              <w:rPr>
                <w:rFonts w:asciiTheme="minorEastAsia" w:hAnsiTheme="minorEastAsia" w:eastAsiaTheme="minorEastAsia" w:cstheme="minorEastAsia"/>
                <w:sz w:val="24"/>
                <w:szCs w:val="24"/>
              </w:rPr>
            </w:pPr>
          </w:p>
        </w:tc>
        <w:tc>
          <w:tcPr>
            <w:tcW w:w="1257" w:type="dxa"/>
          </w:tcPr>
          <w:p w14:paraId="3ADE24F6">
            <w:pPr>
              <w:pStyle w:val="31"/>
              <w:spacing w:before="124" w:line="186" w:lineRule="auto"/>
              <w:ind w:left="511" w:firstLine="482"/>
              <w:rPr>
                <w:rFonts w:asciiTheme="minorEastAsia" w:hAnsiTheme="minorEastAsia" w:eastAsiaTheme="minorEastAsia" w:cstheme="minorEastAsia"/>
                <w:lang w:eastAsia="zh-CN"/>
              </w:rPr>
            </w:pPr>
          </w:p>
        </w:tc>
        <w:tc>
          <w:tcPr>
            <w:tcW w:w="2350" w:type="dxa"/>
          </w:tcPr>
          <w:p w14:paraId="62667616">
            <w:pPr>
              <w:pStyle w:val="31"/>
              <w:spacing w:before="163" w:line="160" w:lineRule="auto"/>
              <w:ind w:left="1124" w:firstLine="482"/>
              <w:rPr>
                <w:rFonts w:asciiTheme="minorEastAsia" w:hAnsiTheme="minorEastAsia" w:eastAsiaTheme="minorEastAsia" w:cstheme="minorEastAsia"/>
                <w:lang w:eastAsia="zh-CN"/>
              </w:rPr>
            </w:pPr>
          </w:p>
        </w:tc>
      </w:tr>
      <w:tr w14:paraId="58F9E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26A1F03D">
            <w:pPr>
              <w:pStyle w:val="31"/>
              <w:spacing w:before="125" w:line="185" w:lineRule="auto"/>
              <w:ind w:firstLine="482"/>
              <w:jc w:val="center"/>
              <w:rPr>
                <w:rFonts w:asciiTheme="minorEastAsia" w:hAnsiTheme="minorEastAsia" w:eastAsiaTheme="minorEastAsia" w:cstheme="minorEastAsia"/>
                <w:lang w:eastAsia="zh-CN"/>
              </w:rPr>
            </w:pPr>
          </w:p>
        </w:tc>
        <w:tc>
          <w:tcPr>
            <w:tcW w:w="2159" w:type="dxa"/>
          </w:tcPr>
          <w:p w14:paraId="5A244723">
            <w:pPr>
              <w:ind w:firstLine="482"/>
              <w:rPr>
                <w:rFonts w:asciiTheme="minorEastAsia" w:hAnsiTheme="minorEastAsia" w:eastAsiaTheme="minorEastAsia" w:cstheme="minorEastAsia"/>
                <w:sz w:val="24"/>
                <w:szCs w:val="24"/>
              </w:rPr>
            </w:pPr>
          </w:p>
        </w:tc>
        <w:tc>
          <w:tcPr>
            <w:tcW w:w="1257" w:type="dxa"/>
          </w:tcPr>
          <w:p w14:paraId="2199289A">
            <w:pPr>
              <w:pStyle w:val="31"/>
              <w:spacing w:before="124" w:line="186" w:lineRule="auto"/>
              <w:ind w:left="511" w:firstLine="482"/>
              <w:rPr>
                <w:rFonts w:asciiTheme="minorEastAsia" w:hAnsiTheme="minorEastAsia" w:eastAsiaTheme="minorEastAsia" w:cstheme="minorEastAsia"/>
                <w:lang w:eastAsia="zh-CN"/>
              </w:rPr>
            </w:pPr>
          </w:p>
        </w:tc>
        <w:tc>
          <w:tcPr>
            <w:tcW w:w="2350" w:type="dxa"/>
          </w:tcPr>
          <w:p w14:paraId="30B61F8C">
            <w:pPr>
              <w:pStyle w:val="31"/>
              <w:spacing w:before="163" w:line="160" w:lineRule="auto"/>
              <w:ind w:left="1124" w:firstLine="482"/>
              <w:rPr>
                <w:rFonts w:asciiTheme="minorEastAsia" w:hAnsiTheme="minorEastAsia" w:eastAsiaTheme="minorEastAsia" w:cstheme="minorEastAsia"/>
                <w:lang w:eastAsia="zh-CN"/>
              </w:rPr>
            </w:pPr>
          </w:p>
        </w:tc>
      </w:tr>
      <w:tr w14:paraId="3180F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3080" w:type="dxa"/>
          </w:tcPr>
          <w:p w14:paraId="237C9CCC">
            <w:pPr>
              <w:pStyle w:val="31"/>
              <w:spacing w:before="125" w:line="185" w:lineRule="auto"/>
              <w:ind w:firstLine="482"/>
              <w:jc w:val="center"/>
              <w:rPr>
                <w:rFonts w:asciiTheme="minorEastAsia" w:hAnsiTheme="minorEastAsia" w:eastAsiaTheme="minorEastAsia" w:cstheme="minorEastAsia"/>
                <w:lang w:eastAsia="zh-CN"/>
              </w:rPr>
            </w:pPr>
          </w:p>
        </w:tc>
        <w:tc>
          <w:tcPr>
            <w:tcW w:w="2159" w:type="dxa"/>
          </w:tcPr>
          <w:p w14:paraId="332D7551">
            <w:pPr>
              <w:ind w:firstLine="482"/>
              <w:rPr>
                <w:rFonts w:asciiTheme="minorEastAsia" w:hAnsiTheme="minorEastAsia" w:eastAsiaTheme="minorEastAsia" w:cstheme="minorEastAsia"/>
                <w:sz w:val="24"/>
                <w:szCs w:val="24"/>
              </w:rPr>
            </w:pPr>
          </w:p>
        </w:tc>
        <w:tc>
          <w:tcPr>
            <w:tcW w:w="1257" w:type="dxa"/>
          </w:tcPr>
          <w:p w14:paraId="5CDF3A8E">
            <w:pPr>
              <w:pStyle w:val="31"/>
              <w:spacing w:before="124" w:line="186" w:lineRule="auto"/>
              <w:ind w:left="511" w:firstLine="482"/>
              <w:rPr>
                <w:rFonts w:asciiTheme="minorEastAsia" w:hAnsiTheme="minorEastAsia" w:eastAsiaTheme="minorEastAsia" w:cstheme="minorEastAsia"/>
                <w:lang w:eastAsia="zh-CN"/>
              </w:rPr>
            </w:pPr>
          </w:p>
        </w:tc>
        <w:tc>
          <w:tcPr>
            <w:tcW w:w="2350" w:type="dxa"/>
          </w:tcPr>
          <w:p w14:paraId="783E58A4">
            <w:pPr>
              <w:pStyle w:val="31"/>
              <w:spacing w:before="163" w:line="160" w:lineRule="auto"/>
              <w:ind w:left="1124" w:firstLine="482"/>
              <w:rPr>
                <w:rFonts w:asciiTheme="minorEastAsia" w:hAnsiTheme="minorEastAsia" w:eastAsiaTheme="minorEastAsia" w:cstheme="minorEastAsia"/>
                <w:lang w:eastAsia="zh-CN"/>
              </w:rPr>
            </w:pPr>
          </w:p>
        </w:tc>
      </w:tr>
    </w:tbl>
    <w:p w14:paraId="3B896B4C">
      <w:pPr>
        <w:spacing w:before="299" w:line="182" w:lineRule="auto"/>
        <w:ind w:left="29" w:firstLine="420"/>
        <w:rPr>
          <w:rFonts w:ascii="微软雅黑" w:hAnsi="微软雅黑" w:eastAsia="微软雅黑" w:cs="微软雅黑"/>
          <w:sz w:val="21"/>
          <w:szCs w:val="21"/>
        </w:rPr>
      </w:pPr>
      <w:r>
        <w:rPr>
          <w:rFonts w:ascii="微软雅黑" w:hAnsi="微软雅黑" w:eastAsia="微软雅黑" w:cs="微软雅黑"/>
          <w:sz w:val="21"/>
          <w:szCs w:val="21"/>
        </w:rPr>
        <w:t>注：采购人将在发出成交通知书之前要求成交人按照本表的最低要求填报为本标段配备的主要设备，在经采购人审批后作为投入本标段的主要设备且不允许更换。</w:t>
      </w:r>
    </w:p>
    <w:p w14:paraId="1D3A01A9">
      <w:pPr>
        <w:spacing w:line="182" w:lineRule="auto"/>
        <w:ind w:firstLine="420"/>
        <w:rPr>
          <w:rFonts w:ascii="微软雅黑" w:hAnsi="微软雅黑" w:eastAsia="微软雅黑" w:cs="微软雅黑"/>
          <w:sz w:val="21"/>
          <w:szCs w:val="21"/>
        </w:rPr>
        <w:sectPr>
          <w:footerReference r:id="rId11" w:type="default"/>
          <w:pgSz w:w="11900" w:h="16840"/>
          <w:pgMar w:top="1385" w:right="1368" w:bottom="801" w:left="1276" w:header="0" w:footer="637" w:gutter="0"/>
          <w:cols w:space="720" w:num="1"/>
        </w:sectPr>
      </w:pPr>
    </w:p>
    <w:p w14:paraId="4D98E5B2">
      <w:pPr>
        <w:pStyle w:val="5"/>
        <w:ind w:firstLine="562"/>
      </w:pPr>
      <w:bookmarkStart w:id="129" w:name="_Toc394929421"/>
      <w:r>
        <w:rPr>
          <w:rFonts w:hint="eastAsia"/>
        </w:rPr>
        <w:t>附件六  项目经理委任书</w:t>
      </w:r>
      <w:bookmarkEnd w:id="129"/>
    </w:p>
    <w:p w14:paraId="70F8840F">
      <w:pPr>
        <w:spacing w:line="360" w:lineRule="auto"/>
        <w:ind w:firstLine="442"/>
        <w:jc w:val="center"/>
        <w:rPr>
          <w:szCs w:val="21"/>
        </w:rPr>
      </w:pPr>
      <w:bookmarkStart w:id="130" w:name="bookmark197"/>
      <w:r>
        <w:rPr>
          <w:rStyle w:val="38"/>
          <w:rFonts w:hint="eastAsia" w:ascii="宋体" w:hAnsi="宋体" w:eastAsia="宋体" w:cs="宋体"/>
          <w:color w:val="auto"/>
          <w:sz w:val="21"/>
          <w:szCs w:val="21"/>
        </w:rPr>
        <w:t>(承包人全称）</w:t>
      </w:r>
      <w:bookmarkEnd w:id="130"/>
    </w:p>
    <w:p w14:paraId="40ED340F">
      <w:pPr>
        <w:spacing w:line="360" w:lineRule="auto"/>
        <w:ind w:firstLine="442"/>
        <w:jc w:val="center"/>
        <w:rPr>
          <w:szCs w:val="21"/>
        </w:rPr>
      </w:pPr>
      <w:bookmarkStart w:id="131" w:name="bookmark198"/>
      <w:r>
        <w:rPr>
          <w:rStyle w:val="38"/>
          <w:rFonts w:hint="eastAsia" w:ascii="宋体" w:hAnsi="宋体" w:eastAsia="宋体" w:cs="宋体"/>
          <w:color w:val="auto"/>
          <w:sz w:val="21"/>
          <w:szCs w:val="21"/>
        </w:rPr>
        <w:t>(合同工程名称）</w:t>
      </w:r>
      <w:r>
        <w:rPr>
          <w:rStyle w:val="39"/>
          <w:rFonts w:hint="eastAsia" w:ascii="宋体" w:hAnsi="宋体" w:eastAsia="宋体" w:cs="宋体"/>
          <w:color w:val="auto"/>
          <w:sz w:val="21"/>
          <w:szCs w:val="21"/>
        </w:rPr>
        <w:t>项目经理委任书</w:t>
      </w:r>
      <w:bookmarkEnd w:id="131"/>
    </w:p>
    <w:p w14:paraId="3B2DB364">
      <w:pPr>
        <w:pStyle w:val="40"/>
        <w:shd w:val="clear" w:color="auto" w:fill="auto"/>
        <w:spacing w:before="0" w:line="360" w:lineRule="auto"/>
        <w:jc w:val="both"/>
        <w:rPr>
          <w:rFonts w:ascii="宋体" w:hAnsi="宋体" w:eastAsia="宋体"/>
          <w:sz w:val="21"/>
          <w:szCs w:val="21"/>
        </w:rPr>
      </w:pPr>
      <w:r>
        <w:rPr>
          <w:rStyle w:val="41"/>
          <w:rFonts w:hint="eastAsia" w:ascii="宋体" w:hAnsi="宋体" w:eastAsia="宋体" w:cs="宋体"/>
          <w:color w:val="auto"/>
          <w:sz w:val="21"/>
          <w:szCs w:val="21"/>
        </w:rPr>
        <w:t>致：</w:t>
      </w:r>
      <w:r>
        <w:rPr>
          <w:rStyle w:val="42"/>
          <w:rFonts w:hint="eastAsia" w:ascii="宋体" w:hAnsi="宋体" w:eastAsia="宋体" w:cs="宋体"/>
          <w:color w:val="auto"/>
          <w:sz w:val="21"/>
          <w:szCs w:val="21"/>
        </w:rPr>
        <w:t>（发包人全称）</w:t>
      </w:r>
    </w:p>
    <w:p w14:paraId="4456E0B4">
      <w:pPr>
        <w:pStyle w:val="40"/>
        <w:shd w:val="clear" w:color="auto" w:fill="auto"/>
        <w:spacing w:before="0" w:after="360" w:line="360" w:lineRule="auto"/>
        <w:ind w:firstLine="422"/>
        <w:jc w:val="both"/>
        <w:rPr>
          <w:rFonts w:ascii="宋体" w:hAnsi="宋体" w:eastAsia="宋体"/>
          <w:sz w:val="21"/>
          <w:szCs w:val="21"/>
        </w:rPr>
      </w:pPr>
      <w:r>
        <w:rPr>
          <w:rStyle w:val="42"/>
          <w:rFonts w:hint="eastAsia" w:ascii="宋体" w:hAnsi="宋体" w:eastAsia="宋体" w:cs="宋体"/>
          <w:color w:val="auto"/>
          <w:sz w:val="21"/>
          <w:szCs w:val="21"/>
        </w:rPr>
        <w:t>(承包人全称）</w:t>
      </w:r>
      <w:r>
        <w:rPr>
          <w:rStyle w:val="41"/>
          <w:rFonts w:hint="eastAsia" w:ascii="宋体" w:hAnsi="宋体" w:eastAsia="宋体" w:cs="宋体"/>
          <w:color w:val="auto"/>
          <w:sz w:val="21"/>
          <w:szCs w:val="21"/>
        </w:rPr>
        <w:t>法定代表人</w:t>
      </w:r>
      <w:r>
        <w:rPr>
          <w:rStyle w:val="42"/>
          <w:rFonts w:hint="eastAsia" w:ascii="宋体" w:hAnsi="宋体" w:eastAsia="宋体" w:cs="宋体"/>
          <w:color w:val="auto"/>
          <w:sz w:val="21"/>
          <w:szCs w:val="21"/>
        </w:rPr>
        <w:t>（职务、姓名）</w:t>
      </w:r>
      <w:r>
        <w:rPr>
          <w:rStyle w:val="41"/>
          <w:rFonts w:hint="eastAsia" w:ascii="宋体" w:hAnsi="宋体" w:eastAsia="宋体" w:cs="宋体"/>
          <w:color w:val="auto"/>
          <w:sz w:val="21"/>
          <w:szCs w:val="21"/>
        </w:rPr>
        <w:t>代表本单位委任</w:t>
      </w:r>
      <w:r>
        <w:rPr>
          <w:rStyle w:val="42"/>
          <w:rFonts w:hint="eastAsia" w:ascii="宋体" w:hAnsi="宋体" w:eastAsia="宋体" w:cs="宋体"/>
          <w:color w:val="auto"/>
          <w:sz w:val="21"/>
          <w:szCs w:val="21"/>
        </w:rPr>
        <w:t>（职务、姓 名）</w:t>
      </w:r>
      <w:r>
        <w:rPr>
          <w:rStyle w:val="41"/>
          <w:rFonts w:hint="eastAsia" w:ascii="宋体" w:hAnsi="宋体" w:eastAsia="宋体" w:cs="宋体"/>
          <w:color w:val="auto"/>
          <w:sz w:val="21"/>
          <w:szCs w:val="21"/>
        </w:rPr>
        <w:t>为</w:t>
      </w:r>
      <w:r>
        <w:rPr>
          <w:rStyle w:val="42"/>
          <w:rFonts w:hint="eastAsia" w:ascii="宋体" w:hAnsi="宋体" w:eastAsia="宋体" w:cs="宋体"/>
          <w:color w:val="auto"/>
          <w:sz w:val="21"/>
          <w:szCs w:val="21"/>
        </w:rPr>
        <w:t>（合同工程名称）</w:t>
      </w:r>
      <w:r>
        <w:rPr>
          <w:rStyle w:val="41"/>
          <w:rFonts w:hint="eastAsia" w:ascii="宋体" w:hAnsi="宋体" w:eastAsia="宋体" w:cs="宋体"/>
          <w:color w:val="auto"/>
          <w:sz w:val="21"/>
          <w:szCs w:val="21"/>
        </w:rPr>
        <w:t>的项目经理。凡本合同执行中的有关技术、工程进度、现 场管理、质量检验、结算与支付等方面工作，由</w:t>
      </w:r>
      <w:r>
        <w:rPr>
          <w:rStyle w:val="42"/>
          <w:rFonts w:hint="eastAsia" w:ascii="宋体" w:hAnsi="宋体" w:eastAsia="宋体" w:cs="宋体"/>
          <w:color w:val="auto"/>
          <w:sz w:val="21"/>
          <w:szCs w:val="21"/>
        </w:rPr>
        <w:t>（姓名）</w:t>
      </w:r>
      <w:r>
        <w:rPr>
          <w:rStyle w:val="41"/>
          <w:rFonts w:hint="eastAsia" w:ascii="宋体" w:hAnsi="宋体" w:eastAsia="宋体" w:cs="宋体"/>
          <w:color w:val="auto"/>
          <w:sz w:val="21"/>
          <w:szCs w:val="21"/>
        </w:rPr>
        <w:t>代表本单位全面负责。</w:t>
      </w:r>
    </w:p>
    <w:p w14:paraId="1D6114F0">
      <w:pPr>
        <w:pStyle w:val="40"/>
        <w:shd w:val="clear" w:color="auto" w:fill="auto"/>
        <w:tabs>
          <w:tab w:val="left" w:leader="underscore" w:pos="7348"/>
        </w:tabs>
        <w:spacing w:before="0" w:line="360" w:lineRule="auto"/>
        <w:ind w:left="3880"/>
        <w:jc w:val="both"/>
        <w:rPr>
          <w:rFonts w:ascii="宋体" w:hAnsi="宋体" w:eastAsia="宋体"/>
          <w:sz w:val="21"/>
          <w:szCs w:val="21"/>
        </w:rPr>
      </w:pPr>
      <w:r>
        <w:rPr>
          <w:rStyle w:val="41"/>
          <w:rFonts w:hint="eastAsia" w:ascii="宋体" w:hAnsi="宋体" w:eastAsia="宋体" w:cs="宋体"/>
          <w:color w:val="auto"/>
          <w:sz w:val="21"/>
          <w:szCs w:val="21"/>
        </w:rPr>
        <w:t>承包人：</w:t>
      </w:r>
      <w:r>
        <w:rPr>
          <w:rStyle w:val="41"/>
          <w:rFonts w:hint="eastAsia" w:ascii="宋体" w:hAnsi="宋体" w:eastAsia="宋体" w:cs="宋体"/>
          <w:color w:val="auto"/>
          <w:sz w:val="21"/>
          <w:szCs w:val="21"/>
        </w:rPr>
        <w:tab/>
      </w:r>
      <w:r>
        <w:rPr>
          <w:rStyle w:val="41"/>
          <w:rFonts w:hint="eastAsia" w:ascii="宋体" w:hAnsi="宋体" w:eastAsia="宋体" w:cs="宋体"/>
          <w:color w:val="auto"/>
          <w:sz w:val="21"/>
          <w:szCs w:val="21"/>
        </w:rPr>
        <w:t>(盖单位章）</w:t>
      </w:r>
    </w:p>
    <w:p w14:paraId="3584727E">
      <w:pPr>
        <w:pStyle w:val="40"/>
        <w:shd w:val="clear" w:color="auto" w:fill="auto"/>
        <w:tabs>
          <w:tab w:val="center" w:pos="7411"/>
        </w:tabs>
        <w:spacing w:before="0" w:line="360" w:lineRule="auto"/>
        <w:ind w:left="686" w:leftChars="312" w:firstLine="3168" w:firstLineChars="1509"/>
        <w:jc w:val="both"/>
        <w:rPr>
          <w:rFonts w:ascii="宋体" w:hAnsi="宋体" w:eastAsia="宋体"/>
          <w:sz w:val="21"/>
          <w:szCs w:val="21"/>
        </w:rPr>
      </w:pPr>
      <w:r>
        <w:rPr>
          <w:rStyle w:val="41"/>
          <w:rFonts w:hint="eastAsia" w:ascii="宋体" w:hAnsi="宋体" w:eastAsia="宋体" w:cs="宋体"/>
          <w:color w:val="auto"/>
          <w:sz w:val="21"/>
          <w:szCs w:val="21"/>
        </w:rPr>
        <w:t>法定代表人：</w:t>
      </w:r>
      <w:r>
        <w:rPr>
          <w:rStyle w:val="41"/>
          <w:rFonts w:hint="eastAsia" w:ascii="宋体" w:hAnsi="宋体" w:eastAsia="宋体" w:cs="宋体"/>
          <w:color w:val="auto"/>
          <w:sz w:val="21"/>
          <w:szCs w:val="21"/>
          <w:u w:val="single"/>
        </w:rPr>
        <w:tab/>
      </w:r>
      <w:r>
        <w:rPr>
          <w:rStyle w:val="42"/>
          <w:rFonts w:hint="eastAsia" w:ascii="宋体" w:hAnsi="宋体" w:eastAsia="宋体" w:cs="宋体"/>
          <w:color w:val="auto"/>
          <w:sz w:val="21"/>
          <w:szCs w:val="21"/>
        </w:rPr>
        <w:t>(职务）</w:t>
      </w:r>
    </w:p>
    <w:p w14:paraId="09116C81">
      <w:pPr>
        <w:pStyle w:val="40"/>
        <w:shd w:val="clear" w:color="auto" w:fill="auto"/>
        <w:tabs>
          <w:tab w:val="center" w:leader="underscore" w:pos="7411"/>
        </w:tabs>
        <w:spacing w:before="0" w:line="360" w:lineRule="auto"/>
        <w:ind w:left="6140"/>
        <w:jc w:val="both"/>
        <w:rPr>
          <w:rFonts w:ascii="宋体" w:hAnsi="宋体" w:eastAsia="宋体"/>
          <w:sz w:val="21"/>
          <w:szCs w:val="21"/>
        </w:rPr>
      </w:pPr>
      <w:r>
        <w:rPr>
          <w:rStyle w:val="41"/>
          <w:rFonts w:hint="eastAsia" w:ascii="宋体" w:hAnsi="宋体" w:eastAsia="宋体" w:cs="宋体"/>
          <w:color w:val="auto"/>
          <w:sz w:val="21"/>
          <w:szCs w:val="21"/>
        </w:rPr>
        <w:tab/>
      </w:r>
      <w:r>
        <w:rPr>
          <w:rStyle w:val="42"/>
          <w:rFonts w:hint="eastAsia" w:ascii="宋体" w:hAnsi="宋体" w:eastAsia="宋体" w:cs="宋体"/>
          <w:color w:val="auto"/>
          <w:sz w:val="21"/>
          <w:szCs w:val="21"/>
        </w:rPr>
        <w:t>(姓名）</w:t>
      </w:r>
    </w:p>
    <w:p w14:paraId="3CC9B752">
      <w:pPr>
        <w:pStyle w:val="43"/>
        <w:shd w:val="clear" w:color="auto" w:fill="auto"/>
        <w:tabs>
          <w:tab w:val="center" w:leader="underscore" w:pos="7411"/>
          <w:tab w:val="left" w:leader="underscore" w:pos="8698"/>
        </w:tabs>
        <w:spacing w:line="360" w:lineRule="auto"/>
        <w:ind w:left="6140" w:firstLine="422"/>
        <w:jc w:val="both"/>
        <w:rPr>
          <w:rFonts w:ascii="宋体" w:hAnsi="宋体" w:eastAsia="宋体"/>
          <w:sz w:val="21"/>
          <w:szCs w:val="21"/>
        </w:rPr>
      </w:pPr>
      <w:r>
        <w:rPr>
          <w:rFonts w:hint="eastAsia" w:ascii="宋体" w:hAnsi="宋体" w:eastAsia="宋体"/>
          <w:sz w:val="21"/>
          <w:szCs w:val="21"/>
        </w:rPr>
        <w:tab/>
      </w:r>
      <w:r>
        <w:rPr>
          <w:rStyle w:val="44"/>
          <w:rFonts w:hint="eastAsia" w:ascii="宋体" w:hAnsi="宋体" w:eastAsia="宋体" w:cs="宋体"/>
          <w:b w:val="0"/>
          <w:bCs w:val="0"/>
          <w:color w:val="auto"/>
          <w:sz w:val="21"/>
          <w:szCs w:val="21"/>
        </w:rPr>
        <w:t>(签字)</w:t>
      </w:r>
      <w:r>
        <w:rPr>
          <w:rFonts w:hint="eastAsia" w:ascii="宋体" w:hAnsi="宋体" w:eastAsia="宋体"/>
          <w:sz w:val="21"/>
          <w:szCs w:val="21"/>
        </w:rPr>
        <w:tab/>
      </w:r>
    </w:p>
    <w:p w14:paraId="13F23A14">
      <w:pPr>
        <w:pStyle w:val="40"/>
        <w:shd w:val="clear" w:color="auto" w:fill="auto"/>
        <w:tabs>
          <w:tab w:val="left" w:leader="underscore" w:pos="6502"/>
          <w:tab w:val="left" w:leader="underscore" w:pos="7348"/>
          <w:tab w:val="left" w:leader="underscore" w:pos="8182"/>
        </w:tabs>
        <w:spacing w:before="0" w:after="1283" w:line="360" w:lineRule="auto"/>
        <w:ind w:left="5660" w:firstLine="422"/>
        <w:jc w:val="both"/>
        <w:rPr>
          <w:rStyle w:val="41"/>
          <w:rFonts w:ascii="宋体" w:hAnsi="宋体" w:eastAsia="宋体" w:cs="宋体"/>
          <w:color w:val="auto"/>
          <w:sz w:val="21"/>
          <w:szCs w:val="21"/>
        </w:rPr>
      </w:pPr>
      <w:r>
        <w:rPr>
          <w:rStyle w:val="41"/>
          <w:rFonts w:hint="eastAsia" w:ascii="宋体" w:hAnsi="宋体" w:eastAsia="宋体" w:cs="宋体"/>
          <w:color w:val="auto"/>
          <w:sz w:val="21"/>
          <w:szCs w:val="21"/>
        </w:rPr>
        <w:tab/>
      </w:r>
      <w:r>
        <w:rPr>
          <w:rStyle w:val="41"/>
          <w:rFonts w:hint="eastAsia" w:ascii="宋体" w:hAnsi="宋体" w:eastAsia="宋体" w:cs="宋体"/>
          <w:color w:val="auto"/>
          <w:sz w:val="21"/>
          <w:szCs w:val="21"/>
        </w:rPr>
        <w:t>年</w:t>
      </w:r>
      <w:r>
        <w:rPr>
          <w:rStyle w:val="41"/>
          <w:rFonts w:hint="eastAsia" w:ascii="宋体" w:hAnsi="宋体" w:eastAsia="宋体" w:cs="宋体"/>
          <w:color w:val="auto"/>
          <w:sz w:val="21"/>
          <w:szCs w:val="21"/>
        </w:rPr>
        <w:tab/>
      </w:r>
      <w:r>
        <w:rPr>
          <w:rStyle w:val="41"/>
          <w:rFonts w:hint="eastAsia" w:ascii="宋体" w:hAnsi="宋体" w:eastAsia="宋体" w:cs="宋体"/>
          <w:color w:val="auto"/>
          <w:sz w:val="21"/>
          <w:szCs w:val="21"/>
        </w:rPr>
        <w:t>月</w:t>
      </w:r>
      <w:r>
        <w:rPr>
          <w:rStyle w:val="41"/>
          <w:rFonts w:hint="eastAsia" w:ascii="宋体" w:hAnsi="宋体" w:eastAsia="宋体" w:cs="宋体"/>
          <w:color w:val="auto"/>
          <w:sz w:val="21"/>
          <w:szCs w:val="21"/>
        </w:rPr>
        <w:tab/>
      </w:r>
      <w:r>
        <w:rPr>
          <w:rStyle w:val="41"/>
          <w:rFonts w:hint="eastAsia" w:ascii="宋体" w:hAnsi="宋体" w:eastAsia="宋体" w:cs="宋体"/>
          <w:color w:val="auto"/>
          <w:sz w:val="21"/>
          <w:szCs w:val="21"/>
        </w:rPr>
        <w:t>日</w:t>
      </w:r>
    </w:p>
    <w:p w14:paraId="42647DAD">
      <w:pPr>
        <w:pStyle w:val="40"/>
        <w:shd w:val="clear" w:color="auto" w:fill="auto"/>
        <w:tabs>
          <w:tab w:val="left" w:leader="underscore" w:pos="6502"/>
          <w:tab w:val="left" w:leader="underscore" w:pos="7348"/>
          <w:tab w:val="left" w:leader="underscore" w:pos="8182"/>
        </w:tabs>
        <w:spacing w:before="0" w:after="1283" w:line="240" w:lineRule="auto"/>
        <w:ind w:firstLine="442"/>
        <w:jc w:val="both"/>
        <w:rPr>
          <w:rStyle w:val="41"/>
          <w:rFonts w:ascii="宋体" w:hAnsi="宋体" w:eastAsia="宋体" w:cs="宋体"/>
          <w:color w:val="auto"/>
        </w:rPr>
      </w:pPr>
    </w:p>
    <w:p w14:paraId="29EBCA91">
      <w:pPr>
        <w:ind w:firstLine="442"/>
      </w:pPr>
      <w:r>
        <w:rPr>
          <w:rStyle w:val="41"/>
          <w:rFonts w:hint="eastAsia" w:ascii="宋体" w:hAnsi="宋体" w:eastAsia="宋体" w:cs="宋体"/>
          <w:color w:val="auto"/>
        </w:rPr>
        <w:t>抄送：</w:t>
      </w:r>
      <w:r>
        <w:rPr>
          <w:rStyle w:val="41"/>
          <w:rFonts w:hint="eastAsia" w:ascii="宋体" w:hAnsi="宋体" w:eastAsia="宋体" w:cs="宋体"/>
          <w:color w:val="auto"/>
        </w:rPr>
        <w:tab/>
      </w:r>
      <w:r>
        <w:rPr>
          <w:rStyle w:val="42"/>
          <w:rFonts w:hint="eastAsia" w:ascii="宋体" w:hAnsi="宋体" w:eastAsia="宋体" w:cs="宋体"/>
          <w:color w:val="auto"/>
        </w:rPr>
        <w:t>(监理人)</w:t>
      </w:r>
      <w:bookmarkStart w:id="132" w:name="第六章_响应文件（格式）"/>
      <w:bookmarkEnd w:id="132"/>
      <w:bookmarkStart w:id="133" w:name="_Toc4745"/>
    </w:p>
    <w:p w14:paraId="5CBA5FD9">
      <w:pPr>
        <w:ind w:firstLine="422"/>
      </w:pPr>
    </w:p>
    <w:p w14:paraId="61F4784D">
      <w:pPr>
        <w:pStyle w:val="12"/>
      </w:pPr>
    </w:p>
    <w:p w14:paraId="7885DF0B">
      <w:pPr>
        <w:ind w:firstLine="422"/>
      </w:pPr>
    </w:p>
    <w:p w14:paraId="6EA3BBFF">
      <w:pPr>
        <w:pStyle w:val="12"/>
      </w:pPr>
    </w:p>
    <w:p w14:paraId="753A90BB">
      <w:pPr>
        <w:ind w:firstLine="422"/>
      </w:pPr>
    </w:p>
    <w:p w14:paraId="441C48E4">
      <w:pPr>
        <w:pStyle w:val="12"/>
      </w:pPr>
    </w:p>
    <w:p w14:paraId="092C0F49">
      <w:pPr>
        <w:ind w:firstLine="422"/>
      </w:pPr>
    </w:p>
    <w:p w14:paraId="5D82359B">
      <w:pPr>
        <w:pStyle w:val="12"/>
      </w:pPr>
    </w:p>
    <w:p w14:paraId="191B15F1">
      <w:pPr>
        <w:ind w:firstLine="422"/>
      </w:pPr>
    </w:p>
    <w:p w14:paraId="2FE9A926">
      <w:pPr>
        <w:pStyle w:val="12"/>
      </w:pPr>
    </w:p>
    <w:p w14:paraId="5FD0B0AD">
      <w:pPr>
        <w:ind w:firstLine="422"/>
      </w:pPr>
    </w:p>
    <w:p w14:paraId="6CE9EA47">
      <w:pPr>
        <w:pStyle w:val="12"/>
      </w:pPr>
    </w:p>
    <w:p w14:paraId="67D09827">
      <w:pPr>
        <w:ind w:firstLine="422"/>
      </w:pPr>
    </w:p>
    <w:p w14:paraId="1888EFDB">
      <w:pPr>
        <w:pStyle w:val="12"/>
      </w:pPr>
    </w:p>
    <w:p w14:paraId="69F153E5">
      <w:pPr>
        <w:ind w:firstLine="422"/>
      </w:pPr>
    </w:p>
    <w:p w14:paraId="4046A015">
      <w:pPr>
        <w:pStyle w:val="12"/>
      </w:pPr>
    </w:p>
    <w:p w14:paraId="30E234AF">
      <w:pPr>
        <w:ind w:firstLine="422"/>
      </w:pPr>
    </w:p>
    <w:p w14:paraId="41FC54D1">
      <w:pPr>
        <w:pStyle w:val="12"/>
      </w:pPr>
    </w:p>
    <w:p w14:paraId="4780D54E">
      <w:pPr>
        <w:ind w:firstLine="422"/>
      </w:pPr>
    </w:p>
    <w:p w14:paraId="43FC9E20">
      <w:pPr>
        <w:pStyle w:val="12"/>
      </w:pPr>
    </w:p>
    <w:p w14:paraId="0622896A">
      <w:pPr>
        <w:pStyle w:val="5"/>
        <w:ind w:firstLine="422"/>
        <w:rPr>
          <w:sz w:val="21"/>
          <w:szCs w:val="21"/>
        </w:rPr>
      </w:pPr>
      <w:bookmarkStart w:id="134" w:name="_Toc394929422"/>
      <w:r>
        <w:rPr>
          <w:rFonts w:hint="eastAsia"/>
          <w:sz w:val="21"/>
          <w:szCs w:val="21"/>
        </w:rPr>
        <w:t>附件七  履约担保格式</w:t>
      </w:r>
      <w:bookmarkEnd w:id="134"/>
    </w:p>
    <w:p w14:paraId="16103C14">
      <w:pPr>
        <w:pStyle w:val="40"/>
        <w:shd w:val="clear" w:color="auto" w:fill="auto"/>
        <w:spacing w:before="0" w:after="508" w:line="240" w:lineRule="auto"/>
        <w:ind w:firstLine="422"/>
        <w:jc w:val="both"/>
        <w:rPr>
          <w:rFonts w:ascii="宋体" w:hAnsi="宋体" w:eastAsia="宋体"/>
          <w:sz w:val="21"/>
          <w:szCs w:val="21"/>
        </w:rPr>
      </w:pPr>
      <w:r>
        <w:rPr>
          <w:rStyle w:val="41"/>
          <w:rFonts w:hint="eastAsia" w:ascii="宋体" w:hAnsi="宋体" w:eastAsia="宋体" w:cs="宋体"/>
          <w:color w:val="auto"/>
          <w:sz w:val="21"/>
          <w:szCs w:val="21"/>
        </w:rPr>
        <w:t>如采用银行保函，格式如下。</w:t>
      </w:r>
    </w:p>
    <w:p w14:paraId="4E838451">
      <w:pPr>
        <w:ind w:firstLine="422"/>
        <w:jc w:val="center"/>
        <w:rPr>
          <w:szCs w:val="21"/>
        </w:rPr>
      </w:pPr>
      <w:bookmarkStart w:id="135" w:name="bookmark200"/>
      <w:r>
        <w:rPr>
          <w:rStyle w:val="45"/>
          <w:rFonts w:hint="eastAsia" w:ascii="宋体" w:hAnsi="宋体" w:eastAsia="宋体" w:cs="宋体"/>
          <w:color w:val="auto"/>
          <w:sz w:val="21"/>
          <w:szCs w:val="21"/>
        </w:rPr>
        <w:t>履约保证金</w:t>
      </w:r>
      <w:bookmarkEnd w:id="135"/>
    </w:p>
    <w:p w14:paraId="2778F212">
      <w:pPr>
        <w:pStyle w:val="40"/>
        <w:shd w:val="clear" w:color="auto" w:fill="auto"/>
        <w:tabs>
          <w:tab w:val="left" w:leader="underscore" w:pos="2222"/>
        </w:tabs>
        <w:spacing w:before="0" w:after="388" w:line="240" w:lineRule="auto"/>
        <w:jc w:val="both"/>
        <w:rPr>
          <w:rFonts w:ascii="宋体" w:hAnsi="宋体" w:eastAsia="宋体"/>
          <w:sz w:val="21"/>
          <w:szCs w:val="21"/>
        </w:rPr>
      </w:pPr>
      <w:r>
        <w:rPr>
          <w:rStyle w:val="41"/>
          <w:rFonts w:hint="eastAsia" w:ascii="宋体" w:hAnsi="宋体" w:eastAsia="宋体" w:cs="宋体"/>
          <w:color w:val="auto"/>
          <w:sz w:val="21"/>
          <w:szCs w:val="21"/>
        </w:rPr>
        <w:tab/>
      </w:r>
      <w:r>
        <w:rPr>
          <w:rStyle w:val="41"/>
          <w:rFonts w:hint="eastAsia" w:ascii="宋体" w:hAnsi="宋体" w:eastAsia="宋体" w:cs="宋体"/>
          <w:color w:val="auto"/>
          <w:sz w:val="21"/>
          <w:szCs w:val="21"/>
        </w:rPr>
        <w:t xml:space="preserve"> (发包人名称）：</w:t>
      </w:r>
    </w:p>
    <w:p w14:paraId="5D9AB211">
      <w:pPr>
        <w:pStyle w:val="40"/>
        <w:shd w:val="clear" w:color="auto" w:fill="auto"/>
        <w:tabs>
          <w:tab w:val="left" w:leader="underscore" w:pos="2964"/>
          <w:tab w:val="left" w:leader="underscore" w:pos="8141"/>
        </w:tabs>
        <w:spacing w:before="0" w:line="240" w:lineRule="auto"/>
        <w:ind w:left="540"/>
        <w:jc w:val="both"/>
        <w:rPr>
          <w:rFonts w:ascii="宋体" w:hAnsi="宋体" w:eastAsia="宋体"/>
          <w:sz w:val="21"/>
          <w:szCs w:val="21"/>
        </w:rPr>
      </w:pPr>
      <w:r>
        <w:rPr>
          <w:rStyle w:val="41"/>
          <w:rFonts w:hint="eastAsia" w:ascii="宋体" w:hAnsi="宋体" w:eastAsia="宋体" w:cs="宋体"/>
          <w:color w:val="auto"/>
          <w:sz w:val="21"/>
          <w:szCs w:val="21"/>
        </w:rPr>
        <w:t>鉴于</w:t>
      </w:r>
      <w:r>
        <w:rPr>
          <w:rStyle w:val="41"/>
          <w:rFonts w:hint="eastAsia" w:ascii="宋体" w:hAnsi="宋体" w:eastAsia="宋体" w:cs="宋体"/>
          <w:color w:val="auto"/>
          <w:sz w:val="21"/>
          <w:szCs w:val="21"/>
        </w:rPr>
        <w:tab/>
      </w:r>
      <w:r>
        <w:rPr>
          <w:rStyle w:val="41"/>
          <w:rFonts w:hint="eastAsia" w:ascii="宋体" w:hAnsi="宋体" w:eastAsia="宋体" w:cs="宋体"/>
          <w:color w:val="auto"/>
          <w:sz w:val="21"/>
          <w:szCs w:val="21"/>
        </w:rPr>
        <w:t xml:space="preserve"> (发包人名称，以下简称“发包人”）接受</w:t>
      </w:r>
      <w:r>
        <w:rPr>
          <w:rStyle w:val="41"/>
          <w:rFonts w:hint="eastAsia" w:ascii="宋体" w:hAnsi="宋体" w:eastAsia="宋体" w:cs="宋体"/>
          <w:color w:val="auto"/>
          <w:sz w:val="21"/>
          <w:szCs w:val="21"/>
        </w:rPr>
        <w:tab/>
      </w:r>
      <w:r>
        <w:rPr>
          <w:rStyle w:val="41"/>
          <w:rFonts w:hint="eastAsia" w:ascii="宋体" w:hAnsi="宋体" w:eastAsia="宋体" w:cs="宋体"/>
          <w:color w:val="auto"/>
          <w:sz w:val="21"/>
          <w:szCs w:val="21"/>
        </w:rPr>
        <w:t xml:space="preserve"> (承</w:t>
      </w:r>
    </w:p>
    <w:p w14:paraId="2530CF61">
      <w:pPr>
        <w:pStyle w:val="40"/>
        <w:shd w:val="clear" w:color="auto" w:fill="auto"/>
        <w:tabs>
          <w:tab w:val="left" w:leader="underscore" w:pos="4142"/>
          <w:tab w:val="left" w:leader="underscore" w:pos="7690"/>
        </w:tabs>
        <w:spacing w:before="0" w:line="240" w:lineRule="auto"/>
        <w:jc w:val="both"/>
        <w:rPr>
          <w:rFonts w:ascii="宋体" w:hAnsi="宋体" w:eastAsia="宋体"/>
          <w:sz w:val="21"/>
          <w:szCs w:val="21"/>
        </w:rPr>
      </w:pPr>
      <w:r>
        <w:rPr>
          <w:rStyle w:val="41"/>
          <w:rFonts w:hint="eastAsia" w:ascii="宋体" w:hAnsi="宋体" w:eastAsia="宋体" w:cs="宋体"/>
          <w:color w:val="auto"/>
          <w:sz w:val="21"/>
          <w:szCs w:val="21"/>
        </w:rPr>
        <w:t>包人名称，以下简称“承包人”）于</w:t>
      </w:r>
      <w:r>
        <w:rPr>
          <w:rStyle w:val="41"/>
          <w:rFonts w:hint="eastAsia" w:ascii="宋体" w:hAnsi="宋体" w:eastAsia="宋体" w:cs="宋体"/>
          <w:color w:val="auto"/>
          <w:sz w:val="21"/>
          <w:szCs w:val="21"/>
        </w:rPr>
        <w:tab/>
      </w:r>
      <w:r>
        <w:rPr>
          <w:rStyle w:val="41"/>
          <w:rFonts w:hint="eastAsia" w:ascii="宋体" w:hAnsi="宋体" w:eastAsia="宋体" w:cs="宋体"/>
          <w:color w:val="auto"/>
          <w:sz w:val="21"/>
          <w:szCs w:val="21"/>
        </w:rPr>
        <w:t>年_月_日参加</w:t>
      </w:r>
      <w:r>
        <w:rPr>
          <w:rStyle w:val="41"/>
          <w:rFonts w:hint="eastAsia" w:ascii="宋体" w:hAnsi="宋体" w:eastAsia="宋体" w:cs="宋体"/>
          <w:color w:val="auto"/>
          <w:sz w:val="21"/>
          <w:szCs w:val="21"/>
        </w:rPr>
        <w:tab/>
      </w:r>
      <w:r>
        <w:rPr>
          <w:rStyle w:val="41"/>
          <w:rFonts w:hint="eastAsia" w:ascii="宋体" w:hAnsi="宋体" w:eastAsia="宋体" w:cs="宋体"/>
          <w:color w:val="auto"/>
          <w:sz w:val="21"/>
          <w:szCs w:val="21"/>
        </w:rPr>
        <w:t xml:space="preserve"> (项目名</w:t>
      </w:r>
    </w:p>
    <w:p w14:paraId="44F97B57">
      <w:pPr>
        <w:pStyle w:val="40"/>
        <w:shd w:val="clear" w:color="auto" w:fill="auto"/>
        <w:tabs>
          <w:tab w:val="left" w:leader="underscore" w:pos="1594"/>
        </w:tabs>
        <w:spacing w:before="0" w:line="240" w:lineRule="auto"/>
        <w:jc w:val="both"/>
        <w:rPr>
          <w:rFonts w:ascii="宋体" w:hAnsi="宋体" w:eastAsia="宋体"/>
          <w:sz w:val="21"/>
          <w:szCs w:val="21"/>
        </w:rPr>
      </w:pPr>
      <w:r>
        <w:rPr>
          <w:rStyle w:val="41"/>
          <w:rFonts w:hint="eastAsia" w:ascii="宋体" w:hAnsi="宋体" w:eastAsia="宋体" w:cs="宋体"/>
          <w:color w:val="auto"/>
          <w:sz w:val="21"/>
          <w:szCs w:val="21"/>
        </w:rPr>
        <w:t>称）</w:t>
      </w:r>
      <w:r>
        <w:rPr>
          <w:rStyle w:val="41"/>
          <w:rFonts w:hint="eastAsia" w:ascii="宋体" w:hAnsi="宋体" w:eastAsia="宋体" w:cs="宋体"/>
          <w:color w:val="auto"/>
          <w:sz w:val="21"/>
          <w:szCs w:val="21"/>
        </w:rPr>
        <w:tab/>
      </w:r>
      <w:r>
        <w:rPr>
          <w:rStyle w:val="41"/>
          <w:rFonts w:hint="eastAsia" w:ascii="宋体" w:hAnsi="宋体" w:eastAsia="宋体" w:cs="宋体"/>
          <w:color w:val="auto"/>
          <w:sz w:val="21"/>
          <w:szCs w:val="21"/>
        </w:rPr>
        <w:t>标段施工的投标。我方愿意无条件地、不可撤销地就承包人履行与你方订立的合同，向你方提供担保。</w:t>
      </w:r>
    </w:p>
    <w:p w14:paraId="49E343C6">
      <w:pPr>
        <w:pStyle w:val="40"/>
        <w:numPr>
          <w:ilvl w:val="0"/>
          <w:numId w:val="7"/>
        </w:numPr>
        <w:shd w:val="clear" w:color="auto" w:fill="auto"/>
        <w:tabs>
          <w:tab w:val="left" w:leader="underscore" w:pos="5374"/>
          <w:tab w:val="left" w:leader="underscore" w:pos="7690"/>
        </w:tabs>
        <w:spacing w:before="0" w:line="240" w:lineRule="auto"/>
        <w:ind w:left="540"/>
        <w:jc w:val="both"/>
        <w:rPr>
          <w:rFonts w:ascii="宋体" w:hAnsi="宋体" w:eastAsia="宋体"/>
          <w:sz w:val="21"/>
          <w:szCs w:val="21"/>
        </w:rPr>
      </w:pPr>
      <w:r>
        <w:rPr>
          <w:rStyle w:val="41"/>
          <w:rFonts w:hint="eastAsia" w:ascii="宋体" w:hAnsi="宋体" w:eastAsia="宋体" w:cs="宋体"/>
          <w:color w:val="auto"/>
          <w:sz w:val="21"/>
          <w:szCs w:val="21"/>
        </w:rPr>
        <w:t xml:space="preserve"> 担保金额人民币（大写）</w:t>
      </w:r>
      <w:r>
        <w:rPr>
          <w:rStyle w:val="41"/>
          <w:rFonts w:hint="eastAsia" w:ascii="宋体" w:hAnsi="宋体" w:eastAsia="宋体" w:cs="宋体"/>
          <w:color w:val="auto"/>
          <w:sz w:val="21"/>
          <w:szCs w:val="21"/>
        </w:rPr>
        <w:tab/>
      </w:r>
      <w:r>
        <w:rPr>
          <w:rStyle w:val="41"/>
          <w:rFonts w:hint="eastAsia" w:ascii="宋体" w:hAnsi="宋体" w:eastAsia="宋体" w:cs="宋体"/>
          <w:color w:val="auto"/>
          <w:sz w:val="21"/>
          <w:szCs w:val="21"/>
        </w:rPr>
        <w:t>元（¥</w:t>
      </w:r>
      <w:r>
        <w:rPr>
          <w:rStyle w:val="41"/>
          <w:rFonts w:hint="eastAsia" w:ascii="宋体" w:hAnsi="宋体" w:eastAsia="宋体" w:cs="宋体"/>
          <w:color w:val="auto"/>
          <w:sz w:val="21"/>
          <w:szCs w:val="21"/>
        </w:rPr>
        <w:tab/>
      </w:r>
      <w:r>
        <w:rPr>
          <w:rStyle w:val="41"/>
          <w:rFonts w:hint="eastAsia" w:ascii="宋体" w:hAnsi="宋体" w:eastAsia="宋体" w:cs="宋体"/>
          <w:color w:val="auto"/>
          <w:sz w:val="21"/>
          <w:szCs w:val="21"/>
        </w:rPr>
        <w:t>)。</w:t>
      </w:r>
    </w:p>
    <w:p w14:paraId="2BF27F51">
      <w:pPr>
        <w:pStyle w:val="40"/>
        <w:numPr>
          <w:ilvl w:val="0"/>
          <w:numId w:val="7"/>
        </w:numPr>
        <w:shd w:val="clear" w:color="auto" w:fill="auto"/>
        <w:tabs>
          <w:tab w:val="left" w:pos="824"/>
        </w:tabs>
        <w:spacing w:before="0" w:line="240" w:lineRule="auto"/>
        <w:ind w:firstLine="422"/>
        <w:jc w:val="left"/>
        <w:rPr>
          <w:rFonts w:ascii="宋体" w:hAnsi="宋体" w:eastAsia="宋体"/>
          <w:sz w:val="21"/>
          <w:szCs w:val="21"/>
        </w:rPr>
      </w:pPr>
      <w:r>
        <w:rPr>
          <w:rStyle w:val="41"/>
          <w:rFonts w:hint="eastAsia" w:ascii="宋体" w:hAnsi="宋体" w:eastAsia="宋体" w:cs="宋体"/>
          <w:color w:val="auto"/>
          <w:sz w:val="21"/>
          <w:szCs w:val="21"/>
        </w:rPr>
        <w:t>担保有效期自发包人与承包人签订的合同生效之日起至发包人签发交工验收证书且承包人按照合同约定缴纳质量保证金之日止。</w:t>
      </w:r>
    </w:p>
    <w:p w14:paraId="118A2976">
      <w:pPr>
        <w:pStyle w:val="40"/>
        <w:numPr>
          <w:ilvl w:val="0"/>
          <w:numId w:val="7"/>
        </w:numPr>
        <w:shd w:val="clear" w:color="auto" w:fill="auto"/>
        <w:tabs>
          <w:tab w:val="left" w:pos="838"/>
        </w:tabs>
        <w:spacing w:before="0" w:line="240" w:lineRule="auto"/>
        <w:ind w:firstLine="422"/>
        <w:jc w:val="left"/>
        <w:rPr>
          <w:rFonts w:ascii="宋体" w:hAnsi="宋体" w:eastAsia="宋体"/>
          <w:sz w:val="21"/>
          <w:szCs w:val="21"/>
        </w:rPr>
      </w:pPr>
      <w:r>
        <w:rPr>
          <w:rStyle w:val="41"/>
          <w:rFonts w:hint="eastAsia" w:ascii="宋体" w:hAnsi="宋体" w:eastAsia="宋体" w:cs="宋体"/>
          <w:color w:val="auto"/>
          <w:sz w:val="21"/>
          <w:szCs w:val="21"/>
        </w:rPr>
        <w:t>在本担保有效期内，因承包人违反合同约定的义务给你方造成经济损失时，我方在收到你方以书面形式提出的在担保金额内的赔偿要求后，在7日内无条件支付，无须你方出具证明或陈述理由。</w:t>
      </w:r>
    </w:p>
    <w:p w14:paraId="62335E03">
      <w:pPr>
        <w:pStyle w:val="40"/>
        <w:numPr>
          <w:ilvl w:val="0"/>
          <w:numId w:val="7"/>
        </w:numPr>
        <w:shd w:val="clear" w:color="auto" w:fill="auto"/>
        <w:tabs>
          <w:tab w:val="left" w:pos="831"/>
        </w:tabs>
        <w:spacing w:before="0" w:after="782" w:line="240" w:lineRule="auto"/>
        <w:ind w:firstLine="422"/>
        <w:jc w:val="left"/>
        <w:rPr>
          <w:rFonts w:ascii="宋体" w:hAnsi="宋体" w:eastAsia="宋体"/>
          <w:sz w:val="21"/>
          <w:szCs w:val="21"/>
        </w:rPr>
      </w:pPr>
      <w:r>
        <w:rPr>
          <w:rStyle w:val="41"/>
          <w:rFonts w:hint="eastAsia" w:ascii="宋体" w:hAnsi="宋体" w:eastAsia="宋体" w:cs="宋体"/>
          <w:color w:val="auto"/>
          <w:sz w:val="21"/>
          <w:szCs w:val="21"/>
        </w:rPr>
        <w:t>发包人和承包人按合同条款第15条变更合同时，无论我方是否收到该变更，我方承担本担保规定的义务不变。</w:t>
      </w:r>
    </w:p>
    <w:p w14:paraId="344FE449">
      <w:pPr>
        <w:pStyle w:val="40"/>
        <w:shd w:val="clear" w:color="auto" w:fill="auto"/>
        <w:tabs>
          <w:tab w:val="left" w:leader="underscore" w:pos="6557"/>
        </w:tabs>
        <w:spacing w:before="0" w:line="240" w:lineRule="auto"/>
        <w:ind w:left="3540"/>
        <w:jc w:val="both"/>
        <w:rPr>
          <w:rFonts w:ascii="宋体" w:hAnsi="宋体" w:eastAsia="宋体"/>
          <w:sz w:val="21"/>
          <w:szCs w:val="21"/>
        </w:rPr>
      </w:pPr>
      <w:r>
        <w:rPr>
          <w:rFonts w:ascii="宋体" w:hAnsi="宋体" w:eastAsia="宋体"/>
          <w:sz w:val="21"/>
          <w:szCs w:val="21"/>
        </w:rPr>
        <mc:AlternateContent>
          <mc:Choice Requires="wps">
            <w:drawing>
              <wp:anchor distT="0" distB="413385" distL="567055" distR="63500" simplePos="0" relativeHeight="251666432" behindDoc="1" locked="0" layoutInCell="1" allowOverlap="1">
                <wp:simplePos x="0" y="0"/>
                <wp:positionH relativeFrom="margin">
                  <wp:posOffset>4727575</wp:posOffset>
                </wp:positionH>
                <wp:positionV relativeFrom="paragraph">
                  <wp:posOffset>-67310</wp:posOffset>
                </wp:positionV>
                <wp:extent cx="841375" cy="502920"/>
                <wp:effectExtent l="0" t="0" r="0" b="0"/>
                <wp:wrapSquare wrapText="left"/>
                <wp:docPr id="5" name="文本框 3"/>
                <wp:cNvGraphicFramePr/>
                <a:graphic xmlns:a="http://schemas.openxmlformats.org/drawingml/2006/main">
                  <a:graphicData uri="http://schemas.microsoft.com/office/word/2010/wordprocessingShape">
                    <wps:wsp>
                      <wps:cNvSpPr txBox="1"/>
                      <wps:spPr>
                        <a:xfrm>
                          <a:off x="0" y="0"/>
                          <a:ext cx="841375" cy="502920"/>
                        </a:xfrm>
                        <a:prstGeom prst="rect">
                          <a:avLst/>
                        </a:prstGeom>
                        <a:noFill/>
                        <a:ln>
                          <a:noFill/>
                        </a:ln>
                        <a:effectLst/>
                      </wps:spPr>
                      <wps:txbx>
                        <w:txbxContent>
                          <w:p w14:paraId="24523EA2">
                            <w:pPr>
                              <w:pStyle w:val="40"/>
                              <w:shd w:val="clear" w:color="auto" w:fill="auto"/>
                              <w:tabs>
                                <w:tab w:val="left" w:leader="underscore" w:pos="470"/>
                              </w:tabs>
                              <w:spacing w:before="0" w:line="396" w:lineRule="exact"/>
                              <w:jc w:val="both"/>
                            </w:pPr>
                            <w:r>
                              <w:rPr>
                                <w:rStyle w:val="48"/>
                              </w:rPr>
                              <w:t>(</w:t>
                            </w:r>
                            <w:r>
                              <w:rPr>
                                <w:rStyle w:val="48"/>
                                <w:rFonts w:hint="eastAsia"/>
                              </w:rPr>
                              <w:t>盖单位章）</w:t>
                            </w:r>
                            <w:r>
                              <w:rPr>
                                <w:rStyle w:val="48"/>
                              </w:rPr>
                              <w:tab/>
                            </w:r>
                            <w:r>
                              <w:rPr>
                                <w:rStyle w:val="48"/>
                              </w:rPr>
                              <w:t>(</w:t>
                            </w:r>
                            <w:r>
                              <w:rPr>
                                <w:rStyle w:val="48"/>
                                <w:rFonts w:hint="eastAsia"/>
                              </w:rPr>
                              <w:t>签字</w:t>
                            </w:r>
                            <w:r>
                              <w:rPr>
                                <w:rStyle w:val="48"/>
                                <w:rFonts w:hint="eastAsia"/>
                                <w:lang w:eastAsia="en-US"/>
                              </w:rPr>
                              <w:t>）</w:t>
                            </w:r>
                          </w:p>
                        </w:txbxContent>
                      </wps:txbx>
                      <wps:bodyPr vert="horz" wrap="square" lIns="0" tIns="0" rIns="0" bIns="0" anchor="t" anchorCtr="0" upright="1">
                        <a:spAutoFit/>
                      </wps:bodyPr>
                    </wps:wsp>
                  </a:graphicData>
                </a:graphic>
              </wp:anchor>
            </w:drawing>
          </mc:Choice>
          <mc:Fallback>
            <w:pict>
              <v:shape id="文本框 3" o:spid="_x0000_s1026" o:spt="202" type="#_x0000_t202" style="position:absolute;left:0pt;margin-left:372.25pt;margin-top:-5.3pt;height:39.6pt;width:66.25pt;mso-position-horizontal-relative:margin;mso-wrap-distance-bottom:32.55pt;mso-wrap-distance-left:44.65pt;mso-wrap-distance-right:5pt;mso-wrap-distance-top:0pt;z-index:-251650048;mso-width-relative:page;mso-height-relative:page;" filled="f" stroked="f" coordsize="21600,21600" o:gfxdata="UEsDBAoAAAAAAIdO4kAAAAAAAAAAAAAAAAAEAAAAZHJzL1BLAwQUAAAACACHTuJAWDGxB9cAAAAK&#10;AQAADwAAAGRycy9kb3ducmV2LnhtbE2PMU/DMBCFdyT+g3VILKi1XZUkpHE6IFjYaFnY3ORIosbn&#10;KHaT0F/PMcF4uk/fe6/YL64XE46h82RArxUIpMrXHTUGPo6vqwxEiJZq23tCA98YYF/e3hQ2r/1M&#10;7zgdYiNYQiG3BtoYh1zKULXobFj7AYl/X350NvI5NrIe7cxy18uNUol0tiNOaO2Azy1W58PFGUiW&#10;l+Hh7Qk387XqJ/q8ah1RG3N/p9UORMQl/sHwW5+rQ8mdTv5CdRC9gXS7fWTUwEqrBAQTWZryuhPr&#10;swRkWcj/E8ofUEsDBBQAAAAIAIdO4kCtF0uV6wEAAMwDAAAOAAAAZHJzL2Uyb0RvYy54bWytU82O&#10;0zAQviPxDpbvNGmXhSVqugKqRUgIkHZ5ANdxGkvxDzNuk/IA8Aac9sKd5+pz7NhJurBc9sAlGc+M&#10;v5nvm/Hysjct2ytA7WzJ57OcM2Wlq7TdlvzLzdWzC84wCFuJ1llV8oNCfrl6+mTZ+UItXOPaSgEj&#10;EItF50vehOCLLEPZKCNw5ryyFKwdGBHoCNusAtERummzRZ6/yDoHlQcnFSJ510OQj4jwGEBX11qq&#10;tZM7o2wYUEG1IhAlbLRHvkrd1rWS4VNdowqsLTkxDelLRcjexG+2WopiC8I3Wo4tiMe08ICTEdpS&#10;0RPUWgTBdqD/gTJagkNXh5l0JhuIJEWIxTx/oM11I7xKXEhq9CfR8f/Byo/7z8B0VfJzzqwwNPDj&#10;zx/H29/HX9/ZWZSn81hQ1rWnvNC/cT0tzeRHckbWfQ0m/okPoziJeziJq/rAJDkvns/PXlIRSaHz&#10;fPFqkcTP7i97wPBOOcOiUXKg2SVJxf4DBmqEUqeUWMu6K922aX6t/ctBiYNHpQUYb0ceQ7/RCv2m&#10;H8ltXHUgbvQkqGrj4BtnHS1EyfHrToDirH1vSfG4PZMBk7GZDGElXS154Gww34Zhy3Ye9LYh5Hki&#10;g/71LlDniVBsZKhO7OKBhpx4jgsZt+jPc8q6f4Sr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gx&#10;sQfXAAAACgEAAA8AAAAAAAAAAQAgAAAAIgAAAGRycy9kb3ducmV2LnhtbFBLAQIUABQAAAAIAIdO&#10;4kCtF0uV6wEAAMwDAAAOAAAAAAAAAAEAIAAAACYBAABkcnMvZTJvRG9jLnhtbFBLBQYAAAAABgAG&#10;AFkBAACDBQAAAAA=&#10;">
                <v:fill on="f" focussize="0,0"/>
                <v:stroke on="f"/>
                <v:imagedata o:title=""/>
                <o:lock v:ext="edit" aspectratio="f"/>
                <v:textbox inset="0mm,0mm,0mm,0mm" style="mso-fit-shape-to-text:t;">
                  <w:txbxContent>
                    <w:p w14:paraId="24523EA2">
                      <w:pPr>
                        <w:pStyle w:val="40"/>
                        <w:shd w:val="clear" w:color="auto" w:fill="auto"/>
                        <w:tabs>
                          <w:tab w:val="left" w:leader="underscore" w:pos="470"/>
                        </w:tabs>
                        <w:spacing w:before="0" w:line="396" w:lineRule="exact"/>
                        <w:jc w:val="both"/>
                      </w:pPr>
                      <w:r>
                        <w:rPr>
                          <w:rStyle w:val="48"/>
                        </w:rPr>
                        <w:t>(</w:t>
                      </w:r>
                      <w:r>
                        <w:rPr>
                          <w:rStyle w:val="48"/>
                          <w:rFonts w:hint="eastAsia"/>
                        </w:rPr>
                        <w:t>盖单位章）</w:t>
                      </w:r>
                      <w:r>
                        <w:rPr>
                          <w:rStyle w:val="48"/>
                        </w:rPr>
                        <w:tab/>
                      </w:r>
                      <w:r>
                        <w:rPr>
                          <w:rStyle w:val="48"/>
                        </w:rPr>
                        <w:t>(</w:t>
                      </w:r>
                      <w:r>
                        <w:rPr>
                          <w:rStyle w:val="48"/>
                          <w:rFonts w:hint="eastAsia"/>
                        </w:rPr>
                        <w:t>签字</w:t>
                      </w:r>
                      <w:r>
                        <w:rPr>
                          <w:rStyle w:val="48"/>
                          <w:rFonts w:hint="eastAsia"/>
                          <w:lang w:eastAsia="en-US"/>
                        </w:rPr>
                        <w:t>）</w:t>
                      </w:r>
                    </w:p>
                  </w:txbxContent>
                </v:textbox>
                <w10:wrap type="square" side="left"/>
              </v:shape>
            </w:pict>
          </mc:Fallback>
        </mc:AlternateContent>
      </w:r>
      <w:r>
        <w:rPr>
          <w:rStyle w:val="41"/>
          <w:rFonts w:hint="eastAsia" w:ascii="宋体" w:hAnsi="宋体" w:eastAsia="宋体" w:cs="宋体"/>
          <w:color w:val="auto"/>
          <w:sz w:val="21"/>
          <w:szCs w:val="21"/>
        </w:rPr>
        <w:t>担保人名称:</w:t>
      </w:r>
      <w:r>
        <w:rPr>
          <w:rStyle w:val="41"/>
          <w:rFonts w:hint="eastAsia" w:ascii="宋体" w:hAnsi="宋体" w:eastAsia="宋体" w:cs="宋体"/>
          <w:color w:val="auto"/>
          <w:sz w:val="21"/>
          <w:szCs w:val="21"/>
        </w:rPr>
        <w:tab/>
      </w:r>
    </w:p>
    <w:p w14:paraId="14328D09">
      <w:pPr>
        <w:pStyle w:val="40"/>
        <w:shd w:val="clear" w:color="auto" w:fill="auto"/>
        <w:spacing w:before="0" w:line="240" w:lineRule="auto"/>
        <w:ind w:left="3540"/>
        <w:jc w:val="both"/>
        <w:rPr>
          <w:rStyle w:val="41"/>
          <w:rFonts w:ascii="宋体" w:hAnsi="宋体" w:eastAsia="宋体" w:cs="宋体"/>
          <w:color w:val="auto"/>
          <w:sz w:val="21"/>
          <w:szCs w:val="21"/>
        </w:rPr>
      </w:pPr>
      <w:r>
        <w:rPr>
          <w:rStyle w:val="41"/>
          <w:rFonts w:hint="eastAsia" w:ascii="宋体" w:hAnsi="宋体" w:eastAsia="宋体" w:cs="宋体"/>
          <w:color w:val="auto"/>
          <w:sz w:val="21"/>
          <w:szCs w:val="21"/>
        </w:rPr>
        <w:t>法定代表人或其委托代理人:</w:t>
      </w:r>
    </w:p>
    <w:p w14:paraId="5A2D24F6">
      <w:pPr>
        <w:pStyle w:val="40"/>
        <w:shd w:val="clear" w:color="auto" w:fill="auto"/>
        <w:spacing w:before="0" w:line="240" w:lineRule="auto"/>
        <w:ind w:left="3540"/>
        <w:jc w:val="both"/>
        <w:rPr>
          <w:rFonts w:ascii="宋体" w:hAnsi="宋体" w:eastAsia="宋体"/>
          <w:sz w:val="21"/>
          <w:szCs w:val="21"/>
        </w:rPr>
      </w:pPr>
      <w:r>
        <w:rPr>
          <w:rStyle w:val="41"/>
          <w:rFonts w:hint="eastAsia" w:ascii="宋体" w:hAnsi="宋体" w:eastAsia="宋体" w:cs="宋体"/>
          <w:color w:val="auto"/>
          <w:sz w:val="21"/>
          <w:szCs w:val="21"/>
        </w:rPr>
        <w:t xml:space="preserve"> 地 址：</w:t>
      </w:r>
    </w:p>
    <w:p w14:paraId="4795642A">
      <w:pPr>
        <w:pStyle w:val="40"/>
        <w:shd w:val="clear" w:color="auto" w:fill="auto"/>
        <w:spacing w:before="0" w:line="240" w:lineRule="auto"/>
        <w:ind w:left="3709" w:leftChars="1686"/>
        <w:jc w:val="both"/>
        <w:rPr>
          <w:rFonts w:ascii="宋体" w:hAnsi="宋体" w:eastAsia="宋体"/>
          <w:sz w:val="21"/>
          <w:szCs w:val="21"/>
        </w:rPr>
      </w:pPr>
      <w:r>
        <w:rPr>
          <w:rFonts w:ascii="宋体" w:hAnsi="宋体" w:eastAsia="宋体"/>
          <w:sz w:val="21"/>
          <w:szCs w:val="21"/>
        </w:rPr>
        <mc:AlternateContent>
          <mc:Choice Requires="wps">
            <w:drawing>
              <wp:anchor distT="0" distB="222250" distL="114300" distR="114300" simplePos="0" relativeHeight="251667456" behindDoc="1" locked="0" layoutInCell="1" allowOverlap="1">
                <wp:simplePos x="0" y="0"/>
                <wp:positionH relativeFrom="margin">
                  <wp:posOffset>2197735</wp:posOffset>
                </wp:positionH>
                <wp:positionV relativeFrom="paragraph">
                  <wp:posOffset>224155</wp:posOffset>
                </wp:positionV>
                <wp:extent cx="231775" cy="356235"/>
                <wp:effectExtent l="0" t="0" r="0" b="0"/>
                <wp:wrapTopAndBottom/>
                <wp:docPr id="11" name="文本框 4"/>
                <wp:cNvGraphicFramePr/>
                <a:graphic xmlns:a="http://schemas.openxmlformats.org/drawingml/2006/main">
                  <a:graphicData uri="http://schemas.microsoft.com/office/word/2010/wordprocessingShape">
                    <wps:wsp>
                      <wps:cNvSpPr txBox="1"/>
                      <wps:spPr>
                        <a:xfrm>
                          <a:off x="0" y="0"/>
                          <a:ext cx="231775" cy="356235"/>
                        </a:xfrm>
                        <a:prstGeom prst="rect">
                          <a:avLst/>
                        </a:prstGeom>
                        <a:noFill/>
                        <a:ln>
                          <a:noFill/>
                        </a:ln>
                        <a:effectLst/>
                      </wps:spPr>
                      <wps:txbx>
                        <w:txbxContent>
                          <w:p w14:paraId="0E47DD10">
                            <w:pPr>
                              <w:pStyle w:val="40"/>
                              <w:shd w:val="clear" w:color="auto" w:fill="auto"/>
                              <w:spacing w:before="0" w:after="121" w:line="220" w:lineRule="exact"/>
                              <w:jc w:val="left"/>
                            </w:pPr>
                            <w:r>
                              <w:rPr>
                                <w:rStyle w:val="48"/>
                                <w:rFonts w:hint="eastAsia"/>
                              </w:rPr>
                              <w:t>电</w:t>
                            </w:r>
                          </w:p>
                          <w:p w14:paraId="216A862B">
                            <w:pPr>
                              <w:pStyle w:val="40"/>
                              <w:shd w:val="clear" w:color="auto" w:fill="auto"/>
                              <w:spacing w:before="0" w:line="220" w:lineRule="exact"/>
                              <w:jc w:val="left"/>
                            </w:pPr>
                            <w:r>
                              <w:rPr>
                                <w:rStyle w:val="48"/>
                                <w:rFonts w:hint="eastAsia"/>
                              </w:rPr>
                              <w:t>传</w:t>
                            </w:r>
                          </w:p>
                        </w:txbxContent>
                      </wps:txbx>
                      <wps:bodyPr wrap="square" lIns="0" tIns="0" rIns="0" bIns="0" upright="1">
                        <a:spAutoFit/>
                      </wps:bodyPr>
                    </wps:wsp>
                  </a:graphicData>
                </a:graphic>
              </wp:anchor>
            </w:drawing>
          </mc:Choice>
          <mc:Fallback>
            <w:pict>
              <v:shape id="文本框 4" o:spid="_x0000_s1026" o:spt="202" type="#_x0000_t202" style="position:absolute;left:0pt;margin-left:173.05pt;margin-top:17.65pt;height:28.05pt;width:18.25pt;mso-position-horizontal-relative:margin;mso-wrap-distance-bottom:17.5pt;mso-wrap-distance-top:0pt;z-index:-251649024;mso-width-relative:page;mso-height-relative:page;" filled="f" stroked="f" coordsize="21600,21600" o:gfxdata="UEsDBAoAAAAAAIdO4kAAAAAAAAAAAAAAAAAEAAAAZHJzL1BLAwQUAAAACACHTuJAXR3ZcdcAAAAJ&#10;AQAADwAAAGRycy9kb3ducmV2LnhtbE2PsU7DMBCGdyTewTokFkQdJyVq0zgdECxstCxsbnxNIuJz&#10;FLtJ6NNzTLDd6T799/3lfnG9mHAMnScNapWAQKq97ajR8HF8fdyACNGQNb0n1PCNAfbV7U1pCutn&#10;esfpEBvBIRQKo6GNcSikDHWLzoSVH5D4dvajM5HXsZF2NDOHu16mSZJLZzriD60Z8LnF+utwcRry&#10;5WV4eNtiOl/rfqLPq1IRldb3dyrZgYi4xD8YfvVZHSp2OvkL2SB6Ddk6V4zy8JSBYCDbpDmIk4at&#10;WoOsSvm/QfUDUEsDBBQAAAAIAIdO4kAjYQha1gEAAKgDAAAOAAAAZHJzL2Uyb0RvYy54bWytU0tu&#10;2zAQ3RfIHQjua1l2nQSC5aCFkaJA0RZIegCaoiwC/IVDWfIF2ht01U33PZfPkSElOW26yaIbajgz&#10;fDPvzWh902tFDsKDtKak+WxOiTDcVtLsS/r1/vb1NSUQmKmYskaU9CiA3mwuXq07V4iFbayqhCcI&#10;YqDoXEmbEFyRZcAboRnMrBMGg7X1mgW8+n1WedYhulbZYj6/zDrrK+ctFwDo3Q5BOiL6lwDaupZc&#10;bC1vtTBhQPVCsYCUoJEO6CZ1W9eCh891DSIQVVJkGtKJRdDexTPbrFmx98w1ko8tsJe08IyTZtJg&#10;0TPUlgVGWi//gdKSewu2DjNudTYQSYogi3z+TJu7hjmRuKDU4M6iw/+D5Z8OXzyRFW5CTolhGid+&#10;+vH99PP36dc38ibq0zkoMO3OYWLo39kecyc/oDPS7muv4xcJEYyjusezuqIPhKNzscyvrlaUcAwt&#10;V5eL5SqiZE+PnYfwXlhNolFSj8NLmrLDRwhD6pQSaxl7K5VKA1TmLwdiDh6RNmB8HXkM/UYr9Lt+&#10;JLez1RG5dbgFJYWHlnlBifpgUOa4MpPhJ2M3Ga3zct9gq3nqE9zbNmBTqddYYwBGjvGCA0xsx2WL&#10;G/LnPWU9/WCbR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0d2XHXAAAACQEAAA8AAAAAAAAAAQAg&#10;AAAAIgAAAGRycy9kb3ducmV2LnhtbFBLAQIUABQAAAAIAIdO4kAjYQha1gEAAKgDAAAOAAAAAAAA&#10;AAEAIAAAACYBAABkcnMvZTJvRG9jLnhtbFBLBQYAAAAABgAGAFkBAABuBQAAAAA=&#10;">
                <v:fill on="f" focussize="0,0"/>
                <v:stroke on="f"/>
                <v:imagedata o:title=""/>
                <o:lock v:ext="edit" aspectratio="f"/>
                <v:textbox inset="0mm,0mm,0mm,0mm" style="mso-fit-shape-to-text:t;">
                  <w:txbxContent>
                    <w:p w14:paraId="0E47DD10">
                      <w:pPr>
                        <w:pStyle w:val="40"/>
                        <w:shd w:val="clear" w:color="auto" w:fill="auto"/>
                        <w:spacing w:before="0" w:after="121" w:line="220" w:lineRule="exact"/>
                        <w:jc w:val="left"/>
                      </w:pPr>
                      <w:r>
                        <w:rPr>
                          <w:rStyle w:val="48"/>
                          <w:rFonts w:hint="eastAsia"/>
                        </w:rPr>
                        <w:t>电</w:t>
                      </w:r>
                    </w:p>
                    <w:p w14:paraId="216A862B">
                      <w:pPr>
                        <w:pStyle w:val="40"/>
                        <w:shd w:val="clear" w:color="auto" w:fill="auto"/>
                        <w:spacing w:before="0" w:line="220" w:lineRule="exact"/>
                        <w:jc w:val="left"/>
                      </w:pPr>
                      <w:r>
                        <w:rPr>
                          <w:rStyle w:val="48"/>
                          <w:rFonts w:hint="eastAsia"/>
                        </w:rPr>
                        <w:t>传</w:t>
                      </w:r>
                    </w:p>
                  </w:txbxContent>
                </v:textbox>
                <w10:wrap type="topAndBottom"/>
              </v:shape>
            </w:pict>
          </mc:Fallback>
        </mc:AlternateContent>
      </w:r>
      <w:r>
        <w:rPr>
          <w:rFonts w:ascii="宋体" w:hAnsi="宋体" w:eastAsia="宋体"/>
          <w:sz w:val="21"/>
          <w:szCs w:val="21"/>
        </w:rPr>
        <mc:AlternateContent>
          <mc:Choice Requires="wps">
            <w:drawing>
              <wp:anchor distT="0" distB="222250" distL="114300" distR="114300" simplePos="0" relativeHeight="251668480" behindDoc="1" locked="0" layoutInCell="1" allowOverlap="1">
                <wp:simplePos x="0" y="0"/>
                <wp:positionH relativeFrom="margin">
                  <wp:posOffset>2654935</wp:posOffset>
                </wp:positionH>
                <wp:positionV relativeFrom="paragraph">
                  <wp:posOffset>224155</wp:posOffset>
                </wp:positionV>
                <wp:extent cx="201295" cy="356235"/>
                <wp:effectExtent l="0" t="0" r="0" b="0"/>
                <wp:wrapTopAndBottom/>
                <wp:docPr id="12" name="文本框 5"/>
                <wp:cNvGraphicFramePr/>
                <a:graphic xmlns:a="http://schemas.openxmlformats.org/drawingml/2006/main">
                  <a:graphicData uri="http://schemas.microsoft.com/office/word/2010/wordprocessingShape">
                    <wps:wsp>
                      <wps:cNvSpPr txBox="1"/>
                      <wps:spPr>
                        <a:xfrm>
                          <a:off x="0" y="0"/>
                          <a:ext cx="201295" cy="356235"/>
                        </a:xfrm>
                        <a:prstGeom prst="rect">
                          <a:avLst/>
                        </a:prstGeom>
                        <a:noFill/>
                        <a:ln>
                          <a:noFill/>
                        </a:ln>
                        <a:effectLst/>
                      </wps:spPr>
                      <wps:txbx>
                        <w:txbxContent>
                          <w:p w14:paraId="4AA6CA53">
                            <w:pPr>
                              <w:pStyle w:val="40"/>
                              <w:shd w:val="clear" w:color="auto" w:fill="auto"/>
                              <w:spacing w:before="0" w:after="121" w:line="220" w:lineRule="exact"/>
                              <w:jc w:val="left"/>
                            </w:pPr>
                            <w:r>
                              <w:rPr>
                                <w:rStyle w:val="48"/>
                                <w:rFonts w:hint="eastAsia"/>
                              </w:rPr>
                              <w:t>话</w:t>
                            </w:r>
                          </w:p>
                          <w:p w14:paraId="0A5F504D">
                            <w:pPr>
                              <w:pStyle w:val="40"/>
                              <w:shd w:val="clear" w:color="auto" w:fill="auto"/>
                              <w:spacing w:before="0" w:line="220" w:lineRule="exact"/>
                              <w:jc w:val="left"/>
                            </w:pPr>
                            <w:r>
                              <w:rPr>
                                <w:rStyle w:val="48"/>
                                <w:rFonts w:hint="eastAsia"/>
                              </w:rPr>
                              <w:t>真</w:t>
                            </w:r>
                          </w:p>
                        </w:txbxContent>
                      </wps:txbx>
                      <wps:bodyPr wrap="square" lIns="0" tIns="0" rIns="0" bIns="0" upright="1">
                        <a:spAutoFit/>
                      </wps:bodyPr>
                    </wps:wsp>
                  </a:graphicData>
                </a:graphic>
              </wp:anchor>
            </w:drawing>
          </mc:Choice>
          <mc:Fallback>
            <w:pict>
              <v:shape id="文本框 5" o:spid="_x0000_s1026" o:spt="202" type="#_x0000_t202" style="position:absolute;left:0pt;margin-left:209.05pt;margin-top:17.65pt;height:28.05pt;width:15.85pt;mso-position-horizontal-relative:margin;mso-wrap-distance-bottom:17.5pt;mso-wrap-distance-top:0pt;z-index:-251648000;mso-width-relative:page;mso-height-relative:page;" filled="f" stroked="f" coordsize="21600,21600" o:gfxdata="UEsDBAoAAAAAAIdO4kAAAAAAAAAAAAAAAAAEAAAAZHJzL1BLAwQUAAAACACHTuJA/R4TsdYAAAAJ&#10;AQAADwAAAGRycy9kb3ducmV2LnhtbE2PMU/DMBCFdyT+g3VILIg6bkPVhDgdECxstCxsbnwkEfY5&#10;it0k9NdzTDCe7tN736v2i3diwjH2gTSoVQYCqQm2p1bD+/HlfgciJkPWuECo4Rsj7Ovrq8qUNsz0&#10;htMhtYJDKJZGQ5fSUEoZmw69iaswIPHvM4zeJD7HVtrRzBzunVxn2VZ60xM3dGbApw6br8PZa9gu&#10;z8Pda4Hr+dK4iT4uSiVUWt/eqOwRRMIl/cHwq8/qULPTKZzJRuE05GqnGNWwediAYCDPC95y0lCo&#10;HGRdyf8L6h9QSwMEFAAAAAgAh07iQAKqqcnUAQAAqAMAAA4AAABkcnMvZTJvRG9jLnhtbK1TzY7T&#10;MBC+I/EOlu80bVZdQdR0BaoWISFAWngA17EbS/7D4zTpC8AbcOLCnefqc+zYSbqwXPbAxRmPx998&#10;3+fJ5mYwmhxFAOVsTVeLJSXCctcoe6jpl8+3L15SApHZhmlnRU1PAujN9vmzTe8rUbrW6UYEgiAW&#10;qt7XtI3RV0UBvBWGwcJ5YfFQumBYxG04FE1gPaIbXZTL5XXRu9D44LgAwOxuPKQTYngKoJNScbFz&#10;vDPCxhE1CM0iSoJWeaDbzFZKweNHKUFEomuKSmNesQnG+7QW2w2rDoH5VvGJAnsKhUeaDFMWm16g&#10;diwy0gX1D5RRPDhwMi64M8UoJDuCKlbLR97ctcyLrAWtBn8xHf4fLP9w/BSIanASSkosM/ji5x/f&#10;zz9/n399I+vkT++hwrI7j4VxeOMGrJ3zgMkke5DBpC8KIniO7p4u7oohEo5JFFi+WlPC8ehqfV1e&#10;ZfTi4bIPEN8KZ0gKahrw8bKn7PgeIhLB0rkk9bLuVmmdH1DbvxJYOGZEnoDpdtIx8k1RHPbDJG7v&#10;mhNq63EKagpfOxYEJfqdRZvTyMxBmIP9HHQ+qEOLVFeZJ/jXXURSmWvqMQIj8bTBB8wSpmFLE/Ln&#10;Plc9/GDb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0eE7HWAAAACQEAAA8AAAAAAAAAAQAgAAAA&#10;IgAAAGRycy9kb3ducmV2LnhtbFBLAQIUABQAAAAIAIdO4kACqqnJ1AEAAKgDAAAOAAAAAAAAAAEA&#10;IAAAACUBAABkcnMvZTJvRG9jLnhtbFBLBQYAAAAABgAGAFkBAABrBQAAAAA=&#10;">
                <v:fill on="f" focussize="0,0"/>
                <v:stroke on="f"/>
                <v:imagedata o:title=""/>
                <o:lock v:ext="edit" aspectratio="f"/>
                <v:textbox inset="0mm,0mm,0mm,0mm" style="mso-fit-shape-to-text:t;">
                  <w:txbxContent>
                    <w:p w14:paraId="4AA6CA53">
                      <w:pPr>
                        <w:pStyle w:val="40"/>
                        <w:shd w:val="clear" w:color="auto" w:fill="auto"/>
                        <w:spacing w:before="0" w:after="121" w:line="220" w:lineRule="exact"/>
                        <w:jc w:val="left"/>
                      </w:pPr>
                      <w:r>
                        <w:rPr>
                          <w:rStyle w:val="48"/>
                          <w:rFonts w:hint="eastAsia"/>
                        </w:rPr>
                        <w:t>话</w:t>
                      </w:r>
                    </w:p>
                    <w:p w14:paraId="0A5F504D">
                      <w:pPr>
                        <w:pStyle w:val="40"/>
                        <w:shd w:val="clear" w:color="auto" w:fill="auto"/>
                        <w:spacing w:before="0" w:line="220" w:lineRule="exact"/>
                        <w:jc w:val="left"/>
                      </w:pPr>
                      <w:r>
                        <w:rPr>
                          <w:rStyle w:val="48"/>
                          <w:rFonts w:hint="eastAsia"/>
                        </w:rPr>
                        <w:t>真</w:t>
                      </w:r>
                    </w:p>
                  </w:txbxContent>
                </v:textbox>
                <w10:wrap type="topAndBottom"/>
              </v:shape>
            </w:pict>
          </mc:Fallback>
        </mc:AlternateContent>
      </w:r>
      <w:r>
        <w:rPr>
          <w:rFonts w:ascii="宋体" w:hAnsi="宋体" w:eastAsia="宋体"/>
          <w:sz w:val="21"/>
          <w:szCs w:val="21"/>
        </w:rPr>
        <mc:AlternateContent>
          <mc:Choice Requires="wps">
            <w:drawing>
              <wp:anchor distT="0" distB="0" distL="114300" distR="114300" simplePos="0" relativeHeight="251669504" behindDoc="1" locked="0" layoutInCell="1" allowOverlap="1">
                <wp:simplePos x="0" y="0"/>
                <wp:positionH relativeFrom="margin">
                  <wp:posOffset>4117975</wp:posOffset>
                </wp:positionH>
                <wp:positionV relativeFrom="paragraph">
                  <wp:posOffset>735965</wp:posOffset>
                </wp:positionV>
                <wp:extent cx="231775" cy="139700"/>
                <wp:effectExtent l="0" t="0" r="0" b="0"/>
                <wp:wrapTopAndBottom/>
                <wp:docPr id="13" name="文本框 6"/>
                <wp:cNvGraphicFramePr/>
                <a:graphic xmlns:a="http://schemas.openxmlformats.org/drawingml/2006/main">
                  <a:graphicData uri="http://schemas.microsoft.com/office/word/2010/wordprocessingShape">
                    <wps:wsp>
                      <wps:cNvSpPr txBox="1"/>
                      <wps:spPr>
                        <a:xfrm>
                          <a:off x="0" y="0"/>
                          <a:ext cx="231775" cy="139700"/>
                        </a:xfrm>
                        <a:prstGeom prst="rect">
                          <a:avLst/>
                        </a:prstGeom>
                        <a:noFill/>
                        <a:ln>
                          <a:noFill/>
                        </a:ln>
                        <a:effectLst/>
                      </wps:spPr>
                      <wps:txbx>
                        <w:txbxContent>
                          <w:p w14:paraId="3F4F0C2B">
                            <w:pPr>
                              <w:pStyle w:val="40"/>
                              <w:shd w:val="clear" w:color="auto" w:fill="auto"/>
                              <w:spacing w:before="0" w:line="220" w:lineRule="exact"/>
                              <w:jc w:val="left"/>
                            </w:pPr>
                            <w:r>
                              <w:rPr>
                                <w:rStyle w:val="48"/>
                                <w:rFonts w:hint="eastAsia"/>
                              </w:rPr>
                              <w:t>年</w:t>
                            </w:r>
                          </w:p>
                        </w:txbxContent>
                      </wps:txbx>
                      <wps:bodyPr wrap="square" lIns="0" tIns="0" rIns="0" bIns="0" upright="1">
                        <a:spAutoFit/>
                      </wps:bodyPr>
                    </wps:wsp>
                  </a:graphicData>
                </a:graphic>
              </wp:anchor>
            </w:drawing>
          </mc:Choice>
          <mc:Fallback>
            <w:pict>
              <v:shape id="文本框 6" o:spid="_x0000_s1026" o:spt="202" type="#_x0000_t202" style="position:absolute;left:0pt;margin-left:324.25pt;margin-top:57.95pt;height:11pt;width:18.25pt;mso-position-horizontal-relative:margin;mso-wrap-distance-bottom:0pt;mso-wrap-distance-top:0pt;z-index:-251646976;mso-width-relative:page;mso-height-relative:page;" filled="f" stroked="f" coordsize="21600,21600" o:gfxdata="UEsDBAoAAAAAAIdO4kAAAAAAAAAAAAAAAAAEAAAAZHJzL1BLAwQUAAAACACHTuJAnu6Ti9cAAAAL&#10;AQAADwAAAGRycy9kb3ducmV2LnhtbE2PQU+EMBCF7yb+h2ZMvBi3dBUEpOzB6MWbqxdvXToCkU4J&#10;7QLur3c8ucd578ub96rd6gYx4xR6TxrUJgGB1HjbU6vh4/3lNgcRoiFrBk+o4QcD7OrLi8qU1i/0&#10;hvM+toJDKJRGQxfjWEoZmg6dCRs/IrH35SdnIp9TK+1kFg53g9wmSSad6Yk/dGbEpw6b7/3RacjW&#10;5/HmtcDtcmqGmT5PSkVUWl9fqeQRRMQ1/sPwV5+rQ82dDv5INoiBM+7zlFE2VFqAYCLLU153YOXu&#10;oQBZV/J8Q/0LUEsDBBQAAAAIAIdO4kAj/6Rg1QEAAKgDAAAOAAAAZHJzL2Uyb0RvYy54bWytU8uu&#10;0zAQ3SPxD5b3NEkrbiFqegWqLkJCgHThA1zHaSz5hcdp0h+AP2DFhj3f1e9g7CS9DzZ3wcYZj8dn&#10;zjmebK4HrchReJDWVLRY5JQIw20tzaGiX7/cvHhFCQRmaqasERU9CaDX2+fPNr0rxdK2VtXCEwQx&#10;UPauom0Irswy4K3QDBbWCYOHjfWaBdz6Q1Z71iO6Vtkyz6+y3vraecsFAGZ34yGdEP1TAG3TSC52&#10;lndamDCieqFYQEnQSgd0m9g2jeDhU9OACERVFJWGtGITjPdxzbYbVh48c63kEwX2FAqPNGkmDTa9&#10;QO1YYKTz8h8oLbm3YJuw4FZno5DkCKoo8kfe3LbMiaQFrQZ3MR3+Hyz/ePzsiaxxElaUGKbxxc8/&#10;f5x//Tn//k6uoj+9gxLLbh0WhuGtHbB2zgMmo+yh8Tp+URDBc3T3dHFXDIFwTC5XxXr9khKOR8Xq&#10;9TpP7md3l52H8E5YTWJQUY+Plzxlxw8QkAiWziWxl7E3Uqn0gMo8SGDhmBFpAqbbUcfIN0Zh2A+T&#10;uL2tT6itxymoKHzrmBeUqPcGbY4jMwd+DvZz0DkvDy1SLRJPcG+6gKQS19hjBEbicYMPmCRMwxYn&#10;5P4+Vd39YN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u6Ti9cAAAALAQAADwAAAAAAAAABACAA&#10;AAAiAAAAZHJzL2Rvd25yZXYueG1sUEsBAhQAFAAAAAgAh07iQCP/pGDVAQAAqAMAAA4AAAAAAAAA&#10;AQAgAAAAJgEAAGRycy9lMm9Eb2MueG1sUEsFBgAAAAAGAAYAWQEAAG0FAAAAAA==&#10;">
                <v:fill on="f" focussize="0,0"/>
                <v:stroke on="f"/>
                <v:imagedata o:title=""/>
                <o:lock v:ext="edit" aspectratio="f"/>
                <v:textbox inset="0mm,0mm,0mm,0mm" style="mso-fit-shape-to-text:t;">
                  <w:txbxContent>
                    <w:p w14:paraId="3F4F0C2B">
                      <w:pPr>
                        <w:pStyle w:val="40"/>
                        <w:shd w:val="clear" w:color="auto" w:fill="auto"/>
                        <w:spacing w:before="0" w:line="220" w:lineRule="exact"/>
                        <w:jc w:val="left"/>
                      </w:pPr>
                      <w:r>
                        <w:rPr>
                          <w:rStyle w:val="48"/>
                          <w:rFonts w:hint="eastAsia"/>
                        </w:rPr>
                        <w:t>年</w:t>
                      </w:r>
                    </w:p>
                  </w:txbxContent>
                </v:textbox>
                <w10:wrap type="topAndBottom"/>
              </v:shape>
            </w:pict>
          </mc:Fallback>
        </mc:AlternateContent>
      </w:r>
      <w:r>
        <w:rPr>
          <w:rFonts w:ascii="宋体" w:hAnsi="宋体" w:eastAsia="宋体"/>
          <w:sz w:val="21"/>
          <w:szCs w:val="21"/>
        </w:rPr>
        <mc:AlternateContent>
          <mc:Choice Requires="wps">
            <w:drawing>
              <wp:anchor distT="0" distB="0" distL="114300" distR="114300" simplePos="0" relativeHeight="251670528" behindDoc="1" locked="0" layoutInCell="1" allowOverlap="1">
                <wp:simplePos x="0" y="0"/>
                <wp:positionH relativeFrom="margin">
                  <wp:posOffset>4727575</wp:posOffset>
                </wp:positionH>
                <wp:positionV relativeFrom="paragraph">
                  <wp:posOffset>735965</wp:posOffset>
                </wp:positionV>
                <wp:extent cx="207010" cy="139700"/>
                <wp:effectExtent l="0" t="0" r="0" b="0"/>
                <wp:wrapTopAndBottom/>
                <wp:docPr id="17" name="文本框 7"/>
                <wp:cNvGraphicFramePr/>
                <a:graphic xmlns:a="http://schemas.openxmlformats.org/drawingml/2006/main">
                  <a:graphicData uri="http://schemas.microsoft.com/office/word/2010/wordprocessingShape">
                    <wps:wsp>
                      <wps:cNvSpPr txBox="1"/>
                      <wps:spPr>
                        <a:xfrm>
                          <a:off x="0" y="0"/>
                          <a:ext cx="207010" cy="139700"/>
                        </a:xfrm>
                        <a:prstGeom prst="rect">
                          <a:avLst/>
                        </a:prstGeom>
                        <a:noFill/>
                        <a:ln>
                          <a:noFill/>
                        </a:ln>
                        <a:effectLst/>
                      </wps:spPr>
                      <wps:txbx>
                        <w:txbxContent>
                          <w:p w14:paraId="72AC785C">
                            <w:pPr>
                              <w:pStyle w:val="40"/>
                              <w:shd w:val="clear" w:color="auto" w:fill="auto"/>
                              <w:spacing w:before="0" w:line="220" w:lineRule="exact"/>
                              <w:jc w:val="left"/>
                            </w:pPr>
                            <w:r>
                              <w:rPr>
                                <w:rStyle w:val="48"/>
                                <w:rFonts w:hint="eastAsia"/>
                              </w:rPr>
                              <w:t>月</w:t>
                            </w:r>
                          </w:p>
                        </w:txbxContent>
                      </wps:txbx>
                      <wps:bodyPr wrap="square" lIns="0" tIns="0" rIns="0" bIns="0" upright="1">
                        <a:spAutoFit/>
                      </wps:bodyPr>
                    </wps:wsp>
                  </a:graphicData>
                </a:graphic>
              </wp:anchor>
            </w:drawing>
          </mc:Choice>
          <mc:Fallback>
            <w:pict>
              <v:shape id="文本框 7" o:spid="_x0000_s1026" o:spt="202" type="#_x0000_t202" style="position:absolute;left:0pt;margin-left:372.25pt;margin-top:57.95pt;height:11pt;width:16.3pt;mso-position-horizontal-relative:margin;mso-wrap-distance-bottom:0pt;mso-wrap-distance-top:0pt;z-index:-251645952;mso-width-relative:page;mso-height-relative:page;" filled="f" stroked="f" coordsize="21600,21600" o:gfxdata="UEsDBAoAAAAAAIdO4kAAAAAAAAAAAAAAAAAEAAAAZHJzL1BLAwQUAAAACACHTuJAT619w9cAAAAL&#10;AQAADwAAAGRycy9kb3ducmV2LnhtbE2PsU7DMBCGdyTewTokFkQdl7YmIU4HBAsbhYXNjY8kIj5H&#10;sZuEPj3HBOPd/+m/78r94nsx4Ri7QAbUKgOBVAfXUWPg/e359h5ETJac7QOhgW+MsK8uL0pbuDDT&#10;K06H1AguoVhYA21KQyFlrFv0Nq7CgMTZZxi9TTyOjXSjnbnc93KdZTvpbUd8obUDPrZYfx1O3sBu&#10;eRpuXnJcz+e6n+jjrFRCZcz1lcoeQCRc0h8Mv/qsDhU7HcOJXBS9Ab3ZbBnlQG1zEExorRWII2/u&#10;dA6yKuX/H6ofUEsDBBQAAAAIAIdO4kB4yAi81AEAAKgDAAAOAAAAZHJzL2Uyb0RvYy54bWytU82O&#10;0zAQviPxDpbvNGmRKERNV6BqERICpIUHcB27seQ/PE6TvgC8AScu3HmuPseOnaQLu5c97MUZj8ff&#10;fN/nyeZqMJocRQDlbE2Xi5ISYblrlD3U9NvX6xevKYHIbMO0s6KmJwH0avv82ab3lVi51ulGBIIg&#10;Fqre17SN0VdFAbwVhsHCeWHxULpgWMRtOBRNYD2iG12syvJV0bvQ+OC4AMDsbjykE2J4DKCTUnGx&#10;c7wzwsYRNQjNIkqCVnmg28xWSsHjZylBRKJrikpjXrEJxvu0FtsNqw6B+VbxiQJ7DIV7mgxTFpte&#10;oHYsMtIF9QDKKB4cOBkX3JliFJIdQRXL8p43Ny3zImtBq8FfTIeng+Wfjl8CUQ1OwpoSywy++PnX&#10;z/Pvv+c/P8g6+dN7qLDsxmNhHN65AWvnPGAyyR5kMOmLggieo7uni7tiiIRjclWuUSIlHI+WL9+s&#10;y+x+cXfZB4jvhTMkBTUN+HjZU3b8CBGJYOlcknpZd620zg+o7X8JLBwzIk/AdDvpGPmmKA77YRK3&#10;d80JtfU4BTWF7x0LghL9waLNaWTmIMzBfg46H9ShRarLzBP82y4iqcw19RiBkXja4ANmCdOwpQn5&#10;d5+r7n6w7S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PrX3D1wAAAAsBAAAPAAAAAAAAAAEAIAAA&#10;ACIAAABkcnMvZG93bnJldi54bWxQSwECFAAUAAAACACHTuJAeMgIvNQBAACoAwAADgAAAAAAAAAB&#10;ACAAAAAmAQAAZHJzL2Uyb0RvYy54bWxQSwUGAAAAAAYABgBZAQAAbAUAAAAA&#10;">
                <v:fill on="f" focussize="0,0"/>
                <v:stroke on="f"/>
                <v:imagedata o:title=""/>
                <o:lock v:ext="edit" aspectratio="f"/>
                <v:textbox inset="0mm,0mm,0mm,0mm" style="mso-fit-shape-to-text:t;">
                  <w:txbxContent>
                    <w:p w14:paraId="72AC785C">
                      <w:pPr>
                        <w:pStyle w:val="40"/>
                        <w:shd w:val="clear" w:color="auto" w:fill="auto"/>
                        <w:spacing w:before="0" w:line="220" w:lineRule="exact"/>
                        <w:jc w:val="left"/>
                      </w:pPr>
                      <w:r>
                        <w:rPr>
                          <w:rStyle w:val="48"/>
                          <w:rFonts w:hint="eastAsia"/>
                        </w:rPr>
                        <w:t>月</w:t>
                      </w:r>
                    </w:p>
                  </w:txbxContent>
                </v:textbox>
                <w10:wrap type="topAndBottom"/>
              </v:shape>
            </w:pict>
          </mc:Fallback>
        </mc:AlternateContent>
      </w:r>
      <w:r>
        <w:rPr>
          <w:rFonts w:ascii="宋体" w:hAnsi="宋体" w:eastAsia="宋体"/>
          <w:sz w:val="21"/>
          <w:szCs w:val="21"/>
        </w:rPr>
        <mc:AlternateContent>
          <mc:Choice Requires="wps">
            <w:drawing>
              <wp:anchor distT="0" distB="0" distL="114300" distR="114300" simplePos="0" relativeHeight="251671552" behindDoc="1" locked="0" layoutInCell="1" allowOverlap="1">
                <wp:simplePos x="0" y="0"/>
                <wp:positionH relativeFrom="margin">
                  <wp:posOffset>5361305</wp:posOffset>
                </wp:positionH>
                <wp:positionV relativeFrom="paragraph">
                  <wp:posOffset>742315</wp:posOffset>
                </wp:positionV>
                <wp:extent cx="189230" cy="139700"/>
                <wp:effectExtent l="0" t="0" r="0" b="0"/>
                <wp:wrapTopAndBottom/>
                <wp:docPr id="18" name="文本框 8"/>
                <wp:cNvGraphicFramePr/>
                <a:graphic xmlns:a="http://schemas.openxmlformats.org/drawingml/2006/main">
                  <a:graphicData uri="http://schemas.microsoft.com/office/word/2010/wordprocessingShape">
                    <wps:wsp>
                      <wps:cNvSpPr txBox="1"/>
                      <wps:spPr>
                        <a:xfrm>
                          <a:off x="0" y="0"/>
                          <a:ext cx="189230" cy="139700"/>
                        </a:xfrm>
                        <a:prstGeom prst="rect">
                          <a:avLst/>
                        </a:prstGeom>
                        <a:noFill/>
                        <a:ln>
                          <a:noFill/>
                        </a:ln>
                        <a:effectLst/>
                      </wps:spPr>
                      <wps:txbx>
                        <w:txbxContent>
                          <w:p w14:paraId="79C6B02B">
                            <w:pPr>
                              <w:pStyle w:val="40"/>
                              <w:shd w:val="clear" w:color="auto" w:fill="auto"/>
                              <w:spacing w:before="0" w:line="220" w:lineRule="exact"/>
                              <w:jc w:val="left"/>
                            </w:pPr>
                            <w:r>
                              <w:rPr>
                                <w:rStyle w:val="48"/>
                                <w:rFonts w:hint="eastAsia"/>
                              </w:rPr>
                              <w:t>曰</w:t>
                            </w:r>
                          </w:p>
                        </w:txbxContent>
                      </wps:txbx>
                      <wps:bodyPr wrap="square" lIns="0" tIns="0" rIns="0" bIns="0" upright="1">
                        <a:spAutoFit/>
                      </wps:bodyPr>
                    </wps:wsp>
                  </a:graphicData>
                </a:graphic>
              </wp:anchor>
            </w:drawing>
          </mc:Choice>
          <mc:Fallback>
            <w:pict>
              <v:shape id="文本框 8" o:spid="_x0000_s1026" o:spt="202" type="#_x0000_t202" style="position:absolute;left:0pt;margin-left:422.15pt;margin-top:58.45pt;height:11pt;width:14.9pt;mso-position-horizontal-relative:margin;mso-wrap-distance-bottom:0pt;mso-wrap-distance-top:0pt;z-index:-251644928;mso-width-relative:page;mso-height-relative:page;" filled="f" stroked="f" coordsize="21600,21600" o:gfxdata="UEsDBAoAAAAAAIdO4kAAAAAAAAAAAAAAAAAEAAAAZHJzL1BLAwQUAAAACACHTuJAFJnDaNcAAAAL&#10;AQAADwAAAGRycy9kb3ducmV2LnhtbE2PsU7DMBCGdyTewTokFkQdt1FIQpwOCBY2WhY2Nz6SiPgc&#10;xW4S+vQcE4x3/6f/vqv2qxvEjFPoPWlQmwQEUuNtT62G9+PLfQ4iREPWDJ5QwzcG2NfXV5UprV/o&#10;DedDbAWXUCiNhi7GsZQyNB06EzZ+ROLs00/ORB6nVtrJLFzuBrlNkkw60xNf6MyITx02X4ez05Ct&#10;z+Pda4Hb5dIMM31clIqotL69UckjiIhr/IPhV5/VoWankz+TDWLQkKfpjlEOVFaAYCJ/SBWIE292&#10;eQGyruT/H+ofUEsDBBQAAAAIAIdO4kAXOE5E1AEAAKgDAAAOAAAAZHJzL2Uyb0RvYy54bWytU82O&#10;0zAQviPxDpbvNGlXgm7UdAWqFiEhQFp4ANexG0v+w+M06QvAG3Diwp3n6nPs2Em6sFz2wCUdz4w/&#10;f983083NYDQ5igDK2ZouFyUlwnLXKHuo6ZfPty/WlEBktmHaWVHTkwB6s33+bNP7Sqxc63QjAkEQ&#10;C1Xva9rG6KuiAN4Kw2DhvLBYlC4YFvEYDkUTWI/oRhersnxZ9C40PjguADC7G4t0QgxPAXRSKi52&#10;jndG2DiiBqFZREnQKg90m9lKKXj8KCWISHRNUWnMX3wE4336FtsNqw6B+VbxiQJ7CoVHmgxTFh+9&#10;QO1YZKQL6h8oo3hw4GRccGeKUUh2BFUsy0fe3LXMi6wFrQZ/MR3+Hyz/cPwUiGpwE3Dulhmc+PnH&#10;9/PP3+df38g6+dN7qLDtzmNjHN64AXvnPGAyyR5kMOkXBRGso7uni7tiiISnS+vr1RVWOJaWV9ev&#10;yux+8XDZB4hvhTMkBTUNOLzsKTu+h4hEsHVuSW9Zd6u0zgPU9q8ENo4ZkTdgup10jHxTFIf9MInb&#10;u+aE2nrcgprC144FQYl+Z9HmtDJzEOZgPwedD+rQItVl5gn+dReRVOaa3hiBkXg64ACzhGnZ0ob8&#10;ec5dD3+w7T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UmcNo1wAAAAsBAAAPAAAAAAAAAAEAIAAA&#10;ACIAAABkcnMvZG93bnJldi54bWxQSwECFAAUAAAACACHTuJAFzhORNQBAACoAwAADgAAAAAAAAAB&#10;ACAAAAAmAQAAZHJzL2Uyb0RvYy54bWxQSwUGAAAAAAYABgBZAQAAbAUAAAAA&#10;">
                <v:fill on="f" focussize="0,0"/>
                <v:stroke on="f"/>
                <v:imagedata o:title=""/>
                <o:lock v:ext="edit" aspectratio="f"/>
                <v:textbox inset="0mm,0mm,0mm,0mm" style="mso-fit-shape-to-text:t;">
                  <w:txbxContent>
                    <w:p w14:paraId="79C6B02B">
                      <w:pPr>
                        <w:pStyle w:val="40"/>
                        <w:shd w:val="clear" w:color="auto" w:fill="auto"/>
                        <w:spacing w:before="0" w:line="220" w:lineRule="exact"/>
                        <w:jc w:val="left"/>
                      </w:pPr>
                      <w:r>
                        <w:rPr>
                          <w:rStyle w:val="48"/>
                          <w:rFonts w:hint="eastAsia"/>
                        </w:rPr>
                        <w:t>曰</w:t>
                      </w:r>
                    </w:p>
                  </w:txbxContent>
                </v:textbox>
                <w10:wrap type="topAndBottom"/>
              </v:shape>
            </w:pict>
          </mc:Fallback>
        </mc:AlternateContent>
      </w:r>
      <w:r>
        <w:rPr>
          <w:rStyle w:val="41"/>
          <w:rFonts w:hint="eastAsia" w:ascii="宋体" w:hAnsi="宋体" w:eastAsia="宋体" w:cs="宋体"/>
          <w:color w:val="auto"/>
          <w:sz w:val="21"/>
          <w:szCs w:val="21"/>
        </w:rPr>
        <w:t>邮政编码</w:t>
      </w:r>
    </w:p>
    <w:p w14:paraId="7F7F706C">
      <w:pPr>
        <w:pStyle w:val="46"/>
        <w:shd w:val="clear" w:color="auto" w:fill="auto"/>
        <w:tabs>
          <w:tab w:val="left" w:leader="underscore" w:pos="3434"/>
          <w:tab w:val="left" w:leader="underscore" w:pos="6547"/>
        </w:tabs>
        <w:spacing w:before="0" w:line="240" w:lineRule="auto"/>
        <w:jc w:val="both"/>
        <w:rPr>
          <w:rFonts w:ascii="宋体" w:hAnsi="宋体" w:eastAsia="宋体"/>
          <w:sz w:val="21"/>
          <w:szCs w:val="21"/>
        </w:rPr>
      </w:pPr>
    </w:p>
    <w:p w14:paraId="03E58736">
      <w:pPr>
        <w:pStyle w:val="46"/>
        <w:shd w:val="clear" w:color="auto" w:fill="auto"/>
        <w:tabs>
          <w:tab w:val="left" w:leader="underscore" w:pos="3434"/>
          <w:tab w:val="left" w:leader="underscore" w:pos="6547"/>
        </w:tabs>
        <w:spacing w:before="0" w:line="240" w:lineRule="auto"/>
        <w:jc w:val="both"/>
        <w:rPr>
          <w:rFonts w:ascii="宋体" w:hAnsi="宋体" w:eastAsia="宋体"/>
          <w:sz w:val="21"/>
          <w:szCs w:val="21"/>
        </w:rPr>
      </w:pPr>
      <w:r>
        <w:rPr>
          <w:rFonts w:hint="eastAsia" w:ascii="宋体" w:hAnsi="宋体" w:eastAsia="宋体"/>
          <w:sz w:val="21"/>
          <w:szCs w:val="21"/>
        </w:rPr>
        <w:t>®本条内容可修改为：“本担保自</w:t>
      </w:r>
      <w:r>
        <w:rPr>
          <w:rFonts w:hint="eastAsia" w:ascii="宋体" w:hAnsi="宋体" w:eastAsia="宋体"/>
          <w:sz w:val="21"/>
          <w:szCs w:val="21"/>
        </w:rPr>
        <w:tab/>
      </w:r>
      <w:r>
        <w:rPr>
          <w:rFonts w:hint="eastAsia" w:ascii="宋体" w:hAnsi="宋体" w:eastAsia="宋体"/>
          <w:sz w:val="21"/>
          <w:szCs w:val="21"/>
        </w:rPr>
        <w:t>(生效日期）之日起生效，至</w:t>
      </w:r>
      <w:r>
        <w:rPr>
          <w:rFonts w:hint="eastAsia" w:ascii="宋体" w:hAnsi="宋体" w:eastAsia="宋体"/>
          <w:sz w:val="21"/>
          <w:szCs w:val="21"/>
        </w:rPr>
        <w:tab/>
      </w:r>
      <w:r>
        <w:rPr>
          <w:rFonts w:hint="eastAsia" w:ascii="宋体" w:hAnsi="宋体" w:eastAsia="宋体"/>
          <w:sz w:val="21"/>
          <w:szCs w:val="21"/>
        </w:rPr>
        <w:t>(失效日期）之日失效。”</w:t>
      </w:r>
    </w:p>
    <w:p w14:paraId="0BC0A9CB">
      <w:pPr>
        <w:ind w:firstLine="422"/>
        <w:rPr>
          <w:szCs w:val="21"/>
        </w:rPr>
      </w:pPr>
      <w:r>
        <w:rPr>
          <w:rFonts w:hint="eastAsia"/>
          <w:szCs w:val="21"/>
        </w:rPr>
        <w:t>如发包人接受履约保函采用固定有效期，在项目专用合同条款中应增加保证承包人在履约保函失效日前向发 包人出具后续阶段履约保函的约束性条款，直至发包人签发交工验收证书且承包人按照合同约定缴纳质量保 证金之日为止。</w:t>
      </w:r>
    </w:p>
    <w:p w14:paraId="37F1D0B8">
      <w:pPr>
        <w:ind w:firstLine="422"/>
      </w:pPr>
    </w:p>
    <w:p w14:paraId="3EB71E8B">
      <w:pPr>
        <w:pStyle w:val="5"/>
        <w:ind w:firstLine="562"/>
        <w:rPr>
          <w:sz w:val="21"/>
          <w:szCs w:val="21"/>
        </w:rPr>
      </w:pPr>
      <w:r>
        <w:rPr>
          <w:rFonts w:hint="eastAsia"/>
        </w:rPr>
        <w:br w:type="page"/>
      </w:r>
      <w:bookmarkStart w:id="136" w:name="_Toc394929424"/>
      <w:r>
        <w:rPr>
          <w:rFonts w:hint="eastAsia"/>
          <w:sz w:val="21"/>
          <w:szCs w:val="21"/>
        </w:rPr>
        <w:t>附件八  工程资金监管协议格式</w:t>
      </w:r>
      <w:bookmarkEnd w:id="136"/>
    </w:p>
    <w:p w14:paraId="553AB4CC">
      <w:pPr>
        <w:ind w:firstLine="422"/>
        <w:rPr>
          <w:szCs w:val="21"/>
        </w:rPr>
      </w:pPr>
    </w:p>
    <w:p w14:paraId="4FD3B049">
      <w:pPr>
        <w:pStyle w:val="40"/>
        <w:shd w:val="clear" w:color="auto" w:fill="auto"/>
        <w:spacing w:before="0" w:after="362" w:line="240" w:lineRule="auto"/>
        <w:ind w:firstLine="422"/>
        <w:jc w:val="both"/>
        <w:rPr>
          <w:rFonts w:ascii="宋体" w:hAnsi="宋体" w:eastAsia="宋体"/>
          <w:sz w:val="21"/>
          <w:szCs w:val="21"/>
        </w:rPr>
      </w:pPr>
      <w:r>
        <w:rPr>
          <w:rStyle w:val="41"/>
          <w:rFonts w:hint="eastAsia" w:ascii="宋体" w:hAnsi="宋体" w:eastAsia="宋体" w:cs="宋体"/>
          <w:color w:val="auto"/>
          <w:sz w:val="21"/>
          <w:szCs w:val="21"/>
        </w:rPr>
        <w:t xml:space="preserve"> (发包人与承包人签订合同协议书时应与发包人指定的银行签署工程资金监管 协议，工程资金监管协议内容在保证本项目资金有效监管的前提下由三方共同商定)</w:t>
      </w:r>
    </w:p>
    <w:p w14:paraId="72E25487">
      <w:pPr>
        <w:ind w:firstLine="422"/>
        <w:jc w:val="center"/>
        <w:rPr>
          <w:szCs w:val="21"/>
        </w:rPr>
      </w:pPr>
      <w:bookmarkStart w:id="137" w:name="bookmark202"/>
      <w:r>
        <w:rPr>
          <w:rStyle w:val="45"/>
          <w:rFonts w:hint="eastAsia" w:ascii="宋体" w:hAnsi="宋体" w:eastAsia="宋体" w:cs="宋体"/>
          <w:color w:val="auto"/>
          <w:sz w:val="21"/>
          <w:szCs w:val="21"/>
        </w:rPr>
        <w:t>工程资金监管协议</w:t>
      </w:r>
      <w:bookmarkEnd w:id="137"/>
    </w:p>
    <w:p w14:paraId="6FA11378">
      <w:pPr>
        <w:pStyle w:val="40"/>
        <w:shd w:val="clear" w:color="auto" w:fill="auto"/>
        <w:tabs>
          <w:tab w:val="left" w:leader="underscore" w:pos="2930"/>
        </w:tabs>
        <w:spacing w:before="0" w:line="240" w:lineRule="auto"/>
        <w:ind w:firstLine="442"/>
        <w:jc w:val="both"/>
        <w:rPr>
          <w:rFonts w:ascii="宋体" w:hAnsi="宋体" w:eastAsia="宋体"/>
          <w:sz w:val="21"/>
          <w:szCs w:val="21"/>
        </w:rPr>
      </w:pPr>
      <w:r>
        <w:rPr>
          <w:rStyle w:val="47"/>
          <w:rFonts w:hint="eastAsia" w:ascii="宋体" w:hAnsi="宋体" w:eastAsia="宋体" w:cs="宋体"/>
          <w:i w:val="0"/>
          <w:color w:val="auto"/>
          <w:sz w:val="21"/>
          <w:szCs w:val="21"/>
        </w:rPr>
        <w:t>发包人:</w:t>
      </w:r>
      <w:r>
        <w:rPr>
          <w:rStyle w:val="41"/>
          <w:rFonts w:hint="eastAsia" w:ascii="宋体" w:hAnsi="宋体" w:eastAsia="宋体" w:cs="宋体"/>
          <w:color w:val="auto"/>
          <w:sz w:val="21"/>
          <w:szCs w:val="21"/>
        </w:rPr>
        <w:tab/>
      </w:r>
      <w:r>
        <w:rPr>
          <w:rStyle w:val="41"/>
          <w:rFonts w:hint="eastAsia" w:ascii="宋体" w:hAnsi="宋体" w:eastAsia="宋体" w:cs="宋体"/>
          <w:color w:val="auto"/>
          <w:sz w:val="21"/>
          <w:szCs w:val="21"/>
        </w:rPr>
        <w:t>(以下简称“甲方”）</w:t>
      </w:r>
    </w:p>
    <w:p w14:paraId="7468C255">
      <w:pPr>
        <w:pStyle w:val="40"/>
        <w:shd w:val="clear" w:color="auto" w:fill="auto"/>
        <w:tabs>
          <w:tab w:val="left" w:leader="underscore" w:pos="2930"/>
        </w:tabs>
        <w:spacing w:before="0" w:line="240" w:lineRule="auto"/>
        <w:jc w:val="both"/>
        <w:rPr>
          <w:rFonts w:ascii="宋体" w:hAnsi="宋体" w:eastAsia="宋体"/>
          <w:sz w:val="21"/>
          <w:szCs w:val="21"/>
        </w:rPr>
      </w:pPr>
      <w:r>
        <w:rPr>
          <w:rStyle w:val="41"/>
          <w:rFonts w:hint="eastAsia" w:ascii="宋体" w:hAnsi="宋体" w:eastAsia="宋体" w:cs="宋体"/>
          <w:color w:val="auto"/>
          <w:sz w:val="21"/>
          <w:szCs w:val="21"/>
        </w:rPr>
        <w:t>承包人：</w:t>
      </w:r>
      <w:r>
        <w:rPr>
          <w:rStyle w:val="41"/>
          <w:rFonts w:hint="eastAsia" w:ascii="宋体" w:hAnsi="宋体" w:eastAsia="宋体" w:cs="宋体"/>
          <w:color w:val="auto"/>
          <w:sz w:val="21"/>
          <w:szCs w:val="21"/>
        </w:rPr>
        <w:tab/>
      </w:r>
      <w:r>
        <w:rPr>
          <w:rStyle w:val="41"/>
          <w:rFonts w:hint="eastAsia" w:ascii="宋体" w:hAnsi="宋体" w:eastAsia="宋体" w:cs="宋体"/>
          <w:color w:val="auto"/>
          <w:sz w:val="21"/>
          <w:szCs w:val="21"/>
        </w:rPr>
        <w:t>(以下简称“乙方”）</w:t>
      </w:r>
    </w:p>
    <w:p w14:paraId="4C58AC40">
      <w:pPr>
        <w:pStyle w:val="40"/>
        <w:shd w:val="clear" w:color="auto" w:fill="auto"/>
        <w:tabs>
          <w:tab w:val="left" w:leader="underscore" w:pos="2930"/>
        </w:tabs>
        <w:spacing w:before="0" w:after="300" w:line="240" w:lineRule="auto"/>
        <w:jc w:val="both"/>
        <w:rPr>
          <w:rFonts w:ascii="宋体" w:hAnsi="宋体" w:eastAsia="宋体"/>
          <w:sz w:val="21"/>
          <w:szCs w:val="21"/>
        </w:rPr>
      </w:pPr>
      <w:r>
        <w:rPr>
          <w:rStyle w:val="41"/>
          <w:rFonts w:hint="eastAsia" w:ascii="宋体" w:hAnsi="宋体" w:eastAsia="宋体" w:cs="宋体"/>
          <w:color w:val="auto"/>
          <w:sz w:val="21"/>
          <w:szCs w:val="21"/>
        </w:rPr>
        <w:t>经办银行：</w:t>
      </w:r>
      <w:r>
        <w:rPr>
          <w:rStyle w:val="41"/>
          <w:rFonts w:hint="eastAsia" w:ascii="宋体" w:hAnsi="宋体" w:eastAsia="宋体" w:cs="宋体"/>
          <w:color w:val="auto"/>
          <w:sz w:val="21"/>
          <w:szCs w:val="21"/>
        </w:rPr>
        <w:tab/>
      </w:r>
      <w:r>
        <w:rPr>
          <w:rStyle w:val="41"/>
          <w:rFonts w:hint="eastAsia" w:ascii="宋体" w:hAnsi="宋体" w:eastAsia="宋体" w:cs="宋体"/>
          <w:color w:val="auto"/>
          <w:sz w:val="21"/>
          <w:szCs w:val="21"/>
        </w:rPr>
        <w:t>(以下简称“丙方”）</w:t>
      </w:r>
    </w:p>
    <w:p w14:paraId="79CB97B9">
      <w:pPr>
        <w:pStyle w:val="40"/>
        <w:shd w:val="clear" w:color="auto" w:fill="auto"/>
        <w:tabs>
          <w:tab w:val="left" w:leader="underscore" w:pos="2482"/>
        </w:tabs>
        <w:spacing w:before="0" w:line="240" w:lineRule="auto"/>
        <w:ind w:left="520"/>
        <w:jc w:val="both"/>
        <w:rPr>
          <w:rFonts w:ascii="宋体" w:hAnsi="宋体" w:eastAsia="宋体"/>
          <w:sz w:val="21"/>
          <w:szCs w:val="21"/>
        </w:rPr>
      </w:pPr>
      <w:r>
        <w:rPr>
          <w:rStyle w:val="41"/>
          <w:rFonts w:hint="eastAsia" w:ascii="宋体" w:hAnsi="宋体" w:eastAsia="宋体" w:cs="宋体"/>
          <w:color w:val="auto"/>
          <w:sz w:val="21"/>
          <w:szCs w:val="21"/>
        </w:rPr>
        <w:t>为了促进</w:t>
      </w:r>
      <w:r>
        <w:rPr>
          <w:rStyle w:val="41"/>
          <w:rFonts w:hint="eastAsia" w:ascii="宋体" w:hAnsi="宋体" w:eastAsia="宋体" w:cs="宋体"/>
          <w:color w:val="auto"/>
          <w:sz w:val="21"/>
          <w:szCs w:val="21"/>
        </w:rPr>
        <w:tab/>
      </w:r>
      <w:r>
        <w:rPr>
          <w:rStyle w:val="41"/>
          <w:rFonts w:hint="eastAsia" w:ascii="宋体" w:hAnsi="宋体" w:eastAsia="宋体" w:cs="宋体"/>
          <w:color w:val="auto"/>
          <w:sz w:val="21"/>
          <w:szCs w:val="21"/>
        </w:rPr>
        <w:t>(项目名称）的顺利实施，管好用好建设资金，确保工程资金专款专用，同时为承包人提供便捷有效的银行业务服务，根据</w:t>
      </w:r>
      <w:r>
        <w:rPr>
          <w:rStyle w:val="41"/>
          <w:rFonts w:hint="eastAsia" w:ascii="宋体" w:hAnsi="宋体" w:eastAsia="宋体" w:cs="宋体"/>
          <w:color w:val="auto"/>
          <w:sz w:val="21"/>
          <w:szCs w:val="21"/>
        </w:rPr>
        <w:tab/>
      </w:r>
      <w:r>
        <w:rPr>
          <w:rStyle w:val="41"/>
          <w:rFonts w:hint="eastAsia" w:ascii="宋体" w:hAnsi="宋体" w:eastAsia="宋体" w:cs="宋体"/>
          <w:color w:val="auto"/>
          <w:sz w:val="21"/>
          <w:szCs w:val="21"/>
        </w:rPr>
        <w:t>(项目名称)合同条款有关规定，经甲、乙、丙三方协商，达成协议如下：</w:t>
      </w:r>
    </w:p>
    <w:p w14:paraId="0AEB4CDA">
      <w:pPr>
        <w:pStyle w:val="40"/>
        <w:numPr>
          <w:ilvl w:val="0"/>
          <w:numId w:val="8"/>
        </w:numPr>
        <w:shd w:val="clear" w:color="auto" w:fill="auto"/>
        <w:tabs>
          <w:tab w:val="left" w:pos="854"/>
        </w:tabs>
        <w:spacing w:before="0" w:line="240" w:lineRule="auto"/>
        <w:ind w:left="520"/>
        <w:jc w:val="both"/>
        <w:rPr>
          <w:rFonts w:ascii="宋体" w:hAnsi="宋体" w:eastAsia="宋体"/>
          <w:sz w:val="21"/>
          <w:szCs w:val="21"/>
        </w:rPr>
      </w:pPr>
      <w:r>
        <w:rPr>
          <w:rStyle w:val="41"/>
          <w:rFonts w:hint="eastAsia" w:ascii="宋体" w:hAnsi="宋体" w:eastAsia="宋体" w:cs="宋体"/>
          <w:color w:val="auto"/>
          <w:sz w:val="21"/>
          <w:szCs w:val="21"/>
        </w:rPr>
        <w:t>资金管理的内容</w:t>
      </w:r>
    </w:p>
    <w:p w14:paraId="627AB4FD">
      <w:pPr>
        <w:pStyle w:val="40"/>
        <w:numPr>
          <w:ilvl w:val="0"/>
          <w:numId w:val="9"/>
        </w:numPr>
        <w:shd w:val="clear" w:color="auto" w:fill="auto"/>
        <w:tabs>
          <w:tab w:val="left" w:pos="1169"/>
          <w:tab w:val="left" w:leader="underscore" w:pos="3237"/>
        </w:tabs>
        <w:spacing w:before="0" w:line="240" w:lineRule="auto"/>
        <w:ind w:firstLine="422"/>
        <w:jc w:val="both"/>
        <w:rPr>
          <w:rFonts w:ascii="宋体" w:hAnsi="宋体" w:eastAsia="宋体"/>
          <w:sz w:val="21"/>
          <w:szCs w:val="21"/>
        </w:rPr>
      </w:pPr>
      <w:r>
        <w:rPr>
          <w:rStyle w:val="41"/>
          <w:rFonts w:hint="eastAsia" w:ascii="宋体" w:hAnsi="宋体" w:eastAsia="宋体" w:cs="宋体"/>
          <w:color w:val="auto"/>
          <w:sz w:val="21"/>
          <w:szCs w:val="21"/>
        </w:rPr>
        <w:t>乙方为完成</w:t>
      </w:r>
      <w:r>
        <w:rPr>
          <w:rStyle w:val="41"/>
          <w:rFonts w:hint="eastAsia" w:ascii="宋体" w:hAnsi="宋体" w:eastAsia="宋体" w:cs="宋体"/>
          <w:color w:val="auto"/>
          <w:sz w:val="21"/>
          <w:szCs w:val="21"/>
        </w:rPr>
        <w:tab/>
      </w:r>
      <w:r>
        <w:rPr>
          <w:rStyle w:val="41"/>
          <w:rFonts w:hint="eastAsia" w:ascii="宋体" w:hAnsi="宋体" w:eastAsia="宋体" w:cs="宋体"/>
          <w:color w:val="auto"/>
          <w:sz w:val="21"/>
          <w:szCs w:val="21"/>
        </w:rPr>
        <w:t>(项目名称）工程成立的项目经理部在丙方开设基本结算户；</w:t>
      </w:r>
    </w:p>
    <w:p w14:paraId="2A2D4E82">
      <w:pPr>
        <w:pStyle w:val="40"/>
        <w:numPr>
          <w:ilvl w:val="0"/>
          <w:numId w:val="9"/>
        </w:numPr>
        <w:shd w:val="clear" w:color="auto" w:fill="auto"/>
        <w:tabs>
          <w:tab w:val="left" w:pos="1169"/>
        </w:tabs>
        <w:spacing w:before="0" w:line="240" w:lineRule="auto"/>
        <w:ind w:firstLine="422"/>
        <w:jc w:val="both"/>
        <w:rPr>
          <w:rFonts w:ascii="宋体" w:hAnsi="宋体" w:eastAsia="宋体"/>
          <w:sz w:val="21"/>
          <w:szCs w:val="21"/>
        </w:rPr>
      </w:pPr>
      <w:r>
        <w:rPr>
          <w:rStyle w:val="41"/>
          <w:rFonts w:hint="eastAsia" w:ascii="宋体" w:hAnsi="宋体" w:eastAsia="宋体" w:cs="宋体"/>
          <w:color w:val="auto"/>
          <w:sz w:val="21"/>
          <w:szCs w:val="21"/>
        </w:rPr>
        <w:t>甲方应按合同规定将工程款汇入乙方在丙方开设的账户；</w:t>
      </w:r>
    </w:p>
    <w:p w14:paraId="4085965E">
      <w:pPr>
        <w:pStyle w:val="40"/>
        <w:numPr>
          <w:ilvl w:val="0"/>
          <w:numId w:val="9"/>
        </w:numPr>
        <w:shd w:val="clear" w:color="auto" w:fill="auto"/>
        <w:tabs>
          <w:tab w:val="left" w:leader="underscore" w:pos="6866"/>
        </w:tabs>
        <w:spacing w:before="0" w:line="240" w:lineRule="auto"/>
        <w:ind w:firstLine="422"/>
        <w:jc w:val="both"/>
        <w:rPr>
          <w:rFonts w:ascii="宋体" w:hAnsi="宋体" w:eastAsia="宋体"/>
          <w:sz w:val="21"/>
          <w:szCs w:val="21"/>
        </w:rPr>
      </w:pPr>
      <w:r>
        <w:rPr>
          <w:rStyle w:val="41"/>
          <w:rFonts w:hint="eastAsia" w:ascii="宋体" w:hAnsi="宋体" w:eastAsia="宋体" w:cs="宋体"/>
          <w:color w:val="auto"/>
          <w:sz w:val="21"/>
          <w:szCs w:val="21"/>
        </w:rPr>
        <w:t xml:space="preserve"> 乙方应将流动资金及甲方所拨付资金专项用于</w:t>
      </w:r>
      <w:r>
        <w:rPr>
          <w:rStyle w:val="41"/>
          <w:rFonts w:hint="eastAsia" w:ascii="宋体" w:hAnsi="宋体" w:eastAsia="宋体" w:cs="宋体"/>
          <w:color w:val="auto"/>
          <w:sz w:val="21"/>
          <w:szCs w:val="21"/>
        </w:rPr>
        <w:tab/>
      </w:r>
      <w:r>
        <w:rPr>
          <w:rStyle w:val="41"/>
          <w:rFonts w:hint="eastAsia" w:ascii="宋体" w:hAnsi="宋体" w:eastAsia="宋体" w:cs="宋体"/>
          <w:color w:val="auto"/>
          <w:sz w:val="21"/>
          <w:szCs w:val="21"/>
        </w:rPr>
        <w:t xml:space="preserve"> (项目名称）；</w:t>
      </w:r>
    </w:p>
    <w:p w14:paraId="581EF40D">
      <w:pPr>
        <w:pStyle w:val="40"/>
        <w:numPr>
          <w:ilvl w:val="0"/>
          <w:numId w:val="9"/>
        </w:numPr>
        <w:shd w:val="clear" w:color="auto" w:fill="auto"/>
        <w:tabs>
          <w:tab w:val="left" w:pos="1136"/>
        </w:tabs>
        <w:spacing w:before="0" w:line="240" w:lineRule="auto"/>
        <w:ind w:firstLine="422"/>
        <w:jc w:val="both"/>
        <w:rPr>
          <w:rFonts w:ascii="宋体" w:hAnsi="宋体" w:eastAsia="宋体"/>
          <w:sz w:val="21"/>
          <w:szCs w:val="21"/>
        </w:rPr>
      </w:pPr>
      <w:r>
        <w:rPr>
          <w:rStyle w:val="41"/>
          <w:rFonts w:hint="eastAsia" w:ascii="宋体" w:hAnsi="宋体" w:eastAsia="宋体" w:cs="宋体"/>
          <w:color w:val="auto"/>
          <w:sz w:val="21"/>
          <w:szCs w:val="21"/>
        </w:rPr>
        <w:t>丙方应为乙方提供便捷有效的银行业务服务，并接受甲方委托对乙方在丙 方开设的基本结算户资金使用情况进行监督。</w:t>
      </w:r>
    </w:p>
    <w:p w14:paraId="4C6A9DBE">
      <w:pPr>
        <w:pStyle w:val="40"/>
        <w:numPr>
          <w:ilvl w:val="0"/>
          <w:numId w:val="8"/>
        </w:numPr>
        <w:shd w:val="clear" w:color="auto" w:fill="auto"/>
        <w:tabs>
          <w:tab w:val="left" w:pos="878"/>
        </w:tabs>
        <w:spacing w:before="0" w:line="240" w:lineRule="auto"/>
        <w:ind w:left="520"/>
        <w:jc w:val="both"/>
        <w:rPr>
          <w:rFonts w:ascii="宋体" w:hAnsi="宋体" w:eastAsia="宋体"/>
          <w:sz w:val="21"/>
          <w:szCs w:val="21"/>
        </w:rPr>
      </w:pPr>
      <w:r>
        <w:rPr>
          <w:rStyle w:val="41"/>
          <w:rFonts w:hint="eastAsia" w:ascii="宋体" w:hAnsi="宋体" w:eastAsia="宋体" w:cs="宋体"/>
          <w:color w:val="auto"/>
          <w:sz w:val="21"/>
          <w:szCs w:val="21"/>
        </w:rPr>
        <w:t>甲方的权责</w:t>
      </w:r>
    </w:p>
    <w:p w14:paraId="658CC26D">
      <w:pPr>
        <w:pStyle w:val="40"/>
        <w:numPr>
          <w:ilvl w:val="0"/>
          <w:numId w:val="10"/>
        </w:numPr>
        <w:shd w:val="clear" w:color="auto" w:fill="auto"/>
        <w:tabs>
          <w:tab w:val="left" w:pos="1169"/>
          <w:tab w:val="left" w:leader="underscore" w:pos="2482"/>
        </w:tabs>
        <w:spacing w:before="0" w:line="240" w:lineRule="auto"/>
        <w:ind w:firstLine="422"/>
        <w:jc w:val="both"/>
        <w:rPr>
          <w:rFonts w:ascii="宋体" w:hAnsi="宋体" w:eastAsia="宋体"/>
          <w:sz w:val="21"/>
          <w:szCs w:val="21"/>
        </w:rPr>
      </w:pPr>
      <w:r>
        <w:rPr>
          <w:rStyle w:val="41"/>
          <w:rFonts w:hint="eastAsia" w:ascii="宋体" w:hAnsi="宋体" w:eastAsia="宋体" w:cs="宋体"/>
          <w:color w:val="auto"/>
          <w:sz w:val="21"/>
          <w:szCs w:val="21"/>
        </w:rPr>
        <w:t>按照</w:t>
      </w:r>
      <w:r>
        <w:rPr>
          <w:rStyle w:val="41"/>
          <w:rFonts w:hint="eastAsia" w:ascii="宋体" w:hAnsi="宋体" w:eastAsia="宋体" w:cs="宋体"/>
          <w:color w:val="auto"/>
          <w:sz w:val="21"/>
          <w:szCs w:val="21"/>
        </w:rPr>
        <w:tab/>
      </w:r>
      <w:r>
        <w:rPr>
          <w:rStyle w:val="41"/>
          <w:rFonts w:hint="eastAsia" w:ascii="宋体" w:hAnsi="宋体" w:eastAsia="宋体" w:cs="宋体"/>
          <w:color w:val="auto"/>
          <w:sz w:val="21"/>
          <w:szCs w:val="21"/>
        </w:rPr>
        <w:t xml:space="preserve"> (项目名称）合同有关条款规定的时间和方式，向乙方支付工程款；</w:t>
      </w:r>
    </w:p>
    <w:p w14:paraId="3D51732F">
      <w:pPr>
        <w:pStyle w:val="40"/>
        <w:numPr>
          <w:ilvl w:val="0"/>
          <w:numId w:val="10"/>
        </w:numPr>
        <w:shd w:val="clear" w:color="auto" w:fill="auto"/>
        <w:tabs>
          <w:tab w:val="left" w:pos="1136"/>
        </w:tabs>
        <w:spacing w:before="0" w:line="240" w:lineRule="auto"/>
        <w:ind w:firstLine="422"/>
        <w:jc w:val="both"/>
        <w:rPr>
          <w:rFonts w:ascii="宋体" w:hAnsi="宋体" w:eastAsia="宋体"/>
          <w:sz w:val="21"/>
          <w:szCs w:val="21"/>
        </w:rPr>
      </w:pPr>
      <w:r>
        <w:rPr>
          <w:rStyle w:val="41"/>
          <w:rFonts w:hint="eastAsia" w:ascii="宋体" w:hAnsi="宋体" w:eastAsia="宋体" w:cs="宋体"/>
          <w:color w:val="auto"/>
          <w:sz w:val="21"/>
          <w:szCs w:val="21"/>
        </w:rPr>
        <w:t>在发现乙方将本项目资金挪用、转移时，甲方有权中止工程支付，直至乙 方改正为止；</w:t>
      </w:r>
    </w:p>
    <w:p w14:paraId="3001E27B">
      <w:pPr>
        <w:pStyle w:val="40"/>
        <w:numPr>
          <w:ilvl w:val="0"/>
          <w:numId w:val="10"/>
        </w:numPr>
        <w:shd w:val="clear" w:color="auto" w:fill="auto"/>
        <w:tabs>
          <w:tab w:val="left" w:pos="1136"/>
        </w:tabs>
        <w:spacing w:before="0" w:line="240" w:lineRule="auto"/>
        <w:ind w:firstLine="422"/>
        <w:jc w:val="both"/>
        <w:rPr>
          <w:rFonts w:ascii="宋体" w:hAnsi="宋体" w:eastAsia="宋体"/>
          <w:sz w:val="21"/>
          <w:szCs w:val="21"/>
        </w:rPr>
      </w:pPr>
      <w:r>
        <w:rPr>
          <w:rStyle w:val="41"/>
          <w:rFonts w:hint="eastAsia" w:ascii="宋体" w:hAnsi="宋体" w:eastAsia="宋体" w:cs="宋体"/>
          <w:color w:val="auto"/>
          <w:sz w:val="21"/>
          <w:szCs w:val="21"/>
        </w:rPr>
        <w:t>不定期审查丙方对乙方的资金使用监督情况，如丙方不能履行其责任，甲 方有权随时终止本协议；</w:t>
      </w:r>
    </w:p>
    <w:p w14:paraId="10EF9694">
      <w:pPr>
        <w:pStyle w:val="40"/>
        <w:numPr>
          <w:ilvl w:val="0"/>
          <w:numId w:val="10"/>
        </w:numPr>
        <w:shd w:val="clear" w:color="auto" w:fill="auto"/>
        <w:tabs>
          <w:tab w:val="left" w:pos="1169"/>
        </w:tabs>
        <w:spacing w:before="0" w:line="240" w:lineRule="auto"/>
        <w:ind w:firstLine="422"/>
        <w:jc w:val="both"/>
        <w:rPr>
          <w:rFonts w:ascii="宋体" w:hAnsi="宋体" w:eastAsia="宋体"/>
          <w:sz w:val="21"/>
          <w:szCs w:val="21"/>
        </w:rPr>
      </w:pPr>
      <w:r>
        <w:rPr>
          <w:rStyle w:val="41"/>
          <w:rFonts w:hint="eastAsia" w:ascii="宋体" w:hAnsi="宋体" w:eastAsia="宋体" w:cs="宋体"/>
          <w:color w:val="auto"/>
          <w:sz w:val="21"/>
          <w:szCs w:val="21"/>
        </w:rPr>
        <w:t>在乙、丙双方发生争议时，甲方应负责协调、解决。</w:t>
      </w:r>
    </w:p>
    <w:p w14:paraId="02FDA972">
      <w:pPr>
        <w:pStyle w:val="40"/>
        <w:numPr>
          <w:ilvl w:val="0"/>
          <w:numId w:val="8"/>
        </w:numPr>
        <w:shd w:val="clear" w:color="auto" w:fill="auto"/>
        <w:tabs>
          <w:tab w:val="left" w:pos="878"/>
        </w:tabs>
        <w:spacing w:before="0" w:line="240" w:lineRule="auto"/>
        <w:ind w:left="520"/>
        <w:jc w:val="both"/>
        <w:rPr>
          <w:rFonts w:ascii="宋体" w:hAnsi="宋体" w:eastAsia="宋体"/>
          <w:sz w:val="21"/>
          <w:szCs w:val="21"/>
        </w:rPr>
      </w:pPr>
      <w:r>
        <w:rPr>
          <w:rStyle w:val="41"/>
          <w:rFonts w:hint="eastAsia" w:ascii="宋体" w:hAnsi="宋体" w:eastAsia="宋体" w:cs="宋体"/>
          <w:color w:val="auto"/>
          <w:sz w:val="21"/>
          <w:szCs w:val="21"/>
        </w:rPr>
        <w:t>乙方的权责</w:t>
      </w:r>
    </w:p>
    <w:p w14:paraId="628D8609">
      <w:pPr>
        <w:pStyle w:val="40"/>
        <w:numPr>
          <w:ilvl w:val="0"/>
          <w:numId w:val="11"/>
        </w:numPr>
        <w:shd w:val="clear" w:color="auto" w:fill="auto"/>
        <w:tabs>
          <w:tab w:val="left" w:pos="1169"/>
        </w:tabs>
        <w:spacing w:before="0" w:line="240" w:lineRule="auto"/>
        <w:ind w:firstLine="422"/>
        <w:jc w:val="both"/>
        <w:rPr>
          <w:rFonts w:ascii="宋体" w:hAnsi="宋体" w:eastAsia="宋体"/>
          <w:sz w:val="21"/>
          <w:szCs w:val="21"/>
        </w:rPr>
      </w:pPr>
      <w:r>
        <w:rPr>
          <w:rStyle w:val="41"/>
          <w:rFonts w:hint="eastAsia" w:ascii="宋体" w:hAnsi="宋体" w:eastAsia="宋体" w:cs="宋体"/>
          <w:color w:val="auto"/>
          <w:sz w:val="21"/>
          <w:szCs w:val="21"/>
        </w:rPr>
        <w:t>项目经理部成立以后，乙方应尽快在丙方开设基本结算户；</w:t>
      </w:r>
    </w:p>
    <w:p w14:paraId="612F2DEE">
      <w:pPr>
        <w:pStyle w:val="40"/>
        <w:numPr>
          <w:ilvl w:val="0"/>
          <w:numId w:val="11"/>
        </w:numPr>
        <w:shd w:val="clear" w:color="auto" w:fill="auto"/>
        <w:tabs>
          <w:tab w:val="left" w:pos="1134"/>
        </w:tabs>
        <w:spacing w:before="0" w:line="240" w:lineRule="auto"/>
        <w:ind w:firstLine="422"/>
        <w:jc w:val="both"/>
        <w:rPr>
          <w:rFonts w:ascii="宋体" w:hAnsi="宋体" w:eastAsia="宋体"/>
          <w:sz w:val="21"/>
          <w:szCs w:val="21"/>
        </w:rPr>
      </w:pPr>
      <w:r>
        <w:rPr>
          <w:rStyle w:val="41"/>
          <w:rFonts w:hint="eastAsia" w:ascii="宋体" w:hAnsi="宋体" w:eastAsia="宋体" w:cs="宋体"/>
          <w:color w:val="auto"/>
          <w:sz w:val="21"/>
          <w:szCs w:val="21"/>
        </w:rPr>
        <w:t>确保本项目资金专款专用，不发生挪用、转移资金的现象；保证不通过权益转让、抵押、担保承担债务等任何其他方式使用基本结算户的资金；</w:t>
      </w:r>
    </w:p>
    <w:p w14:paraId="41EDC224">
      <w:pPr>
        <w:pStyle w:val="40"/>
        <w:numPr>
          <w:ilvl w:val="0"/>
          <w:numId w:val="11"/>
        </w:numPr>
        <w:shd w:val="clear" w:color="auto" w:fill="auto"/>
        <w:tabs>
          <w:tab w:val="left" w:pos="1138"/>
        </w:tabs>
        <w:spacing w:before="0" w:line="240" w:lineRule="auto"/>
        <w:ind w:firstLine="422"/>
        <w:jc w:val="both"/>
        <w:rPr>
          <w:rFonts w:ascii="宋体" w:hAnsi="宋体" w:eastAsia="宋体"/>
          <w:sz w:val="21"/>
          <w:szCs w:val="21"/>
        </w:rPr>
      </w:pPr>
      <w:r>
        <w:rPr>
          <w:rStyle w:val="41"/>
          <w:rFonts w:hint="eastAsia" w:ascii="宋体" w:hAnsi="宋体" w:eastAsia="宋体" w:cs="宋体"/>
          <w:color w:val="auto"/>
          <w:sz w:val="21"/>
          <w:szCs w:val="21"/>
        </w:rPr>
        <w:t>办理材料、设备等采购业务金额在_万元以上的，应出示购货合同、协议和发票；在办理总额超过_万元以上的釆购业务时，应将合同、协议和发票复印件 送丙方备案；购买应急材料、设备时可先办理支付手续，但事后必须补备有关资料;</w:t>
      </w:r>
    </w:p>
    <w:p w14:paraId="21129A9E">
      <w:pPr>
        <w:pStyle w:val="40"/>
        <w:numPr>
          <w:ilvl w:val="0"/>
          <w:numId w:val="11"/>
        </w:numPr>
        <w:shd w:val="clear" w:color="auto" w:fill="auto"/>
        <w:tabs>
          <w:tab w:val="left" w:pos="529"/>
        </w:tabs>
        <w:spacing w:before="0" w:line="240" w:lineRule="auto"/>
        <w:ind w:firstLine="422"/>
        <w:jc w:val="both"/>
        <w:rPr>
          <w:rFonts w:ascii="宋体" w:hAnsi="宋体" w:eastAsia="宋体"/>
          <w:sz w:val="21"/>
          <w:szCs w:val="21"/>
        </w:rPr>
      </w:pPr>
      <w:r>
        <w:rPr>
          <w:rStyle w:val="41"/>
          <w:rFonts w:hint="eastAsia" w:ascii="宋体" w:hAnsi="宋体" w:eastAsia="宋体" w:cs="宋体"/>
          <w:color w:val="auto"/>
          <w:sz w:val="21"/>
          <w:szCs w:val="21"/>
        </w:rPr>
        <w:t>用银行转账支票办理支付款项时，必须将转账支票送交丙方，由丙方负责 办理支票转付手续；</w:t>
      </w:r>
    </w:p>
    <w:p w14:paraId="01A5EAEE">
      <w:pPr>
        <w:pStyle w:val="40"/>
        <w:numPr>
          <w:ilvl w:val="0"/>
          <w:numId w:val="11"/>
        </w:numPr>
        <w:shd w:val="clear" w:color="auto" w:fill="auto"/>
        <w:tabs>
          <w:tab w:val="left" w:pos="1169"/>
        </w:tabs>
        <w:spacing w:before="0" w:line="240" w:lineRule="auto"/>
        <w:ind w:firstLine="422"/>
        <w:jc w:val="both"/>
        <w:rPr>
          <w:rFonts w:ascii="宋体" w:hAnsi="宋体" w:eastAsia="宋体"/>
          <w:sz w:val="21"/>
          <w:szCs w:val="21"/>
        </w:rPr>
      </w:pPr>
      <w:r>
        <w:rPr>
          <w:rStyle w:val="41"/>
          <w:rFonts w:hint="eastAsia" w:ascii="宋体" w:hAnsi="宋体" w:eastAsia="宋体" w:cs="宋体"/>
          <w:color w:val="auto"/>
          <w:sz w:val="21"/>
          <w:szCs w:val="21"/>
        </w:rPr>
        <w:t>向分包单位支付工程进度款时，应附甲方批准分包的文件；</w:t>
      </w:r>
    </w:p>
    <w:p w14:paraId="4165A744">
      <w:pPr>
        <w:pStyle w:val="40"/>
        <w:numPr>
          <w:ilvl w:val="0"/>
          <w:numId w:val="11"/>
        </w:numPr>
        <w:shd w:val="clear" w:color="auto" w:fill="auto"/>
        <w:tabs>
          <w:tab w:val="left" w:pos="1134"/>
        </w:tabs>
        <w:spacing w:before="0" w:line="240" w:lineRule="auto"/>
        <w:ind w:firstLine="422"/>
        <w:jc w:val="both"/>
        <w:rPr>
          <w:rFonts w:ascii="宋体" w:hAnsi="宋体" w:eastAsia="宋体"/>
          <w:sz w:val="21"/>
          <w:szCs w:val="21"/>
        </w:rPr>
      </w:pPr>
      <w:r>
        <w:rPr>
          <w:rStyle w:val="41"/>
          <w:rFonts w:hint="eastAsia" w:ascii="宋体" w:hAnsi="宋体" w:eastAsia="宋体" w:cs="宋体"/>
          <w:color w:val="auto"/>
          <w:sz w:val="21"/>
          <w:szCs w:val="21"/>
        </w:rPr>
        <w:t>向上级单位缴纳管理费、机械设备及周转材料租赁摊销费等款项时，应附上级单位出具的转账通知等有关资料，以确保资金专款专用。</w:t>
      </w:r>
    </w:p>
    <w:p w14:paraId="57EA8854">
      <w:pPr>
        <w:pStyle w:val="40"/>
        <w:numPr>
          <w:ilvl w:val="0"/>
          <w:numId w:val="8"/>
        </w:numPr>
        <w:shd w:val="clear" w:color="auto" w:fill="auto"/>
        <w:tabs>
          <w:tab w:val="left" w:pos="858"/>
        </w:tabs>
        <w:spacing w:before="0" w:line="240" w:lineRule="auto"/>
        <w:ind w:left="500"/>
        <w:jc w:val="both"/>
        <w:rPr>
          <w:rFonts w:ascii="宋体" w:hAnsi="宋体" w:eastAsia="宋体"/>
          <w:sz w:val="21"/>
          <w:szCs w:val="21"/>
        </w:rPr>
      </w:pPr>
      <w:r>
        <w:rPr>
          <w:rStyle w:val="41"/>
          <w:rFonts w:hint="eastAsia" w:ascii="宋体" w:hAnsi="宋体" w:eastAsia="宋体" w:cs="宋体"/>
          <w:color w:val="auto"/>
          <w:sz w:val="21"/>
          <w:szCs w:val="21"/>
        </w:rPr>
        <w:t>丙方的权责</w:t>
      </w:r>
    </w:p>
    <w:p w14:paraId="43F39EC9">
      <w:pPr>
        <w:pStyle w:val="40"/>
        <w:numPr>
          <w:ilvl w:val="0"/>
          <w:numId w:val="12"/>
        </w:numPr>
        <w:shd w:val="clear" w:color="auto" w:fill="auto"/>
        <w:tabs>
          <w:tab w:val="left" w:pos="1169"/>
          <w:tab w:val="left" w:leader="underscore" w:pos="2529"/>
        </w:tabs>
        <w:spacing w:before="0" w:line="240" w:lineRule="auto"/>
        <w:ind w:firstLine="422"/>
        <w:jc w:val="both"/>
        <w:rPr>
          <w:rFonts w:ascii="宋体" w:hAnsi="宋体" w:eastAsia="宋体"/>
          <w:sz w:val="21"/>
          <w:szCs w:val="21"/>
        </w:rPr>
      </w:pPr>
      <w:r>
        <w:rPr>
          <w:rStyle w:val="41"/>
          <w:rFonts w:hint="eastAsia" w:ascii="宋体" w:hAnsi="宋体" w:eastAsia="宋体" w:cs="宋体"/>
          <w:color w:val="auto"/>
          <w:sz w:val="21"/>
          <w:szCs w:val="21"/>
        </w:rPr>
        <w:t>成立</w:t>
      </w:r>
      <w:r>
        <w:rPr>
          <w:rStyle w:val="41"/>
          <w:rFonts w:hint="eastAsia" w:ascii="宋体" w:hAnsi="宋体" w:eastAsia="宋体" w:cs="宋体"/>
          <w:color w:val="auto"/>
          <w:sz w:val="21"/>
          <w:szCs w:val="21"/>
        </w:rPr>
        <w:tab/>
      </w:r>
      <w:r>
        <w:rPr>
          <w:rStyle w:val="41"/>
          <w:rFonts w:hint="eastAsia" w:ascii="宋体" w:hAnsi="宋体" w:eastAsia="宋体" w:cs="宋体"/>
          <w:color w:val="auto"/>
          <w:sz w:val="21"/>
          <w:szCs w:val="21"/>
        </w:rPr>
        <w:t xml:space="preserve"> (项目名称）工程资金管理服务小组，明确业务流程，提高工作效率，杜绝“压票”现象；</w:t>
      </w:r>
    </w:p>
    <w:p w14:paraId="3C22BC31">
      <w:pPr>
        <w:pStyle w:val="40"/>
        <w:numPr>
          <w:ilvl w:val="0"/>
          <w:numId w:val="12"/>
        </w:numPr>
        <w:shd w:val="clear" w:color="auto" w:fill="auto"/>
        <w:tabs>
          <w:tab w:val="left" w:pos="1169"/>
        </w:tabs>
        <w:spacing w:before="0" w:line="240" w:lineRule="auto"/>
        <w:ind w:left="160" w:firstLine="422"/>
        <w:jc w:val="left"/>
        <w:rPr>
          <w:rFonts w:ascii="宋体" w:hAnsi="宋体" w:eastAsia="宋体"/>
          <w:sz w:val="21"/>
          <w:szCs w:val="21"/>
        </w:rPr>
      </w:pPr>
      <w:r>
        <w:rPr>
          <w:rStyle w:val="41"/>
          <w:rFonts w:hint="eastAsia" w:ascii="宋体" w:hAnsi="宋体" w:eastAsia="宋体" w:cs="宋体"/>
          <w:color w:val="auto"/>
          <w:sz w:val="21"/>
          <w:szCs w:val="21"/>
        </w:rPr>
        <w:t>根据乙方提供的购货合同、协议和发票，检查其所购材料、设备是否用于 (项目名称）工程建设，对本标段以外的购货款项，有权拒绝办理，并及时报告甲方；</w:t>
      </w:r>
    </w:p>
    <w:p w14:paraId="6F18D3AF">
      <w:pPr>
        <w:pStyle w:val="40"/>
        <w:numPr>
          <w:ilvl w:val="0"/>
          <w:numId w:val="12"/>
        </w:numPr>
        <w:shd w:val="clear" w:color="auto" w:fill="auto"/>
        <w:tabs>
          <w:tab w:val="left" w:pos="1131"/>
        </w:tabs>
        <w:spacing w:before="0" w:line="240" w:lineRule="auto"/>
        <w:ind w:firstLine="422"/>
        <w:jc w:val="both"/>
        <w:rPr>
          <w:rFonts w:ascii="宋体" w:hAnsi="宋体" w:eastAsia="宋体"/>
          <w:sz w:val="21"/>
          <w:szCs w:val="21"/>
        </w:rPr>
      </w:pPr>
      <w:r>
        <w:rPr>
          <w:rStyle w:val="41"/>
          <w:rFonts w:hint="eastAsia" w:ascii="宋体" w:hAnsi="宋体" w:eastAsia="宋体" w:cs="宋体"/>
          <w:color w:val="auto"/>
          <w:sz w:val="21"/>
          <w:szCs w:val="21"/>
        </w:rPr>
        <w:t>根据乙方与分包单位签订的合同及支付文件，检查其支付款项是否符合有关条件，向分包单位以外单位的支付有权拒绝办理，并及时报告甲方；</w:t>
      </w:r>
    </w:p>
    <w:p w14:paraId="2E935FB5">
      <w:pPr>
        <w:pStyle w:val="40"/>
        <w:numPr>
          <w:ilvl w:val="0"/>
          <w:numId w:val="12"/>
        </w:numPr>
        <w:shd w:val="clear" w:color="auto" w:fill="auto"/>
        <w:tabs>
          <w:tab w:val="left" w:pos="1136"/>
        </w:tabs>
        <w:spacing w:before="0" w:line="240" w:lineRule="auto"/>
        <w:ind w:firstLine="422"/>
        <w:jc w:val="both"/>
        <w:rPr>
          <w:rFonts w:ascii="宋体" w:hAnsi="宋体" w:eastAsia="宋体"/>
          <w:sz w:val="21"/>
          <w:szCs w:val="21"/>
        </w:rPr>
      </w:pPr>
      <w:r>
        <w:rPr>
          <w:rStyle w:val="41"/>
          <w:rFonts w:hint="eastAsia" w:ascii="宋体" w:hAnsi="宋体" w:eastAsia="宋体" w:cs="宋体"/>
          <w:color w:val="auto"/>
          <w:sz w:val="21"/>
          <w:szCs w:val="21"/>
        </w:rPr>
        <w:t>根据乙方提供的上级单位出具的转账通知等有关资料，办理管理费、机械设备及周转材料租赁摊销费等款项的支付；对超出转账通知等有关资料以外的支付， 有权拒绝办理，并及时报告甲方；</w:t>
      </w:r>
    </w:p>
    <w:p w14:paraId="055648B7">
      <w:pPr>
        <w:pStyle w:val="40"/>
        <w:numPr>
          <w:ilvl w:val="0"/>
          <w:numId w:val="12"/>
        </w:numPr>
        <w:shd w:val="clear" w:color="auto" w:fill="auto"/>
        <w:tabs>
          <w:tab w:val="left" w:pos="1117"/>
        </w:tabs>
        <w:spacing w:before="0" w:line="240" w:lineRule="auto"/>
        <w:ind w:firstLine="422"/>
        <w:jc w:val="both"/>
        <w:rPr>
          <w:rFonts w:ascii="宋体" w:hAnsi="宋体" w:eastAsia="宋体"/>
          <w:sz w:val="21"/>
          <w:szCs w:val="21"/>
        </w:rPr>
      </w:pPr>
      <w:r>
        <w:rPr>
          <w:rStyle w:val="41"/>
          <w:rFonts w:hint="eastAsia" w:ascii="宋体" w:hAnsi="宋体" w:eastAsia="宋体" w:cs="宋体"/>
          <w:color w:val="auto"/>
          <w:sz w:val="21"/>
          <w:szCs w:val="21"/>
        </w:rPr>
        <w:t>定期将乙方前一个周期的支付情况，整理后书面报送甲方；乙方复印备案的材料一并送甲方。</w:t>
      </w:r>
    </w:p>
    <w:p w14:paraId="01B06FBF">
      <w:pPr>
        <w:pStyle w:val="40"/>
        <w:numPr>
          <w:ilvl w:val="0"/>
          <w:numId w:val="8"/>
        </w:numPr>
        <w:shd w:val="clear" w:color="auto" w:fill="auto"/>
        <w:tabs>
          <w:tab w:val="left" w:pos="812"/>
        </w:tabs>
        <w:spacing w:before="0" w:line="240" w:lineRule="auto"/>
        <w:ind w:firstLine="422"/>
        <w:jc w:val="left"/>
        <w:rPr>
          <w:rFonts w:ascii="宋体" w:hAnsi="宋体" w:eastAsia="宋体"/>
          <w:sz w:val="21"/>
          <w:szCs w:val="21"/>
        </w:rPr>
      </w:pPr>
      <w:r>
        <w:rPr>
          <w:rStyle w:val="41"/>
          <w:rFonts w:hint="eastAsia" w:ascii="宋体" w:hAnsi="宋体" w:eastAsia="宋体" w:cs="宋体"/>
          <w:color w:val="auto"/>
          <w:sz w:val="21"/>
          <w:szCs w:val="21"/>
        </w:rPr>
        <w:t>甲、乙、丙三方都应履行保密责任，不得将其他两方的业务情况透露给三方以外的其他单位或个人。</w:t>
      </w:r>
    </w:p>
    <w:p w14:paraId="6DE38FF8">
      <w:pPr>
        <w:pStyle w:val="40"/>
        <w:numPr>
          <w:ilvl w:val="0"/>
          <w:numId w:val="8"/>
        </w:numPr>
        <w:shd w:val="clear" w:color="auto" w:fill="auto"/>
        <w:tabs>
          <w:tab w:val="left" w:pos="829"/>
        </w:tabs>
        <w:spacing w:before="0" w:line="240" w:lineRule="auto"/>
        <w:ind w:firstLine="422"/>
        <w:jc w:val="left"/>
        <w:rPr>
          <w:rFonts w:ascii="宋体" w:hAnsi="宋体" w:eastAsia="宋体"/>
          <w:sz w:val="21"/>
          <w:szCs w:val="21"/>
        </w:rPr>
      </w:pPr>
      <w:r>
        <w:rPr>
          <w:rStyle w:val="41"/>
          <w:rFonts w:hint="eastAsia" w:ascii="宋体" w:hAnsi="宋体" w:eastAsia="宋体" w:cs="宋体"/>
          <w:color w:val="auto"/>
          <w:sz w:val="21"/>
          <w:szCs w:val="21"/>
        </w:rPr>
        <w:t>本协议有效期自乙方在丙方开户起，至工程交工验收甲方向乙方颁发交工验收证书后结束。</w:t>
      </w:r>
    </w:p>
    <w:p w14:paraId="4C230B5F">
      <w:pPr>
        <w:pStyle w:val="40"/>
        <w:numPr>
          <w:ilvl w:val="0"/>
          <w:numId w:val="8"/>
        </w:numPr>
        <w:shd w:val="clear" w:color="auto" w:fill="auto"/>
        <w:tabs>
          <w:tab w:val="left" w:pos="858"/>
        </w:tabs>
        <w:spacing w:before="0" w:line="240" w:lineRule="auto"/>
        <w:ind w:left="500"/>
        <w:jc w:val="both"/>
        <w:rPr>
          <w:rFonts w:ascii="宋体" w:hAnsi="宋体" w:eastAsia="宋体"/>
          <w:sz w:val="21"/>
          <w:szCs w:val="21"/>
        </w:rPr>
      </w:pPr>
      <w:r>
        <w:rPr>
          <w:rStyle w:val="41"/>
          <w:rFonts w:hint="eastAsia" w:ascii="宋体" w:hAnsi="宋体" w:eastAsia="宋体" w:cs="宋体"/>
          <w:color w:val="auto"/>
          <w:sz w:val="21"/>
          <w:szCs w:val="21"/>
        </w:rPr>
        <w:t>本协议未尽事宜，由甲方牵头，三方协商解决。</w:t>
      </w:r>
    </w:p>
    <w:p w14:paraId="5584F240">
      <w:pPr>
        <w:pStyle w:val="40"/>
        <w:numPr>
          <w:ilvl w:val="0"/>
          <w:numId w:val="8"/>
        </w:numPr>
        <w:shd w:val="clear" w:color="auto" w:fill="auto"/>
        <w:tabs>
          <w:tab w:val="left" w:pos="838"/>
        </w:tabs>
        <w:spacing w:before="0" w:after="269" w:line="240" w:lineRule="auto"/>
        <w:ind w:firstLine="422"/>
        <w:jc w:val="left"/>
        <w:rPr>
          <w:rFonts w:ascii="宋体" w:hAnsi="宋体" w:eastAsia="宋体"/>
          <w:sz w:val="21"/>
          <w:szCs w:val="21"/>
        </w:rPr>
      </w:pPr>
      <w:r>
        <w:rPr>
          <w:rStyle w:val="41"/>
          <w:rFonts w:hint="eastAsia" w:ascii="宋体" w:hAnsi="宋体" w:eastAsia="宋体" w:cs="宋体"/>
          <w:color w:val="auto"/>
          <w:sz w:val="21"/>
          <w:szCs w:val="21"/>
        </w:rPr>
        <w:t>本协议正本三份、副本_份。合同三方各执正本一份、副本_份，当正本与副本内容不一致时，以正本为准。</w:t>
      </w:r>
    </w:p>
    <w:p w14:paraId="0232E341">
      <w:pPr>
        <w:pStyle w:val="40"/>
        <w:shd w:val="clear" w:color="auto" w:fill="auto"/>
        <w:tabs>
          <w:tab w:val="left" w:leader="underscore" w:pos="4086"/>
        </w:tabs>
        <w:spacing w:before="0" w:line="240" w:lineRule="auto"/>
        <w:ind w:firstLine="442"/>
        <w:jc w:val="both"/>
        <w:rPr>
          <w:rFonts w:ascii="宋体" w:hAnsi="宋体" w:eastAsia="宋体"/>
          <w:sz w:val="21"/>
          <w:szCs w:val="21"/>
        </w:rPr>
      </w:pPr>
      <w:r>
        <w:rPr>
          <w:rStyle w:val="47"/>
          <w:rFonts w:hint="eastAsia" w:ascii="宋体" w:hAnsi="宋体" w:eastAsia="宋体" w:cs="宋体"/>
          <w:i w:val="0"/>
          <w:color w:val="auto"/>
          <w:sz w:val="21"/>
          <w:szCs w:val="21"/>
        </w:rPr>
        <w:t>发包人:</w:t>
      </w:r>
      <w:r>
        <w:rPr>
          <w:rStyle w:val="41"/>
          <w:rFonts w:hint="eastAsia" w:ascii="宋体" w:hAnsi="宋体" w:eastAsia="宋体" w:cs="宋体"/>
          <w:color w:val="auto"/>
          <w:sz w:val="21"/>
          <w:szCs w:val="21"/>
        </w:rPr>
        <w:tab/>
      </w:r>
      <w:r>
        <w:rPr>
          <w:rStyle w:val="41"/>
          <w:rFonts w:hint="eastAsia" w:ascii="宋体" w:hAnsi="宋体" w:eastAsia="宋体" w:cs="宋体"/>
          <w:color w:val="auto"/>
          <w:sz w:val="21"/>
          <w:szCs w:val="21"/>
        </w:rPr>
        <w:t xml:space="preserve"> (盖单位章)</w:t>
      </w:r>
    </w:p>
    <w:p w14:paraId="24D846E2">
      <w:pPr>
        <w:pStyle w:val="40"/>
        <w:shd w:val="clear" w:color="auto" w:fill="auto"/>
        <w:tabs>
          <w:tab w:val="left" w:leader="underscore" w:pos="4689"/>
        </w:tabs>
        <w:spacing w:before="0" w:line="240" w:lineRule="auto"/>
        <w:jc w:val="both"/>
        <w:rPr>
          <w:rFonts w:ascii="宋体" w:hAnsi="宋体" w:eastAsia="宋体"/>
          <w:sz w:val="21"/>
          <w:szCs w:val="21"/>
        </w:rPr>
      </w:pPr>
      <w:r>
        <w:rPr>
          <w:rStyle w:val="41"/>
          <w:rFonts w:hint="eastAsia" w:ascii="宋体" w:hAnsi="宋体" w:eastAsia="宋体" w:cs="宋体"/>
          <w:color w:val="auto"/>
          <w:sz w:val="21"/>
          <w:szCs w:val="21"/>
        </w:rPr>
        <w:t>法定代表人或其委托代理人：</w:t>
      </w:r>
      <w:r>
        <w:rPr>
          <w:rStyle w:val="41"/>
          <w:rFonts w:hint="eastAsia" w:ascii="宋体" w:hAnsi="宋体" w:eastAsia="宋体" w:cs="宋体"/>
          <w:color w:val="auto"/>
          <w:sz w:val="21"/>
          <w:szCs w:val="21"/>
        </w:rPr>
        <w:tab/>
      </w:r>
      <w:r>
        <w:rPr>
          <w:rStyle w:val="41"/>
          <w:rFonts w:hint="eastAsia" w:ascii="宋体" w:hAnsi="宋体" w:eastAsia="宋体" w:cs="宋体"/>
          <w:color w:val="auto"/>
          <w:sz w:val="21"/>
          <w:szCs w:val="21"/>
        </w:rPr>
        <w:t>(签字)</w:t>
      </w:r>
    </w:p>
    <w:p w14:paraId="247DBDF1">
      <w:pPr>
        <w:pStyle w:val="40"/>
        <w:shd w:val="clear" w:color="auto" w:fill="auto"/>
        <w:tabs>
          <w:tab w:val="left" w:leader="underscore" w:pos="3022"/>
          <w:tab w:val="left" w:leader="underscore" w:pos="4086"/>
        </w:tabs>
        <w:spacing w:before="0" w:after="242" w:line="240" w:lineRule="auto"/>
        <w:ind w:left="1940"/>
        <w:jc w:val="both"/>
        <w:rPr>
          <w:rFonts w:ascii="宋体" w:hAnsi="宋体" w:eastAsia="宋体"/>
          <w:sz w:val="21"/>
          <w:szCs w:val="21"/>
        </w:rPr>
      </w:pPr>
      <w:r>
        <w:rPr>
          <w:rStyle w:val="41"/>
          <w:rFonts w:hint="eastAsia" w:ascii="宋体" w:hAnsi="宋体" w:eastAsia="宋体" w:cs="宋体"/>
          <w:color w:val="auto"/>
          <w:sz w:val="21"/>
          <w:szCs w:val="21"/>
        </w:rPr>
        <w:tab/>
      </w:r>
      <w:r>
        <w:rPr>
          <w:rStyle w:val="41"/>
          <w:rFonts w:hint="eastAsia" w:ascii="宋体" w:hAnsi="宋体" w:eastAsia="宋体" w:cs="宋体"/>
          <w:color w:val="auto"/>
          <w:sz w:val="21"/>
          <w:szCs w:val="21"/>
        </w:rPr>
        <w:t>年</w:t>
      </w:r>
      <w:r>
        <w:rPr>
          <w:rStyle w:val="41"/>
          <w:rFonts w:hint="eastAsia" w:ascii="宋体" w:hAnsi="宋体" w:eastAsia="宋体" w:cs="宋体"/>
          <w:color w:val="auto"/>
          <w:sz w:val="21"/>
          <w:szCs w:val="21"/>
        </w:rPr>
        <w:tab/>
      </w:r>
      <w:r>
        <w:rPr>
          <w:rStyle w:val="41"/>
          <w:rFonts w:hint="eastAsia" w:ascii="宋体" w:hAnsi="宋体" w:eastAsia="宋体" w:cs="宋体"/>
          <w:color w:val="auto"/>
          <w:sz w:val="21"/>
          <w:szCs w:val="21"/>
        </w:rPr>
        <w:t>月日</w:t>
      </w:r>
    </w:p>
    <w:p w14:paraId="0148AC56">
      <w:pPr>
        <w:pStyle w:val="40"/>
        <w:shd w:val="clear" w:color="auto" w:fill="auto"/>
        <w:tabs>
          <w:tab w:val="left" w:leader="underscore" w:pos="4086"/>
        </w:tabs>
        <w:spacing w:before="0" w:line="240" w:lineRule="auto"/>
        <w:jc w:val="both"/>
        <w:rPr>
          <w:rFonts w:ascii="宋体" w:hAnsi="宋体" w:eastAsia="宋体"/>
          <w:sz w:val="21"/>
          <w:szCs w:val="21"/>
        </w:rPr>
      </w:pPr>
      <w:r>
        <w:rPr>
          <w:rStyle w:val="41"/>
          <w:rFonts w:hint="eastAsia" w:ascii="宋体" w:hAnsi="宋体" w:eastAsia="宋体" w:cs="宋体"/>
          <w:color w:val="auto"/>
          <w:sz w:val="21"/>
          <w:szCs w:val="21"/>
        </w:rPr>
        <w:t>承包人：</w:t>
      </w:r>
      <w:r>
        <w:rPr>
          <w:rStyle w:val="41"/>
          <w:rFonts w:hint="eastAsia" w:ascii="宋体" w:hAnsi="宋体" w:eastAsia="宋体" w:cs="宋体"/>
          <w:color w:val="auto"/>
          <w:sz w:val="21"/>
          <w:szCs w:val="21"/>
        </w:rPr>
        <w:tab/>
      </w:r>
      <w:r>
        <w:rPr>
          <w:rStyle w:val="41"/>
          <w:rFonts w:hint="eastAsia" w:ascii="宋体" w:hAnsi="宋体" w:eastAsia="宋体" w:cs="宋体"/>
          <w:color w:val="auto"/>
          <w:sz w:val="21"/>
          <w:szCs w:val="21"/>
        </w:rPr>
        <w:t xml:space="preserve"> (盖单位章)</w:t>
      </w:r>
    </w:p>
    <w:p w14:paraId="1CA3B822">
      <w:pPr>
        <w:pStyle w:val="40"/>
        <w:shd w:val="clear" w:color="auto" w:fill="auto"/>
        <w:tabs>
          <w:tab w:val="left" w:leader="underscore" w:pos="4689"/>
        </w:tabs>
        <w:spacing w:before="0" w:line="240" w:lineRule="auto"/>
        <w:jc w:val="both"/>
        <w:rPr>
          <w:rFonts w:ascii="宋体" w:hAnsi="宋体" w:eastAsia="宋体"/>
          <w:sz w:val="21"/>
          <w:szCs w:val="21"/>
        </w:rPr>
      </w:pPr>
      <w:r>
        <w:rPr>
          <w:rStyle w:val="41"/>
          <w:rFonts w:hint="eastAsia" w:ascii="宋体" w:hAnsi="宋体" w:eastAsia="宋体" w:cs="宋体"/>
          <w:color w:val="auto"/>
          <w:sz w:val="21"/>
          <w:szCs w:val="21"/>
        </w:rPr>
        <w:t>法定代表人或其委托代理人：</w:t>
      </w:r>
      <w:r>
        <w:rPr>
          <w:rStyle w:val="41"/>
          <w:rFonts w:hint="eastAsia" w:ascii="宋体" w:hAnsi="宋体" w:eastAsia="宋体" w:cs="宋体"/>
          <w:color w:val="auto"/>
          <w:sz w:val="21"/>
          <w:szCs w:val="21"/>
        </w:rPr>
        <w:tab/>
      </w:r>
      <w:r>
        <w:rPr>
          <w:rStyle w:val="41"/>
          <w:rFonts w:hint="eastAsia" w:ascii="宋体" w:hAnsi="宋体" w:eastAsia="宋体" w:cs="宋体"/>
          <w:color w:val="auto"/>
          <w:sz w:val="21"/>
          <w:szCs w:val="21"/>
        </w:rPr>
        <w:t>（签字)</w:t>
      </w:r>
    </w:p>
    <w:p w14:paraId="1F108F33">
      <w:pPr>
        <w:pStyle w:val="40"/>
        <w:shd w:val="clear" w:color="auto" w:fill="auto"/>
        <w:tabs>
          <w:tab w:val="left" w:leader="underscore" w:pos="3022"/>
          <w:tab w:val="left" w:leader="underscore" w:pos="4086"/>
        </w:tabs>
        <w:spacing w:before="0" w:after="240" w:line="240" w:lineRule="auto"/>
        <w:ind w:left="1940"/>
        <w:jc w:val="both"/>
        <w:rPr>
          <w:rFonts w:ascii="宋体" w:hAnsi="宋体" w:eastAsia="宋体"/>
          <w:sz w:val="21"/>
          <w:szCs w:val="21"/>
        </w:rPr>
      </w:pPr>
      <w:r>
        <w:rPr>
          <w:rStyle w:val="41"/>
          <w:rFonts w:hint="eastAsia" w:ascii="宋体" w:hAnsi="宋体" w:eastAsia="宋体" w:cs="宋体"/>
          <w:color w:val="auto"/>
          <w:sz w:val="21"/>
          <w:szCs w:val="21"/>
        </w:rPr>
        <w:tab/>
      </w:r>
      <w:r>
        <w:rPr>
          <w:rStyle w:val="41"/>
          <w:rFonts w:hint="eastAsia" w:ascii="宋体" w:hAnsi="宋体" w:eastAsia="宋体" w:cs="宋体"/>
          <w:color w:val="auto"/>
          <w:sz w:val="21"/>
          <w:szCs w:val="21"/>
        </w:rPr>
        <w:t>年</w:t>
      </w:r>
      <w:r>
        <w:rPr>
          <w:rStyle w:val="41"/>
          <w:rFonts w:hint="eastAsia" w:ascii="宋体" w:hAnsi="宋体" w:eastAsia="宋体" w:cs="宋体"/>
          <w:color w:val="auto"/>
          <w:sz w:val="21"/>
          <w:szCs w:val="21"/>
        </w:rPr>
        <w:tab/>
      </w:r>
      <w:r>
        <w:rPr>
          <w:rStyle w:val="41"/>
          <w:rFonts w:hint="eastAsia" w:ascii="宋体" w:hAnsi="宋体" w:eastAsia="宋体" w:cs="宋体"/>
          <w:color w:val="auto"/>
          <w:sz w:val="21"/>
          <w:szCs w:val="21"/>
        </w:rPr>
        <w:t>月日</w:t>
      </w:r>
    </w:p>
    <w:p w14:paraId="2461C82D">
      <w:pPr>
        <w:pStyle w:val="40"/>
        <w:shd w:val="clear" w:color="auto" w:fill="auto"/>
        <w:tabs>
          <w:tab w:val="left" w:leader="underscore" w:pos="4086"/>
        </w:tabs>
        <w:spacing w:before="0" w:line="240" w:lineRule="auto"/>
        <w:jc w:val="both"/>
        <w:rPr>
          <w:rFonts w:ascii="宋体" w:hAnsi="宋体" w:eastAsia="宋体"/>
          <w:sz w:val="21"/>
          <w:szCs w:val="21"/>
        </w:rPr>
      </w:pPr>
      <w:r>
        <w:rPr>
          <w:rStyle w:val="41"/>
          <w:rFonts w:hint="eastAsia" w:ascii="宋体" w:hAnsi="宋体" w:eastAsia="宋体" w:cs="宋体"/>
          <w:color w:val="auto"/>
          <w:sz w:val="21"/>
          <w:szCs w:val="21"/>
        </w:rPr>
        <w:t>经办银行：</w:t>
      </w:r>
      <w:r>
        <w:rPr>
          <w:rStyle w:val="41"/>
          <w:rFonts w:hint="eastAsia" w:ascii="宋体" w:hAnsi="宋体" w:eastAsia="宋体" w:cs="宋体"/>
          <w:color w:val="auto"/>
          <w:sz w:val="21"/>
          <w:szCs w:val="21"/>
        </w:rPr>
        <w:tab/>
      </w:r>
      <w:r>
        <w:rPr>
          <w:rStyle w:val="41"/>
          <w:rFonts w:hint="eastAsia" w:ascii="宋体" w:hAnsi="宋体" w:eastAsia="宋体" w:cs="宋体"/>
          <w:color w:val="auto"/>
          <w:sz w:val="21"/>
          <w:szCs w:val="21"/>
        </w:rPr>
        <w:t xml:space="preserve"> (盖单位章)</w:t>
      </w:r>
    </w:p>
    <w:p w14:paraId="5993EE6C">
      <w:pPr>
        <w:pStyle w:val="40"/>
        <w:shd w:val="clear" w:color="auto" w:fill="auto"/>
        <w:tabs>
          <w:tab w:val="left" w:leader="underscore" w:pos="4689"/>
        </w:tabs>
        <w:spacing w:before="0" w:line="240" w:lineRule="auto"/>
        <w:ind w:firstLine="422"/>
        <w:jc w:val="both"/>
        <w:rPr>
          <w:rFonts w:ascii="宋体" w:hAnsi="宋体" w:eastAsia="宋体"/>
          <w:sz w:val="21"/>
          <w:szCs w:val="21"/>
        </w:rPr>
      </w:pPr>
      <w:r>
        <w:rPr>
          <w:rStyle w:val="41"/>
          <w:rFonts w:hint="eastAsia" w:ascii="宋体" w:hAnsi="宋体" w:eastAsia="宋体" w:cs="宋体"/>
          <w:color w:val="auto"/>
          <w:sz w:val="21"/>
          <w:szCs w:val="21"/>
        </w:rPr>
        <w:t>法定代表人或其委托代理人：</w:t>
      </w:r>
      <w:r>
        <w:rPr>
          <w:rStyle w:val="41"/>
          <w:rFonts w:hint="eastAsia" w:ascii="宋体" w:hAnsi="宋体" w:eastAsia="宋体" w:cs="宋体"/>
          <w:color w:val="auto"/>
          <w:sz w:val="21"/>
          <w:szCs w:val="21"/>
        </w:rPr>
        <w:tab/>
      </w:r>
      <w:r>
        <w:rPr>
          <w:rStyle w:val="41"/>
          <w:rFonts w:hint="eastAsia" w:ascii="宋体" w:hAnsi="宋体" w:eastAsia="宋体" w:cs="宋体"/>
          <w:color w:val="auto"/>
          <w:sz w:val="21"/>
          <w:szCs w:val="21"/>
        </w:rPr>
        <w:t>（签字)</w:t>
      </w:r>
    </w:p>
    <w:p w14:paraId="5881FA19">
      <w:pPr>
        <w:spacing w:line="360" w:lineRule="auto"/>
        <w:ind w:firstLine="422"/>
        <w:rPr>
          <w:szCs w:val="21"/>
        </w:rPr>
      </w:pPr>
      <w:r>
        <w:rPr>
          <w:rStyle w:val="41"/>
          <w:rFonts w:hint="eastAsia" w:ascii="宋体" w:hAnsi="宋体" w:eastAsia="宋体" w:cs="宋体"/>
          <w:color w:val="auto"/>
          <w:sz w:val="21"/>
          <w:szCs w:val="21"/>
        </w:rPr>
        <w:t>年月日</w:t>
      </w:r>
    </w:p>
    <w:p w14:paraId="49FF8AC7">
      <w:pPr>
        <w:pStyle w:val="12"/>
      </w:pPr>
    </w:p>
    <w:p w14:paraId="3ABB9928">
      <w:pPr>
        <w:ind w:firstLine="422"/>
      </w:pPr>
    </w:p>
    <w:p w14:paraId="256BF449">
      <w:pPr>
        <w:ind w:firstLine="422"/>
      </w:pPr>
    </w:p>
    <w:p w14:paraId="1A7EF907">
      <w:pPr>
        <w:pStyle w:val="12"/>
      </w:pPr>
    </w:p>
    <w:p w14:paraId="012A4454">
      <w:pPr>
        <w:ind w:firstLine="422"/>
      </w:pPr>
    </w:p>
    <w:p w14:paraId="1B76A1BD">
      <w:pPr>
        <w:pStyle w:val="12"/>
      </w:pPr>
    </w:p>
    <w:p w14:paraId="1E7189A7">
      <w:pPr>
        <w:ind w:firstLine="422"/>
      </w:pPr>
    </w:p>
    <w:p w14:paraId="1D64138F">
      <w:pPr>
        <w:pStyle w:val="12"/>
      </w:pPr>
    </w:p>
    <w:p w14:paraId="5572BE09">
      <w:pPr>
        <w:ind w:firstLine="422"/>
      </w:pPr>
    </w:p>
    <w:p w14:paraId="6B46ED7F">
      <w:pPr>
        <w:pStyle w:val="12"/>
      </w:pPr>
    </w:p>
    <w:p w14:paraId="4755CEE3">
      <w:pPr>
        <w:ind w:firstLine="422"/>
      </w:pPr>
    </w:p>
    <w:p w14:paraId="74461E39">
      <w:pPr>
        <w:pStyle w:val="12"/>
      </w:pPr>
    </w:p>
    <w:p w14:paraId="3ADA0271">
      <w:pPr>
        <w:ind w:firstLine="422"/>
      </w:pPr>
    </w:p>
    <w:p w14:paraId="1AF03EDF">
      <w:pPr>
        <w:pStyle w:val="12"/>
      </w:pPr>
    </w:p>
    <w:p w14:paraId="52EC1C0D">
      <w:pPr>
        <w:ind w:firstLine="422"/>
      </w:pPr>
    </w:p>
    <w:p w14:paraId="3534FF36">
      <w:pPr>
        <w:pStyle w:val="12"/>
      </w:pPr>
    </w:p>
    <w:p w14:paraId="2E09BDB4">
      <w:pPr>
        <w:ind w:firstLine="422"/>
      </w:pPr>
    </w:p>
    <w:p w14:paraId="50B984EA">
      <w:pPr>
        <w:pStyle w:val="12"/>
      </w:pPr>
    </w:p>
    <w:p w14:paraId="2ECD4601">
      <w:pPr>
        <w:ind w:firstLine="422"/>
      </w:pPr>
    </w:p>
    <w:p w14:paraId="32FF0CBF">
      <w:pPr>
        <w:pStyle w:val="12"/>
      </w:pPr>
    </w:p>
    <w:p w14:paraId="73A295D4">
      <w:pPr>
        <w:ind w:firstLine="422"/>
      </w:pPr>
    </w:p>
    <w:p w14:paraId="417EFD0A">
      <w:pPr>
        <w:pStyle w:val="12"/>
      </w:pPr>
    </w:p>
    <w:p w14:paraId="0D86E074">
      <w:pPr>
        <w:ind w:firstLine="422"/>
      </w:pPr>
    </w:p>
    <w:p w14:paraId="20E7095B">
      <w:pPr>
        <w:pStyle w:val="12"/>
      </w:pPr>
    </w:p>
    <w:p w14:paraId="3BD6E4DC">
      <w:pPr>
        <w:ind w:firstLine="422"/>
      </w:pPr>
    </w:p>
    <w:p w14:paraId="6DD49CED">
      <w:pPr>
        <w:pStyle w:val="12"/>
      </w:pPr>
    </w:p>
    <w:p w14:paraId="0CA5007B">
      <w:pPr>
        <w:ind w:firstLine="422"/>
      </w:pPr>
    </w:p>
    <w:p w14:paraId="368CF409">
      <w:pPr>
        <w:pStyle w:val="12"/>
      </w:pPr>
    </w:p>
    <w:p w14:paraId="0ADF7DD3">
      <w:pPr>
        <w:ind w:firstLine="422"/>
      </w:pPr>
    </w:p>
    <w:p w14:paraId="69FF46D1">
      <w:pPr>
        <w:pStyle w:val="12"/>
      </w:pPr>
    </w:p>
    <w:p w14:paraId="1DD5FF2A">
      <w:pPr>
        <w:ind w:firstLine="422"/>
      </w:pPr>
    </w:p>
    <w:p w14:paraId="72E18298">
      <w:pPr>
        <w:pStyle w:val="12"/>
      </w:pPr>
    </w:p>
    <w:p w14:paraId="7C23EFED">
      <w:pPr>
        <w:ind w:firstLine="422"/>
      </w:pPr>
    </w:p>
    <w:p w14:paraId="66875F5B">
      <w:pPr>
        <w:pStyle w:val="12"/>
      </w:pPr>
    </w:p>
    <w:p w14:paraId="50928673">
      <w:pPr>
        <w:ind w:firstLine="422"/>
      </w:pPr>
    </w:p>
    <w:p w14:paraId="62198DD6">
      <w:pPr>
        <w:pStyle w:val="12"/>
      </w:pPr>
    </w:p>
    <w:p w14:paraId="18151EF6">
      <w:pPr>
        <w:ind w:firstLine="422"/>
      </w:pPr>
    </w:p>
    <w:p w14:paraId="504CC4A2">
      <w:pPr>
        <w:pStyle w:val="12"/>
      </w:pPr>
    </w:p>
    <w:p w14:paraId="53B610DC">
      <w:pPr>
        <w:ind w:firstLine="422"/>
      </w:pPr>
    </w:p>
    <w:p w14:paraId="30225740">
      <w:pPr>
        <w:pStyle w:val="2"/>
        <w:spacing w:before="35"/>
        <w:ind w:right="320" w:firstLine="643"/>
        <w:jc w:val="center"/>
      </w:pPr>
      <w:r>
        <w:rPr>
          <w:rFonts w:hint="eastAsia"/>
        </w:rPr>
        <w:t>第六章工程量清单</w:t>
      </w:r>
      <w:bookmarkEnd w:id="133"/>
    </w:p>
    <w:p w14:paraId="1C12D8A7">
      <w:pPr>
        <w:ind w:firstLine="560"/>
        <w:jc w:val="both"/>
        <w:rPr>
          <w:b/>
          <w:bCs/>
          <w:sz w:val="28"/>
          <w:szCs w:val="28"/>
        </w:rPr>
      </w:pPr>
    </w:p>
    <w:p w14:paraId="02C51D9B">
      <w:pPr>
        <w:spacing w:line="360" w:lineRule="auto"/>
        <w:ind w:firstLine="562"/>
        <w:jc w:val="center"/>
        <w:rPr>
          <w:b/>
          <w:bCs/>
          <w:sz w:val="28"/>
          <w:szCs w:val="28"/>
        </w:rPr>
      </w:pPr>
      <w:r>
        <w:rPr>
          <w:rFonts w:hint="eastAsia"/>
          <w:b/>
          <w:bCs/>
          <w:sz w:val="28"/>
          <w:szCs w:val="28"/>
        </w:rPr>
        <w:t>（另册）</w:t>
      </w:r>
    </w:p>
    <w:p w14:paraId="43FC2976">
      <w:pPr>
        <w:spacing w:line="360" w:lineRule="auto"/>
        <w:ind w:firstLine="560" w:firstLineChars="200"/>
        <w:rPr>
          <w:sz w:val="28"/>
          <w:szCs w:val="28"/>
        </w:rPr>
      </w:pPr>
      <w:r>
        <w:rPr>
          <w:rFonts w:hint="eastAsia"/>
          <w:sz w:val="28"/>
          <w:szCs w:val="28"/>
        </w:rPr>
        <w:t>注：除项目专用合同条款另有约定外，</w:t>
      </w:r>
      <w:r>
        <w:rPr>
          <w:rFonts w:hint="eastAsia"/>
          <w:b/>
          <w:bCs/>
          <w:sz w:val="28"/>
          <w:szCs w:val="28"/>
        </w:rPr>
        <w:t>安全生产费用应按采购人公布的最高投标限价的1.5%计。安</w:t>
      </w:r>
      <w:r>
        <w:rPr>
          <w:rFonts w:hint="eastAsia"/>
          <w:sz w:val="28"/>
          <w:szCs w:val="28"/>
        </w:rPr>
        <w:t>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采购人不再另行支付。</w:t>
      </w:r>
    </w:p>
    <w:p w14:paraId="52B1838F">
      <w:pPr>
        <w:spacing w:line="360" w:lineRule="auto"/>
        <w:ind w:firstLine="562" w:firstLineChars="200"/>
        <w:rPr>
          <w:b/>
          <w:bCs/>
          <w:sz w:val="28"/>
          <w:szCs w:val="28"/>
        </w:rPr>
      </w:pPr>
      <w:r>
        <w:rPr>
          <w:rFonts w:hint="eastAsia"/>
          <w:b/>
          <w:bCs/>
          <w:sz w:val="28"/>
          <w:szCs w:val="28"/>
        </w:rPr>
        <w:t>安全生产费用不按采购人公布的最高投标限价的1.5%填报的，响应文件作废标处理。</w:t>
      </w:r>
    </w:p>
    <w:p w14:paraId="3A1C796F">
      <w:pPr>
        <w:pStyle w:val="2"/>
        <w:spacing w:before="30"/>
        <w:ind w:right="320" w:firstLine="643"/>
        <w:jc w:val="center"/>
      </w:pPr>
    </w:p>
    <w:p w14:paraId="4C574CB3">
      <w:pPr>
        <w:pStyle w:val="2"/>
        <w:spacing w:before="30"/>
        <w:ind w:right="320" w:firstLine="643"/>
        <w:jc w:val="center"/>
      </w:pPr>
    </w:p>
    <w:p w14:paraId="28678ED4">
      <w:pPr>
        <w:pStyle w:val="2"/>
        <w:spacing w:before="30"/>
        <w:ind w:right="320" w:firstLine="643"/>
        <w:jc w:val="center"/>
      </w:pPr>
    </w:p>
    <w:p w14:paraId="66B4F7BC">
      <w:pPr>
        <w:pStyle w:val="2"/>
        <w:spacing w:before="30"/>
        <w:ind w:right="320" w:firstLine="643"/>
        <w:jc w:val="center"/>
      </w:pPr>
    </w:p>
    <w:p w14:paraId="5C8E3A8B">
      <w:pPr>
        <w:pStyle w:val="2"/>
        <w:spacing w:before="30"/>
        <w:ind w:right="320" w:firstLine="643"/>
        <w:jc w:val="center"/>
      </w:pPr>
    </w:p>
    <w:p w14:paraId="5B382039">
      <w:pPr>
        <w:pStyle w:val="2"/>
        <w:spacing w:before="30"/>
        <w:ind w:right="320" w:firstLine="643"/>
        <w:jc w:val="center"/>
      </w:pPr>
    </w:p>
    <w:p w14:paraId="589199D0">
      <w:pPr>
        <w:pStyle w:val="2"/>
        <w:spacing w:before="30"/>
        <w:ind w:right="320" w:firstLine="643"/>
        <w:jc w:val="center"/>
      </w:pPr>
    </w:p>
    <w:p w14:paraId="75EF28F9">
      <w:pPr>
        <w:pStyle w:val="2"/>
        <w:spacing w:before="30"/>
        <w:ind w:right="320" w:firstLine="643"/>
        <w:jc w:val="center"/>
      </w:pPr>
    </w:p>
    <w:p w14:paraId="4AF1DA79">
      <w:pPr>
        <w:pStyle w:val="2"/>
        <w:spacing w:before="30"/>
        <w:ind w:right="320" w:firstLine="643"/>
        <w:jc w:val="center"/>
      </w:pPr>
    </w:p>
    <w:p w14:paraId="2E20D209">
      <w:pPr>
        <w:pStyle w:val="2"/>
        <w:spacing w:before="30"/>
        <w:ind w:right="320" w:firstLine="643"/>
        <w:jc w:val="center"/>
      </w:pPr>
    </w:p>
    <w:p w14:paraId="6E14836C">
      <w:pPr>
        <w:pStyle w:val="2"/>
        <w:spacing w:before="30"/>
        <w:ind w:right="320" w:firstLine="643"/>
        <w:jc w:val="center"/>
      </w:pPr>
    </w:p>
    <w:p w14:paraId="756FA286">
      <w:pPr>
        <w:pStyle w:val="2"/>
        <w:spacing w:before="30"/>
        <w:ind w:right="320" w:firstLine="643"/>
        <w:jc w:val="center"/>
      </w:pPr>
    </w:p>
    <w:p w14:paraId="746876CC">
      <w:pPr>
        <w:pStyle w:val="2"/>
        <w:spacing w:before="30"/>
        <w:ind w:right="320" w:firstLine="643"/>
        <w:jc w:val="center"/>
      </w:pPr>
    </w:p>
    <w:p w14:paraId="76E83BD1">
      <w:pPr>
        <w:pStyle w:val="2"/>
        <w:spacing w:before="30"/>
        <w:ind w:right="320" w:firstLine="643"/>
        <w:jc w:val="center"/>
      </w:pPr>
    </w:p>
    <w:p w14:paraId="37F25051">
      <w:pPr>
        <w:pStyle w:val="2"/>
        <w:spacing w:before="30"/>
        <w:ind w:right="320" w:firstLine="643"/>
        <w:jc w:val="center"/>
      </w:pPr>
    </w:p>
    <w:p w14:paraId="0DA1E013">
      <w:pPr>
        <w:pStyle w:val="2"/>
        <w:spacing w:before="30"/>
        <w:ind w:right="320" w:firstLine="643"/>
        <w:jc w:val="center"/>
      </w:pPr>
    </w:p>
    <w:p w14:paraId="0469CB75">
      <w:pPr>
        <w:pStyle w:val="2"/>
        <w:spacing w:before="30"/>
        <w:ind w:right="320" w:firstLine="643"/>
        <w:jc w:val="center"/>
      </w:pPr>
    </w:p>
    <w:p w14:paraId="319978D9">
      <w:pPr>
        <w:pStyle w:val="2"/>
        <w:spacing w:before="30"/>
        <w:ind w:right="320" w:firstLine="643"/>
        <w:jc w:val="center"/>
      </w:pPr>
    </w:p>
    <w:p w14:paraId="5F80882C">
      <w:pPr>
        <w:pStyle w:val="2"/>
        <w:spacing w:before="30"/>
        <w:ind w:right="320" w:firstLine="643"/>
        <w:jc w:val="center"/>
      </w:pPr>
    </w:p>
    <w:p w14:paraId="4B1D1BF4">
      <w:pPr>
        <w:pStyle w:val="2"/>
        <w:spacing w:before="30"/>
        <w:ind w:right="320" w:firstLine="643"/>
        <w:jc w:val="both"/>
      </w:pPr>
    </w:p>
    <w:p w14:paraId="714649CB">
      <w:pPr>
        <w:pStyle w:val="2"/>
        <w:spacing w:before="35"/>
        <w:ind w:right="320" w:firstLine="643"/>
        <w:jc w:val="center"/>
      </w:pPr>
      <w:bookmarkStart w:id="138" w:name="_Toc17206"/>
      <w:r>
        <w:rPr>
          <w:rFonts w:hint="eastAsia"/>
        </w:rPr>
        <w:t>第七章图纸</w:t>
      </w:r>
      <w:bookmarkEnd w:id="138"/>
    </w:p>
    <w:p w14:paraId="2A9C2DCB">
      <w:pPr>
        <w:ind w:firstLine="560"/>
        <w:jc w:val="center"/>
        <w:rPr>
          <w:b/>
          <w:bCs/>
          <w:sz w:val="28"/>
          <w:szCs w:val="28"/>
        </w:rPr>
      </w:pPr>
    </w:p>
    <w:p w14:paraId="56536D73">
      <w:pPr>
        <w:ind w:firstLine="560"/>
        <w:jc w:val="center"/>
        <w:rPr>
          <w:b/>
          <w:bCs/>
          <w:sz w:val="28"/>
          <w:szCs w:val="28"/>
        </w:rPr>
      </w:pPr>
    </w:p>
    <w:p w14:paraId="1A0CD235">
      <w:pPr>
        <w:ind w:firstLine="562"/>
        <w:jc w:val="center"/>
        <w:rPr>
          <w:b/>
          <w:bCs/>
          <w:sz w:val="28"/>
          <w:szCs w:val="28"/>
        </w:rPr>
      </w:pPr>
      <w:r>
        <w:rPr>
          <w:rFonts w:hint="eastAsia"/>
          <w:b/>
          <w:bCs/>
          <w:sz w:val="28"/>
          <w:szCs w:val="28"/>
        </w:rPr>
        <w:t>（另册）</w:t>
      </w:r>
    </w:p>
    <w:p w14:paraId="43DEB414">
      <w:pPr>
        <w:ind w:firstLine="422"/>
      </w:pPr>
    </w:p>
    <w:p w14:paraId="7F7D9FDF">
      <w:pPr>
        <w:pStyle w:val="2"/>
        <w:spacing w:before="30"/>
        <w:ind w:right="320" w:firstLine="643"/>
        <w:jc w:val="center"/>
      </w:pPr>
    </w:p>
    <w:p w14:paraId="56505ED0">
      <w:pPr>
        <w:pStyle w:val="2"/>
        <w:spacing w:before="30"/>
        <w:ind w:right="320" w:firstLine="643"/>
        <w:jc w:val="center"/>
      </w:pPr>
    </w:p>
    <w:p w14:paraId="443BA0EE">
      <w:pPr>
        <w:pStyle w:val="2"/>
        <w:spacing w:before="30"/>
        <w:ind w:right="320" w:firstLine="643"/>
        <w:jc w:val="center"/>
      </w:pPr>
    </w:p>
    <w:p w14:paraId="6A656D79">
      <w:pPr>
        <w:pStyle w:val="2"/>
        <w:spacing w:before="30"/>
        <w:ind w:right="320" w:firstLine="643"/>
        <w:jc w:val="center"/>
      </w:pPr>
    </w:p>
    <w:p w14:paraId="7532D91B">
      <w:pPr>
        <w:pStyle w:val="2"/>
        <w:spacing w:before="30"/>
        <w:ind w:right="320" w:firstLine="643"/>
        <w:jc w:val="center"/>
      </w:pPr>
    </w:p>
    <w:p w14:paraId="74DC447A">
      <w:pPr>
        <w:pStyle w:val="2"/>
        <w:spacing w:before="30"/>
        <w:ind w:right="320" w:firstLine="643"/>
        <w:jc w:val="center"/>
      </w:pPr>
    </w:p>
    <w:p w14:paraId="69528452">
      <w:pPr>
        <w:pStyle w:val="2"/>
        <w:spacing w:before="30"/>
        <w:ind w:right="320" w:firstLine="643"/>
        <w:jc w:val="center"/>
      </w:pPr>
    </w:p>
    <w:p w14:paraId="0FAE5597">
      <w:pPr>
        <w:pStyle w:val="2"/>
        <w:spacing w:before="30"/>
        <w:ind w:right="320" w:firstLine="643"/>
        <w:jc w:val="center"/>
      </w:pPr>
    </w:p>
    <w:p w14:paraId="6EAEB830">
      <w:pPr>
        <w:pStyle w:val="2"/>
        <w:spacing w:before="30"/>
        <w:ind w:right="320" w:firstLine="643"/>
        <w:jc w:val="center"/>
      </w:pPr>
    </w:p>
    <w:p w14:paraId="3923B09D">
      <w:pPr>
        <w:pStyle w:val="2"/>
        <w:spacing w:before="30"/>
        <w:ind w:right="320" w:firstLine="643"/>
        <w:jc w:val="center"/>
      </w:pPr>
    </w:p>
    <w:p w14:paraId="448B578E">
      <w:pPr>
        <w:pStyle w:val="2"/>
        <w:spacing w:before="30"/>
        <w:ind w:right="320" w:firstLine="643"/>
        <w:jc w:val="center"/>
      </w:pPr>
    </w:p>
    <w:p w14:paraId="2D05F1D7">
      <w:pPr>
        <w:pStyle w:val="2"/>
        <w:spacing w:before="30"/>
        <w:ind w:right="320" w:firstLine="643"/>
        <w:jc w:val="center"/>
      </w:pPr>
    </w:p>
    <w:p w14:paraId="6BAFDACA">
      <w:pPr>
        <w:pStyle w:val="2"/>
        <w:spacing w:before="30"/>
        <w:ind w:right="320" w:firstLine="643"/>
        <w:jc w:val="center"/>
      </w:pPr>
    </w:p>
    <w:p w14:paraId="4ACDB4D3">
      <w:pPr>
        <w:pStyle w:val="2"/>
        <w:spacing w:before="30"/>
        <w:ind w:right="320" w:firstLine="643"/>
        <w:jc w:val="center"/>
      </w:pPr>
    </w:p>
    <w:p w14:paraId="4FF97396">
      <w:pPr>
        <w:pStyle w:val="2"/>
        <w:spacing w:before="30"/>
        <w:ind w:right="320" w:firstLine="643"/>
        <w:jc w:val="center"/>
      </w:pPr>
    </w:p>
    <w:p w14:paraId="7C8D8FB0">
      <w:pPr>
        <w:pStyle w:val="2"/>
        <w:spacing w:before="30"/>
        <w:ind w:right="320" w:firstLine="643"/>
        <w:jc w:val="center"/>
      </w:pPr>
    </w:p>
    <w:p w14:paraId="331BC888">
      <w:pPr>
        <w:pStyle w:val="2"/>
        <w:spacing w:before="30"/>
        <w:ind w:right="320" w:firstLine="643"/>
        <w:jc w:val="center"/>
      </w:pPr>
    </w:p>
    <w:p w14:paraId="08345DBB">
      <w:pPr>
        <w:pStyle w:val="2"/>
        <w:spacing w:before="30"/>
        <w:ind w:right="320" w:firstLine="643"/>
        <w:jc w:val="center"/>
      </w:pPr>
    </w:p>
    <w:p w14:paraId="6D5174C1">
      <w:pPr>
        <w:ind w:firstLine="422"/>
      </w:pPr>
    </w:p>
    <w:p w14:paraId="5D4824D8">
      <w:pPr>
        <w:ind w:firstLine="422"/>
      </w:pPr>
    </w:p>
    <w:p w14:paraId="613295E0">
      <w:pPr>
        <w:ind w:firstLine="422"/>
      </w:pPr>
    </w:p>
    <w:p w14:paraId="6C0CB4BE">
      <w:pPr>
        <w:ind w:firstLine="422"/>
      </w:pPr>
    </w:p>
    <w:p w14:paraId="7CA34AD3">
      <w:pPr>
        <w:ind w:firstLine="422"/>
      </w:pPr>
    </w:p>
    <w:p w14:paraId="385E2FCC">
      <w:pPr>
        <w:ind w:firstLine="422"/>
      </w:pPr>
    </w:p>
    <w:p w14:paraId="1C1BCFBD">
      <w:pPr>
        <w:ind w:firstLine="422"/>
      </w:pPr>
    </w:p>
    <w:p w14:paraId="11E31B7F">
      <w:pPr>
        <w:ind w:firstLine="422"/>
      </w:pPr>
    </w:p>
    <w:p w14:paraId="4C755123">
      <w:pPr>
        <w:ind w:firstLine="422"/>
      </w:pPr>
    </w:p>
    <w:p w14:paraId="09C49FDD">
      <w:pPr>
        <w:ind w:firstLine="422"/>
      </w:pPr>
    </w:p>
    <w:p w14:paraId="68DE928D">
      <w:pPr>
        <w:ind w:firstLine="422"/>
      </w:pPr>
    </w:p>
    <w:p w14:paraId="5630DD40">
      <w:pPr>
        <w:pStyle w:val="2"/>
        <w:spacing w:before="30"/>
        <w:ind w:right="320" w:firstLine="643"/>
        <w:jc w:val="both"/>
      </w:pPr>
    </w:p>
    <w:p w14:paraId="31AA5317">
      <w:pPr>
        <w:pStyle w:val="2"/>
        <w:spacing w:before="30"/>
        <w:ind w:right="320" w:firstLine="643"/>
        <w:jc w:val="both"/>
      </w:pPr>
    </w:p>
    <w:p w14:paraId="2108867F">
      <w:pPr>
        <w:pStyle w:val="2"/>
        <w:spacing w:before="30"/>
        <w:ind w:right="320" w:firstLine="643"/>
        <w:jc w:val="center"/>
      </w:pPr>
      <w:bookmarkStart w:id="139" w:name="_Toc32116"/>
      <w:r>
        <w:t>第</w:t>
      </w:r>
      <w:r>
        <w:rPr>
          <w:rFonts w:hint="eastAsia"/>
        </w:rPr>
        <w:t>八</w:t>
      </w:r>
      <w:r>
        <w:t>章响应文件（格式）</w:t>
      </w:r>
      <w:bookmarkEnd w:id="139"/>
    </w:p>
    <w:p w14:paraId="016AD08B">
      <w:pPr>
        <w:pStyle w:val="12"/>
        <w:ind w:firstLine="640"/>
        <w:rPr>
          <w:b/>
          <w:sz w:val="32"/>
        </w:rPr>
      </w:pPr>
    </w:p>
    <w:p w14:paraId="43A6FAB9">
      <w:pPr>
        <w:pStyle w:val="12"/>
        <w:ind w:firstLine="640"/>
        <w:rPr>
          <w:b/>
          <w:sz w:val="32"/>
        </w:rPr>
      </w:pPr>
    </w:p>
    <w:p w14:paraId="726158D7">
      <w:pPr>
        <w:pStyle w:val="3"/>
        <w:ind w:firstLine="643"/>
      </w:pPr>
      <w:bookmarkStart w:id="140" w:name="_Toc26733"/>
      <w:bookmarkStart w:id="141" w:name="_Toc2749"/>
      <w:r>
        <w:t>响应文件</w:t>
      </w:r>
      <w:bookmarkEnd w:id="140"/>
      <w:bookmarkEnd w:id="141"/>
    </w:p>
    <w:p w14:paraId="4430F9EF">
      <w:pPr>
        <w:pStyle w:val="12"/>
        <w:ind w:firstLine="402"/>
        <w:rPr>
          <w:sz w:val="20"/>
        </w:rPr>
      </w:pPr>
    </w:p>
    <w:p w14:paraId="3BF2D6B1">
      <w:pPr>
        <w:pStyle w:val="12"/>
        <w:ind w:firstLine="361"/>
        <w:rPr>
          <w:sz w:val="18"/>
        </w:rPr>
      </w:pPr>
    </w:p>
    <w:p w14:paraId="241B4AD6">
      <w:pPr>
        <w:pStyle w:val="8"/>
        <w:spacing w:before="67"/>
        <w:ind w:left="840" w:firstLine="482"/>
      </w:pPr>
      <w:r>
        <w:t>项目名称：</w:t>
      </w:r>
    </w:p>
    <w:p w14:paraId="7E889C77">
      <w:pPr>
        <w:pStyle w:val="12"/>
        <w:ind w:firstLine="482"/>
        <w:rPr>
          <w:sz w:val="24"/>
        </w:rPr>
      </w:pPr>
    </w:p>
    <w:p w14:paraId="360A7F15">
      <w:pPr>
        <w:pStyle w:val="12"/>
        <w:ind w:firstLine="482"/>
        <w:rPr>
          <w:sz w:val="24"/>
        </w:rPr>
      </w:pPr>
    </w:p>
    <w:p w14:paraId="0E517810">
      <w:pPr>
        <w:pStyle w:val="12"/>
        <w:spacing w:before="2"/>
        <w:ind w:firstLine="582"/>
        <w:rPr>
          <w:sz w:val="29"/>
        </w:rPr>
      </w:pPr>
    </w:p>
    <w:p w14:paraId="07A4A0BE">
      <w:pPr>
        <w:pStyle w:val="8"/>
        <w:ind w:left="840" w:firstLine="482"/>
      </w:pPr>
      <w:r>
        <w:t>项目编号：</w:t>
      </w:r>
    </w:p>
    <w:p w14:paraId="1DA220CF">
      <w:pPr>
        <w:pStyle w:val="12"/>
        <w:ind w:firstLine="482"/>
        <w:rPr>
          <w:sz w:val="24"/>
        </w:rPr>
      </w:pPr>
    </w:p>
    <w:p w14:paraId="05B0B95D">
      <w:pPr>
        <w:pStyle w:val="12"/>
        <w:ind w:firstLine="482"/>
        <w:rPr>
          <w:sz w:val="24"/>
        </w:rPr>
      </w:pPr>
    </w:p>
    <w:p w14:paraId="69468ED0">
      <w:pPr>
        <w:pStyle w:val="12"/>
        <w:spacing w:before="3"/>
        <w:ind w:firstLine="602"/>
        <w:rPr>
          <w:sz w:val="30"/>
        </w:rPr>
      </w:pPr>
    </w:p>
    <w:p w14:paraId="4DC9E78F">
      <w:pPr>
        <w:pStyle w:val="12"/>
        <w:ind w:firstLine="1299" w:firstLineChars="619"/>
        <w:rPr>
          <w:sz w:val="24"/>
        </w:rPr>
      </w:pPr>
      <w:r>
        <w:t>采购代理机构：</w:t>
      </w:r>
      <w:r>
        <w:rPr>
          <w:rFonts w:hint="eastAsia"/>
        </w:rPr>
        <w:t>南宁品正建设咨询有限责任公司</w:t>
      </w:r>
    </w:p>
    <w:p w14:paraId="589A251D">
      <w:pPr>
        <w:pStyle w:val="12"/>
        <w:ind w:firstLine="482"/>
        <w:rPr>
          <w:sz w:val="24"/>
        </w:rPr>
      </w:pPr>
    </w:p>
    <w:p w14:paraId="5AC3A18C">
      <w:pPr>
        <w:pStyle w:val="12"/>
        <w:ind w:firstLine="482"/>
        <w:rPr>
          <w:sz w:val="24"/>
        </w:rPr>
      </w:pPr>
    </w:p>
    <w:p w14:paraId="16CEC816">
      <w:pPr>
        <w:pStyle w:val="12"/>
        <w:ind w:firstLine="482"/>
        <w:rPr>
          <w:sz w:val="24"/>
        </w:rPr>
      </w:pPr>
    </w:p>
    <w:p w14:paraId="38BD6579">
      <w:pPr>
        <w:pStyle w:val="12"/>
        <w:ind w:firstLine="482"/>
        <w:rPr>
          <w:sz w:val="24"/>
        </w:rPr>
      </w:pPr>
    </w:p>
    <w:p w14:paraId="6BCEAEEB">
      <w:pPr>
        <w:pStyle w:val="12"/>
        <w:ind w:firstLine="482"/>
        <w:rPr>
          <w:sz w:val="24"/>
        </w:rPr>
      </w:pPr>
    </w:p>
    <w:p w14:paraId="2BD960CA">
      <w:pPr>
        <w:pStyle w:val="12"/>
        <w:ind w:firstLine="482"/>
        <w:rPr>
          <w:sz w:val="24"/>
        </w:rPr>
      </w:pPr>
    </w:p>
    <w:p w14:paraId="3107DC82">
      <w:pPr>
        <w:pStyle w:val="12"/>
        <w:ind w:firstLine="482"/>
        <w:rPr>
          <w:sz w:val="24"/>
        </w:rPr>
      </w:pPr>
    </w:p>
    <w:p w14:paraId="5B72DD8F">
      <w:pPr>
        <w:pStyle w:val="12"/>
        <w:ind w:firstLine="482"/>
        <w:rPr>
          <w:sz w:val="24"/>
        </w:rPr>
      </w:pPr>
    </w:p>
    <w:p w14:paraId="21534517">
      <w:pPr>
        <w:pStyle w:val="12"/>
        <w:ind w:firstLine="482"/>
        <w:rPr>
          <w:sz w:val="24"/>
        </w:rPr>
      </w:pPr>
    </w:p>
    <w:p w14:paraId="49413DE3">
      <w:pPr>
        <w:pStyle w:val="12"/>
        <w:ind w:firstLine="482"/>
        <w:rPr>
          <w:sz w:val="24"/>
        </w:rPr>
      </w:pPr>
    </w:p>
    <w:p w14:paraId="0DDD9CFE">
      <w:pPr>
        <w:pStyle w:val="12"/>
        <w:spacing w:before="10"/>
        <w:ind w:firstLine="683"/>
        <w:rPr>
          <w:sz w:val="34"/>
        </w:rPr>
      </w:pPr>
    </w:p>
    <w:p w14:paraId="62B58705">
      <w:pPr>
        <w:pStyle w:val="7"/>
        <w:ind w:left="900" w:firstLine="482"/>
      </w:pPr>
      <w:r>
        <w:t>磋商供应商[公章(CA签章)、自然人除外]：</w:t>
      </w:r>
    </w:p>
    <w:p w14:paraId="69CDA0AE">
      <w:pPr>
        <w:pStyle w:val="12"/>
        <w:spacing w:before="8"/>
        <w:ind w:firstLine="380"/>
        <w:rPr>
          <w:b/>
          <w:sz w:val="19"/>
        </w:rPr>
      </w:pPr>
    </w:p>
    <w:p w14:paraId="1F9152E9">
      <w:pPr>
        <w:pStyle w:val="7"/>
        <w:ind w:left="900" w:firstLine="482"/>
      </w:pPr>
      <w:r>
        <w:t>法定代表人、负责人、自然人或相应的委托代理人签字[或盖章(CA签章)]</w:t>
      </w:r>
    </w:p>
    <w:p w14:paraId="7C1C2268">
      <w:pPr>
        <w:pStyle w:val="7"/>
        <w:spacing w:before="134" w:line="436" w:lineRule="auto"/>
        <w:ind w:left="900" w:right="3020" w:firstLine="482"/>
      </w:pPr>
      <w:r>
        <w:t>（属自然人的应在签名处加盖大拇指指印或个人CA签章）：联系电话：</w:t>
      </w:r>
    </w:p>
    <w:p w14:paraId="51DE1170">
      <w:pPr>
        <w:pStyle w:val="7"/>
        <w:spacing w:line="307" w:lineRule="exact"/>
        <w:ind w:left="900" w:firstLine="482"/>
      </w:pPr>
      <w:r>
        <w:t>日期：年月日</w:t>
      </w:r>
    </w:p>
    <w:p w14:paraId="610437D2">
      <w:pPr>
        <w:spacing w:line="307" w:lineRule="exact"/>
        <w:ind w:firstLine="422"/>
        <w:sectPr>
          <w:footerReference r:id="rId12" w:type="default"/>
          <w:pgSz w:w="11910" w:h="16840"/>
          <w:pgMar w:top="1500" w:right="640" w:bottom="1180" w:left="960" w:header="0" w:footer="954" w:gutter="0"/>
          <w:cols w:space="720" w:num="1"/>
        </w:sectPr>
      </w:pPr>
    </w:p>
    <w:p w14:paraId="5FDB5C19">
      <w:pPr>
        <w:spacing w:before="43"/>
        <w:ind w:left="480" w:firstLine="643"/>
        <w:outlineLvl w:val="0"/>
        <w:rPr>
          <w:b/>
          <w:sz w:val="32"/>
        </w:rPr>
      </w:pPr>
      <w:bookmarkStart w:id="142" w:name="二、响应文件组成"/>
      <w:bookmarkEnd w:id="142"/>
      <w:bookmarkStart w:id="143" w:name="_Toc20369"/>
      <w:bookmarkStart w:id="144" w:name="_Toc29213"/>
      <w:bookmarkStart w:id="145" w:name="_Toc18970"/>
      <w:r>
        <w:rPr>
          <w:b/>
          <w:sz w:val="32"/>
        </w:rPr>
        <w:t>二、响应文件组成</w:t>
      </w:r>
      <w:bookmarkEnd w:id="143"/>
      <w:bookmarkEnd w:id="144"/>
      <w:bookmarkEnd w:id="145"/>
    </w:p>
    <w:p w14:paraId="28DF6B27">
      <w:pPr>
        <w:pStyle w:val="12"/>
        <w:ind w:firstLine="640"/>
        <w:rPr>
          <w:b/>
          <w:sz w:val="32"/>
        </w:rPr>
      </w:pPr>
    </w:p>
    <w:p w14:paraId="452A6779">
      <w:pPr>
        <w:pStyle w:val="12"/>
        <w:spacing w:before="8"/>
        <w:ind w:firstLine="580"/>
        <w:rPr>
          <w:b/>
          <w:sz w:val="29"/>
        </w:rPr>
      </w:pPr>
    </w:p>
    <w:p w14:paraId="6010761F">
      <w:pPr>
        <w:ind w:left="480" w:firstLine="482"/>
        <w:rPr>
          <w:b/>
          <w:sz w:val="32"/>
        </w:rPr>
      </w:pPr>
      <w:r>
        <w:rPr>
          <w:b/>
          <w:sz w:val="24"/>
        </w:rPr>
        <w:t>（一）</w:t>
      </w:r>
      <w:r>
        <w:rPr>
          <w:b/>
          <w:sz w:val="32"/>
        </w:rPr>
        <w:t>资格性响应证明材料</w:t>
      </w:r>
    </w:p>
    <w:p w14:paraId="1FF085E3">
      <w:pPr>
        <w:pStyle w:val="12"/>
        <w:ind w:firstLine="640"/>
        <w:rPr>
          <w:b/>
          <w:sz w:val="32"/>
        </w:rPr>
      </w:pPr>
    </w:p>
    <w:p w14:paraId="471B75CA">
      <w:pPr>
        <w:pStyle w:val="12"/>
        <w:ind w:firstLine="640"/>
        <w:rPr>
          <w:b/>
          <w:sz w:val="32"/>
        </w:rPr>
      </w:pPr>
    </w:p>
    <w:p w14:paraId="17DD3902">
      <w:pPr>
        <w:pStyle w:val="12"/>
        <w:spacing w:before="12"/>
        <w:ind w:firstLine="560"/>
        <w:rPr>
          <w:b/>
          <w:sz w:val="28"/>
        </w:rPr>
      </w:pPr>
    </w:p>
    <w:p w14:paraId="6C73767E">
      <w:pPr>
        <w:ind w:left="480" w:firstLine="482"/>
        <w:rPr>
          <w:b/>
          <w:sz w:val="32"/>
        </w:rPr>
      </w:pPr>
      <w:r>
        <w:rPr>
          <w:b/>
          <w:sz w:val="24"/>
        </w:rPr>
        <w:t>（二）</w:t>
      </w:r>
      <w:r>
        <w:rPr>
          <w:b/>
          <w:sz w:val="32"/>
        </w:rPr>
        <w:t>符合性响应证明材料</w:t>
      </w:r>
    </w:p>
    <w:p w14:paraId="268EBA39">
      <w:pPr>
        <w:pStyle w:val="12"/>
        <w:ind w:firstLine="640"/>
        <w:rPr>
          <w:b/>
          <w:sz w:val="32"/>
        </w:rPr>
      </w:pPr>
    </w:p>
    <w:p w14:paraId="7735CFB0">
      <w:pPr>
        <w:pStyle w:val="12"/>
        <w:ind w:firstLine="640"/>
        <w:rPr>
          <w:b/>
          <w:sz w:val="32"/>
        </w:rPr>
      </w:pPr>
    </w:p>
    <w:p w14:paraId="343B28E4">
      <w:pPr>
        <w:pStyle w:val="12"/>
        <w:spacing w:before="10"/>
        <w:ind w:firstLine="560"/>
        <w:rPr>
          <w:b/>
          <w:sz w:val="28"/>
        </w:rPr>
      </w:pPr>
    </w:p>
    <w:p w14:paraId="4BE4FBCB">
      <w:pPr>
        <w:ind w:left="480" w:firstLine="482"/>
        <w:rPr>
          <w:b/>
          <w:sz w:val="32"/>
        </w:rPr>
      </w:pPr>
      <w:r>
        <w:rPr>
          <w:b/>
          <w:sz w:val="24"/>
        </w:rPr>
        <w:t>（三）</w:t>
      </w:r>
      <w:r>
        <w:rPr>
          <w:b/>
          <w:sz w:val="32"/>
        </w:rPr>
        <w:t>其它有效证明材料</w:t>
      </w:r>
    </w:p>
    <w:p w14:paraId="00A088E9">
      <w:pPr>
        <w:ind w:firstLine="643"/>
        <w:rPr>
          <w:sz w:val="32"/>
        </w:rPr>
        <w:sectPr>
          <w:pgSz w:w="11910" w:h="16840"/>
          <w:pgMar w:top="1900" w:right="640" w:bottom="1180" w:left="960" w:header="0" w:footer="954" w:gutter="0"/>
          <w:cols w:space="720" w:num="1"/>
        </w:sectPr>
      </w:pPr>
    </w:p>
    <w:p w14:paraId="074363C0">
      <w:pPr>
        <w:spacing w:before="24" w:line="360" w:lineRule="auto"/>
        <w:ind w:right="322" w:firstLine="643"/>
        <w:jc w:val="center"/>
        <w:rPr>
          <w:b/>
          <w:sz w:val="32"/>
        </w:rPr>
      </w:pPr>
      <w:r>
        <w:rPr>
          <w:b/>
          <w:sz w:val="32"/>
        </w:rPr>
        <w:t>（一）资格性响应证明材料目录</w:t>
      </w:r>
    </w:p>
    <w:p w14:paraId="3C722C36">
      <w:pPr>
        <w:spacing w:line="360" w:lineRule="auto"/>
        <w:ind w:firstLine="420" w:firstLineChars="200"/>
        <w:rPr>
          <w:sz w:val="21"/>
          <w:szCs w:val="21"/>
        </w:rPr>
      </w:pPr>
      <w:r>
        <w:rPr>
          <w:rFonts w:hint="eastAsia"/>
          <w:sz w:val="21"/>
          <w:szCs w:val="21"/>
        </w:rPr>
        <w:t>1.供应商相应的法定代表人(负责人、自然人)身份证正反两面复印件</w:t>
      </w:r>
      <w:r>
        <w:rPr>
          <w:rFonts w:hint="eastAsia"/>
          <w:b/>
          <w:bCs/>
          <w:sz w:val="21"/>
          <w:szCs w:val="21"/>
        </w:rPr>
        <w:t>（必须提供）；</w:t>
      </w:r>
    </w:p>
    <w:p w14:paraId="5D1A4B12">
      <w:pPr>
        <w:spacing w:line="360" w:lineRule="auto"/>
        <w:ind w:firstLine="420" w:firstLineChars="200"/>
        <w:rPr>
          <w:sz w:val="21"/>
          <w:szCs w:val="21"/>
        </w:rPr>
      </w:pPr>
      <w:r>
        <w:rPr>
          <w:rFonts w:hint="eastAsia"/>
          <w:sz w:val="21"/>
          <w:szCs w:val="21"/>
        </w:rPr>
        <w:t>2.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07CA1DC0">
      <w:pPr>
        <w:spacing w:line="360" w:lineRule="auto"/>
        <w:ind w:firstLine="420" w:firstLineChars="200"/>
        <w:rPr>
          <w:sz w:val="21"/>
          <w:szCs w:val="21"/>
        </w:rPr>
      </w:pPr>
      <w:r>
        <w:rPr>
          <w:rFonts w:hint="eastAsia"/>
          <w:sz w:val="21"/>
          <w:szCs w:val="21"/>
        </w:rPr>
        <w:t>①如供应商为截标时间前60日以内成立的公司，可以提供供应商与委托代理人签订的劳动合同复印件代替社保证明复印件；</w:t>
      </w:r>
    </w:p>
    <w:p w14:paraId="72CA14B1">
      <w:pPr>
        <w:spacing w:line="360" w:lineRule="auto"/>
        <w:ind w:firstLine="420" w:firstLineChars="200"/>
        <w:rPr>
          <w:sz w:val="21"/>
          <w:szCs w:val="21"/>
        </w:rPr>
      </w:pPr>
      <w:r>
        <w:rPr>
          <w:rFonts w:hint="eastAsia"/>
          <w:sz w:val="21"/>
          <w:szCs w:val="21"/>
        </w:rPr>
        <w:t>②如供应商为事业单位，可以提供事业单位机构编制管理证复印件或事业单位机构为其发放工资的工资条复印件代替社保证明复印件；</w:t>
      </w:r>
    </w:p>
    <w:p w14:paraId="7C7F1177">
      <w:pPr>
        <w:spacing w:line="360" w:lineRule="auto"/>
        <w:ind w:firstLine="420" w:firstLineChars="200"/>
        <w:rPr>
          <w:sz w:val="21"/>
          <w:szCs w:val="21"/>
        </w:rPr>
      </w:pPr>
      <w:r>
        <w:rPr>
          <w:rFonts w:hint="eastAsia"/>
          <w:sz w:val="21"/>
          <w:szCs w:val="21"/>
        </w:rPr>
        <w:t>③如委托代理人为免缴纳社保人员，提供免缴纳社保的证明材料复印件及供应商与委托代理人签订的劳动合同复印件代替社保证明复印件。</w:t>
      </w:r>
    </w:p>
    <w:p w14:paraId="138C84CD">
      <w:pPr>
        <w:spacing w:line="360" w:lineRule="auto"/>
        <w:ind w:firstLine="420" w:firstLineChars="200"/>
        <w:rPr>
          <w:sz w:val="21"/>
          <w:szCs w:val="21"/>
        </w:rPr>
      </w:pPr>
      <w:r>
        <w:rPr>
          <w:rFonts w:hint="eastAsia"/>
          <w:sz w:val="21"/>
          <w:szCs w:val="21"/>
        </w:rPr>
        <w:t>【属自然人的应提供由县级以上（含县级）社会养老保险经办机构出具的自然人本人及委托代理人所交纳的响应文件递交截止时间前半年内任意连续三个月社保证明复印件】</w:t>
      </w:r>
      <w:r>
        <w:rPr>
          <w:rFonts w:hint="eastAsia"/>
          <w:b/>
          <w:bCs/>
          <w:sz w:val="21"/>
          <w:szCs w:val="21"/>
        </w:rPr>
        <w:t>（委托代理时必须提供）</w:t>
      </w:r>
      <w:r>
        <w:rPr>
          <w:rFonts w:hint="eastAsia"/>
          <w:sz w:val="21"/>
          <w:szCs w:val="21"/>
        </w:rPr>
        <w:t>；</w:t>
      </w:r>
    </w:p>
    <w:p w14:paraId="526F6F42">
      <w:pPr>
        <w:spacing w:line="360" w:lineRule="auto"/>
        <w:ind w:firstLine="420" w:firstLineChars="200"/>
        <w:rPr>
          <w:sz w:val="21"/>
          <w:szCs w:val="21"/>
        </w:rPr>
      </w:pPr>
      <w:r>
        <w:rPr>
          <w:rFonts w:hint="eastAsia"/>
          <w:sz w:val="21"/>
          <w:szCs w:val="21"/>
        </w:rPr>
        <w:t>3.供应商的法人或者其他组织营业执照等证明文件复印件</w:t>
      </w:r>
      <w:r>
        <w:rPr>
          <w:rFonts w:hint="eastAsia"/>
          <w:b/>
          <w:bCs/>
          <w:sz w:val="21"/>
          <w:szCs w:val="21"/>
        </w:rPr>
        <w:t>（必须提供，自然人除外）</w:t>
      </w:r>
      <w:r>
        <w:rPr>
          <w:rFonts w:hint="eastAsia"/>
          <w:sz w:val="21"/>
          <w:szCs w:val="21"/>
        </w:rPr>
        <w:t>；</w:t>
      </w:r>
    </w:p>
    <w:p w14:paraId="20ABE852">
      <w:pPr>
        <w:spacing w:line="360" w:lineRule="auto"/>
        <w:ind w:firstLine="420" w:firstLineChars="200"/>
        <w:rPr>
          <w:sz w:val="21"/>
          <w:szCs w:val="21"/>
        </w:rPr>
      </w:pPr>
      <w:r>
        <w:rPr>
          <w:rFonts w:hint="eastAsia"/>
          <w:sz w:val="21"/>
          <w:szCs w:val="21"/>
        </w:rPr>
        <w:t>注：①法人包括企业法人、机关法人、事业单位法人和社会团体法人；其他组织主要包括合伙企业、非企业专业服务机构、个体工商户、农村承包经营户。②如供应商为企业（包括合伙企业），应提供市场监督管理部门或行政审批部门注册的有效“企业法人营业执照”或“营业执照；供应商为事业单位，应提供有效的“事业单位法人证书”；供应商为非企业专业服务机构的，应提供执业许可证等证明文件；供应商为个体工商户，应提供有效的“个体工商户营业执照”；供应商为社会团体法人的，应提供有效的“社会团体法人登记证书”。③如供应商为企业法人的分支机构的，除应提供营业执照复印件外，还应提供其所属的总公司授权其参加政府采购的授权文件或总公司颁布的授权其独立开展经营业务活动的证明材料复印件。</w:t>
      </w:r>
    </w:p>
    <w:p w14:paraId="1E4F604A">
      <w:pPr>
        <w:spacing w:line="360" w:lineRule="auto"/>
        <w:ind w:firstLine="420" w:firstLineChars="200"/>
        <w:rPr>
          <w:sz w:val="21"/>
          <w:szCs w:val="21"/>
        </w:rPr>
      </w:pPr>
      <w:r>
        <w:rPr>
          <w:rFonts w:hint="eastAsia"/>
          <w:sz w:val="21"/>
          <w:szCs w:val="21"/>
        </w:rPr>
        <w:t>4.供应商有效的资质证书复印件</w:t>
      </w:r>
      <w:r>
        <w:rPr>
          <w:rFonts w:hint="eastAsia"/>
          <w:b/>
          <w:bCs/>
          <w:sz w:val="21"/>
          <w:szCs w:val="21"/>
        </w:rPr>
        <w:t>（必须提供）</w:t>
      </w:r>
      <w:r>
        <w:rPr>
          <w:rFonts w:hint="eastAsia"/>
          <w:sz w:val="21"/>
          <w:szCs w:val="21"/>
        </w:rPr>
        <w:t>；</w:t>
      </w:r>
    </w:p>
    <w:p w14:paraId="7FA41834">
      <w:pPr>
        <w:spacing w:line="360" w:lineRule="auto"/>
        <w:ind w:firstLine="420" w:firstLineChars="200"/>
        <w:rPr>
          <w:sz w:val="21"/>
          <w:szCs w:val="21"/>
        </w:rPr>
      </w:pPr>
      <w:r>
        <w:rPr>
          <w:rFonts w:hint="eastAsia"/>
          <w:sz w:val="21"/>
          <w:szCs w:val="21"/>
        </w:rPr>
        <w:t>5.供应商有效的安全生产许可证书扫描件</w:t>
      </w:r>
      <w:r>
        <w:rPr>
          <w:rFonts w:hint="eastAsia"/>
          <w:b/>
          <w:bCs/>
          <w:sz w:val="21"/>
          <w:szCs w:val="21"/>
        </w:rPr>
        <w:t>（必须提供）</w:t>
      </w:r>
      <w:r>
        <w:rPr>
          <w:rFonts w:hint="eastAsia"/>
          <w:sz w:val="21"/>
          <w:szCs w:val="21"/>
        </w:rPr>
        <w:t>；</w:t>
      </w:r>
    </w:p>
    <w:p w14:paraId="6660DA63">
      <w:pPr>
        <w:spacing w:line="360" w:lineRule="auto"/>
        <w:ind w:firstLine="420" w:firstLineChars="200"/>
        <w:rPr>
          <w:sz w:val="21"/>
          <w:szCs w:val="21"/>
        </w:rPr>
      </w:pPr>
      <w:r>
        <w:rPr>
          <w:rFonts w:hint="eastAsia"/>
          <w:sz w:val="21"/>
          <w:szCs w:val="21"/>
        </w:rPr>
        <w:t>6.项目经理：符合第三章“采购需求”项目经理资格要求</w:t>
      </w:r>
      <w:r>
        <w:rPr>
          <w:rFonts w:hint="eastAsia"/>
          <w:b/>
          <w:bCs/>
          <w:sz w:val="21"/>
          <w:szCs w:val="21"/>
        </w:rPr>
        <w:t>（必须提供）</w:t>
      </w:r>
      <w:r>
        <w:rPr>
          <w:rFonts w:hint="eastAsia"/>
          <w:sz w:val="21"/>
          <w:szCs w:val="21"/>
        </w:rPr>
        <w:t>；</w:t>
      </w:r>
    </w:p>
    <w:p w14:paraId="249F2B1D">
      <w:pPr>
        <w:spacing w:line="360" w:lineRule="auto"/>
        <w:ind w:firstLine="420" w:firstLineChars="200"/>
        <w:rPr>
          <w:sz w:val="21"/>
          <w:szCs w:val="21"/>
        </w:rPr>
      </w:pPr>
      <w:r>
        <w:rPr>
          <w:rFonts w:hint="eastAsia"/>
          <w:sz w:val="21"/>
          <w:szCs w:val="21"/>
        </w:rPr>
        <w:t>7.项目总工：符合第三章“采购需求”项目总工资格要求</w:t>
      </w:r>
      <w:r>
        <w:rPr>
          <w:rFonts w:hint="eastAsia"/>
          <w:b/>
          <w:bCs/>
          <w:sz w:val="21"/>
          <w:szCs w:val="21"/>
        </w:rPr>
        <w:t>（必须提供）</w:t>
      </w:r>
      <w:r>
        <w:rPr>
          <w:rFonts w:hint="eastAsia"/>
          <w:sz w:val="21"/>
          <w:szCs w:val="21"/>
        </w:rPr>
        <w:t>；</w:t>
      </w:r>
    </w:p>
    <w:p w14:paraId="540DB25C">
      <w:pPr>
        <w:spacing w:line="360" w:lineRule="auto"/>
        <w:ind w:firstLine="420" w:firstLineChars="200"/>
        <w:rPr>
          <w:sz w:val="21"/>
          <w:szCs w:val="21"/>
        </w:rPr>
      </w:pPr>
      <w:r>
        <w:rPr>
          <w:rFonts w:hint="eastAsia"/>
          <w:sz w:val="21"/>
          <w:szCs w:val="21"/>
        </w:rPr>
        <w:t>8.供应商参加政府采购活动前3年内在经营活动中没有重大违法记录及有关信用信息的书面声明</w:t>
      </w:r>
      <w:r>
        <w:rPr>
          <w:rFonts w:hint="eastAsia"/>
          <w:b/>
          <w:bCs/>
          <w:sz w:val="21"/>
          <w:szCs w:val="21"/>
        </w:rPr>
        <w:t>（必须提供）</w:t>
      </w:r>
      <w:r>
        <w:rPr>
          <w:rFonts w:hint="eastAsia"/>
          <w:sz w:val="21"/>
          <w:szCs w:val="21"/>
        </w:rPr>
        <w:t>；</w:t>
      </w:r>
    </w:p>
    <w:p w14:paraId="059E92C0">
      <w:pPr>
        <w:spacing w:line="360" w:lineRule="auto"/>
        <w:ind w:firstLine="420" w:firstLineChars="200"/>
        <w:rPr>
          <w:sz w:val="21"/>
          <w:szCs w:val="21"/>
        </w:rPr>
      </w:pPr>
      <w:r>
        <w:rPr>
          <w:rFonts w:hint="eastAsia"/>
          <w:sz w:val="21"/>
          <w:szCs w:val="21"/>
        </w:rPr>
        <w:t>9.供应商</w:t>
      </w:r>
      <w:r>
        <w:rPr>
          <w:rFonts w:hint="eastAsia"/>
          <w:color w:val="auto"/>
          <w:sz w:val="21"/>
          <w:szCs w:val="21"/>
          <w:highlight w:val="none"/>
        </w:rPr>
        <w:t>2021-2023</w:t>
      </w:r>
      <w:r>
        <w:rPr>
          <w:rFonts w:hint="eastAsia"/>
          <w:sz w:val="21"/>
          <w:szCs w:val="21"/>
        </w:rPr>
        <w:t>年度以来通过中介审计的有效财务审计报告（新成立的公司应提供公司成立日之后的财务报表扫描件）</w:t>
      </w:r>
      <w:r>
        <w:rPr>
          <w:rFonts w:hint="eastAsia"/>
          <w:b/>
          <w:bCs/>
          <w:sz w:val="21"/>
          <w:szCs w:val="21"/>
        </w:rPr>
        <w:t>（必须提供）</w:t>
      </w:r>
      <w:r>
        <w:rPr>
          <w:rFonts w:hint="eastAsia"/>
          <w:sz w:val="21"/>
          <w:szCs w:val="21"/>
        </w:rPr>
        <w:t>；</w:t>
      </w:r>
    </w:p>
    <w:p w14:paraId="6D7EAA03">
      <w:pPr>
        <w:spacing w:line="360" w:lineRule="auto"/>
        <w:ind w:firstLine="420" w:firstLineChars="200"/>
        <w:rPr>
          <w:b/>
          <w:bCs/>
          <w:sz w:val="21"/>
          <w:szCs w:val="21"/>
        </w:rPr>
      </w:pPr>
      <w:r>
        <w:rPr>
          <w:rFonts w:hint="eastAsia"/>
          <w:sz w:val="21"/>
          <w:szCs w:val="21"/>
        </w:rPr>
        <w:t>10</w:t>
      </w:r>
      <w:r>
        <w:rPr>
          <w:rFonts w:hint="eastAsia"/>
          <w:b/>
          <w:bCs/>
          <w:sz w:val="21"/>
          <w:szCs w:val="21"/>
        </w:rPr>
        <w:t>.</w:t>
      </w:r>
      <w:r>
        <w:rPr>
          <w:rFonts w:hint="eastAsia"/>
          <w:b/>
          <w:bCs/>
          <w:sz w:val="21"/>
          <w:szCs w:val="21"/>
          <w:lang w:eastAsia="zh-CN"/>
        </w:rPr>
        <w:t>本项目专门面向中小企业采购</w:t>
      </w:r>
      <w:r>
        <w:rPr>
          <w:rFonts w:hint="eastAsia"/>
          <w:b/>
          <w:bCs/>
          <w:sz w:val="21"/>
          <w:szCs w:val="21"/>
        </w:rPr>
        <w:t>。(监狱企业或残疾人福利性单位)的相关材料；根据企业所属类型，必须提供以下材料之一：</w:t>
      </w:r>
    </w:p>
    <w:p w14:paraId="2DF3C231">
      <w:pPr>
        <w:spacing w:line="360" w:lineRule="auto"/>
        <w:ind w:firstLine="420" w:firstLineChars="200"/>
        <w:rPr>
          <w:sz w:val="21"/>
          <w:szCs w:val="21"/>
        </w:rPr>
      </w:pPr>
      <w:r>
        <w:rPr>
          <w:rFonts w:hint="eastAsia"/>
          <w:sz w:val="21"/>
          <w:szCs w:val="21"/>
        </w:rPr>
        <w:t>①中小企业声明函（如供应商为中小型企业的，格式见附件，供应商对出具的声明函真实性负责，成交结果将同时公告企业《中小企业声明函》，接受社会监督）；</w:t>
      </w:r>
    </w:p>
    <w:p w14:paraId="6EAC18A1">
      <w:pPr>
        <w:spacing w:line="360" w:lineRule="auto"/>
        <w:ind w:firstLine="420" w:firstLineChars="200"/>
        <w:rPr>
          <w:sz w:val="21"/>
          <w:szCs w:val="21"/>
        </w:rPr>
      </w:pPr>
      <w:r>
        <w:rPr>
          <w:rFonts w:hint="eastAsia"/>
          <w:sz w:val="21"/>
          <w:szCs w:val="21"/>
        </w:rPr>
        <w:t>②监狱企业的证明文件[供应商如为监狱企业的，应当提供由省级以上监狱管理局、戒毒管理局（含新疆生产建设兵团）出具的属于监狱企业的证明文件,否则不予享受优惠政策]；</w:t>
      </w:r>
    </w:p>
    <w:p w14:paraId="3C2B68F4">
      <w:pPr>
        <w:spacing w:line="360" w:lineRule="auto"/>
        <w:ind w:firstLine="420" w:firstLineChars="200"/>
        <w:rPr>
          <w:sz w:val="21"/>
          <w:szCs w:val="21"/>
        </w:rPr>
      </w:pPr>
      <w:r>
        <w:rPr>
          <w:rFonts w:hint="eastAsia"/>
          <w:sz w:val="21"/>
          <w:szCs w:val="21"/>
        </w:rPr>
        <w:t>③《残疾人福利性单位声明函》【符合条件的残疾人福利性单位在参加政府采购活动时，应当提供《残疾人福利性单位声明函》（格式见附件），并对声明的真实性负责，成交结果将同时公告企业《残疾人福利性单位声明函》，接受社会监督】。</w:t>
      </w:r>
    </w:p>
    <w:p w14:paraId="4F26064D">
      <w:pPr>
        <w:spacing w:line="360" w:lineRule="auto"/>
        <w:ind w:firstLine="420" w:firstLineChars="200"/>
        <w:rPr>
          <w:sz w:val="21"/>
          <w:szCs w:val="21"/>
        </w:rPr>
      </w:pPr>
      <w:r>
        <w:rPr>
          <w:rFonts w:hint="eastAsia"/>
          <w:sz w:val="21"/>
          <w:szCs w:val="21"/>
        </w:rPr>
        <w:t>注：</w:t>
      </w:r>
      <w:r>
        <w:rPr>
          <w:rFonts w:hint="eastAsia"/>
          <w:sz w:val="21"/>
          <w:szCs w:val="21"/>
          <w:lang w:eastAsia="zh-CN"/>
        </w:rPr>
        <w:t>本项目专门面向中小企业采购</w:t>
      </w:r>
      <w:r>
        <w:rPr>
          <w:rFonts w:hint="eastAsia"/>
          <w:sz w:val="21"/>
          <w:szCs w:val="21"/>
        </w:rPr>
        <w:t>（监狱企业及残疾人福利性单位视同于小微企业），本项目不接受非上述企业参与磋商。）</w:t>
      </w:r>
    </w:p>
    <w:p w14:paraId="35B2ECEC">
      <w:pPr>
        <w:spacing w:line="360" w:lineRule="auto"/>
        <w:ind w:firstLine="422"/>
        <w:rPr>
          <w:sz w:val="21"/>
          <w:szCs w:val="21"/>
        </w:rPr>
      </w:pPr>
    </w:p>
    <w:p w14:paraId="077F95C8">
      <w:pPr>
        <w:spacing w:line="338" w:lineRule="auto"/>
        <w:ind w:firstLine="422"/>
      </w:pPr>
    </w:p>
    <w:p w14:paraId="134FEFFD">
      <w:pPr>
        <w:spacing w:line="338" w:lineRule="auto"/>
        <w:ind w:firstLine="422"/>
      </w:pPr>
    </w:p>
    <w:p w14:paraId="52F208D9">
      <w:pPr>
        <w:spacing w:line="338" w:lineRule="auto"/>
        <w:ind w:firstLine="422"/>
      </w:pPr>
    </w:p>
    <w:p w14:paraId="521E1D33">
      <w:pPr>
        <w:spacing w:line="338" w:lineRule="auto"/>
        <w:ind w:firstLine="422"/>
      </w:pPr>
    </w:p>
    <w:p w14:paraId="52B63E7D">
      <w:pPr>
        <w:spacing w:line="338" w:lineRule="auto"/>
        <w:ind w:firstLine="422"/>
      </w:pPr>
    </w:p>
    <w:p w14:paraId="043E7121">
      <w:pPr>
        <w:spacing w:line="338" w:lineRule="auto"/>
        <w:ind w:firstLine="422"/>
      </w:pPr>
    </w:p>
    <w:p w14:paraId="2E315D2F">
      <w:pPr>
        <w:spacing w:line="338" w:lineRule="auto"/>
        <w:ind w:firstLine="422"/>
      </w:pPr>
    </w:p>
    <w:p w14:paraId="788491D8">
      <w:pPr>
        <w:spacing w:line="338" w:lineRule="auto"/>
        <w:ind w:firstLine="422"/>
      </w:pPr>
    </w:p>
    <w:p w14:paraId="768951B6">
      <w:pPr>
        <w:spacing w:line="338" w:lineRule="auto"/>
        <w:ind w:firstLine="422"/>
      </w:pPr>
    </w:p>
    <w:p w14:paraId="66EAF286">
      <w:pPr>
        <w:spacing w:line="338" w:lineRule="auto"/>
        <w:ind w:firstLine="422"/>
      </w:pPr>
    </w:p>
    <w:p w14:paraId="6A6B5FC9">
      <w:pPr>
        <w:spacing w:line="338" w:lineRule="auto"/>
        <w:ind w:firstLine="422"/>
      </w:pPr>
    </w:p>
    <w:p w14:paraId="7549EBC3">
      <w:pPr>
        <w:spacing w:line="338" w:lineRule="auto"/>
        <w:ind w:firstLine="422"/>
      </w:pPr>
    </w:p>
    <w:p w14:paraId="705E8920">
      <w:pPr>
        <w:spacing w:line="338" w:lineRule="auto"/>
        <w:ind w:firstLine="422"/>
      </w:pPr>
    </w:p>
    <w:p w14:paraId="4DB357FD">
      <w:pPr>
        <w:spacing w:line="338" w:lineRule="auto"/>
        <w:ind w:firstLine="422"/>
      </w:pPr>
    </w:p>
    <w:p w14:paraId="369F133D">
      <w:pPr>
        <w:spacing w:line="338" w:lineRule="auto"/>
        <w:ind w:firstLine="422"/>
      </w:pPr>
    </w:p>
    <w:p w14:paraId="0B325A63">
      <w:pPr>
        <w:spacing w:line="338" w:lineRule="auto"/>
        <w:ind w:firstLine="422"/>
      </w:pPr>
    </w:p>
    <w:p w14:paraId="4B682660">
      <w:pPr>
        <w:spacing w:line="338" w:lineRule="auto"/>
        <w:ind w:firstLine="422"/>
      </w:pPr>
    </w:p>
    <w:p w14:paraId="6123B3C4">
      <w:pPr>
        <w:spacing w:line="338" w:lineRule="auto"/>
        <w:ind w:firstLine="422"/>
      </w:pPr>
    </w:p>
    <w:p w14:paraId="13212FD0">
      <w:pPr>
        <w:spacing w:line="338" w:lineRule="auto"/>
        <w:ind w:firstLine="422"/>
      </w:pPr>
    </w:p>
    <w:p w14:paraId="3AD7CE0B">
      <w:pPr>
        <w:spacing w:line="338" w:lineRule="auto"/>
        <w:ind w:firstLine="422"/>
      </w:pPr>
    </w:p>
    <w:p w14:paraId="42CD5A88">
      <w:pPr>
        <w:spacing w:line="338" w:lineRule="auto"/>
        <w:ind w:firstLine="422"/>
      </w:pPr>
    </w:p>
    <w:p w14:paraId="6DC8383C">
      <w:pPr>
        <w:spacing w:line="338" w:lineRule="auto"/>
        <w:ind w:firstLine="422"/>
      </w:pPr>
    </w:p>
    <w:p w14:paraId="116A871D">
      <w:pPr>
        <w:spacing w:line="338" w:lineRule="auto"/>
        <w:ind w:firstLine="422"/>
      </w:pPr>
    </w:p>
    <w:p w14:paraId="0B08A384">
      <w:pPr>
        <w:spacing w:line="338" w:lineRule="auto"/>
        <w:ind w:firstLine="422"/>
      </w:pPr>
    </w:p>
    <w:p w14:paraId="4165F65E">
      <w:pPr>
        <w:spacing w:line="338" w:lineRule="auto"/>
        <w:ind w:firstLine="422"/>
      </w:pPr>
    </w:p>
    <w:p w14:paraId="2932836D">
      <w:pPr>
        <w:spacing w:line="338" w:lineRule="auto"/>
        <w:ind w:firstLine="422"/>
      </w:pPr>
    </w:p>
    <w:p w14:paraId="2051FA8A">
      <w:pPr>
        <w:spacing w:line="338" w:lineRule="auto"/>
        <w:ind w:firstLine="422"/>
      </w:pPr>
    </w:p>
    <w:p w14:paraId="4011AD74">
      <w:pPr>
        <w:spacing w:line="338" w:lineRule="auto"/>
        <w:ind w:firstLine="422"/>
      </w:pPr>
    </w:p>
    <w:p w14:paraId="44F2D718">
      <w:pPr>
        <w:spacing w:line="338" w:lineRule="auto"/>
        <w:ind w:firstLine="422"/>
        <w:sectPr>
          <w:pgSz w:w="11910" w:h="16840"/>
          <w:pgMar w:top="1040" w:right="640" w:bottom="1180" w:left="960" w:header="0" w:footer="954" w:gutter="0"/>
          <w:cols w:space="720" w:num="1"/>
        </w:sectPr>
      </w:pPr>
    </w:p>
    <w:p w14:paraId="69F4CEC7">
      <w:pPr>
        <w:pStyle w:val="5"/>
        <w:tabs>
          <w:tab w:val="left" w:pos="763"/>
        </w:tabs>
        <w:spacing w:before="48" w:line="254" w:lineRule="auto"/>
        <w:ind w:right="799" w:firstLine="643"/>
        <w:rPr>
          <w:sz w:val="32"/>
          <w:szCs w:val="32"/>
        </w:rPr>
      </w:pPr>
      <w:r>
        <w:rPr>
          <w:rFonts w:hint="eastAsia"/>
          <w:sz w:val="32"/>
          <w:szCs w:val="32"/>
        </w:rPr>
        <w:t>1.</w:t>
      </w:r>
      <w:r>
        <w:rPr>
          <w:sz w:val="32"/>
          <w:szCs w:val="32"/>
        </w:rPr>
        <w:t>供应商相应的法定代表人(负责人、自然人)身份证正反两面复印件（必须提供）</w:t>
      </w:r>
    </w:p>
    <w:p w14:paraId="700061AA">
      <w:pPr>
        <w:pStyle w:val="12"/>
        <w:ind w:firstLine="560"/>
        <w:rPr>
          <w:b/>
          <w:sz w:val="28"/>
        </w:rPr>
      </w:pPr>
    </w:p>
    <w:p w14:paraId="33A72574">
      <w:pPr>
        <w:pStyle w:val="12"/>
        <w:ind w:firstLine="560"/>
        <w:rPr>
          <w:b/>
          <w:sz w:val="28"/>
        </w:rPr>
      </w:pPr>
    </w:p>
    <w:p w14:paraId="13BABB7A">
      <w:pPr>
        <w:pStyle w:val="12"/>
        <w:spacing w:before="3"/>
        <w:ind w:firstLine="500"/>
        <w:rPr>
          <w:b/>
          <w:sz w:val="25"/>
        </w:rPr>
      </w:pPr>
    </w:p>
    <w:p w14:paraId="0A0E3C94">
      <w:pPr>
        <w:ind w:firstLine="500"/>
        <w:rPr>
          <w:b/>
          <w:sz w:val="25"/>
        </w:rPr>
      </w:pPr>
    </w:p>
    <w:p w14:paraId="324A6987">
      <w:pPr>
        <w:pStyle w:val="12"/>
        <w:ind w:firstLine="500"/>
        <w:rPr>
          <w:b/>
          <w:sz w:val="25"/>
        </w:rPr>
      </w:pPr>
    </w:p>
    <w:p w14:paraId="4E98C23A">
      <w:pPr>
        <w:ind w:firstLine="500"/>
        <w:rPr>
          <w:b/>
          <w:sz w:val="25"/>
        </w:rPr>
      </w:pPr>
    </w:p>
    <w:p w14:paraId="08D71D1C">
      <w:pPr>
        <w:pStyle w:val="12"/>
      </w:pPr>
    </w:p>
    <w:p w14:paraId="4B10A01F">
      <w:pPr>
        <w:pStyle w:val="5"/>
        <w:tabs>
          <w:tab w:val="left" w:pos="763"/>
        </w:tabs>
        <w:spacing w:line="201" w:lineRule="auto"/>
        <w:ind w:right="797" w:firstLine="643"/>
        <w:jc w:val="both"/>
        <w:rPr>
          <w:sz w:val="32"/>
          <w:szCs w:val="32"/>
        </w:rPr>
      </w:pPr>
      <w:r>
        <w:rPr>
          <w:rFonts w:hint="eastAsia"/>
          <w:sz w:val="32"/>
          <w:szCs w:val="32"/>
        </w:rPr>
        <w:t>2.</w:t>
      </w:r>
      <w:r>
        <w:rPr>
          <w:sz w:val="32"/>
          <w:szCs w:val="32"/>
        </w:rPr>
        <w:t>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14:paraId="7E7B2368">
      <w:pPr>
        <w:pStyle w:val="5"/>
        <w:spacing w:line="201" w:lineRule="auto"/>
        <w:ind w:right="799" w:firstLine="562"/>
        <w:jc w:val="both"/>
      </w:pPr>
      <w:r>
        <w:t>①如供应商为截标时间前60日以内成立的公司，可以提供供应商与委托代理人签订的劳动合同复印件代替社保证明复印件；</w:t>
      </w:r>
    </w:p>
    <w:p w14:paraId="65B54E68">
      <w:pPr>
        <w:pStyle w:val="5"/>
        <w:spacing w:line="201" w:lineRule="auto"/>
        <w:ind w:right="800" w:firstLine="562"/>
      </w:pPr>
      <w:r>
        <w:t>②如供应商为事业单位，可以提供事业单位机构编制管理证复印件或事业单位机构为其发放工资的工资条复印件代替社保证明复印件；</w:t>
      </w:r>
    </w:p>
    <w:p w14:paraId="66EA5011">
      <w:pPr>
        <w:pStyle w:val="5"/>
        <w:spacing w:line="201" w:lineRule="auto"/>
        <w:ind w:right="800" w:firstLine="562"/>
      </w:pPr>
      <w:r>
        <w:t>③如委托代理人为免缴纳社保人员，提供免缴纳社保的证明材料复印件及供应商与委托代理人签订的劳动合同复印件代替社保证明复印件。</w:t>
      </w:r>
    </w:p>
    <w:p w14:paraId="234B8C3B">
      <w:pPr>
        <w:pStyle w:val="5"/>
        <w:spacing w:line="201" w:lineRule="auto"/>
        <w:ind w:right="797" w:firstLine="562"/>
        <w:jc w:val="both"/>
      </w:pPr>
      <w:r>
        <w:t>【属自然人的应提供由县级以上（含县级）社会养老保险经办机构出具的自然人本人及委托代理人所交纳的响应文件递交截止时间前半年内任意连续三个月社保证明复印件】（委托代理时必须提供）</w:t>
      </w:r>
    </w:p>
    <w:p w14:paraId="305249CE">
      <w:pPr>
        <w:spacing w:line="400" w:lineRule="exact"/>
        <w:ind w:left="480" w:firstLine="643"/>
        <w:rPr>
          <w:b/>
          <w:sz w:val="32"/>
        </w:rPr>
      </w:pPr>
      <w:r>
        <w:rPr>
          <w:b/>
          <w:sz w:val="32"/>
        </w:rPr>
        <w:t>附件：</w:t>
      </w:r>
    </w:p>
    <w:p w14:paraId="7EBAC87C">
      <w:pPr>
        <w:spacing w:line="400" w:lineRule="exact"/>
        <w:ind w:left="480" w:firstLine="640"/>
        <w:rPr>
          <w:b/>
          <w:sz w:val="32"/>
        </w:rPr>
      </w:pPr>
    </w:p>
    <w:p w14:paraId="3A1151BD">
      <w:pPr>
        <w:spacing w:line="400" w:lineRule="exact"/>
        <w:ind w:left="480" w:firstLine="640"/>
        <w:rPr>
          <w:b/>
          <w:sz w:val="32"/>
        </w:rPr>
      </w:pPr>
    </w:p>
    <w:p w14:paraId="449CBC2D">
      <w:pPr>
        <w:pStyle w:val="12"/>
        <w:spacing w:before="7"/>
        <w:ind w:firstLine="440"/>
        <w:rPr>
          <w:b/>
          <w:sz w:val="22"/>
        </w:rPr>
      </w:pPr>
    </w:p>
    <w:p w14:paraId="2590A492">
      <w:pPr>
        <w:ind w:left="1128" w:firstLine="643"/>
        <w:rPr>
          <w:b/>
          <w:sz w:val="32"/>
        </w:rPr>
      </w:pPr>
      <w:r>
        <w:rPr>
          <w:b/>
          <w:sz w:val="32"/>
        </w:rPr>
        <w:t>授权委托书（格式一，</w:t>
      </w:r>
      <w:r>
        <w:rPr>
          <w:b/>
          <w:sz w:val="30"/>
        </w:rPr>
        <w:t>适用于供应商为法人或者其他组织</w:t>
      </w:r>
      <w:r>
        <w:rPr>
          <w:b/>
          <w:sz w:val="32"/>
        </w:rPr>
        <w:t>）</w:t>
      </w:r>
    </w:p>
    <w:p w14:paraId="162EC5EB">
      <w:pPr>
        <w:pStyle w:val="12"/>
        <w:spacing w:before="113"/>
        <w:ind w:left="480" w:firstLine="422"/>
      </w:pPr>
      <w:r>
        <w:rPr>
          <w:b/>
        </w:rPr>
        <w:t>致</w:t>
      </w:r>
      <w:r>
        <w:t>：</w:t>
      </w:r>
      <w:r>
        <w:rPr>
          <w:rFonts w:hint="eastAsia"/>
          <w:u w:val="single"/>
        </w:rPr>
        <w:t>广西壮族自治区资源公路养护中心</w:t>
      </w:r>
    </w:p>
    <w:p w14:paraId="3B73C73D">
      <w:pPr>
        <w:pStyle w:val="12"/>
        <w:ind w:firstLine="402"/>
        <w:rPr>
          <w:sz w:val="20"/>
        </w:rPr>
      </w:pPr>
    </w:p>
    <w:p w14:paraId="7562317F">
      <w:pPr>
        <w:pStyle w:val="12"/>
        <w:spacing w:before="12"/>
        <w:ind w:firstLine="301"/>
        <w:rPr>
          <w:sz w:val="15"/>
        </w:rPr>
      </w:pPr>
    </w:p>
    <w:p w14:paraId="12B0F738">
      <w:pPr>
        <w:pStyle w:val="12"/>
        <w:tabs>
          <w:tab w:val="left" w:pos="5305"/>
        </w:tabs>
        <w:spacing w:before="70" w:line="357" w:lineRule="auto"/>
        <w:ind w:left="480" w:right="694" w:firstLine="422"/>
      </w:pPr>
      <w:r>
        <w:t>我（姓名）系（供应商名称）的法定代表人（负责人），现授权委托本单位在职职工（姓名）以我公司名义参加</w:t>
      </w:r>
      <w:r>
        <w:rPr>
          <w:u w:val="single"/>
        </w:rPr>
        <w:t>（项目名称及项目编号）</w:t>
      </w:r>
      <w:r>
        <w:rPr>
          <w:u w:val="single"/>
        </w:rPr>
        <w:tab/>
      </w:r>
      <w:r>
        <w:t>项目的磋商活动，并代表我方全权办理针对上述项目的磋商、签约等具体事务和签署相关文件。</w:t>
      </w:r>
    </w:p>
    <w:p w14:paraId="745EEC3C">
      <w:pPr>
        <w:pStyle w:val="12"/>
        <w:spacing w:line="266" w:lineRule="exact"/>
        <w:ind w:left="900"/>
      </w:pPr>
      <w:r>
        <w:t>我方对被授权人的签字事项负全部责任。</w:t>
      </w:r>
    </w:p>
    <w:p w14:paraId="3260E793">
      <w:pPr>
        <w:pStyle w:val="12"/>
        <w:spacing w:before="131"/>
        <w:ind w:left="900"/>
      </w:pPr>
      <w:r>
        <w:t>授权委托代理期限：从年月日起至年月日止。</w:t>
      </w:r>
    </w:p>
    <w:p w14:paraId="79976132">
      <w:pPr>
        <w:pStyle w:val="12"/>
        <w:ind w:firstLine="402"/>
        <w:rPr>
          <w:sz w:val="20"/>
        </w:rPr>
      </w:pPr>
    </w:p>
    <w:p w14:paraId="0D23E04E">
      <w:pPr>
        <w:pStyle w:val="12"/>
        <w:spacing w:before="5"/>
      </w:pPr>
    </w:p>
    <w:p w14:paraId="5E6AF4F6">
      <w:pPr>
        <w:pStyle w:val="12"/>
        <w:spacing w:line="616" w:lineRule="auto"/>
        <w:ind w:left="900" w:right="6413"/>
      </w:pPr>
      <w:r>
        <w:t>代理人无转委托权,特此委托。我已在下面签字，以资证明。</w:t>
      </w:r>
    </w:p>
    <w:p w14:paraId="7398608B">
      <w:pPr>
        <w:pStyle w:val="12"/>
        <w:spacing w:line="616" w:lineRule="auto"/>
        <w:ind w:left="900" w:right="6413"/>
      </w:pPr>
      <w:r>
        <w:t>磋商供应商[公章（CA签章）]：</w:t>
      </w:r>
    </w:p>
    <w:p w14:paraId="4741AA97">
      <w:pPr>
        <w:pStyle w:val="12"/>
        <w:spacing w:before="110"/>
        <w:ind w:left="900"/>
        <w:rPr>
          <w:sz w:val="19"/>
        </w:rPr>
      </w:pPr>
      <w:r>
        <w:t>法定代表人（负责人）签字（或个人CA签章）：年月日</w:t>
      </w:r>
    </w:p>
    <w:p w14:paraId="60CCEF1E">
      <w:pPr>
        <w:pStyle w:val="7"/>
        <w:spacing w:before="1" w:line="312" w:lineRule="auto"/>
        <w:ind w:right="800" w:firstLine="482"/>
      </w:pPr>
    </w:p>
    <w:p w14:paraId="0BB74E48">
      <w:pPr>
        <w:ind w:firstLine="422"/>
      </w:pPr>
    </w:p>
    <w:p w14:paraId="2997E6AC">
      <w:pPr>
        <w:pStyle w:val="7"/>
        <w:spacing w:before="1" w:line="312" w:lineRule="auto"/>
        <w:ind w:right="800" w:firstLine="482"/>
      </w:pPr>
      <w:r>
        <w:t>附：委托代理人身份证正反面复印件以及供应商缴纳社保证明复印件（委托代理时必须提供）。</w:t>
      </w:r>
    </w:p>
    <w:p w14:paraId="0FB1774E">
      <w:pPr>
        <w:ind w:firstLine="422"/>
      </w:pPr>
    </w:p>
    <w:p w14:paraId="094B9738">
      <w:pPr>
        <w:ind w:firstLine="422"/>
      </w:pPr>
    </w:p>
    <w:p w14:paraId="5E6E7625">
      <w:pPr>
        <w:ind w:firstLine="422"/>
      </w:pPr>
    </w:p>
    <w:p w14:paraId="19ED1043">
      <w:pPr>
        <w:ind w:firstLine="422"/>
      </w:pPr>
    </w:p>
    <w:p w14:paraId="542BB7D4">
      <w:pPr>
        <w:ind w:firstLine="422"/>
      </w:pPr>
    </w:p>
    <w:p w14:paraId="3654FF1A">
      <w:pPr>
        <w:ind w:firstLine="422"/>
      </w:pPr>
    </w:p>
    <w:p w14:paraId="7C75DF84">
      <w:pPr>
        <w:ind w:firstLine="422"/>
      </w:pPr>
    </w:p>
    <w:p w14:paraId="61FB1DC8">
      <w:pPr>
        <w:ind w:firstLine="422"/>
      </w:pPr>
    </w:p>
    <w:p w14:paraId="30153C6E">
      <w:pPr>
        <w:spacing w:line="312" w:lineRule="auto"/>
        <w:ind w:firstLine="422"/>
        <w:sectPr>
          <w:pgSz w:w="11910" w:h="16840"/>
          <w:pgMar w:top="1280" w:right="640" w:bottom="1180" w:left="960" w:header="0" w:footer="954" w:gutter="0"/>
          <w:cols w:space="720" w:num="1"/>
        </w:sectPr>
      </w:pPr>
    </w:p>
    <w:p w14:paraId="03A04FA6">
      <w:pPr>
        <w:spacing w:before="35"/>
        <w:ind w:right="320" w:firstLine="643"/>
        <w:jc w:val="center"/>
        <w:rPr>
          <w:b/>
          <w:sz w:val="32"/>
        </w:rPr>
      </w:pPr>
      <w:r>
        <w:rPr>
          <w:b/>
          <w:sz w:val="32"/>
        </w:rPr>
        <w:t>授权委托书（格式二，</w:t>
      </w:r>
      <w:r>
        <w:rPr>
          <w:b/>
          <w:sz w:val="30"/>
        </w:rPr>
        <w:t>适用于供应商为自然人</w:t>
      </w:r>
      <w:r>
        <w:rPr>
          <w:b/>
          <w:sz w:val="32"/>
        </w:rPr>
        <w:t>）</w:t>
      </w:r>
    </w:p>
    <w:p w14:paraId="5531DE51">
      <w:pPr>
        <w:pStyle w:val="12"/>
        <w:spacing w:before="113"/>
        <w:ind w:left="480" w:firstLine="422"/>
      </w:pPr>
      <w:r>
        <w:rPr>
          <w:b/>
        </w:rPr>
        <w:t>致</w:t>
      </w:r>
      <w:r>
        <w:t>：</w:t>
      </w:r>
      <w:r>
        <w:rPr>
          <w:rFonts w:hint="eastAsia"/>
          <w:u w:val="single"/>
        </w:rPr>
        <w:t>广西壮族自治区资源公路养护中心</w:t>
      </w:r>
    </w:p>
    <w:p w14:paraId="2149C254">
      <w:pPr>
        <w:pStyle w:val="12"/>
        <w:spacing w:before="4"/>
        <w:ind w:firstLine="442"/>
        <w:rPr>
          <w:sz w:val="22"/>
        </w:rPr>
      </w:pPr>
    </w:p>
    <w:p w14:paraId="126CD340">
      <w:pPr>
        <w:pStyle w:val="12"/>
        <w:tabs>
          <w:tab w:val="left" w:pos="9295"/>
        </w:tabs>
        <w:spacing w:before="69" w:line="304" w:lineRule="auto"/>
        <w:ind w:left="480" w:right="799" w:firstLine="422"/>
      </w:pPr>
      <w:r>
        <mc:AlternateContent>
          <mc:Choice Requires="wps">
            <w:drawing>
              <wp:anchor distT="0" distB="0" distL="114300" distR="114300" simplePos="0" relativeHeight="251662336" behindDoc="1" locked="0" layoutInCell="1" allowOverlap="1">
                <wp:simplePos x="0" y="0"/>
                <wp:positionH relativeFrom="page">
                  <wp:posOffset>4570095</wp:posOffset>
                </wp:positionH>
                <wp:positionV relativeFrom="paragraph">
                  <wp:posOffset>191135</wp:posOffset>
                </wp:positionV>
                <wp:extent cx="1941830" cy="1270"/>
                <wp:effectExtent l="0" t="0" r="0" b="0"/>
                <wp:wrapNone/>
                <wp:docPr id="4" name="Graphic 19"/>
                <wp:cNvGraphicFramePr/>
                <a:graphic xmlns:a="http://schemas.openxmlformats.org/drawingml/2006/main">
                  <a:graphicData uri="http://schemas.microsoft.com/office/word/2010/wordprocessingShape">
                    <wps:wsp>
                      <wps:cNvSpPr/>
                      <wps:spPr>
                        <a:xfrm>
                          <a:off x="0" y="0"/>
                          <a:ext cx="1941830" cy="1270"/>
                        </a:xfrm>
                        <a:custGeom>
                          <a:avLst/>
                          <a:gdLst/>
                          <a:ahLst/>
                          <a:cxnLst/>
                          <a:pathLst>
                            <a:path w="1941830" h="1">
                              <a:moveTo>
                                <a:pt x="0" y="0"/>
                              </a:moveTo>
                              <a:lnTo>
                                <a:pt x="1408429" y="0"/>
                              </a:lnTo>
                            </a:path>
                            <a:path w="1941830" h="1">
                              <a:moveTo>
                                <a:pt x="1408429" y="0"/>
                              </a:moveTo>
                              <a:lnTo>
                                <a:pt x="1941829" y="0"/>
                              </a:lnTo>
                            </a:path>
                          </a:pathLst>
                        </a:custGeom>
                        <a:noFill/>
                        <a:ln w="6096" cap="flat" cmpd="sng">
                          <a:solidFill>
                            <a:srgbClr val="000000"/>
                          </a:solidFill>
                          <a:prstDash val="solid"/>
                          <a:round/>
                          <a:headEnd type="none" w="med" len="med"/>
                          <a:tailEnd type="none" w="med" len="med"/>
                        </a:ln>
                      </wps:spPr>
                      <wps:bodyPr lIns="0" tIns="0" rIns="0" bIns="0" upright="1"/>
                    </wps:wsp>
                  </a:graphicData>
                </a:graphic>
              </wp:anchor>
            </w:drawing>
          </mc:Choice>
          <mc:Fallback>
            <w:pict>
              <v:shape id="Graphic 19" o:spid="_x0000_s1026" o:spt="100" style="position:absolute;left:0pt;margin-left:359.85pt;margin-top:15.05pt;height:0.1pt;width:152.9pt;mso-position-horizontal-relative:page;z-index:-251654144;mso-width-relative:page;mso-height-relative:page;" filled="f" stroked="t" coordsize="1941830,1" o:gfxdata="UEsDBAoAAAAAAIdO4kAAAAAAAAAAAAAAAAAEAAAAZHJzL1BLAwQUAAAACACHTuJANqaCGdkAAAAK&#10;AQAADwAAAGRycy9kb3ducmV2LnhtbE2PPU/DMBCGdyT+g3VIbNRO27QQ4nRAKhVIHSgsbG58JBHx&#10;OfJHUv49zgTj3T1673nL3cX0bETnO0sSsoUAhlRb3VEj4eN9f3cPzAdFWvWWUMIPethV11elKrSd&#10;6A3HU2hYCiFfKAltCEPBua9bNMov7ICUbl/WGRXS6BqunZpSuOn5UogNN6qj9KFVAz61WH+fopGw&#10;EeujifH1+eBeDmO9jvm0P35KeXuTiUdgAS/hD4ZZP6lDlZzONpL2rJewzR62CZWwEhmwGRDLPAd2&#10;njcr4FXJ/1eofgFQSwMEFAAAAAgAh07iQFvEncI4AgAAMwUAAA4AAABkcnMvZTJvRG9jLnhtbK1U&#10;247aMBB9r9R/sPxeklBEARH2oXRXlap2pd1+gLGd2JJvsg2Bv+/YSYDSi6hUHsKxPZ4z59jj9cNR&#10;K3TgPkhralxNSoy4oZZJ09b4++vjuwVGIRLDiLKG1/jEA37YvH2z7tyKT62winGPIIkJq87VWMTo&#10;VkURqOCahIl13MBiY70mEYa+LZgnHWTXqpiW5bzorGfOW8pDgNltv4iHjP6ehLZpJOVbS/eam9hn&#10;9VyRCJKCkC7gTa62aTiN35om8IhUjUFpzF8gAbxL32KzJqvWEyckHUog95Rwo0kTaYD0nGpLIkF7&#10;L39JpSX1NtgmTqjVRS8kOwIqqvLGmxdBHM9awOrgzqaH/5eWfj08eyRZjWcYGaLhwJ8GN6plcqdz&#10;YQVBL+7ZD6MAMEk9Nl6nfxCBjtnR09lRfoyIwmS1nFWL92A2hbVq+iEbXlz20n2IT9zmPOTwJcT+&#10;PNiIiBgRPZoROhLTdOJOEHVXPAJwPghtD/zV5ph4Ux7wX1aVuY6qZuViNl1iNEqB2D4CQCL7N9Lf&#10;pfsjdbLq79RDDVk74GvzjH2USmX3lEmOzMvlHGwn0KENdAZA7eCUg2mzPcEqydKWJCj4dvdReXQg&#10;qUvyLx09UPwU5nyIWxJEH5eX+v7xdm9Y5hacsE+GoXhycJMMPCA4FaM5w0hxeG8SypGRSHVPJBSh&#10;DNSS7mF/8xLaWXaCe6s+G+iF1Ncj8CPYjWDvvGwFNH6VNaXd0EtZ3dD3qVmvx5nt8tZtf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2poIZ2QAAAAoBAAAPAAAAAAAAAAEAIAAAACIAAABkcnMvZG93&#10;bnJldi54bWxQSwECFAAUAAAACACHTuJAW8SdwjgCAAAzBQAADgAAAAAAAAABACAAAAAoAQAAZHJz&#10;L2Uyb0RvYy54bWxQSwUGAAAAAAYABgBZAQAA0gUAAAAA&#10;" path="m0,0l1408429,0em1408429,0l1941829,0e">
                <v:fill on="f" focussize="0,0"/>
                <v:stroke weight="0.48pt" color="#000000" joinstyle="round"/>
                <v:imagedata o:title=""/>
                <o:lock v:ext="edit" aspectratio="f"/>
                <v:textbox inset="0mm,0mm,0mm,0mm"/>
              </v:shape>
            </w:pict>
          </mc:Fallback>
        </mc:AlternateContent>
      </w:r>
      <w:r>
        <w:t>我（姓名）系自然人，现授权委托（姓名）以本人名义参加（项目名称及项目编号）</w:t>
      </w:r>
      <w:r>
        <w:tab/>
      </w:r>
      <w:r>
        <w:t>项目的磋商活动，并代表本人全权办理针对上述项目的磋商、签约等具体事务和签署相关文件。</w:t>
      </w:r>
    </w:p>
    <w:p w14:paraId="0F2E8CC7">
      <w:pPr>
        <w:pStyle w:val="12"/>
        <w:spacing w:line="265" w:lineRule="exact"/>
        <w:ind w:left="900"/>
      </w:pPr>
      <w:r>
        <w:t>本人对被授权人的签字事项负全部责任。</w:t>
      </w:r>
    </w:p>
    <w:p w14:paraId="697C664E">
      <w:pPr>
        <w:pStyle w:val="12"/>
        <w:spacing w:before="72" w:line="604" w:lineRule="auto"/>
        <w:ind w:left="900" w:right="4889"/>
      </w:pPr>
      <w:r>
        <w:t>授权委托代理期限：从年月日起至年月日止。代理人无转委托权,特此委托。</w:t>
      </w:r>
    </w:p>
    <w:p w14:paraId="2CA35F73">
      <w:pPr>
        <w:pStyle w:val="12"/>
        <w:spacing w:before="72" w:line="604" w:lineRule="auto"/>
        <w:ind w:left="900" w:right="4889"/>
        <w:rPr>
          <w:sz w:val="26"/>
        </w:rPr>
      </w:pPr>
      <w:r>
        <w:t>我已在下面签字，以资证明。</w:t>
      </w:r>
    </w:p>
    <w:p w14:paraId="7099577D">
      <w:pPr>
        <w:ind w:firstLine="840" w:firstLineChars="400"/>
        <w:rPr>
          <w:sz w:val="21"/>
          <w:szCs w:val="21"/>
        </w:rPr>
      </w:pPr>
      <w:r>
        <w:rPr>
          <w:sz w:val="21"/>
          <w:szCs w:val="21"/>
        </w:rPr>
        <w:t>自然人签字（或个人CA证书签章）：年月日</w:t>
      </w:r>
    </w:p>
    <w:p w14:paraId="185E7E0D">
      <w:pPr>
        <w:pStyle w:val="12"/>
        <w:spacing w:line="604" w:lineRule="auto"/>
        <w:ind w:right="5860"/>
      </w:pPr>
    </w:p>
    <w:p w14:paraId="2CFF4605">
      <w:pPr>
        <w:pStyle w:val="7"/>
        <w:spacing w:line="263" w:lineRule="exact"/>
        <w:ind w:firstLine="482"/>
      </w:pPr>
      <w:r>
        <w:t>附：委托代理人身份证正反面复印件以及供应商缴纳社保证明复印件（委托代理时必</w:t>
      </w:r>
    </w:p>
    <w:p w14:paraId="5262EF4F">
      <w:pPr>
        <w:pStyle w:val="7"/>
        <w:spacing w:before="91"/>
        <w:ind w:firstLine="482"/>
      </w:pPr>
      <w:r>
        <w:t>须提供）。</w:t>
      </w:r>
    </w:p>
    <w:p w14:paraId="4B4B5C9D">
      <w:pPr>
        <w:pStyle w:val="12"/>
        <w:ind w:firstLine="480"/>
        <w:rPr>
          <w:b/>
          <w:sz w:val="24"/>
        </w:rPr>
      </w:pPr>
    </w:p>
    <w:p w14:paraId="6689CCB4">
      <w:pPr>
        <w:pStyle w:val="12"/>
        <w:ind w:firstLine="480"/>
        <w:rPr>
          <w:b/>
          <w:sz w:val="24"/>
        </w:rPr>
      </w:pPr>
    </w:p>
    <w:p w14:paraId="34B532EA">
      <w:pPr>
        <w:pStyle w:val="12"/>
        <w:ind w:firstLine="480"/>
        <w:rPr>
          <w:b/>
          <w:sz w:val="24"/>
        </w:rPr>
      </w:pPr>
    </w:p>
    <w:p w14:paraId="37778299">
      <w:pPr>
        <w:pStyle w:val="12"/>
        <w:ind w:firstLine="480"/>
        <w:rPr>
          <w:b/>
          <w:sz w:val="24"/>
        </w:rPr>
      </w:pPr>
    </w:p>
    <w:p w14:paraId="4993A938">
      <w:pPr>
        <w:pStyle w:val="12"/>
        <w:ind w:firstLine="480"/>
        <w:rPr>
          <w:b/>
          <w:sz w:val="24"/>
        </w:rPr>
      </w:pPr>
    </w:p>
    <w:p w14:paraId="3AC9C688">
      <w:pPr>
        <w:pStyle w:val="12"/>
        <w:ind w:firstLine="480"/>
        <w:rPr>
          <w:b/>
          <w:sz w:val="24"/>
        </w:rPr>
      </w:pPr>
    </w:p>
    <w:p w14:paraId="61C18518">
      <w:pPr>
        <w:pStyle w:val="12"/>
        <w:ind w:firstLine="660"/>
        <w:rPr>
          <w:b/>
          <w:sz w:val="33"/>
        </w:rPr>
      </w:pPr>
    </w:p>
    <w:p w14:paraId="1A40B919">
      <w:pPr>
        <w:ind w:firstLine="422"/>
      </w:pPr>
    </w:p>
    <w:p w14:paraId="76933E77">
      <w:pPr>
        <w:pStyle w:val="12"/>
      </w:pPr>
    </w:p>
    <w:p w14:paraId="012031F0">
      <w:pPr>
        <w:ind w:firstLine="422"/>
      </w:pPr>
    </w:p>
    <w:p w14:paraId="778C4558">
      <w:pPr>
        <w:pStyle w:val="12"/>
      </w:pPr>
    </w:p>
    <w:p w14:paraId="1A61C977">
      <w:pPr>
        <w:ind w:firstLine="422"/>
      </w:pPr>
    </w:p>
    <w:p w14:paraId="135055EF">
      <w:pPr>
        <w:pStyle w:val="12"/>
      </w:pPr>
    </w:p>
    <w:p w14:paraId="232CD32E">
      <w:pPr>
        <w:ind w:firstLine="422"/>
      </w:pPr>
    </w:p>
    <w:p w14:paraId="6DF9A3D7">
      <w:pPr>
        <w:pStyle w:val="12"/>
      </w:pPr>
    </w:p>
    <w:p w14:paraId="1F0011F5">
      <w:pPr>
        <w:pStyle w:val="5"/>
        <w:tabs>
          <w:tab w:val="left" w:pos="800"/>
        </w:tabs>
        <w:spacing w:line="244" w:lineRule="auto"/>
        <w:ind w:right="799" w:firstLine="643"/>
        <w:rPr>
          <w:sz w:val="32"/>
          <w:szCs w:val="32"/>
        </w:rPr>
      </w:pPr>
      <w:r>
        <w:rPr>
          <w:rFonts w:hint="eastAsia"/>
          <w:sz w:val="32"/>
          <w:szCs w:val="32"/>
        </w:rPr>
        <w:t>3.</w:t>
      </w:r>
      <w:r>
        <w:rPr>
          <w:sz w:val="32"/>
          <w:szCs w:val="32"/>
        </w:rPr>
        <w:t>供应商的法人或者其他组织营业执照等证明文件复印件（必须提供，自然人除外）</w:t>
      </w:r>
    </w:p>
    <w:p w14:paraId="65D78D89">
      <w:pPr>
        <w:pStyle w:val="10"/>
        <w:spacing w:before="101" w:line="357" w:lineRule="auto"/>
        <w:ind w:left="480" w:right="694" w:firstLine="422"/>
      </w:pPr>
      <w:r>
        <w:t>注：①法人包括企业法人、机关法人、事业单位法人和社会团体法人；其他组织主要包括合伙企业、非企业专业服务机构、个体工商户、农村承包经营户。②如供应商为企业（包括合伙企业），应提供市场监督管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供应商为社会团体法人的，应提供有效的“社会团体法人登记证书”。③如供应商为企业法人的分支机构的，除应提供营业执照复印件外，还应提供其所属的总公司授权其参加政府采购的授权文件或总公司颁布的授权其独立开展经营业务活动的证明材料复印件。</w:t>
      </w:r>
    </w:p>
    <w:p w14:paraId="361182CB">
      <w:pPr>
        <w:ind w:firstLine="422"/>
      </w:pPr>
    </w:p>
    <w:p w14:paraId="1A1DC146">
      <w:pPr>
        <w:pStyle w:val="12"/>
      </w:pPr>
    </w:p>
    <w:p w14:paraId="082446A6">
      <w:pPr>
        <w:ind w:firstLine="422"/>
      </w:pPr>
    </w:p>
    <w:p w14:paraId="5FCE2C59">
      <w:pPr>
        <w:pStyle w:val="12"/>
      </w:pPr>
    </w:p>
    <w:p w14:paraId="0F2FB7E3">
      <w:pPr>
        <w:ind w:firstLine="422"/>
      </w:pPr>
    </w:p>
    <w:p w14:paraId="63D2284F">
      <w:pPr>
        <w:pStyle w:val="12"/>
      </w:pPr>
    </w:p>
    <w:p w14:paraId="187A7097">
      <w:pPr>
        <w:ind w:firstLine="422"/>
      </w:pPr>
    </w:p>
    <w:p w14:paraId="041AE902">
      <w:pPr>
        <w:pStyle w:val="12"/>
      </w:pPr>
    </w:p>
    <w:p w14:paraId="1165F4F2">
      <w:pPr>
        <w:pStyle w:val="12"/>
        <w:spacing w:before="2"/>
        <w:ind w:firstLine="360"/>
        <w:rPr>
          <w:b/>
          <w:sz w:val="18"/>
        </w:rPr>
      </w:pPr>
    </w:p>
    <w:p w14:paraId="730C5EE2">
      <w:pPr>
        <w:pStyle w:val="29"/>
        <w:tabs>
          <w:tab w:val="left" w:pos="800"/>
        </w:tabs>
        <w:ind w:left="480" w:firstLine="643"/>
        <w:rPr>
          <w:b/>
          <w:sz w:val="30"/>
        </w:rPr>
      </w:pPr>
      <w:r>
        <w:rPr>
          <w:rFonts w:hint="eastAsia"/>
          <w:b/>
          <w:sz w:val="32"/>
        </w:rPr>
        <w:t>4.</w:t>
      </w:r>
      <w:r>
        <w:rPr>
          <w:b/>
          <w:sz w:val="32"/>
        </w:rPr>
        <w:t>供应商有效的资质证书复印件（必须提供）</w:t>
      </w:r>
    </w:p>
    <w:p w14:paraId="29F93138">
      <w:pPr>
        <w:ind w:firstLine="602"/>
        <w:rPr>
          <w:sz w:val="30"/>
        </w:rPr>
      </w:pPr>
    </w:p>
    <w:p w14:paraId="49AB3372">
      <w:pPr>
        <w:ind w:firstLine="602"/>
        <w:rPr>
          <w:sz w:val="30"/>
        </w:rPr>
      </w:pPr>
    </w:p>
    <w:p w14:paraId="6DD00BED">
      <w:pPr>
        <w:ind w:firstLine="602"/>
        <w:rPr>
          <w:sz w:val="30"/>
        </w:rPr>
      </w:pPr>
    </w:p>
    <w:p w14:paraId="4A5885F5">
      <w:pPr>
        <w:ind w:firstLine="602"/>
        <w:rPr>
          <w:sz w:val="30"/>
        </w:rPr>
      </w:pPr>
    </w:p>
    <w:p w14:paraId="41B1971F">
      <w:pPr>
        <w:ind w:firstLine="602"/>
        <w:rPr>
          <w:sz w:val="30"/>
        </w:rPr>
      </w:pPr>
    </w:p>
    <w:p w14:paraId="57B682D4">
      <w:pPr>
        <w:ind w:firstLine="602"/>
        <w:rPr>
          <w:sz w:val="30"/>
        </w:rPr>
      </w:pPr>
    </w:p>
    <w:p w14:paraId="60408CFF">
      <w:pPr>
        <w:ind w:firstLine="602"/>
        <w:rPr>
          <w:sz w:val="30"/>
        </w:rPr>
      </w:pPr>
    </w:p>
    <w:p w14:paraId="49A514EB">
      <w:pPr>
        <w:ind w:firstLine="602"/>
        <w:rPr>
          <w:sz w:val="30"/>
        </w:rPr>
      </w:pPr>
    </w:p>
    <w:p w14:paraId="5D58632C">
      <w:pPr>
        <w:ind w:firstLine="602"/>
        <w:rPr>
          <w:sz w:val="30"/>
        </w:rPr>
      </w:pPr>
    </w:p>
    <w:p w14:paraId="7A1EF88A">
      <w:pPr>
        <w:pStyle w:val="29"/>
        <w:tabs>
          <w:tab w:val="left" w:pos="800"/>
        </w:tabs>
        <w:ind w:left="480" w:firstLine="643"/>
        <w:rPr>
          <w:b/>
          <w:sz w:val="30"/>
        </w:rPr>
      </w:pPr>
      <w:r>
        <w:rPr>
          <w:rFonts w:hint="eastAsia"/>
          <w:b/>
          <w:sz w:val="32"/>
        </w:rPr>
        <w:t>5.供应商有效的安全生产许可证书扫描件</w:t>
      </w:r>
      <w:r>
        <w:rPr>
          <w:b/>
          <w:sz w:val="32"/>
        </w:rPr>
        <w:t>（必须提供）</w:t>
      </w:r>
    </w:p>
    <w:p w14:paraId="34E86858">
      <w:pPr>
        <w:pStyle w:val="29"/>
        <w:tabs>
          <w:tab w:val="left" w:pos="800"/>
        </w:tabs>
        <w:ind w:left="0" w:firstLine="640"/>
        <w:rPr>
          <w:b/>
          <w:sz w:val="32"/>
        </w:rPr>
      </w:pPr>
    </w:p>
    <w:p w14:paraId="579EAC74">
      <w:pPr>
        <w:pStyle w:val="29"/>
        <w:tabs>
          <w:tab w:val="left" w:pos="800"/>
        </w:tabs>
        <w:ind w:left="0" w:firstLine="640"/>
        <w:rPr>
          <w:b/>
          <w:sz w:val="32"/>
        </w:rPr>
      </w:pPr>
    </w:p>
    <w:p w14:paraId="4A11A2BD">
      <w:pPr>
        <w:pStyle w:val="29"/>
        <w:tabs>
          <w:tab w:val="left" w:pos="800"/>
        </w:tabs>
        <w:ind w:left="0" w:firstLine="640"/>
        <w:rPr>
          <w:b/>
          <w:sz w:val="32"/>
        </w:rPr>
      </w:pPr>
    </w:p>
    <w:p w14:paraId="002B5C7F">
      <w:pPr>
        <w:pStyle w:val="29"/>
        <w:tabs>
          <w:tab w:val="left" w:pos="800"/>
        </w:tabs>
        <w:ind w:left="0" w:firstLine="640"/>
        <w:rPr>
          <w:b/>
          <w:sz w:val="32"/>
        </w:rPr>
      </w:pPr>
    </w:p>
    <w:p w14:paraId="684DBA64">
      <w:pPr>
        <w:pStyle w:val="29"/>
        <w:tabs>
          <w:tab w:val="left" w:pos="800"/>
        </w:tabs>
        <w:ind w:left="0" w:firstLine="640"/>
        <w:rPr>
          <w:b/>
          <w:sz w:val="32"/>
        </w:rPr>
      </w:pPr>
    </w:p>
    <w:p w14:paraId="5D3F496A">
      <w:pPr>
        <w:pStyle w:val="29"/>
        <w:tabs>
          <w:tab w:val="left" w:pos="800"/>
        </w:tabs>
        <w:ind w:left="0" w:firstLine="640"/>
        <w:rPr>
          <w:b/>
          <w:sz w:val="32"/>
        </w:rPr>
      </w:pPr>
    </w:p>
    <w:p w14:paraId="294FF641">
      <w:pPr>
        <w:pStyle w:val="29"/>
        <w:tabs>
          <w:tab w:val="left" w:pos="800"/>
        </w:tabs>
        <w:ind w:left="0" w:firstLine="640"/>
        <w:rPr>
          <w:b/>
          <w:sz w:val="32"/>
        </w:rPr>
      </w:pPr>
    </w:p>
    <w:p w14:paraId="35447040">
      <w:pPr>
        <w:pStyle w:val="29"/>
        <w:tabs>
          <w:tab w:val="left" w:pos="800"/>
        </w:tabs>
        <w:ind w:left="0" w:firstLine="640"/>
        <w:rPr>
          <w:b/>
          <w:sz w:val="32"/>
        </w:rPr>
      </w:pPr>
    </w:p>
    <w:p w14:paraId="669DA1E0">
      <w:pPr>
        <w:pStyle w:val="29"/>
        <w:tabs>
          <w:tab w:val="left" w:pos="800"/>
        </w:tabs>
        <w:ind w:left="0" w:firstLine="321" w:firstLineChars="100"/>
        <w:rPr>
          <w:b/>
          <w:sz w:val="32"/>
        </w:rPr>
      </w:pPr>
      <w:r>
        <w:rPr>
          <w:rFonts w:hint="eastAsia"/>
          <w:b/>
          <w:sz w:val="32"/>
        </w:rPr>
        <w:t>6.项目经理：符合第三章“采购需求”项目经理资格要求（必须提供）</w:t>
      </w:r>
    </w:p>
    <w:p w14:paraId="227CC3BE">
      <w:pPr>
        <w:pStyle w:val="12"/>
        <w:spacing w:before="11"/>
        <w:ind w:firstLine="680"/>
        <w:rPr>
          <w:b/>
          <w:sz w:val="34"/>
        </w:rPr>
      </w:pPr>
    </w:p>
    <w:p w14:paraId="0935DA7D">
      <w:pPr>
        <w:pStyle w:val="8"/>
        <w:spacing w:before="1"/>
        <w:ind w:firstLine="482"/>
        <w:jc w:val="center"/>
        <w:rPr>
          <w:rFonts w:ascii="新宋体" w:eastAsia="新宋体"/>
        </w:rPr>
      </w:pPr>
      <w:r>
        <w:rPr>
          <w:rFonts w:hint="eastAsia" w:ascii="新宋体" w:eastAsia="新宋体"/>
        </w:rPr>
        <w:t>拟委任的项目经理资历表</w:t>
      </w:r>
    </w:p>
    <w:p w14:paraId="56379DB0">
      <w:pPr>
        <w:pStyle w:val="12"/>
        <w:spacing w:before="10"/>
        <w:ind w:firstLine="240"/>
        <w:rPr>
          <w:rFonts w:ascii="新宋体"/>
          <w:b/>
          <w:sz w:val="12"/>
        </w:rPr>
      </w:pPr>
    </w:p>
    <w:tbl>
      <w:tblPr>
        <w:tblStyle w:val="25"/>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3"/>
        <w:gridCol w:w="1376"/>
        <w:gridCol w:w="102"/>
        <w:gridCol w:w="1059"/>
        <w:gridCol w:w="1379"/>
        <w:gridCol w:w="340"/>
        <w:gridCol w:w="1744"/>
        <w:gridCol w:w="182"/>
        <w:gridCol w:w="1284"/>
      </w:tblGrid>
      <w:tr w14:paraId="1DE2C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jc w:val="center"/>
        </w:trPr>
        <w:tc>
          <w:tcPr>
            <w:tcW w:w="1263" w:type="dxa"/>
            <w:vAlign w:val="center"/>
          </w:tcPr>
          <w:p w14:paraId="78B28A38">
            <w:pPr>
              <w:pStyle w:val="30"/>
              <w:spacing w:before="6"/>
              <w:ind w:firstLine="360"/>
              <w:jc w:val="center"/>
              <w:rPr>
                <w:rFonts w:ascii="新宋体"/>
                <w:b/>
                <w:sz w:val="18"/>
              </w:rPr>
            </w:pPr>
          </w:p>
          <w:p w14:paraId="53625484">
            <w:pPr>
              <w:pStyle w:val="30"/>
              <w:spacing w:line="276" w:lineRule="exact"/>
              <w:jc w:val="center"/>
            </w:pPr>
            <w:r>
              <w:t>姓名</w:t>
            </w:r>
          </w:p>
        </w:tc>
        <w:tc>
          <w:tcPr>
            <w:tcW w:w="1478" w:type="dxa"/>
            <w:gridSpan w:val="2"/>
            <w:vAlign w:val="center"/>
          </w:tcPr>
          <w:p w14:paraId="042A9E8D">
            <w:pPr>
              <w:pStyle w:val="30"/>
              <w:jc w:val="center"/>
              <w:rPr>
                <w:rFonts w:ascii="Times New Roman"/>
              </w:rPr>
            </w:pPr>
          </w:p>
        </w:tc>
        <w:tc>
          <w:tcPr>
            <w:tcW w:w="1059" w:type="dxa"/>
            <w:vAlign w:val="center"/>
          </w:tcPr>
          <w:p w14:paraId="7230B8E0">
            <w:pPr>
              <w:pStyle w:val="30"/>
              <w:spacing w:before="6"/>
              <w:ind w:firstLine="360"/>
              <w:jc w:val="center"/>
              <w:rPr>
                <w:rFonts w:ascii="新宋体"/>
                <w:b/>
                <w:sz w:val="18"/>
              </w:rPr>
            </w:pPr>
          </w:p>
          <w:p w14:paraId="067E3BF8">
            <w:pPr>
              <w:pStyle w:val="30"/>
              <w:spacing w:line="276" w:lineRule="exact"/>
              <w:jc w:val="center"/>
            </w:pPr>
            <w:r>
              <w:t>年龄</w:t>
            </w:r>
          </w:p>
        </w:tc>
        <w:tc>
          <w:tcPr>
            <w:tcW w:w="1379" w:type="dxa"/>
            <w:vAlign w:val="center"/>
          </w:tcPr>
          <w:p w14:paraId="7E29B39F">
            <w:pPr>
              <w:pStyle w:val="30"/>
              <w:jc w:val="center"/>
              <w:rPr>
                <w:rFonts w:ascii="Times New Roman"/>
              </w:rPr>
            </w:pPr>
          </w:p>
        </w:tc>
        <w:tc>
          <w:tcPr>
            <w:tcW w:w="2084" w:type="dxa"/>
            <w:gridSpan w:val="2"/>
            <w:vAlign w:val="center"/>
          </w:tcPr>
          <w:p w14:paraId="0B56D0C8">
            <w:pPr>
              <w:pStyle w:val="30"/>
              <w:spacing w:before="6"/>
              <w:ind w:firstLine="360"/>
              <w:jc w:val="center"/>
              <w:rPr>
                <w:rFonts w:ascii="新宋体"/>
                <w:b/>
                <w:sz w:val="18"/>
              </w:rPr>
            </w:pPr>
          </w:p>
          <w:p w14:paraId="748F6886">
            <w:pPr>
              <w:pStyle w:val="30"/>
              <w:spacing w:line="276" w:lineRule="exact"/>
              <w:ind w:left="201" w:firstLine="422"/>
              <w:jc w:val="both"/>
            </w:pPr>
            <w:r>
              <w:t>专业</w:t>
            </w:r>
          </w:p>
        </w:tc>
        <w:tc>
          <w:tcPr>
            <w:tcW w:w="1466" w:type="dxa"/>
            <w:gridSpan w:val="2"/>
            <w:vAlign w:val="center"/>
          </w:tcPr>
          <w:p w14:paraId="71693A94">
            <w:pPr>
              <w:pStyle w:val="30"/>
              <w:rPr>
                <w:rFonts w:ascii="Times New Roman"/>
              </w:rPr>
            </w:pPr>
          </w:p>
        </w:tc>
      </w:tr>
      <w:tr w14:paraId="07605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jc w:val="center"/>
        </w:trPr>
        <w:tc>
          <w:tcPr>
            <w:tcW w:w="1263" w:type="dxa"/>
            <w:vAlign w:val="center"/>
          </w:tcPr>
          <w:p w14:paraId="1B27280F">
            <w:pPr>
              <w:pStyle w:val="30"/>
              <w:jc w:val="center"/>
            </w:pPr>
            <w:r>
              <w:t>技术职称</w:t>
            </w:r>
          </w:p>
        </w:tc>
        <w:tc>
          <w:tcPr>
            <w:tcW w:w="1478" w:type="dxa"/>
            <w:gridSpan w:val="2"/>
            <w:vAlign w:val="center"/>
          </w:tcPr>
          <w:p w14:paraId="2226AB39">
            <w:pPr>
              <w:pStyle w:val="30"/>
              <w:jc w:val="center"/>
              <w:rPr>
                <w:rFonts w:ascii="Times New Roman"/>
              </w:rPr>
            </w:pPr>
          </w:p>
        </w:tc>
        <w:tc>
          <w:tcPr>
            <w:tcW w:w="1059" w:type="dxa"/>
            <w:vAlign w:val="center"/>
          </w:tcPr>
          <w:p w14:paraId="40379EA3">
            <w:pPr>
              <w:pStyle w:val="30"/>
              <w:jc w:val="center"/>
            </w:pPr>
            <w:r>
              <w:t>学历</w:t>
            </w:r>
          </w:p>
        </w:tc>
        <w:tc>
          <w:tcPr>
            <w:tcW w:w="1379" w:type="dxa"/>
            <w:vAlign w:val="center"/>
          </w:tcPr>
          <w:p w14:paraId="5D0B89CF">
            <w:pPr>
              <w:pStyle w:val="30"/>
              <w:rPr>
                <w:rFonts w:ascii="Times New Roman"/>
              </w:rPr>
            </w:pPr>
          </w:p>
        </w:tc>
        <w:tc>
          <w:tcPr>
            <w:tcW w:w="2084" w:type="dxa"/>
            <w:gridSpan w:val="2"/>
            <w:vAlign w:val="center"/>
          </w:tcPr>
          <w:p w14:paraId="278A69FD">
            <w:pPr>
              <w:pStyle w:val="30"/>
              <w:spacing w:before="172"/>
              <w:jc w:val="both"/>
            </w:pPr>
            <w:r>
              <w:t>拟在本标段工程任职</w:t>
            </w:r>
          </w:p>
        </w:tc>
        <w:tc>
          <w:tcPr>
            <w:tcW w:w="1466" w:type="dxa"/>
            <w:gridSpan w:val="2"/>
            <w:vAlign w:val="center"/>
          </w:tcPr>
          <w:p w14:paraId="04816D27">
            <w:pPr>
              <w:pStyle w:val="30"/>
              <w:rPr>
                <w:rFonts w:ascii="Times New Roman"/>
              </w:rPr>
            </w:pPr>
          </w:p>
        </w:tc>
      </w:tr>
      <w:tr w14:paraId="460D6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263" w:type="dxa"/>
            <w:vAlign w:val="center"/>
          </w:tcPr>
          <w:p w14:paraId="6C597E2D">
            <w:pPr>
              <w:pStyle w:val="30"/>
              <w:spacing w:before="1"/>
              <w:ind w:firstLine="360"/>
              <w:rPr>
                <w:rFonts w:ascii="新宋体"/>
                <w:b/>
                <w:sz w:val="18"/>
              </w:rPr>
            </w:pPr>
          </w:p>
          <w:p w14:paraId="0C5ACB84">
            <w:pPr>
              <w:pStyle w:val="30"/>
              <w:spacing w:line="277" w:lineRule="exact"/>
              <w:jc w:val="center"/>
            </w:pPr>
            <w:r>
              <w:t>工作年限</w:t>
            </w:r>
          </w:p>
        </w:tc>
        <w:tc>
          <w:tcPr>
            <w:tcW w:w="3916" w:type="dxa"/>
            <w:gridSpan w:val="4"/>
            <w:vAlign w:val="center"/>
          </w:tcPr>
          <w:p w14:paraId="063E1F47">
            <w:pPr>
              <w:pStyle w:val="30"/>
              <w:rPr>
                <w:rFonts w:ascii="Times New Roman"/>
              </w:rPr>
            </w:pPr>
          </w:p>
        </w:tc>
        <w:tc>
          <w:tcPr>
            <w:tcW w:w="2084" w:type="dxa"/>
            <w:gridSpan w:val="2"/>
            <w:vAlign w:val="center"/>
          </w:tcPr>
          <w:p w14:paraId="112AB900">
            <w:pPr>
              <w:pStyle w:val="30"/>
              <w:spacing w:before="1"/>
              <w:ind w:firstLine="360"/>
              <w:rPr>
                <w:rFonts w:ascii="新宋体"/>
                <w:b/>
                <w:sz w:val="18"/>
              </w:rPr>
            </w:pPr>
          </w:p>
          <w:p w14:paraId="5BC5B60A">
            <w:pPr>
              <w:pStyle w:val="30"/>
              <w:spacing w:line="277" w:lineRule="exact"/>
              <w:jc w:val="center"/>
            </w:pPr>
            <w:r>
              <w:t>类似施工经验年限</w:t>
            </w:r>
          </w:p>
        </w:tc>
        <w:tc>
          <w:tcPr>
            <w:tcW w:w="1466" w:type="dxa"/>
            <w:gridSpan w:val="2"/>
            <w:vAlign w:val="center"/>
          </w:tcPr>
          <w:p w14:paraId="2DEB72A4">
            <w:pPr>
              <w:pStyle w:val="30"/>
              <w:rPr>
                <w:rFonts w:ascii="Times New Roman"/>
              </w:rPr>
            </w:pPr>
          </w:p>
        </w:tc>
      </w:tr>
      <w:tr w14:paraId="4559F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263" w:type="dxa"/>
            <w:vAlign w:val="center"/>
          </w:tcPr>
          <w:p w14:paraId="6CFC8F93">
            <w:pPr>
              <w:pStyle w:val="30"/>
              <w:spacing w:before="2"/>
              <w:ind w:firstLine="360"/>
              <w:rPr>
                <w:rFonts w:ascii="新宋体"/>
                <w:b/>
                <w:sz w:val="18"/>
              </w:rPr>
            </w:pPr>
          </w:p>
          <w:p w14:paraId="60D8414C">
            <w:pPr>
              <w:pStyle w:val="30"/>
              <w:spacing w:line="276" w:lineRule="exact"/>
              <w:jc w:val="center"/>
            </w:pPr>
            <w:r>
              <w:t>毕业学校</w:t>
            </w:r>
          </w:p>
        </w:tc>
        <w:tc>
          <w:tcPr>
            <w:tcW w:w="7466" w:type="dxa"/>
            <w:gridSpan w:val="8"/>
            <w:vAlign w:val="center"/>
          </w:tcPr>
          <w:p w14:paraId="103FED5B">
            <w:pPr>
              <w:pStyle w:val="30"/>
              <w:spacing w:before="2"/>
              <w:ind w:firstLine="360"/>
              <w:rPr>
                <w:rFonts w:ascii="新宋体"/>
                <w:b/>
                <w:sz w:val="18"/>
              </w:rPr>
            </w:pPr>
          </w:p>
          <w:p w14:paraId="6F3A7AD9">
            <w:pPr>
              <w:pStyle w:val="30"/>
              <w:tabs>
                <w:tab w:val="left" w:pos="542"/>
                <w:tab w:val="left" w:pos="3886"/>
                <w:tab w:val="left" w:pos="5529"/>
                <w:tab w:val="left" w:pos="7253"/>
              </w:tabs>
              <w:spacing w:line="276" w:lineRule="exact"/>
              <w:ind w:right="-15"/>
            </w:pPr>
            <w:r>
              <w:rPr>
                <w:rFonts w:ascii="Times New Roman" w:eastAsia="Times New Roman"/>
                <w:u w:val="single"/>
              </w:rPr>
              <w:tab/>
            </w:r>
            <w:r>
              <w:t>年月毕业于</w:t>
            </w:r>
            <w:r>
              <w:rPr>
                <w:rFonts w:ascii="Times New Roman" w:eastAsia="Times New Roman"/>
                <w:u w:val="single"/>
              </w:rPr>
              <w:tab/>
            </w:r>
            <w:r>
              <w:t>学校</w:t>
            </w:r>
            <w:r>
              <w:rPr>
                <w:rFonts w:ascii="Times New Roman" w:eastAsia="Times New Roman"/>
                <w:u w:val="single"/>
              </w:rPr>
              <w:tab/>
            </w:r>
            <w:r>
              <w:t>专业，学制</w:t>
            </w:r>
            <w:r>
              <w:rPr>
                <w:rFonts w:ascii="Times New Roman" w:eastAsia="Times New Roman"/>
                <w:u w:val="single"/>
              </w:rPr>
              <w:tab/>
            </w:r>
            <w:r>
              <w:t>年</w:t>
            </w:r>
          </w:p>
        </w:tc>
      </w:tr>
      <w:tr w14:paraId="39F91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8729" w:type="dxa"/>
            <w:gridSpan w:val="9"/>
            <w:vAlign w:val="center"/>
          </w:tcPr>
          <w:p w14:paraId="48E66A37">
            <w:pPr>
              <w:pStyle w:val="30"/>
              <w:spacing w:before="3"/>
              <w:ind w:firstLine="360"/>
              <w:rPr>
                <w:rFonts w:ascii="新宋体"/>
                <w:b/>
                <w:sz w:val="18"/>
              </w:rPr>
            </w:pPr>
          </w:p>
          <w:p w14:paraId="1ACC683C">
            <w:pPr>
              <w:pStyle w:val="30"/>
              <w:spacing w:line="277" w:lineRule="exact"/>
              <w:ind w:right="99" w:firstLine="422"/>
              <w:jc w:val="center"/>
              <w:rPr>
                <w:rFonts w:ascii="Times New Roman"/>
              </w:rPr>
            </w:pPr>
            <w:r>
              <w:t>经历</w:t>
            </w:r>
          </w:p>
        </w:tc>
      </w:tr>
      <w:tr w14:paraId="2D21C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jc w:val="center"/>
        </w:trPr>
        <w:tc>
          <w:tcPr>
            <w:tcW w:w="1263" w:type="dxa"/>
            <w:vAlign w:val="center"/>
          </w:tcPr>
          <w:p w14:paraId="7E2926BD">
            <w:pPr>
              <w:pStyle w:val="30"/>
              <w:ind w:firstLine="422"/>
              <w:jc w:val="center"/>
            </w:pPr>
            <w:r>
              <w:t>时间</w:t>
            </w:r>
          </w:p>
        </w:tc>
        <w:tc>
          <w:tcPr>
            <w:tcW w:w="4256" w:type="dxa"/>
            <w:gridSpan w:val="5"/>
            <w:vAlign w:val="center"/>
          </w:tcPr>
          <w:p w14:paraId="16EF772F">
            <w:pPr>
              <w:pStyle w:val="30"/>
              <w:ind w:firstLine="422"/>
              <w:jc w:val="center"/>
            </w:pPr>
            <w:r>
              <w:t>参加过的类似工程项目名称</w:t>
            </w:r>
          </w:p>
        </w:tc>
        <w:tc>
          <w:tcPr>
            <w:tcW w:w="1926" w:type="dxa"/>
            <w:gridSpan w:val="2"/>
            <w:vAlign w:val="center"/>
          </w:tcPr>
          <w:p w14:paraId="65FA7C35">
            <w:pPr>
              <w:pStyle w:val="30"/>
              <w:ind w:firstLine="422"/>
              <w:jc w:val="center"/>
            </w:pPr>
            <w:r>
              <w:t>担任职务</w:t>
            </w:r>
          </w:p>
        </w:tc>
        <w:tc>
          <w:tcPr>
            <w:tcW w:w="1284" w:type="dxa"/>
            <w:vAlign w:val="center"/>
          </w:tcPr>
          <w:p w14:paraId="1380A70C">
            <w:pPr>
              <w:pStyle w:val="30"/>
              <w:spacing w:before="173"/>
              <w:jc w:val="center"/>
            </w:pPr>
            <w:r>
              <w:t>发包人及</w:t>
            </w:r>
          </w:p>
          <w:p w14:paraId="2A2BF0E3">
            <w:pPr>
              <w:pStyle w:val="30"/>
              <w:spacing w:before="5" w:line="440" w:lineRule="atLeast"/>
              <w:ind w:right="277"/>
              <w:jc w:val="center"/>
            </w:pPr>
            <w:r>
              <w:t>联系电话</w:t>
            </w:r>
          </w:p>
        </w:tc>
      </w:tr>
      <w:tr w14:paraId="4972E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vAlign w:val="center"/>
          </w:tcPr>
          <w:p w14:paraId="7D76A33B">
            <w:pPr>
              <w:pStyle w:val="30"/>
              <w:ind w:firstLine="422"/>
              <w:rPr>
                <w:rFonts w:ascii="Times New Roman"/>
              </w:rPr>
            </w:pPr>
          </w:p>
        </w:tc>
        <w:tc>
          <w:tcPr>
            <w:tcW w:w="4256" w:type="dxa"/>
            <w:gridSpan w:val="5"/>
            <w:vAlign w:val="center"/>
          </w:tcPr>
          <w:p w14:paraId="370FA0E3">
            <w:pPr>
              <w:pStyle w:val="30"/>
              <w:rPr>
                <w:rFonts w:ascii="Times New Roman"/>
              </w:rPr>
            </w:pPr>
          </w:p>
        </w:tc>
        <w:tc>
          <w:tcPr>
            <w:tcW w:w="1926" w:type="dxa"/>
            <w:gridSpan w:val="2"/>
            <w:vAlign w:val="center"/>
          </w:tcPr>
          <w:p w14:paraId="15AFBE3E">
            <w:pPr>
              <w:pStyle w:val="30"/>
              <w:rPr>
                <w:rFonts w:ascii="Times New Roman"/>
              </w:rPr>
            </w:pPr>
          </w:p>
        </w:tc>
        <w:tc>
          <w:tcPr>
            <w:tcW w:w="1284" w:type="dxa"/>
            <w:vAlign w:val="center"/>
          </w:tcPr>
          <w:p w14:paraId="29178173">
            <w:pPr>
              <w:pStyle w:val="30"/>
              <w:rPr>
                <w:rFonts w:ascii="Times New Roman"/>
              </w:rPr>
            </w:pPr>
          </w:p>
        </w:tc>
      </w:tr>
      <w:tr w14:paraId="54E59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vAlign w:val="center"/>
          </w:tcPr>
          <w:p w14:paraId="7625AAF7">
            <w:pPr>
              <w:pStyle w:val="30"/>
              <w:ind w:firstLine="422"/>
              <w:rPr>
                <w:rFonts w:ascii="Times New Roman"/>
              </w:rPr>
            </w:pPr>
          </w:p>
        </w:tc>
        <w:tc>
          <w:tcPr>
            <w:tcW w:w="4256" w:type="dxa"/>
            <w:gridSpan w:val="5"/>
            <w:vAlign w:val="center"/>
          </w:tcPr>
          <w:p w14:paraId="5F0DFEA1">
            <w:pPr>
              <w:pStyle w:val="30"/>
              <w:rPr>
                <w:rFonts w:ascii="Times New Roman"/>
              </w:rPr>
            </w:pPr>
          </w:p>
        </w:tc>
        <w:tc>
          <w:tcPr>
            <w:tcW w:w="1926" w:type="dxa"/>
            <w:gridSpan w:val="2"/>
            <w:vAlign w:val="center"/>
          </w:tcPr>
          <w:p w14:paraId="09ECEBAF">
            <w:pPr>
              <w:pStyle w:val="30"/>
              <w:rPr>
                <w:rFonts w:ascii="Times New Roman"/>
              </w:rPr>
            </w:pPr>
          </w:p>
        </w:tc>
        <w:tc>
          <w:tcPr>
            <w:tcW w:w="1284" w:type="dxa"/>
            <w:vAlign w:val="center"/>
          </w:tcPr>
          <w:p w14:paraId="3BFAF6E7">
            <w:pPr>
              <w:pStyle w:val="30"/>
              <w:rPr>
                <w:rFonts w:ascii="Times New Roman"/>
              </w:rPr>
            </w:pPr>
          </w:p>
        </w:tc>
      </w:tr>
      <w:tr w14:paraId="2D69F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1263" w:type="dxa"/>
            <w:vAlign w:val="center"/>
          </w:tcPr>
          <w:p w14:paraId="5885287C">
            <w:pPr>
              <w:pStyle w:val="30"/>
              <w:ind w:firstLine="422"/>
              <w:rPr>
                <w:rFonts w:ascii="Times New Roman"/>
              </w:rPr>
            </w:pPr>
          </w:p>
        </w:tc>
        <w:tc>
          <w:tcPr>
            <w:tcW w:w="4256" w:type="dxa"/>
            <w:gridSpan w:val="5"/>
            <w:vAlign w:val="center"/>
          </w:tcPr>
          <w:p w14:paraId="5F796E52">
            <w:pPr>
              <w:pStyle w:val="30"/>
              <w:rPr>
                <w:rFonts w:ascii="Times New Roman"/>
              </w:rPr>
            </w:pPr>
          </w:p>
        </w:tc>
        <w:tc>
          <w:tcPr>
            <w:tcW w:w="1926" w:type="dxa"/>
            <w:gridSpan w:val="2"/>
            <w:vAlign w:val="center"/>
          </w:tcPr>
          <w:p w14:paraId="26D22375">
            <w:pPr>
              <w:pStyle w:val="30"/>
              <w:rPr>
                <w:rFonts w:ascii="Times New Roman"/>
              </w:rPr>
            </w:pPr>
          </w:p>
        </w:tc>
        <w:tc>
          <w:tcPr>
            <w:tcW w:w="1284" w:type="dxa"/>
            <w:vAlign w:val="center"/>
          </w:tcPr>
          <w:p w14:paraId="6AEFF877">
            <w:pPr>
              <w:pStyle w:val="30"/>
              <w:rPr>
                <w:rFonts w:ascii="Times New Roman"/>
              </w:rPr>
            </w:pPr>
          </w:p>
        </w:tc>
      </w:tr>
      <w:tr w14:paraId="13D4E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jc w:val="center"/>
        </w:trPr>
        <w:tc>
          <w:tcPr>
            <w:tcW w:w="2639" w:type="dxa"/>
            <w:gridSpan w:val="2"/>
            <w:vAlign w:val="center"/>
          </w:tcPr>
          <w:p w14:paraId="77D05184">
            <w:pPr>
              <w:pStyle w:val="30"/>
              <w:spacing w:before="9"/>
              <w:ind w:firstLine="360"/>
              <w:rPr>
                <w:rFonts w:ascii="新宋体"/>
                <w:b/>
                <w:sz w:val="18"/>
              </w:rPr>
            </w:pPr>
          </w:p>
          <w:p w14:paraId="5C610569">
            <w:pPr>
              <w:pStyle w:val="30"/>
              <w:spacing w:line="276" w:lineRule="exact"/>
              <w:ind w:left="896" w:firstLine="422"/>
            </w:pPr>
            <w:r>
              <w:t>获奖情况</w:t>
            </w:r>
          </w:p>
        </w:tc>
        <w:tc>
          <w:tcPr>
            <w:tcW w:w="6090" w:type="dxa"/>
            <w:gridSpan w:val="7"/>
            <w:vAlign w:val="center"/>
          </w:tcPr>
          <w:p w14:paraId="19F907D1">
            <w:pPr>
              <w:pStyle w:val="30"/>
              <w:rPr>
                <w:rFonts w:ascii="Times New Roman"/>
              </w:rPr>
            </w:pPr>
          </w:p>
        </w:tc>
      </w:tr>
      <w:tr w14:paraId="45C2B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jc w:val="center"/>
        </w:trPr>
        <w:tc>
          <w:tcPr>
            <w:tcW w:w="2639" w:type="dxa"/>
            <w:gridSpan w:val="2"/>
            <w:vAlign w:val="center"/>
          </w:tcPr>
          <w:p w14:paraId="00123B5B">
            <w:pPr>
              <w:pStyle w:val="30"/>
              <w:ind w:firstLine="420"/>
              <w:rPr>
                <w:rFonts w:ascii="新宋体"/>
                <w:b/>
              </w:rPr>
            </w:pPr>
          </w:p>
          <w:p w14:paraId="7F7E2DCA">
            <w:pPr>
              <w:pStyle w:val="30"/>
              <w:spacing w:before="10"/>
              <w:ind w:firstLine="640"/>
              <w:rPr>
                <w:rFonts w:ascii="新宋体"/>
                <w:b/>
                <w:sz w:val="32"/>
              </w:rPr>
            </w:pPr>
          </w:p>
          <w:p w14:paraId="424943C6">
            <w:pPr>
              <w:pStyle w:val="30"/>
              <w:ind w:left="706" w:firstLine="422"/>
            </w:pPr>
            <w:r>
              <w:t>说明在岗情况</w:t>
            </w:r>
          </w:p>
        </w:tc>
        <w:tc>
          <w:tcPr>
            <w:tcW w:w="6090" w:type="dxa"/>
            <w:gridSpan w:val="7"/>
            <w:vAlign w:val="center"/>
          </w:tcPr>
          <w:p w14:paraId="0C27E364">
            <w:pPr>
              <w:pStyle w:val="30"/>
              <w:numPr>
                <w:ilvl w:val="0"/>
                <w:numId w:val="13"/>
              </w:numPr>
              <w:tabs>
                <w:tab w:val="left" w:pos="423"/>
                <w:tab w:val="left" w:pos="5418"/>
              </w:tabs>
              <w:spacing w:before="140"/>
              <w:ind w:left="423" w:firstLine="422"/>
            </w:pPr>
            <w:r>
              <w:t>目前未在其他项目上任职，现从事工作为：</w:t>
            </w:r>
            <w:r>
              <w:rPr>
                <w:rFonts w:ascii="Times New Roman" w:hAnsi="Times New Roman" w:eastAsia="Times New Roman"/>
                <w:u w:val="single"/>
              </w:rPr>
              <w:tab/>
            </w:r>
            <w:r>
              <w:t>。</w:t>
            </w:r>
          </w:p>
          <w:p w14:paraId="160E1CA8">
            <w:pPr>
              <w:pStyle w:val="30"/>
              <w:numPr>
                <w:ilvl w:val="0"/>
                <w:numId w:val="13"/>
              </w:numPr>
              <w:tabs>
                <w:tab w:val="left" w:pos="474"/>
                <w:tab w:val="left" w:pos="3225"/>
                <w:tab w:val="left" w:pos="5346"/>
              </w:tabs>
              <w:spacing w:before="128" w:line="350" w:lineRule="atLeast"/>
              <w:ind w:right="6" w:firstLine="422"/>
            </w:pPr>
            <w:r>
              <w:t>目前虽在其他项目上任职，但本项目中标后能够从该项目撤离，目前任职项目：</w:t>
            </w:r>
            <w:r>
              <w:tab/>
            </w:r>
            <w:r>
              <w:t>，担任职位：</w:t>
            </w:r>
            <w:r>
              <w:tab/>
            </w:r>
            <w:r>
              <w:t>。</w:t>
            </w:r>
          </w:p>
        </w:tc>
      </w:tr>
      <w:tr w14:paraId="1E6B5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0" w:hRule="atLeast"/>
          <w:jc w:val="center"/>
        </w:trPr>
        <w:tc>
          <w:tcPr>
            <w:tcW w:w="2639" w:type="dxa"/>
            <w:gridSpan w:val="2"/>
            <w:vAlign w:val="center"/>
          </w:tcPr>
          <w:p w14:paraId="5C01F910">
            <w:pPr>
              <w:pStyle w:val="30"/>
              <w:ind w:right="174" w:firstLine="422"/>
              <w:jc w:val="center"/>
            </w:pPr>
            <w:r>
              <w:t>备注</w:t>
            </w:r>
          </w:p>
        </w:tc>
        <w:tc>
          <w:tcPr>
            <w:tcW w:w="6090" w:type="dxa"/>
            <w:gridSpan w:val="7"/>
            <w:vAlign w:val="center"/>
          </w:tcPr>
          <w:p w14:paraId="06725BD0">
            <w:pPr>
              <w:pStyle w:val="30"/>
              <w:rPr>
                <w:rFonts w:ascii="Times New Roman"/>
              </w:rPr>
            </w:pPr>
          </w:p>
        </w:tc>
      </w:tr>
    </w:tbl>
    <w:p w14:paraId="0A6F276C">
      <w:pPr>
        <w:pStyle w:val="12"/>
        <w:spacing w:before="189"/>
        <w:ind w:left="417" w:firstLine="420" w:firstLineChars="200"/>
      </w:pPr>
      <w:r>
        <w:t>注：</w:t>
      </w:r>
      <w:r>
        <w:rPr>
          <w:rFonts w:hint="eastAsia"/>
        </w:rPr>
        <w:t>1.</w:t>
      </w:r>
      <w:r>
        <w:t>本表应填写项目经理相关情况，可以根据项目情况增减表格内容。</w:t>
      </w:r>
    </w:p>
    <w:p w14:paraId="0F31E55D">
      <w:pPr>
        <w:pStyle w:val="12"/>
        <w:spacing w:before="2"/>
        <w:ind w:firstLine="341"/>
        <w:rPr>
          <w:sz w:val="17"/>
        </w:rPr>
      </w:pPr>
    </w:p>
    <w:p w14:paraId="59599DEB">
      <w:pPr>
        <w:spacing w:line="360" w:lineRule="auto"/>
        <w:ind w:firstLine="840" w:firstLineChars="400"/>
        <w:rPr>
          <w:sz w:val="21"/>
          <w:szCs w:val="21"/>
        </w:rPr>
      </w:pPr>
      <w:r>
        <w:rPr>
          <w:rFonts w:hint="eastAsia"/>
          <w:sz w:val="21"/>
          <w:szCs w:val="21"/>
        </w:rPr>
        <w:t>2.</w:t>
      </w:r>
      <w:r>
        <w:rPr>
          <w:sz w:val="21"/>
          <w:szCs w:val="21"/>
        </w:rPr>
        <w:t>投标人应在本表后附项目经理身份证扫描件、注册证扫描件、职称证扫描件、安全生产考核合格证扫描件及由县级以上（含县级）社会养老保险经办机构出具的供应商为项目实施人员交纳的</w:t>
      </w:r>
      <w:r>
        <w:rPr>
          <w:rFonts w:hint="eastAsia"/>
          <w:sz w:val="21"/>
          <w:szCs w:val="21"/>
        </w:rPr>
        <w:t>响应文件</w:t>
      </w:r>
      <w:r>
        <w:rPr>
          <w:sz w:val="21"/>
          <w:szCs w:val="21"/>
        </w:rPr>
        <w:t>递交截止时间前半年内任意连续三个月社保证明扫描件、业绩证明等相关证明材料。</w:t>
      </w:r>
    </w:p>
    <w:p w14:paraId="590FEDE7">
      <w:pPr>
        <w:spacing w:line="360" w:lineRule="auto"/>
        <w:ind w:firstLine="422"/>
        <w:rPr>
          <w:sz w:val="21"/>
          <w:szCs w:val="21"/>
        </w:rPr>
        <w:sectPr>
          <w:type w:val="continuous"/>
          <w:pgSz w:w="11910" w:h="16840"/>
          <w:pgMar w:top="1160" w:right="800" w:bottom="980" w:left="660" w:header="968" w:footer="799" w:gutter="0"/>
          <w:cols w:space="720" w:num="1"/>
        </w:sectPr>
      </w:pPr>
    </w:p>
    <w:p w14:paraId="0625731F">
      <w:pPr>
        <w:pStyle w:val="29"/>
        <w:tabs>
          <w:tab w:val="left" w:pos="800"/>
        </w:tabs>
        <w:spacing w:line="360" w:lineRule="auto"/>
        <w:ind w:left="0" w:firstLine="640"/>
        <w:rPr>
          <w:b/>
          <w:sz w:val="32"/>
        </w:rPr>
      </w:pPr>
    </w:p>
    <w:p w14:paraId="506181A6">
      <w:pPr>
        <w:pStyle w:val="29"/>
        <w:tabs>
          <w:tab w:val="left" w:pos="800"/>
        </w:tabs>
        <w:ind w:left="0" w:firstLine="640"/>
        <w:rPr>
          <w:b/>
          <w:sz w:val="32"/>
        </w:rPr>
      </w:pPr>
    </w:p>
    <w:p w14:paraId="2FF095AC">
      <w:pPr>
        <w:pStyle w:val="29"/>
        <w:tabs>
          <w:tab w:val="left" w:pos="800"/>
        </w:tabs>
        <w:ind w:left="0" w:firstLine="640"/>
        <w:rPr>
          <w:b/>
          <w:sz w:val="32"/>
        </w:rPr>
      </w:pPr>
    </w:p>
    <w:p w14:paraId="5603EFE8">
      <w:pPr>
        <w:pStyle w:val="29"/>
        <w:tabs>
          <w:tab w:val="left" w:pos="800"/>
        </w:tabs>
        <w:ind w:left="0" w:firstLine="321" w:firstLineChars="100"/>
        <w:rPr>
          <w:b/>
          <w:sz w:val="32"/>
        </w:rPr>
      </w:pPr>
      <w:r>
        <w:rPr>
          <w:rFonts w:hint="eastAsia"/>
          <w:b/>
          <w:sz w:val="32"/>
        </w:rPr>
        <w:t>7.项目总工：符合第三章“采购需求”项目总工资格要求（必须提供）</w:t>
      </w:r>
    </w:p>
    <w:p w14:paraId="10F3D77A">
      <w:pPr>
        <w:pStyle w:val="12"/>
        <w:spacing w:before="3"/>
        <w:ind w:firstLine="620"/>
        <w:rPr>
          <w:b/>
          <w:sz w:val="31"/>
        </w:rPr>
      </w:pPr>
    </w:p>
    <w:p w14:paraId="33619486">
      <w:pPr>
        <w:pStyle w:val="8"/>
        <w:ind w:firstLine="482"/>
        <w:jc w:val="center"/>
        <w:rPr>
          <w:rFonts w:ascii="新宋体" w:eastAsia="新宋体"/>
        </w:rPr>
      </w:pPr>
      <w:r>
        <w:rPr>
          <w:rFonts w:hint="eastAsia" w:ascii="新宋体" w:eastAsia="新宋体"/>
        </w:rPr>
        <w:t>拟委任的项目总工资历表</w:t>
      </w:r>
    </w:p>
    <w:p w14:paraId="779E043E">
      <w:pPr>
        <w:pStyle w:val="12"/>
        <w:spacing w:before="10" w:after="1"/>
        <w:ind w:firstLine="240"/>
        <w:rPr>
          <w:rFonts w:ascii="新宋体"/>
          <w:b/>
          <w:sz w:val="12"/>
        </w:rPr>
      </w:pPr>
    </w:p>
    <w:tbl>
      <w:tblPr>
        <w:tblStyle w:val="25"/>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3"/>
        <w:gridCol w:w="1376"/>
        <w:gridCol w:w="102"/>
        <w:gridCol w:w="1059"/>
        <w:gridCol w:w="1379"/>
        <w:gridCol w:w="340"/>
        <w:gridCol w:w="1540"/>
        <w:gridCol w:w="386"/>
        <w:gridCol w:w="1284"/>
      </w:tblGrid>
      <w:tr w14:paraId="573BF0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jc w:val="center"/>
        </w:trPr>
        <w:tc>
          <w:tcPr>
            <w:tcW w:w="1263" w:type="dxa"/>
          </w:tcPr>
          <w:p w14:paraId="3F43DA5E">
            <w:pPr>
              <w:pStyle w:val="30"/>
              <w:spacing w:before="6"/>
              <w:ind w:firstLine="360"/>
              <w:jc w:val="center"/>
              <w:rPr>
                <w:rFonts w:ascii="新宋体"/>
                <w:b/>
                <w:sz w:val="18"/>
              </w:rPr>
            </w:pPr>
          </w:p>
          <w:p w14:paraId="79F9E8E5">
            <w:pPr>
              <w:pStyle w:val="30"/>
              <w:spacing w:line="276" w:lineRule="exact"/>
              <w:ind w:left="207" w:firstLine="13"/>
              <w:jc w:val="center"/>
            </w:pPr>
            <w:r>
              <w:t>姓名</w:t>
            </w:r>
          </w:p>
        </w:tc>
        <w:tc>
          <w:tcPr>
            <w:tcW w:w="1478" w:type="dxa"/>
            <w:gridSpan w:val="2"/>
          </w:tcPr>
          <w:p w14:paraId="62D01626">
            <w:pPr>
              <w:pStyle w:val="30"/>
              <w:jc w:val="center"/>
              <w:rPr>
                <w:rFonts w:ascii="Times New Roman"/>
              </w:rPr>
            </w:pPr>
          </w:p>
        </w:tc>
        <w:tc>
          <w:tcPr>
            <w:tcW w:w="1059" w:type="dxa"/>
          </w:tcPr>
          <w:p w14:paraId="2A98205B">
            <w:pPr>
              <w:pStyle w:val="30"/>
              <w:spacing w:before="6"/>
              <w:ind w:firstLine="360"/>
              <w:jc w:val="center"/>
              <w:rPr>
                <w:rFonts w:ascii="新宋体"/>
                <w:b/>
                <w:sz w:val="18"/>
              </w:rPr>
            </w:pPr>
          </w:p>
          <w:p w14:paraId="06E58E56">
            <w:pPr>
              <w:pStyle w:val="30"/>
              <w:spacing w:line="276" w:lineRule="exact"/>
              <w:ind w:left="121" w:firstLine="99"/>
              <w:jc w:val="both"/>
            </w:pPr>
            <w:r>
              <w:t>年龄</w:t>
            </w:r>
          </w:p>
        </w:tc>
        <w:tc>
          <w:tcPr>
            <w:tcW w:w="1379" w:type="dxa"/>
          </w:tcPr>
          <w:p w14:paraId="2A4B02DE">
            <w:pPr>
              <w:pStyle w:val="30"/>
              <w:jc w:val="center"/>
              <w:rPr>
                <w:rFonts w:ascii="Times New Roman"/>
              </w:rPr>
            </w:pPr>
          </w:p>
        </w:tc>
        <w:tc>
          <w:tcPr>
            <w:tcW w:w="1880" w:type="dxa"/>
            <w:gridSpan w:val="2"/>
          </w:tcPr>
          <w:p w14:paraId="26975CF2">
            <w:pPr>
              <w:pStyle w:val="30"/>
              <w:spacing w:before="6"/>
              <w:ind w:firstLine="360"/>
              <w:jc w:val="center"/>
              <w:rPr>
                <w:rFonts w:ascii="新宋体"/>
                <w:b/>
                <w:sz w:val="18"/>
              </w:rPr>
            </w:pPr>
          </w:p>
          <w:p w14:paraId="465DB8FE">
            <w:pPr>
              <w:pStyle w:val="30"/>
              <w:spacing w:line="276" w:lineRule="exact"/>
              <w:ind w:left="201" w:firstLine="19"/>
              <w:jc w:val="center"/>
            </w:pPr>
            <w:r>
              <w:t>专业</w:t>
            </w:r>
          </w:p>
        </w:tc>
        <w:tc>
          <w:tcPr>
            <w:tcW w:w="1670" w:type="dxa"/>
            <w:gridSpan w:val="2"/>
          </w:tcPr>
          <w:p w14:paraId="4EA72BDE">
            <w:pPr>
              <w:pStyle w:val="30"/>
              <w:rPr>
                <w:rFonts w:ascii="Times New Roman"/>
              </w:rPr>
            </w:pPr>
          </w:p>
        </w:tc>
      </w:tr>
      <w:tr w14:paraId="189E7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1263" w:type="dxa"/>
            <w:vAlign w:val="center"/>
          </w:tcPr>
          <w:p w14:paraId="06A89D17">
            <w:pPr>
              <w:pStyle w:val="30"/>
              <w:jc w:val="center"/>
            </w:pPr>
            <w:r>
              <w:t>技术职称</w:t>
            </w:r>
          </w:p>
        </w:tc>
        <w:tc>
          <w:tcPr>
            <w:tcW w:w="1478" w:type="dxa"/>
            <w:gridSpan w:val="2"/>
            <w:vAlign w:val="center"/>
          </w:tcPr>
          <w:p w14:paraId="0EB8840B">
            <w:pPr>
              <w:pStyle w:val="30"/>
              <w:jc w:val="center"/>
              <w:rPr>
                <w:rFonts w:ascii="Times New Roman"/>
              </w:rPr>
            </w:pPr>
          </w:p>
        </w:tc>
        <w:tc>
          <w:tcPr>
            <w:tcW w:w="1059" w:type="dxa"/>
            <w:vAlign w:val="center"/>
          </w:tcPr>
          <w:p w14:paraId="14CFBF0A">
            <w:pPr>
              <w:pStyle w:val="30"/>
              <w:ind w:firstLine="220" w:firstLineChars="100"/>
              <w:jc w:val="both"/>
            </w:pPr>
            <w:r>
              <w:t>学历</w:t>
            </w:r>
          </w:p>
        </w:tc>
        <w:tc>
          <w:tcPr>
            <w:tcW w:w="1379" w:type="dxa"/>
          </w:tcPr>
          <w:p w14:paraId="6DAD5E5F">
            <w:pPr>
              <w:pStyle w:val="30"/>
              <w:rPr>
                <w:rFonts w:ascii="Times New Roman"/>
              </w:rPr>
            </w:pPr>
          </w:p>
        </w:tc>
        <w:tc>
          <w:tcPr>
            <w:tcW w:w="1880" w:type="dxa"/>
            <w:gridSpan w:val="2"/>
          </w:tcPr>
          <w:p w14:paraId="2F00516A">
            <w:pPr>
              <w:pStyle w:val="30"/>
              <w:spacing w:before="172"/>
              <w:jc w:val="center"/>
            </w:pPr>
            <w:r>
              <w:t>拟在本标段工程任职</w:t>
            </w:r>
          </w:p>
        </w:tc>
        <w:tc>
          <w:tcPr>
            <w:tcW w:w="1670" w:type="dxa"/>
            <w:gridSpan w:val="2"/>
          </w:tcPr>
          <w:p w14:paraId="37BC73DA">
            <w:pPr>
              <w:pStyle w:val="30"/>
              <w:rPr>
                <w:rFonts w:ascii="Times New Roman"/>
              </w:rPr>
            </w:pPr>
          </w:p>
        </w:tc>
      </w:tr>
      <w:tr w14:paraId="20B49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jc w:val="center"/>
        </w:trPr>
        <w:tc>
          <w:tcPr>
            <w:tcW w:w="1263" w:type="dxa"/>
          </w:tcPr>
          <w:p w14:paraId="57161E15">
            <w:pPr>
              <w:pStyle w:val="30"/>
              <w:spacing w:before="1"/>
              <w:ind w:firstLine="360"/>
              <w:rPr>
                <w:rFonts w:ascii="新宋体"/>
                <w:b/>
                <w:sz w:val="18"/>
              </w:rPr>
            </w:pPr>
          </w:p>
          <w:p w14:paraId="44668AC8">
            <w:pPr>
              <w:pStyle w:val="30"/>
              <w:spacing w:line="277" w:lineRule="exact"/>
              <w:jc w:val="center"/>
            </w:pPr>
            <w:r>
              <w:t>工作年限</w:t>
            </w:r>
          </w:p>
        </w:tc>
        <w:tc>
          <w:tcPr>
            <w:tcW w:w="3916" w:type="dxa"/>
            <w:gridSpan w:val="4"/>
          </w:tcPr>
          <w:p w14:paraId="26F372E3">
            <w:pPr>
              <w:pStyle w:val="30"/>
              <w:rPr>
                <w:rFonts w:ascii="Times New Roman"/>
              </w:rPr>
            </w:pPr>
          </w:p>
        </w:tc>
        <w:tc>
          <w:tcPr>
            <w:tcW w:w="1880" w:type="dxa"/>
            <w:gridSpan w:val="2"/>
          </w:tcPr>
          <w:p w14:paraId="42580275">
            <w:pPr>
              <w:pStyle w:val="30"/>
              <w:spacing w:before="1"/>
              <w:ind w:firstLine="360"/>
              <w:rPr>
                <w:rFonts w:ascii="新宋体"/>
                <w:b/>
                <w:sz w:val="18"/>
              </w:rPr>
            </w:pPr>
          </w:p>
          <w:p w14:paraId="5718BD65">
            <w:pPr>
              <w:pStyle w:val="30"/>
              <w:spacing w:line="277" w:lineRule="exact"/>
            </w:pPr>
            <w:r>
              <w:t>类似施工经验年限</w:t>
            </w:r>
          </w:p>
        </w:tc>
        <w:tc>
          <w:tcPr>
            <w:tcW w:w="1670" w:type="dxa"/>
            <w:gridSpan w:val="2"/>
          </w:tcPr>
          <w:p w14:paraId="7C656215">
            <w:pPr>
              <w:pStyle w:val="30"/>
              <w:rPr>
                <w:rFonts w:ascii="Times New Roman"/>
              </w:rPr>
            </w:pPr>
          </w:p>
        </w:tc>
      </w:tr>
      <w:tr w14:paraId="39FA5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1263" w:type="dxa"/>
          </w:tcPr>
          <w:p w14:paraId="5BABAAE9">
            <w:pPr>
              <w:pStyle w:val="30"/>
              <w:spacing w:before="2"/>
              <w:ind w:firstLine="360"/>
              <w:rPr>
                <w:rFonts w:ascii="新宋体"/>
                <w:b/>
                <w:sz w:val="18"/>
              </w:rPr>
            </w:pPr>
          </w:p>
          <w:p w14:paraId="1991BC08">
            <w:pPr>
              <w:pStyle w:val="30"/>
              <w:spacing w:line="276" w:lineRule="exact"/>
              <w:jc w:val="center"/>
            </w:pPr>
            <w:r>
              <w:t>毕业学校</w:t>
            </w:r>
          </w:p>
        </w:tc>
        <w:tc>
          <w:tcPr>
            <w:tcW w:w="7466" w:type="dxa"/>
            <w:gridSpan w:val="8"/>
          </w:tcPr>
          <w:p w14:paraId="4A1950EA">
            <w:pPr>
              <w:pStyle w:val="30"/>
              <w:spacing w:before="2"/>
              <w:ind w:firstLine="360"/>
              <w:rPr>
                <w:rFonts w:ascii="新宋体"/>
                <w:b/>
                <w:sz w:val="18"/>
              </w:rPr>
            </w:pPr>
          </w:p>
          <w:p w14:paraId="62F77B96">
            <w:pPr>
              <w:pStyle w:val="30"/>
              <w:tabs>
                <w:tab w:val="left" w:pos="542"/>
                <w:tab w:val="left" w:pos="3886"/>
                <w:tab w:val="left" w:pos="5529"/>
                <w:tab w:val="left" w:pos="7253"/>
              </w:tabs>
              <w:spacing w:line="276" w:lineRule="exact"/>
              <w:ind w:left="7" w:right="-15" w:firstLine="422"/>
            </w:pPr>
            <w:r>
              <w:rPr>
                <w:rFonts w:ascii="Times New Roman" w:eastAsia="Times New Roman"/>
                <w:u w:val="single"/>
              </w:rPr>
              <w:tab/>
            </w:r>
            <w:r>
              <w:t>年月毕业于</w:t>
            </w:r>
            <w:r>
              <w:rPr>
                <w:rFonts w:ascii="Times New Roman" w:eastAsia="Times New Roman"/>
                <w:u w:val="single"/>
              </w:rPr>
              <w:tab/>
            </w:r>
            <w:r>
              <w:t>学校</w:t>
            </w:r>
            <w:r>
              <w:rPr>
                <w:rFonts w:ascii="Times New Roman" w:eastAsia="Times New Roman"/>
                <w:u w:val="single"/>
              </w:rPr>
              <w:tab/>
            </w:r>
            <w:r>
              <w:t>专业，学制</w:t>
            </w:r>
            <w:r>
              <w:rPr>
                <w:rFonts w:ascii="Times New Roman" w:eastAsia="Times New Roman"/>
                <w:u w:val="single"/>
              </w:rPr>
              <w:tab/>
            </w:r>
            <w:r>
              <w:t>年</w:t>
            </w:r>
          </w:p>
        </w:tc>
      </w:tr>
      <w:tr w14:paraId="1E752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8729" w:type="dxa"/>
            <w:gridSpan w:val="9"/>
          </w:tcPr>
          <w:p w14:paraId="442F6B38">
            <w:pPr>
              <w:pStyle w:val="30"/>
              <w:spacing w:before="3"/>
              <w:ind w:firstLine="360"/>
              <w:rPr>
                <w:rFonts w:ascii="新宋体"/>
                <w:b/>
                <w:sz w:val="18"/>
              </w:rPr>
            </w:pPr>
          </w:p>
          <w:p w14:paraId="39C14CC8">
            <w:pPr>
              <w:pStyle w:val="30"/>
              <w:spacing w:line="277" w:lineRule="exact"/>
              <w:ind w:right="99" w:firstLine="422"/>
              <w:jc w:val="center"/>
              <w:rPr>
                <w:rFonts w:ascii="Times New Roman"/>
              </w:rPr>
            </w:pPr>
            <w:r>
              <w:t>经历</w:t>
            </w:r>
          </w:p>
        </w:tc>
      </w:tr>
      <w:tr w14:paraId="153B95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jc w:val="center"/>
        </w:trPr>
        <w:tc>
          <w:tcPr>
            <w:tcW w:w="1263" w:type="dxa"/>
          </w:tcPr>
          <w:p w14:paraId="5A0D8AB2">
            <w:pPr>
              <w:pStyle w:val="30"/>
              <w:ind w:firstLine="420"/>
              <w:rPr>
                <w:rFonts w:ascii="新宋体"/>
                <w:b/>
              </w:rPr>
            </w:pPr>
          </w:p>
          <w:p w14:paraId="1B2CDD6E">
            <w:pPr>
              <w:pStyle w:val="30"/>
              <w:ind w:firstLine="400"/>
              <w:rPr>
                <w:rFonts w:ascii="新宋体"/>
                <w:b/>
                <w:sz w:val="20"/>
              </w:rPr>
            </w:pPr>
          </w:p>
          <w:p w14:paraId="5372F475">
            <w:pPr>
              <w:pStyle w:val="30"/>
              <w:ind w:left="344" w:firstLine="422"/>
            </w:pPr>
            <w:r>
              <w:t>时间</w:t>
            </w:r>
          </w:p>
        </w:tc>
        <w:tc>
          <w:tcPr>
            <w:tcW w:w="4256" w:type="dxa"/>
            <w:gridSpan w:val="5"/>
          </w:tcPr>
          <w:p w14:paraId="42DF54CF">
            <w:pPr>
              <w:pStyle w:val="30"/>
              <w:ind w:firstLine="420"/>
              <w:rPr>
                <w:rFonts w:ascii="新宋体"/>
                <w:b/>
              </w:rPr>
            </w:pPr>
          </w:p>
          <w:p w14:paraId="614D9BA3">
            <w:pPr>
              <w:pStyle w:val="30"/>
              <w:ind w:firstLine="400"/>
              <w:rPr>
                <w:rFonts w:ascii="新宋体"/>
                <w:b/>
                <w:sz w:val="20"/>
              </w:rPr>
            </w:pPr>
          </w:p>
          <w:p w14:paraId="4714C752">
            <w:pPr>
              <w:pStyle w:val="30"/>
              <w:ind w:left="888" w:firstLine="422"/>
            </w:pPr>
            <w:r>
              <w:t>参加过的类似工程项目名称</w:t>
            </w:r>
          </w:p>
        </w:tc>
        <w:tc>
          <w:tcPr>
            <w:tcW w:w="1926" w:type="dxa"/>
            <w:gridSpan w:val="2"/>
          </w:tcPr>
          <w:p w14:paraId="02EA2EA9">
            <w:pPr>
              <w:pStyle w:val="30"/>
              <w:ind w:firstLine="420"/>
              <w:rPr>
                <w:rFonts w:ascii="新宋体"/>
                <w:b/>
              </w:rPr>
            </w:pPr>
          </w:p>
          <w:p w14:paraId="64569404">
            <w:pPr>
              <w:pStyle w:val="30"/>
              <w:ind w:firstLine="400"/>
              <w:rPr>
                <w:rFonts w:ascii="新宋体"/>
                <w:b/>
                <w:sz w:val="20"/>
              </w:rPr>
            </w:pPr>
          </w:p>
          <w:p w14:paraId="47639D49">
            <w:pPr>
              <w:pStyle w:val="30"/>
              <w:ind w:left="559" w:firstLine="422"/>
            </w:pPr>
            <w:r>
              <w:t>担任职务</w:t>
            </w:r>
          </w:p>
        </w:tc>
        <w:tc>
          <w:tcPr>
            <w:tcW w:w="1284" w:type="dxa"/>
          </w:tcPr>
          <w:p w14:paraId="52214711">
            <w:pPr>
              <w:pStyle w:val="30"/>
              <w:spacing w:before="173"/>
            </w:pPr>
            <w:r>
              <w:t>发包人及</w:t>
            </w:r>
          </w:p>
          <w:p w14:paraId="0D77F905">
            <w:pPr>
              <w:pStyle w:val="30"/>
              <w:spacing w:before="5" w:line="440" w:lineRule="atLeast"/>
              <w:ind w:right="277"/>
            </w:pPr>
            <w:r>
              <w:t>联系电话</w:t>
            </w:r>
          </w:p>
        </w:tc>
      </w:tr>
      <w:tr w14:paraId="0108C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tcPr>
          <w:p w14:paraId="1B0E45C8">
            <w:pPr>
              <w:pStyle w:val="30"/>
              <w:ind w:firstLine="422"/>
              <w:rPr>
                <w:rFonts w:ascii="Times New Roman"/>
              </w:rPr>
            </w:pPr>
          </w:p>
        </w:tc>
        <w:tc>
          <w:tcPr>
            <w:tcW w:w="4256" w:type="dxa"/>
            <w:gridSpan w:val="5"/>
          </w:tcPr>
          <w:p w14:paraId="690B941C">
            <w:pPr>
              <w:pStyle w:val="30"/>
              <w:rPr>
                <w:rFonts w:ascii="Times New Roman"/>
              </w:rPr>
            </w:pPr>
          </w:p>
        </w:tc>
        <w:tc>
          <w:tcPr>
            <w:tcW w:w="1926" w:type="dxa"/>
            <w:gridSpan w:val="2"/>
          </w:tcPr>
          <w:p w14:paraId="60D1410B">
            <w:pPr>
              <w:pStyle w:val="30"/>
              <w:rPr>
                <w:rFonts w:ascii="Times New Roman"/>
              </w:rPr>
            </w:pPr>
          </w:p>
        </w:tc>
        <w:tc>
          <w:tcPr>
            <w:tcW w:w="1284" w:type="dxa"/>
          </w:tcPr>
          <w:p w14:paraId="3EA41027">
            <w:pPr>
              <w:pStyle w:val="30"/>
              <w:rPr>
                <w:rFonts w:ascii="Times New Roman"/>
              </w:rPr>
            </w:pPr>
          </w:p>
        </w:tc>
      </w:tr>
      <w:tr w14:paraId="477068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jc w:val="center"/>
        </w:trPr>
        <w:tc>
          <w:tcPr>
            <w:tcW w:w="1263" w:type="dxa"/>
          </w:tcPr>
          <w:p w14:paraId="27C2D3C3">
            <w:pPr>
              <w:pStyle w:val="30"/>
              <w:ind w:firstLine="422"/>
              <w:rPr>
                <w:rFonts w:ascii="Times New Roman"/>
              </w:rPr>
            </w:pPr>
          </w:p>
        </w:tc>
        <w:tc>
          <w:tcPr>
            <w:tcW w:w="4256" w:type="dxa"/>
            <w:gridSpan w:val="5"/>
          </w:tcPr>
          <w:p w14:paraId="2E95231C">
            <w:pPr>
              <w:pStyle w:val="30"/>
              <w:rPr>
                <w:rFonts w:ascii="Times New Roman"/>
              </w:rPr>
            </w:pPr>
          </w:p>
        </w:tc>
        <w:tc>
          <w:tcPr>
            <w:tcW w:w="1926" w:type="dxa"/>
            <w:gridSpan w:val="2"/>
          </w:tcPr>
          <w:p w14:paraId="0FD24F81">
            <w:pPr>
              <w:pStyle w:val="30"/>
              <w:rPr>
                <w:rFonts w:ascii="Times New Roman"/>
              </w:rPr>
            </w:pPr>
          </w:p>
        </w:tc>
        <w:tc>
          <w:tcPr>
            <w:tcW w:w="1284" w:type="dxa"/>
          </w:tcPr>
          <w:p w14:paraId="4871B23E">
            <w:pPr>
              <w:pStyle w:val="30"/>
              <w:rPr>
                <w:rFonts w:ascii="Times New Roman"/>
              </w:rPr>
            </w:pPr>
          </w:p>
        </w:tc>
      </w:tr>
      <w:tr w14:paraId="2F95E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jc w:val="center"/>
        </w:trPr>
        <w:tc>
          <w:tcPr>
            <w:tcW w:w="1263" w:type="dxa"/>
          </w:tcPr>
          <w:p w14:paraId="3D9342DF">
            <w:pPr>
              <w:pStyle w:val="30"/>
              <w:ind w:firstLine="422"/>
              <w:rPr>
                <w:rFonts w:ascii="Times New Roman"/>
              </w:rPr>
            </w:pPr>
          </w:p>
        </w:tc>
        <w:tc>
          <w:tcPr>
            <w:tcW w:w="4256" w:type="dxa"/>
            <w:gridSpan w:val="5"/>
          </w:tcPr>
          <w:p w14:paraId="56CF270B">
            <w:pPr>
              <w:pStyle w:val="30"/>
              <w:rPr>
                <w:rFonts w:ascii="Times New Roman"/>
              </w:rPr>
            </w:pPr>
          </w:p>
        </w:tc>
        <w:tc>
          <w:tcPr>
            <w:tcW w:w="1926" w:type="dxa"/>
            <w:gridSpan w:val="2"/>
          </w:tcPr>
          <w:p w14:paraId="3067CE0B">
            <w:pPr>
              <w:pStyle w:val="30"/>
              <w:rPr>
                <w:rFonts w:ascii="Times New Roman"/>
              </w:rPr>
            </w:pPr>
          </w:p>
        </w:tc>
        <w:tc>
          <w:tcPr>
            <w:tcW w:w="1284" w:type="dxa"/>
          </w:tcPr>
          <w:p w14:paraId="63226CE5">
            <w:pPr>
              <w:pStyle w:val="30"/>
              <w:rPr>
                <w:rFonts w:ascii="Times New Roman"/>
              </w:rPr>
            </w:pPr>
          </w:p>
        </w:tc>
      </w:tr>
      <w:tr w14:paraId="7F2EE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jc w:val="center"/>
        </w:trPr>
        <w:tc>
          <w:tcPr>
            <w:tcW w:w="2639" w:type="dxa"/>
            <w:gridSpan w:val="2"/>
          </w:tcPr>
          <w:p w14:paraId="2C3C12AB">
            <w:pPr>
              <w:pStyle w:val="30"/>
              <w:spacing w:before="9"/>
              <w:ind w:firstLine="360"/>
              <w:rPr>
                <w:rFonts w:ascii="新宋体"/>
                <w:b/>
                <w:sz w:val="18"/>
              </w:rPr>
            </w:pPr>
          </w:p>
          <w:p w14:paraId="328972A7">
            <w:pPr>
              <w:pStyle w:val="30"/>
              <w:spacing w:line="276" w:lineRule="exact"/>
              <w:ind w:left="896" w:firstLine="422"/>
            </w:pPr>
            <w:r>
              <w:t>获奖情况</w:t>
            </w:r>
          </w:p>
        </w:tc>
        <w:tc>
          <w:tcPr>
            <w:tcW w:w="6090" w:type="dxa"/>
            <w:gridSpan w:val="7"/>
          </w:tcPr>
          <w:p w14:paraId="3BDE9EA3">
            <w:pPr>
              <w:pStyle w:val="30"/>
              <w:rPr>
                <w:rFonts w:ascii="Times New Roman"/>
              </w:rPr>
            </w:pPr>
          </w:p>
        </w:tc>
      </w:tr>
      <w:tr w14:paraId="01F93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jc w:val="center"/>
        </w:trPr>
        <w:tc>
          <w:tcPr>
            <w:tcW w:w="2639" w:type="dxa"/>
            <w:gridSpan w:val="2"/>
          </w:tcPr>
          <w:p w14:paraId="4430918D">
            <w:pPr>
              <w:pStyle w:val="30"/>
              <w:ind w:firstLine="420"/>
              <w:rPr>
                <w:rFonts w:ascii="新宋体"/>
                <w:b/>
              </w:rPr>
            </w:pPr>
          </w:p>
          <w:p w14:paraId="7B5DC9A2">
            <w:pPr>
              <w:pStyle w:val="30"/>
              <w:spacing w:before="10"/>
              <w:ind w:firstLine="640"/>
              <w:rPr>
                <w:rFonts w:ascii="新宋体"/>
                <w:b/>
                <w:sz w:val="32"/>
              </w:rPr>
            </w:pPr>
          </w:p>
          <w:p w14:paraId="301A9192">
            <w:pPr>
              <w:pStyle w:val="30"/>
              <w:ind w:left="706" w:firstLine="422"/>
            </w:pPr>
            <w:r>
              <w:t>说明在岗情况</w:t>
            </w:r>
          </w:p>
        </w:tc>
        <w:tc>
          <w:tcPr>
            <w:tcW w:w="6090" w:type="dxa"/>
            <w:gridSpan w:val="7"/>
          </w:tcPr>
          <w:p w14:paraId="22BEB46C">
            <w:pPr>
              <w:pStyle w:val="30"/>
              <w:numPr>
                <w:ilvl w:val="0"/>
                <w:numId w:val="14"/>
              </w:numPr>
              <w:tabs>
                <w:tab w:val="left" w:pos="423"/>
                <w:tab w:val="left" w:pos="5418"/>
              </w:tabs>
              <w:spacing w:before="140"/>
              <w:ind w:left="423" w:firstLine="422"/>
            </w:pPr>
            <w:r>
              <w:t>目前未在其他项目上任职，现从事工作为：</w:t>
            </w:r>
            <w:r>
              <w:rPr>
                <w:rFonts w:ascii="Times New Roman" w:hAnsi="Times New Roman" w:eastAsia="Times New Roman"/>
                <w:u w:val="single"/>
              </w:rPr>
              <w:tab/>
            </w:r>
            <w:r>
              <w:t>。</w:t>
            </w:r>
          </w:p>
          <w:p w14:paraId="6A0033FA">
            <w:pPr>
              <w:pStyle w:val="30"/>
              <w:numPr>
                <w:ilvl w:val="0"/>
                <w:numId w:val="14"/>
              </w:numPr>
              <w:tabs>
                <w:tab w:val="left" w:pos="474"/>
                <w:tab w:val="left" w:pos="3225"/>
                <w:tab w:val="left" w:pos="5346"/>
              </w:tabs>
              <w:spacing w:before="128" w:line="350" w:lineRule="atLeast"/>
              <w:ind w:right="6" w:firstLine="422"/>
            </w:pPr>
            <w:r>
              <w:t>目前虽在其他项目上任职，但本项目中标后能够从该项目撤离，目前任职项目：</w:t>
            </w:r>
            <w:r>
              <w:tab/>
            </w:r>
            <w:r>
              <w:t>，担任职位：</w:t>
            </w:r>
            <w:r>
              <w:tab/>
            </w:r>
            <w:r>
              <w:t>。</w:t>
            </w:r>
          </w:p>
        </w:tc>
      </w:tr>
      <w:tr w14:paraId="1C4E3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1" w:hRule="atLeast"/>
          <w:jc w:val="center"/>
        </w:trPr>
        <w:tc>
          <w:tcPr>
            <w:tcW w:w="2639" w:type="dxa"/>
            <w:gridSpan w:val="2"/>
          </w:tcPr>
          <w:p w14:paraId="04A82325">
            <w:pPr>
              <w:pStyle w:val="30"/>
              <w:ind w:firstLine="620"/>
              <w:rPr>
                <w:rFonts w:ascii="新宋体"/>
                <w:b/>
                <w:sz w:val="31"/>
              </w:rPr>
            </w:pPr>
          </w:p>
          <w:p w14:paraId="69F3ECB6">
            <w:pPr>
              <w:pStyle w:val="30"/>
              <w:ind w:right="174" w:firstLine="660" w:firstLineChars="300"/>
              <w:jc w:val="both"/>
            </w:pPr>
          </w:p>
          <w:p w14:paraId="2975F3D9">
            <w:pPr>
              <w:pStyle w:val="30"/>
              <w:ind w:right="174" w:firstLine="422"/>
              <w:jc w:val="center"/>
            </w:pPr>
            <w:r>
              <w:t>备注</w:t>
            </w:r>
          </w:p>
        </w:tc>
        <w:tc>
          <w:tcPr>
            <w:tcW w:w="6090" w:type="dxa"/>
            <w:gridSpan w:val="7"/>
          </w:tcPr>
          <w:p w14:paraId="24970342">
            <w:pPr>
              <w:pStyle w:val="30"/>
              <w:rPr>
                <w:rFonts w:ascii="Times New Roman"/>
              </w:rPr>
            </w:pPr>
          </w:p>
        </w:tc>
      </w:tr>
    </w:tbl>
    <w:p w14:paraId="4546542A">
      <w:pPr>
        <w:pStyle w:val="12"/>
        <w:spacing w:before="189"/>
        <w:ind w:firstLine="630" w:firstLineChars="300"/>
      </w:pPr>
      <w:r>
        <w:t>注：</w:t>
      </w:r>
      <w:r>
        <w:rPr>
          <w:rFonts w:hint="eastAsia"/>
        </w:rPr>
        <w:t>1.</w:t>
      </w:r>
      <w:r>
        <w:t>本表应填写项目经总工关情况，，可以根据项目情况增减表格内容。</w:t>
      </w:r>
    </w:p>
    <w:p w14:paraId="5985018D">
      <w:pPr>
        <w:pStyle w:val="12"/>
        <w:spacing w:before="2"/>
        <w:ind w:firstLine="341"/>
        <w:rPr>
          <w:sz w:val="17"/>
        </w:rPr>
      </w:pPr>
    </w:p>
    <w:p w14:paraId="5A8BB6D1">
      <w:pPr>
        <w:pStyle w:val="29"/>
        <w:tabs>
          <w:tab w:val="left" w:pos="800"/>
        </w:tabs>
        <w:spacing w:line="360" w:lineRule="auto"/>
        <w:ind w:left="480" w:firstLine="210" w:firstLineChars="100"/>
        <w:rPr>
          <w:sz w:val="21"/>
        </w:rPr>
      </w:pPr>
      <w:r>
        <w:rPr>
          <w:rFonts w:hint="eastAsia"/>
          <w:sz w:val="21"/>
        </w:rPr>
        <w:t>2.</w:t>
      </w:r>
      <w:r>
        <w:rPr>
          <w:sz w:val="21"/>
        </w:rPr>
        <w:t>投标人应在本表后附项目总工身份证扫描件、注册证扫描件、职称证扫描件、安全生产考核合格证扫描件及由县级以上（含县级）社会养老保险经办机构出具的供应商为项目实施人员交纳的</w:t>
      </w:r>
      <w:r>
        <w:rPr>
          <w:rFonts w:hint="eastAsia"/>
          <w:sz w:val="21"/>
          <w:szCs w:val="21"/>
        </w:rPr>
        <w:t>响应文件</w:t>
      </w:r>
      <w:r>
        <w:rPr>
          <w:sz w:val="21"/>
        </w:rPr>
        <w:t>递交截止时间前半年内任意连续三个月社保证明扫描件、业绩证明等相关证明材</w:t>
      </w:r>
      <w:r>
        <w:rPr>
          <w:rFonts w:hint="eastAsia"/>
          <w:sz w:val="21"/>
        </w:rPr>
        <w:t>。</w:t>
      </w:r>
    </w:p>
    <w:p w14:paraId="2D483EF9">
      <w:pPr>
        <w:pStyle w:val="29"/>
        <w:tabs>
          <w:tab w:val="left" w:pos="800"/>
        </w:tabs>
        <w:ind w:left="480" w:firstLine="422"/>
        <w:rPr>
          <w:sz w:val="21"/>
        </w:rPr>
      </w:pPr>
    </w:p>
    <w:p w14:paraId="4E637C05">
      <w:pPr>
        <w:pStyle w:val="29"/>
        <w:tabs>
          <w:tab w:val="left" w:pos="800"/>
        </w:tabs>
        <w:ind w:left="480" w:firstLine="422"/>
        <w:rPr>
          <w:sz w:val="21"/>
        </w:rPr>
      </w:pPr>
    </w:p>
    <w:p w14:paraId="3CA60D0E">
      <w:pPr>
        <w:pStyle w:val="29"/>
        <w:tabs>
          <w:tab w:val="left" w:pos="800"/>
        </w:tabs>
        <w:ind w:left="480" w:firstLine="422"/>
        <w:rPr>
          <w:sz w:val="21"/>
        </w:rPr>
      </w:pPr>
    </w:p>
    <w:p w14:paraId="573261C1">
      <w:pPr>
        <w:pStyle w:val="29"/>
        <w:tabs>
          <w:tab w:val="left" w:pos="800"/>
        </w:tabs>
        <w:ind w:left="480" w:firstLine="422"/>
        <w:rPr>
          <w:sz w:val="21"/>
        </w:rPr>
      </w:pPr>
    </w:p>
    <w:p w14:paraId="6F542F37">
      <w:pPr>
        <w:pStyle w:val="29"/>
        <w:tabs>
          <w:tab w:val="left" w:pos="800"/>
        </w:tabs>
        <w:ind w:left="0" w:firstLine="422"/>
        <w:rPr>
          <w:sz w:val="21"/>
        </w:rPr>
      </w:pPr>
    </w:p>
    <w:p w14:paraId="59ABB6DB">
      <w:pPr>
        <w:pStyle w:val="29"/>
        <w:tabs>
          <w:tab w:val="left" w:pos="800"/>
        </w:tabs>
        <w:ind w:left="660" w:firstLine="643"/>
        <w:rPr>
          <w:b/>
          <w:sz w:val="32"/>
        </w:rPr>
      </w:pPr>
      <w:r>
        <w:rPr>
          <w:rFonts w:hint="eastAsia"/>
          <w:b/>
          <w:sz w:val="32"/>
        </w:rPr>
        <w:t>8.供应商参加政府采购活动前3年内在经营活动中没有重大违法记录及有关信用信息的书面声明（必须提供）</w:t>
      </w:r>
    </w:p>
    <w:p w14:paraId="0089D733">
      <w:pPr>
        <w:pStyle w:val="29"/>
        <w:tabs>
          <w:tab w:val="left" w:pos="800"/>
        </w:tabs>
        <w:ind w:left="480" w:firstLine="600"/>
        <w:rPr>
          <w:b/>
          <w:sz w:val="30"/>
        </w:rPr>
      </w:pPr>
    </w:p>
    <w:p w14:paraId="37F266E0">
      <w:pPr>
        <w:spacing w:before="54"/>
        <w:ind w:firstLine="640"/>
        <w:rPr>
          <w:b/>
          <w:sz w:val="32"/>
        </w:rPr>
      </w:pPr>
    </w:p>
    <w:p w14:paraId="13E1AD82">
      <w:pPr>
        <w:spacing w:before="54"/>
        <w:ind w:firstLine="643"/>
        <w:rPr>
          <w:sz w:val="35"/>
        </w:rPr>
      </w:pPr>
      <w:r>
        <w:rPr>
          <w:b/>
          <w:sz w:val="32"/>
        </w:rPr>
        <w:t>附件：</w:t>
      </w:r>
    </w:p>
    <w:p w14:paraId="6E7D307D">
      <w:pPr>
        <w:tabs>
          <w:tab w:val="left" w:pos="1133"/>
        </w:tabs>
        <w:spacing w:before="1"/>
        <w:ind w:left="329" w:firstLine="643"/>
        <w:jc w:val="center"/>
        <w:rPr>
          <w:b/>
          <w:sz w:val="26"/>
        </w:rPr>
      </w:pPr>
      <w:r>
        <w:rPr>
          <w:b/>
          <w:sz w:val="32"/>
        </w:rPr>
        <w:t>声</w:t>
      </w:r>
      <w:r>
        <w:rPr>
          <w:b/>
          <w:sz w:val="32"/>
        </w:rPr>
        <w:tab/>
      </w:r>
      <w:r>
        <w:rPr>
          <w:b/>
          <w:sz w:val="32"/>
        </w:rPr>
        <w:t>明（格式）</w:t>
      </w:r>
    </w:p>
    <w:p w14:paraId="3193143D">
      <w:pPr>
        <w:pStyle w:val="12"/>
        <w:spacing w:before="113"/>
        <w:ind w:left="480" w:firstLine="422"/>
      </w:pPr>
      <w:r>
        <w:rPr>
          <w:b/>
        </w:rPr>
        <w:t>致</w:t>
      </w:r>
      <w:r>
        <w:t>：</w:t>
      </w:r>
      <w:r>
        <w:rPr>
          <w:rFonts w:hint="eastAsia"/>
          <w:u w:val="single"/>
        </w:rPr>
        <w:t>广西壮族自治区资源公路养护中心</w:t>
      </w:r>
    </w:p>
    <w:p w14:paraId="0B6C184A">
      <w:pPr>
        <w:pStyle w:val="12"/>
        <w:ind w:firstLine="520"/>
        <w:rPr>
          <w:b/>
          <w:sz w:val="26"/>
        </w:rPr>
      </w:pPr>
    </w:p>
    <w:p w14:paraId="658FA230">
      <w:pPr>
        <w:pStyle w:val="12"/>
        <w:spacing w:before="70" w:line="357" w:lineRule="auto"/>
        <w:ind w:left="480" w:right="796" w:firstLine="422"/>
        <w:jc w:val="both"/>
      </w:pPr>
      <w: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20725E69">
      <w:pPr>
        <w:pStyle w:val="12"/>
        <w:ind w:firstLine="402"/>
        <w:rPr>
          <w:sz w:val="20"/>
        </w:rPr>
      </w:pPr>
    </w:p>
    <w:p w14:paraId="664ADDA6">
      <w:pPr>
        <w:pStyle w:val="12"/>
        <w:spacing w:before="140"/>
        <w:ind w:right="1627"/>
        <w:jc w:val="center"/>
      </w:pPr>
      <w:r>
        <w:t>磋商供应商[公章(CA签章)自然人签字或个人CA签章]：</w:t>
      </w:r>
    </w:p>
    <w:p w14:paraId="5444405E">
      <w:pPr>
        <w:pStyle w:val="12"/>
        <w:tabs>
          <w:tab w:val="left" w:pos="1991"/>
        </w:tabs>
        <w:spacing w:before="131"/>
        <w:ind w:left="731"/>
        <w:jc w:val="center"/>
      </w:pPr>
      <w:r>
        <w:t>日</w:t>
      </w:r>
      <w:r>
        <w:tab/>
      </w:r>
      <w:r>
        <w:t>期：</w:t>
      </w:r>
    </w:p>
    <w:p w14:paraId="0869AEED">
      <w:pPr>
        <w:pStyle w:val="12"/>
        <w:ind w:firstLine="402"/>
        <w:rPr>
          <w:sz w:val="20"/>
        </w:rPr>
      </w:pPr>
    </w:p>
    <w:p w14:paraId="7598C1CC">
      <w:pPr>
        <w:pStyle w:val="12"/>
        <w:ind w:firstLine="402"/>
        <w:rPr>
          <w:sz w:val="20"/>
        </w:rPr>
      </w:pPr>
    </w:p>
    <w:p w14:paraId="7C4AAAEB">
      <w:pPr>
        <w:pStyle w:val="12"/>
        <w:ind w:firstLine="402"/>
        <w:rPr>
          <w:sz w:val="20"/>
        </w:rPr>
      </w:pPr>
    </w:p>
    <w:p w14:paraId="16BE9319">
      <w:pPr>
        <w:pStyle w:val="12"/>
        <w:ind w:firstLine="402"/>
        <w:rPr>
          <w:sz w:val="20"/>
        </w:rPr>
      </w:pPr>
    </w:p>
    <w:p w14:paraId="0EDFE3DA">
      <w:pPr>
        <w:pStyle w:val="12"/>
        <w:spacing w:before="7"/>
        <w:ind w:firstLine="361"/>
        <w:rPr>
          <w:sz w:val="18"/>
        </w:rPr>
      </w:pPr>
    </w:p>
    <w:p w14:paraId="7DFE5551">
      <w:pPr>
        <w:pStyle w:val="10"/>
        <w:spacing w:line="242" w:lineRule="auto"/>
        <w:ind w:left="480" w:right="800" w:firstLine="422"/>
        <w:jc w:val="both"/>
      </w:pPr>
      <w:r>
        <w:t>注：供应商参加政府采购活动前3年内在经营活动中没有重大违法记录及有关信用信息的书面声明须由法定代表人(负责人、自然人)或相应的委托代理人签字（或个人CA证书签章）并加盖供应商公章（CA证书签章）。</w:t>
      </w:r>
    </w:p>
    <w:p w14:paraId="7BA597E2">
      <w:pPr>
        <w:pStyle w:val="12"/>
        <w:spacing w:before="3"/>
        <w:ind w:firstLine="380"/>
        <w:rPr>
          <w:b/>
          <w:sz w:val="19"/>
        </w:rPr>
      </w:pPr>
    </w:p>
    <w:p w14:paraId="47543094">
      <w:pPr>
        <w:pStyle w:val="12"/>
        <w:spacing w:before="3"/>
        <w:ind w:firstLine="380"/>
        <w:rPr>
          <w:b/>
          <w:sz w:val="19"/>
        </w:rPr>
      </w:pPr>
    </w:p>
    <w:p w14:paraId="593059DC">
      <w:pPr>
        <w:pStyle w:val="12"/>
        <w:spacing w:before="3"/>
        <w:ind w:firstLine="380"/>
        <w:rPr>
          <w:b/>
          <w:sz w:val="19"/>
        </w:rPr>
      </w:pPr>
    </w:p>
    <w:p w14:paraId="7FD97701">
      <w:pPr>
        <w:pStyle w:val="12"/>
        <w:spacing w:before="3"/>
        <w:ind w:firstLine="380"/>
        <w:rPr>
          <w:b/>
          <w:sz w:val="19"/>
        </w:rPr>
      </w:pPr>
    </w:p>
    <w:p w14:paraId="199A49E8">
      <w:pPr>
        <w:pStyle w:val="12"/>
        <w:spacing w:before="3"/>
        <w:ind w:firstLine="380"/>
        <w:rPr>
          <w:b/>
          <w:sz w:val="19"/>
        </w:rPr>
      </w:pPr>
    </w:p>
    <w:p w14:paraId="56034ACB">
      <w:pPr>
        <w:pStyle w:val="12"/>
        <w:spacing w:before="3"/>
        <w:ind w:firstLine="380"/>
        <w:rPr>
          <w:b/>
          <w:sz w:val="19"/>
        </w:rPr>
      </w:pPr>
    </w:p>
    <w:p w14:paraId="700878AF">
      <w:pPr>
        <w:pStyle w:val="12"/>
        <w:spacing w:before="3"/>
        <w:ind w:firstLine="380"/>
        <w:rPr>
          <w:b/>
          <w:sz w:val="19"/>
        </w:rPr>
      </w:pPr>
    </w:p>
    <w:p w14:paraId="7BF5F4EB">
      <w:pPr>
        <w:pStyle w:val="12"/>
        <w:spacing w:before="3"/>
        <w:ind w:firstLine="380"/>
        <w:rPr>
          <w:b/>
          <w:sz w:val="19"/>
        </w:rPr>
      </w:pPr>
    </w:p>
    <w:p w14:paraId="488AA0D2">
      <w:pPr>
        <w:pStyle w:val="12"/>
        <w:spacing w:before="3"/>
        <w:ind w:firstLine="420"/>
        <w:rPr>
          <w:rFonts w:ascii="微软雅黑" w:hAnsi="微软雅黑" w:eastAsia="微软雅黑" w:cs="微软雅黑"/>
        </w:rPr>
      </w:pPr>
    </w:p>
    <w:p w14:paraId="24856BEB">
      <w:pPr>
        <w:pStyle w:val="12"/>
        <w:spacing w:before="3"/>
        <w:ind w:firstLine="3780" w:firstLineChars="1800"/>
        <w:rPr>
          <w:rFonts w:ascii="微软雅黑" w:hAnsi="微软雅黑" w:eastAsia="微软雅黑" w:cs="微软雅黑"/>
        </w:rPr>
      </w:pPr>
    </w:p>
    <w:p w14:paraId="1F51E2EA">
      <w:pPr>
        <w:pStyle w:val="29"/>
        <w:tabs>
          <w:tab w:val="left" w:pos="800"/>
        </w:tabs>
        <w:ind w:left="660" w:firstLine="643"/>
        <w:rPr>
          <w:b/>
          <w:sz w:val="32"/>
        </w:rPr>
      </w:pPr>
    </w:p>
    <w:p w14:paraId="06A616B8">
      <w:pPr>
        <w:pStyle w:val="29"/>
        <w:tabs>
          <w:tab w:val="left" w:pos="800"/>
        </w:tabs>
        <w:ind w:left="660" w:firstLine="643"/>
        <w:rPr>
          <w:b/>
          <w:sz w:val="32"/>
        </w:rPr>
      </w:pPr>
    </w:p>
    <w:p w14:paraId="1936E9D5">
      <w:pPr>
        <w:pStyle w:val="29"/>
        <w:tabs>
          <w:tab w:val="left" w:pos="800"/>
        </w:tabs>
        <w:ind w:left="660" w:firstLine="643"/>
        <w:rPr>
          <w:b/>
          <w:sz w:val="32"/>
        </w:rPr>
      </w:pPr>
      <w:r>
        <w:rPr>
          <w:rFonts w:hint="eastAsia"/>
          <w:b/>
          <w:sz w:val="32"/>
        </w:rPr>
        <w:t>9.供应商</w:t>
      </w:r>
      <w:r>
        <w:rPr>
          <w:rFonts w:hint="eastAsia"/>
          <w:b/>
          <w:color w:val="auto"/>
          <w:sz w:val="32"/>
          <w:highlight w:val="none"/>
        </w:rPr>
        <w:t>2021-2023</w:t>
      </w:r>
      <w:r>
        <w:rPr>
          <w:rFonts w:hint="eastAsia"/>
          <w:b/>
          <w:sz w:val="32"/>
        </w:rPr>
        <w:t>年度以来通过中介审计的有效财务审计报告（新成立的公司应提供公司成立日之后的财务报表扫描件）（必须提供）；</w:t>
      </w:r>
    </w:p>
    <w:p w14:paraId="7EF2DE3B">
      <w:pPr>
        <w:pStyle w:val="12"/>
        <w:spacing w:before="3"/>
        <w:ind w:firstLine="3780" w:firstLineChars="1800"/>
        <w:rPr>
          <w:rFonts w:ascii="微软雅黑" w:hAnsi="微软雅黑" w:eastAsia="微软雅黑" w:cs="微软雅黑"/>
        </w:rPr>
      </w:pPr>
    </w:p>
    <w:p w14:paraId="746D7C73">
      <w:pPr>
        <w:pStyle w:val="12"/>
        <w:spacing w:before="3"/>
        <w:ind w:firstLine="3780" w:firstLineChars="1800"/>
        <w:rPr>
          <w:rFonts w:ascii="微软雅黑" w:hAnsi="微软雅黑" w:eastAsia="微软雅黑" w:cs="微软雅黑"/>
        </w:rPr>
      </w:pPr>
    </w:p>
    <w:p w14:paraId="3659FEC0">
      <w:pPr>
        <w:pStyle w:val="12"/>
        <w:spacing w:before="3"/>
        <w:ind w:firstLine="420"/>
        <w:rPr>
          <w:rFonts w:ascii="微软雅黑" w:hAnsi="微软雅黑" w:eastAsia="微软雅黑" w:cs="微软雅黑"/>
        </w:rPr>
      </w:pPr>
    </w:p>
    <w:p w14:paraId="0D9EB148">
      <w:pPr>
        <w:pStyle w:val="12"/>
        <w:spacing w:before="3"/>
        <w:ind w:firstLine="420"/>
        <w:rPr>
          <w:rFonts w:ascii="微软雅黑" w:hAnsi="微软雅黑" w:eastAsia="微软雅黑" w:cs="微软雅黑"/>
        </w:rPr>
      </w:pPr>
    </w:p>
    <w:p w14:paraId="74ED3D6C">
      <w:pPr>
        <w:pStyle w:val="12"/>
        <w:spacing w:before="3"/>
        <w:ind w:firstLine="420"/>
        <w:rPr>
          <w:rFonts w:ascii="微软雅黑" w:hAnsi="微软雅黑" w:eastAsia="微软雅黑" w:cs="微软雅黑"/>
        </w:rPr>
      </w:pPr>
    </w:p>
    <w:p w14:paraId="499E37E7">
      <w:pPr>
        <w:pStyle w:val="12"/>
        <w:spacing w:before="3"/>
        <w:ind w:firstLine="3780" w:firstLineChars="1800"/>
        <w:rPr>
          <w:rFonts w:ascii="微软雅黑" w:hAnsi="微软雅黑" w:eastAsia="微软雅黑" w:cs="微软雅黑"/>
        </w:rPr>
      </w:pPr>
    </w:p>
    <w:p w14:paraId="6B631934">
      <w:pPr>
        <w:pStyle w:val="29"/>
        <w:tabs>
          <w:tab w:val="left" w:pos="800"/>
        </w:tabs>
        <w:ind w:left="660" w:firstLine="643"/>
        <w:rPr>
          <w:b/>
          <w:sz w:val="32"/>
        </w:rPr>
      </w:pPr>
      <w:r>
        <w:rPr>
          <w:rFonts w:hint="eastAsia"/>
          <w:b/>
          <w:sz w:val="32"/>
        </w:rPr>
        <w:t>10.</w:t>
      </w:r>
      <w:r>
        <w:rPr>
          <w:rFonts w:hint="eastAsia"/>
          <w:b/>
          <w:sz w:val="32"/>
          <w:lang w:eastAsia="zh-CN"/>
        </w:rPr>
        <w:t>本项目专门面向中小企业采购</w:t>
      </w:r>
      <w:r>
        <w:rPr>
          <w:rFonts w:hint="eastAsia"/>
          <w:b/>
          <w:sz w:val="32"/>
        </w:rPr>
        <w:t>。(监狱企业或残疾人福利性单位)的相关材料；根据企业所属类型，必须提供以下材料之一：</w:t>
      </w:r>
    </w:p>
    <w:p w14:paraId="0D6BA7BE">
      <w:pPr>
        <w:pStyle w:val="12"/>
        <w:spacing w:before="102" w:line="357" w:lineRule="auto"/>
        <w:ind w:left="900" w:right="799" w:firstLine="422"/>
      </w:pPr>
      <w:r>
        <w:t>①中小企业声明函（如供应商为中小型企业的，格式见附件，供应商对出具的声明函真实性负责，成交结果将同时公告企业《中小企业声明函》，接受社会监督）；</w:t>
      </w:r>
    </w:p>
    <w:p w14:paraId="62E4DC7A">
      <w:pPr>
        <w:pStyle w:val="12"/>
        <w:spacing w:line="355" w:lineRule="auto"/>
        <w:ind w:left="900" w:right="800" w:firstLine="422"/>
      </w:pPr>
      <w:r>
        <w:t>②监狱企业的证明文件[供应商如为监狱企业的，应当提供由省级以上监狱管理局、戒毒管理局（含新疆生产建设兵团）出具的属于监狱企业的证明文件,否则不予享受优惠政策]；</w:t>
      </w:r>
    </w:p>
    <w:p w14:paraId="0C0C6316">
      <w:pPr>
        <w:pStyle w:val="12"/>
        <w:spacing w:before="3" w:line="357" w:lineRule="auto"/>
        <w:ind w:left="900" w:right="796" w:firstLine="422"/>
        <w:jc w:val="both"/>
      </w:pPr>
      <w:r>
        <w:t>③《残疾人福利性单位声明函》【符合条件的残疾人福利性单位在参加政府采购活动时，应当提供《残疾人福利性单位声明函》（格式见附件），并对声明的真实性负责，成交结果将同时公告企业《残疾人福利性单位声明函》，接受社会监督】。</w:t>
      </w:r>
    </w:p>
    <w:p w14:paraId="3C4EFE25">
      <w:pPr>
        <w:pStyle w:val="12"/>
        <w:spacing w:before="76" w:line="446" w:lineRule="auto"/>
        <w:ind w:left="480" w:right="799" w:firstLine="422"/>
      </w:pPr>
      <w:r>
        <w:t>注：</w:t>
      </w:r>
      <w:r>
        <w:rPr>
          <w:rFonts w:hint="eastAsia"/>
          <w:lang w:eastAsia="zh-CN"/>
        </w:rPr>
        <w:t>本项目专门面向中小企业采购</w:t>
      </w:r>
      <w:r>
        <w:t>（监狱企业及残疾人福利性单位视同于小微企业），本项目不接受非上述企业参与磋商。）</w:t>
      </w:r>
    </w:p>
    <w:p w14:paraId="11C77407">
      <w:pPr>
        <w:spacing w:line="446" w:lineRule="auto"/>
        <w:ind w:firstLine="422"/>
        <w:sectPr>
          <w:footerReference r:id="rId13" w:type="default"/>
          <w:type w:val="continuous"/>
          <w:pgSz w:w="11910" w:h="16840"/>
          <w:pgMar w:top="920" w:right="640" w:bottom="280" w:left="960" w:header="0" w:footer="954" w:gutter="0"/>
          <w:cols w:space="720" w:num="1"/>
        </w:sectPr>
      </w:pPr>
    </w:p>
    <w:p w14:paraId="4B628563">
      <w:pPr>
        <w:ind w:firstLine="422"/>
        <w:rPr>
          <w:b/>
          <w:bCs/>
        </w:rPr>
      </w:pPr>
      <w:r>
        <w:rPr>
          <w:b/>
          <w:bCs/>
        </w:rPr>
        <w:t>附件：</w:t>
      </w:r>
    </w:p>
    <w:p w14:paraId="5AA5A1D5">
      <w:pPr>
        <w:ind w:firstLine="602"/>
        <w:jc w:val="center"/>
        <w:rPr>
          <w:b/>
          <w:bCs/>
          <w:sz w:val="30"/>
          <w:szCs w:val="30"/>
        </w:rPr>
      </w:pPr>
      <w:r>
        <w:rPr>
          <w:b/>
          <w:bCs/>
          <w:sz w:val="30"/>
          <w:szCs w:val="30"/>
        </w:rPr>
        <w:t>中小企业声明函（格式）</w:t>
      </w:r>
    </w:p>
    <w:p w14:paraId="5776A883">
      <w:pPr>
        <w:pStyle w:val="12"/>
        <w:spacing w:before="11"/>
        <w:ind w:firstLine="280"/>
        <w:rPr>
          <w:b/>
          <w:sz w:val="14"/>
        </w:rPr>
      </w:pPr>
    </w:p>
    <w:p w14:paraId="37E30DC8">
      <w:pPr>
        <w:pStyle w:val="8"/>
        <w:tabs>
          <w:tab w:val="left" w:pos="5939"/>
          <w:tab w:val="left" w:pos="7259"/>
        </w:tabs>
        <w:spacing w:before="67" w:line="249" w:lineRule="auto"/>
        <w:ind w:right="797" w:firstLine="482"/>
      </w:pPr>
      <w:r>
        <w:t>本公司（联合体）郑重声明，根据《政府采购促进中小企业发展暂行办法》（财库[2020]46号）的规定，本公司（联合体）参加</w:t>
      </w:r>
      <w:r>
        <w:rPr>
          <w:u w:val="single"/>
        </w:rPr>
        <w:t>（</w:t>
      </w:r>
      <w:r>
        <w:rPr>
          <w:u w:val="single"/>
        </w:rPr>
        <w:tab/>
      </w:r>
      <w:r>
        <w:rPr>
          <w:u w:val="single"/>
        </w:rPr>
        <w:t>单位名称</w:t>
      </w:r>
      <w:r>
        <w:rPr>
          <w:u w:val="single"/>
        </w:rPr>
        <w:tab/>
      </w:r>
      <w:r>
        <w:rPr>
          <w:u w:val="single"/>
        </w:rPr>
        <w:t>）</w:t>
      </w:r>
      <w:r>
        <w:t>的_</w:t>
      </w:r>
      <w:r>
        <w:rPr>
          <w:u w:val="single"/>
        </w:rPr>
        <w:t>（项目名称）_</w:t>
      </w:r>
      <w:r>
        <w:t>采购活动，服务全部由符合政策要求的中小企业承接。相关企业（含联合体中的中小企业、签订分包意向协议的中小企业）的具体情况如下：</w:t>
      </w:r>
    </w:p>
    <w:p w14:paraId="1052B4B9">
      <w:pPr>
        <w:pStyle w:val="12"/>
        <w:spacing w:before="11"/>
        <w:ind w:firstLine="361"/>
        <w:rPr>
          <w:sz w:val="18"/>
        </w:rPr>
      </w:pPr>
    </w:p>
    <w:p w14:paraId="0FF5D6AF">
      <w:pPr>
        <w:pStyle w:val="8"/>
        <w:numPr>
          <w:ilvl w:val="1"/>
          <w:numId w:val="15"/>
        </w:numPr>
        <w:tabs>
          <w:tab w:val="left" w:pos="1200"/>
          <w:tab w:val="left" w:pos="1559"/>
          <w:tab w:val="left" w:pos="1667"/>
          <w:tab w:val="left" w:pos="3812"/>
        </w:tabs>
        <w:spacing w:line="249" w:lineRule="auto"/>
        <w:ind w:right="677" w:firstLine="482"/>
        <w:rPr>
          <w:sz w:val="22"/>
        </w:rPr>
      </w:pPr>
      <w:r>
        <w:rPr>
          <w:rFonts w:ascii="Times New Roman" w:eastAsia="Times New Roman"/>
          <w:u w:val="single"/>
        </w:rPr>
        <w:tab/>
      </w:r>
      <w:r>
        <w:rPr>
          <w:rFonts w:ascii="Times New Roman" w:eastAsia="Times New Roman"/>
          <w:u w:val="single"/>
        </w:rPr>
        <w:tab/>
      </w:r>
      <w:r>
        <w:rPr>
          <w:u w:val="single"/>
        </w:rPr>
        <w:t>（标的名称）</w:t>
      </w:r>
      <w:r>
        <w:rPr>
          <w:u w:val="single"/>
        </w:rPr>
        <w:tab/>
      </w:r>
      <w:r>
        <w:t>，属于</w:t>
      </w:r>
      <w:r>
        <w:rPr>
          <w:u w:val="single"/>
        </w:rPr>
        <w:t>（</w:t>
      </w:r>
      <w:r>
        <w:rPr>
          <w:b/>
          <w:u w:val="single"/>
        </w:rPr>
        <w:t>建筑业</w:t>
      </w:r>
      <w:r>
        <w:rPr>
          <w:u w:val="single"/>
        </w:rPr>
        <w:t>）</w:t>
      </w:r>
      <w:r>
        <w:t>；承建（承接）企业为</w:t>
      </w:r>
      <w:r>
        <w:rPr>
          <w:u w:val="single"/>
        </w:rPr>
        <w:t>（企业名称）</w:t>
      </w:r>
      <w:r>
        <w:t>，从业人员人，营业收入为万元，资产总额为万元，属于</w:t>
      </w:r>
      <w:r>
        <w:rPr>
          <w:u w:val="single"/>
        </w:rPr>
        <w:t>（中型企业、小型企业、微型企业）</w:t>
      </w:r>
      <w:r>
        <w:rPr>
          <w:u w:val="single"/>
        </w:rPr>
        <w:tab/>
      </w:r>
      <w:r>
        <w:rPr>
          <w:u w:val="single"/>
        </w:rPr>
        <w:tab/>
      </w:r>
      <w:r>
        <w:t>；</w:t>
      </w:r>
    </w:p>
    <w:p w14:paraId="5372CC6B">
      <w:pPr>
        <w:pStyle w:val="12"/>
        <w:spacing w:before="10"/>
        <w:ind w:firstLine="361"/>
        <w:rPr>
          <w:sz w:val="18"/>
        </w:rPr>
      </w:pPr>
    </w:p>
    <w:p w14:paraId="0E140B5D">
      <w:pPr>
        <w:pStyle w:val="8"/>
        <w:numPr>
          <w:ilvl w:val="1"/>
          <w:numId w:val="15"/>
        </w:numPr>
        <w:tabs>
          <w:tab w:val="left" w:pos="1200"/>
          <w:tab w:val="left" w:pos="1559"/>
          <w:tab w:val="left" w:pos="1667"/>
          <w:tab w:val="left" w:pos="3812"/>
        </w:tabs>
        <w:spacing w:line="249" w:lineRule="auto"/>
        <w:ind w:right="677" w:firstLine="482"/>
        <w:rPr>
          <w:sz w:val="22"/>
        </w:rPr>
      </w:pPr>
      <w:r>
        <w:rPr>
          <w:rFonts w:ascii="Times New Roman" w:eastAsia="Times New Roman"/>
          <w:u w:val="single"/>
        </w:rPr>
        <w:tab/>
      </w:r>
      <w:r>
        <w:rPr>
          <w:rFonts w:ascii="Times New Roman" w:eastAsia="Times New Roman"/>
          <w:u w:val="single"/>
        </w:rPr>
        <w:tab/>
      </w:r>
      <w:r>
        <w:rPr>
          <w:u w:val="single"/>
        </w:rPr>
        <w:t>（标的名称）</w:t>
      </w:r>
      <w:r>
        <w:rPr>
          <w:u w:val="single"/>
        </w:rPr>
        <w:tab/>
      </w:r>
      <w:r>
        <w:t>，属于</w:t>
      </w:r>
      <w:r>
        <w:rPr>
          <w:u w:val="single"/>
        </w:rPr>
        <w:t>（</w:t>
      </w:r>
      <w:r>
        <w:rPr>
          <w:b/>
          <w:u w:val="single"/>
        </w:rPr>
        <w:t>建筑业</w:t>
      </w:r>
      <w:r>
        <w:rPr>
          <w:u w:val="single"/>
        </w:rPr>
        <w:t>）</w:t>
      </w:r>
      <w:r>
        <w:t>；承建（承接）企业为</w:t>
      </w:r>
      <w:r>
        <w:rPr>
          <w:u w:val="single"/>
        </w:rPr>
        <w:t>（企业名称）</w:t>
      </w:r>
      <w:r>
        <w:t>，从业人员人，营业收入为万元，资产总额为万元，属于</w:t>
      </w:r>
      <w:r>
        <w:rPr>
          <w:u w:val="single"/>
        </w:rPr>
        <w:t>（中型企业、小型企业、微型企业）</w:t>
      </w:r>
      <w:r>
        <w:rPr>
          <w:u w:val="single"/>
        </w:rPr>
        <w:tab/>
      </w:r>
      <w:r>
        <w:rPr>
          <w:u w:val="single"/>
        </w:rPr>
        <w:tab/>
      </w:r>
      <w:r>
        <w:t>；</w:t>
      </w:r>
    </w:p>
    <w:p w14:paraId="4BDB2955">
      <w:pPr>
        <w:pStyle w:val="12"/>
        <w:spacing w:before="10"/>
        <w:ind w:firstLine="361"/>
        <w:rPr>
          <w:sz w:val="18"/>
        </w:rPr>
      </w:pPr>
    </w:p>
    <w:p w14:paraId="1DAE139A">
      <w:pPr>
        <w:ind w:left="960" w:firstLine="482"/>
        <w:rPr>
          <w:sz w:val="24"/>
        </w:rPr>
      </w:pPr>
      <w:r>
        <w:rPr>
          <w:sz w:val="24"/>
        </w:rPr>
        <w:t>……</w:t>
      </w:r>
    </w:p>
    <w:p w14:paraId="58A34DEF">
      <w:pPr>
        <w:pStyle w:val="12"/>
        <w:spacing w:before="8"/>
        <w:ind w:firstLine="381"/>
        <w:rPr>
          <w:sz w:val="19"/>
        </w:rPr>
      </w:pPr>
    </w:p>
    <w:p w14:paraId="7FA38445">
      <w:pPr>
        <w:pStyle w:val="8"/>
        <w:spacing w:before="1" w:line="249" w:lineRule="auto"/>
        <w:ind w:right="797" w:firstLine="482"/>
      </w:pPr>
      <w:r>
        <w:t>以上企业，不属于大企业的分支机构，不存在控股股东为大企业的情形，也不存在与大企业的负责人为同一人的情况。</w:t>
      </w:r>
    </w:p>
    <w:p w14:paraId="4B7EDB6E">
      <w:pPr>
        <w:pStyle w:val="12"/>
        <w:spacing w:before="10"/>
        <w:ind w:firstLine="361"/>
        <w:rPr>
          <w:sz w:val="18"/>
        </w:rPr>
      </w:pPr>
    </w:p>
    <w:p w14:paraId="112F9E06">
      <w:pPr>
        <w:pStyle w:val="8"/>
        <w:ind w:left="960" w:firstLine="482"/>
      </w:pPr>
      <w:r>
        <w:t>本企业对上述声明内容的真实性负责。如有虚假，将依法承担相应责任。</w:t>
      </w:r>
    </w:p>
    <w:p w14:paraId="21043D2B">
      <w:pPr>
        <w:pStyle w:val="12"/>
        <w:ind w:firstLine="482"/>
        <w:rPr>
          <w:sz w:val="24"/>
        </w:rPr>
      </w:pPr>
    </w:p>
    <w:p w14:paraId="7B39B510">
      <w:pPr>
        <w:pStyle w:val="12"/>
        <w:ind w:firstLine="482"/>
        <w:rPr>
          <w:sz w:val="24"/>
        </w:rPr>
      </w:pPr>
    </w:p>
    <w:p w14:paraId="297F7ECD">
      <w:pPr>
        <w:pStyle w:val="8"/>
        <w:tabs>
          <w:tab w:val="left" w:pos="8879"/>
        </w:tabs>
        <w:spacing w:before="196"/>
        <w:ind w:left="3120" w:firstLine="482"/>
      </w:pPr>
      <w:r>
        <w:t>企业名称（加盖供应商CA证书签章）：</w:t>
      </w:r>
      <w:r>
        <w:rPr>
          <w:rFonts w:ascii="Times New Roman" w:eastAsia="Times New Roman"/>
          <w:u w:val="single"/>
        </w:rPr>
        <w:tab/>
      </w:r>
      <w:r>
        <w:rPr>
          <w:u w:val="single"/>
        </w:rPr>
        <w:t>；</w:t>
      </w:r>
    </w:p>
    <w:p w14:paraId="22F4A6A2">
      <w:pPr>
        <w:pStyle w:val="12"/>
        <w:spacing w:before="1"/>
        <w:ind w:firstLine="281"/>
        <w:rPr>
          <w:sz w:val="14"/>
        </w:rPr>
      </w:pPr>
    </w:p>
    <w:p w14:paraId="0E5AA0B5">
      <w:pPr>
        <w:pStyle w:val="8"/>
        <w:tabs>
          <w:tab w:val="left" w:pos="7559"/>
        </w:tabs>
        <w:spacing w:before="74"/>
        <w:ind w:left="5640" w:firstLine="482"/>
      </w:pPr>
      <w:r>
        <w:t>日期：</w:t>
      </w:r>
      <w:r>
        <w:rPr>
          <w:rFonts w:ascii="Times New Roman" w:eastAsia="Times New Roman"/>
          <w:u w:val="single"/>
        </w:rPr>
        <w:tab/>
      </w:r>
      <w:r>
        <w:rPr>
          <w:u w:val="single"/>
        </w:rPr>
        <w:t>；</w:t>
      </w:r>
    </w:p>
    <w:p w14:paraId="3E30B6AC">
      <w:pPr>
        <w:pStyle w:val="12"/>
        <w:spacing w:before="1"/>
        <w:ind w:firstLine="522"/>
        <w:rPr>
          <w:sz w:val="26"/>
        </w:rPr>
      </w:pPr>
    </w:p>
    <w:p w14:paraId="7FEB654C">
      <w:pPr>
        <w:pStyle w:val="10"/>
        <w:spacing w:before="70"/>
        <w:ind w:left="480" w:firstLine="422"/>
      </w:pPr>
      <w:r>
        <w:t>注：从业人员、营业收入、资产总额填报上一年度数据，无上一年度数据的新成立企业可不填报。</w:t>
      </w:r>
    </w:p>
    <w:p w14:paraId="35CA3C39">
      <w:pPr>
        <w:pStyle w:val="7"/>
        <w:spacing w:before="140"/>
        <w:ind w:firstLine="482"/>
      </w:pPr>
      <w:r>
        <w:t>①本项目所属行业参照《统计上大中小微型企业划分标准表》，</w:t>
      </w:r>
      <w:r>
        <w:rPr>
          <w:u w:val="single"/>
        </w:rPr>
        <w:t>属于“建筑业”</w:t>
      </w:r>
      <w:r>
        <w:t>。</w:t>
      </w:r>
    </w:p>
    <w:p w14:paraId="07E1EB04">
      <w:pPr>
        <w:pStyle w:val="12"/>
        <w:ind w:firstLine="480"/>
        <w:rPr>
          <w:b/>
          <w:sz w:val="24"/>
        </w:rPr>
      </w:pPr>
    </w:p>
    <w:p w14:paraId="07154132">
      <w:pPr>
        <w:pStyle w:val="12"/>
        <w:ind w:firstLine="480"/>
        <w:rPr>
          <w:b/>
          <w:sz w:val="24"/>
        </w:rPr>
      </w:pPr>
    </w:p>
    <w:p w14:paraId="0A663B2B">
      <w:pPr>
        <w:pStyle w:val="12"/>
        <w:ind w:firstLine="480"/>
        <w:rPr>
          <w:b/>
          <w:sz w:val="24"/>
        </w:rPr>
      </w:pPr>
    </w:p>
    <w:p w14:paraId="52A17912">
      <w:pPr>
        <w:pStyle w:val="12"/>
        <w:ind w:firstLine="480"/>
        <w:rPr>
          <w:b/>
          <w:sz w:val="24"/>
        </w:rPr>
      </w:pPr>
    </w:p>
    <w:p w14:paraId="361AA88B">
      <w:pPr>
        <w:pStyle w:val="12"/>
        <w:ind w:firstLine="480"/>
        <w:rPr>
          <w:b/>
          <w:sz w:val="24"/>
        </w:rPr>
      </w:pPr>
    </w:p>
    <w:p w14:paraId="082F2CCA">
      <w:pPr>
        <w:pStyle w:val="12"/>
        <w:ind w:firstLine="480"/>
        <w:rPr>
          <w:b/>
          <w:sz w:val="24"/>
        </w:rPr>
      </w:pPr>
    </w:p>
    <w:p w14:paraId="00C0DD87">
      <w:pPr>
        <w:pStyle w:val="12"/>
        <w:ind w:firstLine="480"/>
        <w:rPr>
          <w:b/>
          <w:sz w:val="24"/>
        </w:rPr>
      </w:pPr>
    </w:p>
    <w:p w14:paraId="73CFD7EA">
      <w:pPr>
        <w:pStyle w:val="12"/>
        <w:ind w:firstLine="480"/>
        <w:rPr>
          <w:b/>
          <w:sz w:val="24"/>
        </w:rPr>
      </w:pPr>
    </w:p>
    <w:p w14:paraId="0AA431CF">
      <w:pPr>
        <w:pStyle w:val="12"/>
        <w:ind w:firstLine="480"/>
        <w:rPr>
          <w:b/>
          <w:sz w:val="24"/>
        </w:rPr>
      </w:pPr>
    </w:p>
    <w:p w14:paraId="6665593E">
      <w:pPr>
        <w:pStyle w:val="12"/>
        <w:ind w:firstLine="480"/>
        <w:rPr>
          <w:b/>
          <w:sz w:val="24"/>
        </w:rPr>
      </w:pPr>
    </w:p>
    <w:p w14:paraId="0040BE94">
      <w:pPr>
        <w:pStyle w:val="12"/>
        <w:ind w:firstLine="480"/>
        <w:rPr>
          <w:b/>
          <w:sz w:val="24"/>
        </w:rPr>
      </w:pPr>
    </w:p>
    <w:p w14:paraId="139FEA43">
      <w:pPr>
        <w:pStyle w:val="12"/>
        <w:ind w:firstLine="480"/>
        <w:rPr>
          <w:b/>
          <w:sz w:val="24"/>
        </w:rPr>
      </w:pPr>
    </w:p>
    <w:p w14:paraId="02C78667">
      <w:pPr>
        <w:pStyle w:val="12"/>
        <w:ind w:firstLine="480"/>
        <w:rPr>
          <w:b/>
          <w:sz w:val="24"/>
        </w:rPr>
      </w:pPr>
    </w:p>
    <w:p w14:paraId="646B3E03">
      <w:pPr>
        <w:tabs>
          <w:tab w:val="left" w:pos="4860"/>
        </w:tabs>
        <w:spacing w:line="588" w:lineRule="exact"/>
        <w:ind w:right="1560" w:firstLine="480"/>
        <w:jc w:val="both"/>
        <w:rPr>
          <w:b/>
          <w:sz w:val="24"/>
        </w:rPr>
      </w:pPr>
    </w:p>
    <w:p w14:paraId="38BD1992">
      <w:pPr>
        <w:pStyle w:val="12"/>
        <w:ind w:firstLine="380"/>
        <w:rPr>
          <w:b/>
          <w:sz w:val="19"/>
        </w:rPr>
      </w:pPr>
    </w:p>
    <w:p w14:paraId="4C1B1320">
      <w:pPr>
        <w:pStyle w:val="10"/>
        <w:ind w:left="480" w:firstLine="422"/>
      </w:pPr>
      <w:r>
        <w:t>附表</w:t>
      </w:r>
    </w:p>
    <w:p w14:paraId="6A572AF4">
      <w:pPr>
        <w:pStyle w:val="4"/>
        <w:ind w:firstLine="602"/>
      </w:pPr>
      <w:r>
        <w:t>统计上大中小微型企业划分标准</w:t>
      </w:r>
    </w:p>
    <w:p w14:paraId="5920C33C">
      <w:pPr>
        <w:pStyle w:val="12"/>
        <w:ind w:firstLine="180"/>
        <w:rPr>
          <w:b/>
          <w:sz w:val="9"/>
        </w:rPr>
      </w:pPr>
    </w:p>
    <w:tbl>
      <w:tblPr>
        <w:tblStyle w:val="25"/>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7"/>
        <w:gridCol w:w="1451"/>
        <w:gridCol w:w="750"/>
        <w:gridCol w:w="1191"/>
        <w:gridCol w:w="1803"/>
        <w:gridCol w:w="1511"/>
        <w:gridCol w:w="1049"/>
      </w:tblGrid>
      <w:tr w14:paraId="3560F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847" w:type="dxa"/>
            <w:shd w:val="clear" w:color="auto" w:fill="8DB3E1"/>
          </w:tcPr>
          <w:p w14:paraId="302AFA8F">
            <w:pPr>
              <w:pStyle w:val="30"/>
              <w:spacing w:before="8"/>
              <w:ind w:firstLine="300"/>
              <w:jc w:val="center"/>
              <w:rPr>
                <w:b/>
                <w:sz w:val="15"/>
              </w:rPr>
            </w:pPr>
          </w:p>
          <w:p w14:paraId="6A777ABB">
            <w:pPr>
              <w:pStyle w:val="30"/>
              <w:jc w:val="center"/>
              <w:rPr>
                <w:b/>
                <w:sz w:val="18"/>
              </w:rPr>
            </w:pPr>
            <w:r>
              <w:rPr>
                <w:b/>
                <w:sz w:val="18"/>
              </w:rPr>
              <w:t>行业名称</w:t>
            </w:r>
          </w:p>
        </w:tc>
        <w:tc>
          <w:tcPr>
            <w:tcW w:w="1451" w:type="dxa"/>
            <w:shd w:val="clear" w:color="auto" w:fill="8DB3E1"/>
          </w:tcPr>
          <w:p w14:paraId="68B386C0">
            <w:pPr>
              <w:pStyle w:val="30"/>
              <w:spacing w:before="11"/>
              <w:ind w:firstLine="280"/>
              <w:jc w:val="center"/>
              <w:rPr>
                <w:b/>
                <w:sz w:val="14"/>
              </w:rPr>
            </w:pPr>
          </w:p>
          <w:p w14:paraId="70CB85A3">
            <w:pPr>
              <w:pStyle w:val="30"/>
              <w:spacing w:before="1"/>
              <w:ind w:right="209"/>
              <w:jc w:val="center"/>
              <w:rPr>
                <w:b/>
                <w:sz w:val="18"/>
              </w:rPr>
            </w:pPr>
            <w:r>
              <w:rPr>
                <w:b/>
                <w:sz w:val="18"/>
              </w:rPr>
              <w:t>指标名称</w:t>
            </w:r>
          </w:p>
        </w:tc>
        <w:tc>
          <w:tcPr>
            <w:tcW w:w="750" w:type="dxa"/>
            <w:shd w:val="clear" w:color="auto" w:fill="8DB3E1"/>
          </w:tcPr>
          <w:p w14:paraId="7C6A1710">
            <w:pPr>
              <w:pStyle w:val="30"/>
              <w:spacing w:before="76" w:line="242" w:lineRule="auto"/>
              <w:ind w:right="184"/>
              <w:jc w:val="center"/>
              <w:rPr>
                <w:b/>
                <w:sz w:val="18"/>
              </w:rPr>
            </w:pPr>
            <w:r>
              <w:rPr>
                <w:b/>
                <w:sz w:val="18"/>
              </w:rPr>
              <w:t>计量</w:t>
            </w:r>
          </w:p>
          <w:p w14:paraId="6EC9F984">
            <w:pPr>
              <w:pStyle w:val="30"/>
              <w:spacing w:before="76" w:line="242" w:lineRule="auto"/>
              <w:ind w:right="184"/>
              <w:jc w:val="center"/>
              <w:rPr>
                <w:b/>
                <w:sz w:val="18"/>
              </w:rPr>
            </w:pPr>
            <w:r>
              <w:rPr>
                <w:b/>
                <w:sz w:val="18"/>
              </w:rPr>
              <w:t>单位</w:t>
            </w:r>
          </w:p>
        </w:tc>
        <w:tc>
          <w:tcPr>
            <w:tcW w:w="1191" w:type="dxa"/>
            <w:shd w:val="clear" w:color="auto" w:fill="8DB3E1"/>
          </w:tcPr>
          <w:p w14:paraId="49DDC4E6">
            <w:pPr>
              <w:pStyle w:val="30"/>
              <w:spacing w:before="11"/>
              <w:ind w:firstLine="280"/>
              <w:jc w:val="center"/>
              <w:rPr>
                <w:b/>
                <w:sz w:val="14"/>
              </w:rPr>
            </w:pPr>
          </w:p>
          <w:p w14:paraId="72728CBF">
            <w:pPr>
              <w:pStyle w:val="30"/>
              <w:spacing w:before="1"/>
              <w:ind w:left="178" w:right="168" w:firstLine="361"/>
              <w:jc w:val="center"/>
              <w:rPr>
                <w:b/>
                <w:sz w:val="18"/>
              </w:rPr>
            </w:pPr>
            <w:r>
              <w:rPr>
                <w:b/>
                <w:sz w:val="18"/>
              </w:rPr>
              <w:t>大型</w:t>
            </w:r>
          </w:p>
        </w:tc>
        <w:tc>
          <w:tcPr>
            <w:tcW w:w="1803" w:type="dxa"/>
            <w:shd w:val="clear" w:color="auto" w:fill="8DB3E1"/>
          </w:tcPr>
          <w:p w14:paraId="6E27426E">
            <w:pPr>
              <w:pStyle w:val="30"/>
              <w:spacing w:before="11"/>
              <w:ind w:firstLine="280"/>
              <w:jc w:val="center"/>
              <w:rPr>
                <w:b/>
                <w:sz w:val="14"/>
              </w:rPr>
            </w:pPr>
          </w:p>
          <w:p w14:paraId="099197C2">
            <w:pPr>
              <w:pStyle w:val="30"/>
              <w:spacing w:before="1"/>
              <w:ind w:right="698"/>
              <w:jc w:val="center"/>
              <w:rPr>
                <w:b/>
                <w:sz w:val="18"/>
              </w:rPr>
            </w:pPr>
            <w:r>
              <w:rPr>
                <w:b/>
                <w:sz w:val="18"/>
              </w:rPr>
              <w:t>中型</w:t>
            </w:r>
          </w:p>
        </w:tc>
        <w:tc>
          <w:tcPr>
            <w:tcW w:w="1511" w:type="dxa"/>
            <w:shd w:val="clear" w:color="auto" w:fill="8DB3E1"/>
          </w:tcPr>
          <w:p w14:paraId="27BE6C1D">
            <w:pPr>
              <w:pStyle w:val="30"/>
              <w:spacing w:before="11"/>
              <w:ind w:firstLine="280"/>
              <w:jc w:val="center"/>
              <w:rPr>
                <w:b/>
                <w:sz w:val="14"/>
              </w:rPr>
            </w:pPr>
          </w:p>
          <w:p w14:paraId="7A1FA0D4">
            <w:pPr>
              <w:pStyle w:val="30"/>
              <w:spacing w:before="1"/>
              <w:ind w:right="551"/>
              <w:jc w:val="center"/>
              <w:rPr>
                <w:b/>
                <w:sz w:val="18"/>
              </w:rPr>
            </w:pPr>
            <w:r>
              <w:rPr>
                <w:b/>
                <w:sz w:val="18"/>
              </w:rPr>
              <w:t>小型</w:t>
            </w:r>
          </w:p>
        </w:tc>
        <w:tc>
          <w:tcPr>
            <w:tcW w:w="1049" w:type="dxa"/>
            <w:shd w:val="clear" w:color="auto" w:fill="8DB3E1"/>
          </w:tcPr>
          <w:p w14:paraId="5C9793A9">
            <w:pPr>
              <w:pStyle w:val="30"/>
              <w:spacing w:before="11"/>
              <w:ind w:firstLine="280"/>
              <w:jc w:val="center"/>
              <w:rPr>
                <w:b/>
                <w:sz w:val="14"/>
              </w:rPr>
            </w:pPr>
          </w:p>
          <w:p w14:paraId="6697C0C8">
            <w:pPr>
              <w:pStyle w:val="30"/>
              <w:spacing w:before="1"/>
              <w:ind w:right="186"/>
              <w:jc w:val="center"/>
              <w:rPr>
                <w:b/>
                <w:sz w:val="18"/>
              </w:rPr>
            </w:pPr>
            <w:r>
              <w:rPr>
                <w:b/>
                <w:sz w:val="18"/>
              </w:rPr>
              <w:t>微型</w:t>
            </w:r>
          </w:p>
        </w:tc>
      </w:tr>
      <w:tr w14:paraId="319A1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47" w:type="dxa"/>
          </w:tcPr>
          <w:p w14:paraId="6C638E0A">
            <w:pPr>
              <w:pStyle w:val="30"/>
              <w:spacing w:before="85"/>
              <w:rPr>
                <w:sz w:val="18"/>
              </w:rPr>
            </w:pPr>
            <w:r>
              <w:rPr>
                <w:sz w:val="18"/>
              </w:rPr>
              <w:t>农、林、牧、渔业</w:t>
            </w:r>
          </w:p>
        </w:tc>
        <w:tc>
          <w:tcPr>
            <w:tcW w:w="1451" w:type="dxa"/>
          </w:tcPr>
          <w:p w14:paraId="51B72242">
            <w:pPr>
              <w:pStyle w:val="30"/>
              <w:spacing w:before="78"/>
              <w:ind w:right="210"/>
              <w:jc w:val="both"/>
              <w:rPr>
                <w:sz w:val="18"/>
              </w:rPr>
            </w:pPr>
            <w:r>
              <w:rPr>
                <w:sz w:val="18"/>
              </w:rPr>
              <w:t>营业收入(Y)</w:t>
            </w:r>
          </w:p>
        </w:tc>
        <w:tc>
          <w:tcPr>
            <w:tcW w:w="750" w:type="dxa"/>
          </w:tcPr>
          <w:p w14:paraId="43F7CE66">
            <w:pPr>
              <w:pStyle w:val="30"/>
              <w:spacing w:before="78"/>
              <w:ind w:right="171"/>
              <w:jc w:val="center"/>
              <w:rPr>
                <w:sz w:val="18"/>
              </w:rPr>
            </w:pPr>
            <w:r>
              <w:rPr>
                <w:sz w:val="18"/>
              </w:rPr>
              <w:t>万元</w:t>
            </w:r>
          </w:p>
        </w:tc>
        <w:tc>
          <w:tcPr>
            <w:tcW w:w="1191" w:type="dxa"/>
          </w:tcPr>
          <w:p w14:paraId="2C86CE17">
            <w:pPr>
              <w:pStyle w:val="30"/>
              <w:spacing w:before="78"/>
              <w:ind w:right="169"/>
              <w:jc w:val="center"/>
              <w:rPr>
                <w:sz w:val="18"/>
              </w:rPr>
            </w:pPr>
            <w:r>
              <w:rPr>
                <w:sz w:val="18"/>
              </w:rPr>
              <w:t>Y≥20000</w:t>
            </w:r>
          </w:p>
        </w:tc>
        <w:tc>
          <w:tcPr>
            <w:tcW w:w="1803" w:type="dxa"/>
          </w:tcPr>
          <w:p w14:paraId="156D4CDE">
            <w:pPr>
              <w:pStyle w:val="30"/>
              <w:spacing w:before="78"/>
              <w:jc w:val="center"/>
              <w:rPr>
                <w:sz w:val="18"/>
              </w:rPr>
            </w:pPr>
            <w:r>
              <w:rPr>
                <w:sz w:val="18"/>
              </w:rPr>
              <w:t>500≤Y＜20000</w:t>
            </w:r>
          </w:p>
        </w:tc>
        <w:tc>
          <w:tcPr>
            <w:tcW w:w="1511" w:type="dxa"/>
          </w:tcPr>
          <w:p w14:paraId="0FAFF414">
            <w:pPr>
              <w:pStyle w:val="30"/>
              <w:spacing w:before="78"/>
              <w:jc w:val="center"/>
              <w:rPr>
                <w:sz w:val="18"/>
              </w:rPr>
            </w:pPr>
            <w:r>
              <w:rPr>
                <w:sz w:val="18"/>
              </w:rPr>
              <w:t>50≤Y＜500</w:t>
            </w:r>
          </w:p>
        </w:tc>
        <w:tc>
          <w:tcPr>
            <w:tcW w:w="1049" w:type="dxa"/>
          </w:tcPr>
          <w:p w14:paraId="3B34DCBC">
            <w:pPr>
              <w:pStyle w:val="30"/>
              <w:spacing w:before="78"/>
              <w:ind w:right="186"/>
              <w:jc w:val="center"/>
              <w:rPr>
                <w:sz w:val="18"/>
              </w:rPr>
            </w:pPr>
            <w:r>
              <w:rPr>
                <w:sz w:val="18"/>
              </w:rPr>
              <w:t>Y＜50</w:t>
            </w:r>
          </w:p>
        </w:tc>
      </w:tr>
      <w:tr w14:paraId="09F2C0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10CB154C">
            <w:pPr>
              <w:pStyle w:val="30"/>
              <w:spacing w:before="4"/>
              <w:ind w:firstLine="420"/>
              <w:rPr>
                <w:b/>
              </w:rPr>
            </w:pPr>
          </w:p>
          <w:p w14:paraId="055F8E8B">
            <w:pPr>
              <w:pStyle w:val="30"/>
              <w:ind w:left="107" w:firstLine="361"/>
              <w:rPr>
                <w:sz w:val="18"/>
              </w:rPr>
            </w:pPr>
            <w:r>
              <w:rPr>
                <w:sz w:val="18"/>
              </w:rPr>
              <w:t>工业*</w:t>
            </w:r>
          </w:p>
        </w:tc>
        <w:tc>
          <w:tcPr>
            <w:tcW w:w="1451" w:type="dxa"/>
          </w:tcPr>
          <w:p w14:paraId="7FD174B5">
            <w:pPr>
              <w:pStyle w:val="30"/>
              <w:spacing w:before="77"/>
              <w:ind w:right="210"/>
              <w:jc w:val="both"/>
              <w:rPr>
                <w:sz w:val="18"/>
              </w:rPr>
            </w:pPr>
            <w:r>
              <w:rPr>
                <w:sz w:val="18"/>
              </w:rPr>
              <w:t>从业人员(X)</w:t>
            </w:r>
          </w:p>
        </w:tc>
        <w:tc>
          <w:tcPr>
            <w:tcW w:w="750" w:type="dxa"/>
          </w:tcPr>
          <w:p w14:paraId="3532EE8D">
            <w:pPr>
              <w:pStyle w:val="30"/>
              <w:spacing w:before="77"/>
              <w:ind w:left="9" w:firstLine="361"/>
              <w:jc w:val="center"/>
              <w:rPr>
                <w:sz w:val="18"/>
              </w:rPr>
            </w:pPr>
            <w:r>
              <w:rPr>
                <w:sz w:val="18"/>
              </w:rPr>
              <w:t>人</w:t>
            </w:r>
          </w:p>
        </w:tc>
        <w:tc>
          <w:tcPr>
            <w:tcW w:w="1191" w:type="dxa"/>
          </w:tcPr>
          <w:p w14:paraId="1865FDB3">
            <w:pPr>
              <w:pStyle w:val="30"/>
              <w:spacing w:before="77"/>
              <w:ind w:right="169"/>
              <w:jc w:val="center"/>
              <w:rPr>
                <w:sz w:val="18"/>
              </w:rPr>
            </w:pPr>
            <w:r>
              <w:rPr>
                <w:sz w:val="18"/>
              </w:rPr>
              <w:t>X≥1000</w:t>
            </w:r>
          </w:p>
        </w:tc>
        <w:tc>
          <w:tcPr>
            <w:tcW w:w="1803" w:type="dxa"/>
          </w:tcPr>
          <w:p w14:paraId="3F1330E5">
            <w:pPr>
              <w:pStyle w:val="30"/>
              <w:spacing w:before="77"/>
              <w:jc w:val="center"/>
              <w:rPr>
                <w:sz w:val="18"/>
              </w:rPr>
            </w:pPr>
            <w:r>
              <w:rPr>
                <w:sz w:val="18"/>
              </w:rPr>
              <w:t>300≤X＜1000</w:t>
            </w:r>
          </w:p>
        </w:tc>
        <w:tc>
          <w:tcPr>
            <w:tcW w:w="1511" w:type="dxa"/>
          </w:tcPr>
          <w:p w14:paraId="134076EF">
            <w:pPr>
              <w:pStyle w:val="30"/>
              <w:spacing w:before="77"/>
              <w:jc w:val="center"/>
              <w:rPr>
                <w:sz w:val="18"/>
              </w:rPr>
            </w:pPr>
            <w:r>
              <w:rPr>
                <w:sz w:val="18"/>
              </w:rPr>
              <w:t>20≤X＜300</w:t>
            </w:r>
          </w:p>
        </w:tc>
        <w:tc>
          <w:tcPr>
            <w:tcW w:w="1049" w:type="dxa"/>
          </w:tcPr>
          <w:p w14:paraId="236A52C9">
            <w:pPr>
              <w:pStyle w:val="30"/>
              <w:spacing w:before="77"/>
              <w:ind w:right="186"/>
              <w:jc w:val="center"/>
              <w:rPr>
                <w:sz w:val="18"/>
              </w:rPr>
            </w:pPr>
            <w:r>
              <w:rPr>
                <w:sz w:val="18"/>
              </w:rPr>
              <w:t>X＜20</w:t>
            </w:r>
          </w:p>
        </w:tc>
      </w:tr>
      <w:tr w14:paraId="1BE1D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58A0792F">
            <w:pPr>
              <w:ind w:firstLine="40"/>
              <w:rPr>
                <w:sz w:val="2"/>
                <w:szCs w:val="2"/>
              </w:rPr>
            </w:pPr>
          </w:p>
        </w:tc>
        <w:tc>
          <w:tcPr>
            <w:tcW w:w="1451" w:type="dxa"/>
          </w:tcPr>
          <w:p w14:paraId="0467DD30">
            <w:pPr>
              <w:pStyle w:val="30"/>
              <w:spacing w:before="86"/>
              <w:ind w:right="210"/>
              <w:jc w:val="both"/>
              <w:rPr>
                <w:sz w:val="18"/>
              </w:rPr>
            </w:pPr>
            <w:r>
              <w:rPr>
                <w:sz w:val="18"/>
              </w:rPr>
              <w:t>营业收入(Y)</w:t>
            </w:r>
          </w:p>
        </w:tc>
        <w:tc>
          <w:tcPr>
            <w:tcW w:w="750" w:type="dxa"/>
          </w:tcPr>
          <w:p w14:paraId="28D29E28">
            <w:pPr>
              <w:pStyle w:val="30"/>
              <w:spacing w:before="78"/>
              <w:ind w:right="171"/>
              <w:jc w:val="center"/>
              <w:rPr>
                <w:sz w:val="18"/>
              </w:rPr>
            </w:pPr>
            <w:r>
              <w:rPr>
                <w:sz w:val="18"/>
              </w:rPr>
              <w:t>万元</w:t>
            </w:r>
          </w:p>
        </w:tc>
        <w:tc>
          <w:tcPr>
            <w:tcW w:w="1191" w:type="dxa"/>
          </w:tcPr>
          <w:p w14:paraId="10757BD4">
            <w:pPr>
              <w:pStyle w:val="30"/>
              <w:spacing w:before="78"/>
              <w:ind w:right="169"/>
              <w:jc w:val="center"/>
              <w:rPr>
                <w:sz w:val="18"/>
              </w:rPr>
            </w:pPr>
            <w:r>
              <w:rPr>
                <w:sz w:val="18"/>
              </w:rPr>
              <w:t>Y≥40000</w:t>
            </w:r>
          </w:p>
        </w:tc>
        <w:tc>
          <w:tcPr>
            <w:tcW w:w="1803" w:type="dxa"/>
          </w:tcPr>
          <w:p w14:paraId="6B1DDCD4">
            <w:pPr>
              <w:pStyle w:val="30"/>
              <w:spacing w:before="78"/>
              <w:jc w:val="center"/>
              <w:rPr>
                <w:sz w:val="18"/>
              </w:rPr>
            </w:pPr>
            <w:r>
              <w:rPr>
                <w:sz w:val="18"/>
              </w:rPr>
              <w:t>2000≤Y＜40000</w:t>
            </w:r>
          </w:p>
        </w:tc>
        <w:tc>
          <w:tcPr>
            <w:tcW w:w="1511" w:type="dxa"/>
          </w:tcPr>
          <w:p w14:paraId="146A6D11">
            <w:pPr>
              <w:pStyle w:val="30"/>
              <w:spacing w:before="78"/>
              <w:jc w:val="center"/>
              <w:rPr>
                <w:sz w:val="18"/>
              </w:rPr>
            </w:pPr>
            <w:r>
              <w:rPr>
                <w:sz w:val="18"/>
              </w:rPr>
              <w:t>300≤Y＜2000</w:t>
            </w:r>
          </w:p>
        </w:tc>
        <w:tc>
          <w:tcPr>
            <w:tcW w:w="1049" w:type="dxa"/>
          </w:tcPr>
          <w:p w14:paraId="140D9DB9">
            <w:pPr>
              <w:pStyle w:val="30"/>
              <w:spacing w:before="78"/>
              <w:ind w:right="186"/>
              <w:jc w:val="center"/>
              <w:rPr>
                <w:sz w:val="18"/>
              </w:rPr>
            </w:pPr>
            <w:r>
              <w:rPr>
                <w:sz w:val="18"/>
              </w:rPr>
              <w:t>Y＜300</w:t>
            </w:r>
          </w:p>
        </w:tc>
      </w:tr>
      <w:tr w14:paraId="53EB0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78611055">
            <w:pPr>
              <w:pStyle w:val="30"/>
              <w:spacing w:before="2"/>
              <w:ind w:firstLine="420"/>
              <w:rPr>
                <w:b/>
              </w:rPr>
            </w:pPr>
          </w:p>
          <w:p w14:paraId="5C1C75CF">
            <w:pPr>
              <w:pStyle w:val="30"/>
              <w:ind w:left="107" w:firstLine="361"/>
              <w:rPr>
                <w:sz w:val="18"/>
              </w:rPr>
            </w:pPr>
            <w:r>
              <w:rPr>
                <w:sz w:val="18"/>
              </w:rPr>
              <w:t>建筑业</w:t>
            </w:r>
          </w:p>
        </w:tc>
        <w:tc>
          <w:tcPr>
            <w:tcW w:w="1451" w:type="dxa"/>
          </w:tcPr>
          <w:p w14:paraId="22745502">
            <w:pPr>
              <w:pStyle w:val="30"/>
              <w:spacing w:before="77"/>
              <w:ind w:right="210"/>
              <w:jc w:val="both"/>
              <w:rPr>
                <w:sz w:val="18"/>
              </w:rPr>
            </w:pPr>
            <w:r>
              <w:rPr>
                <w:sz w:val="18"/>
              </w:rPr>
              <w:t>营业收入(Y)</w:t>
            </w:r>
          </w:p>
        </w:tc>
        <w:tc>
          <w:tcPr>
            <w:tcW w:w="750" w:type="dxa"/>
          </w:tcPr>
          <w:p w14:paraId="1BCD8098">
            <w:pPr>
              <w:pStyle w:val="30"/>
              <w:spacing w:before="77"/>
              <w:ind w:right="171"/>
              <w:jc w:val="center"/>
              <w:rPr>
                <w:sz w:val="18"/>
              </w:rPr>
            </w:pPr>
            <w:r>
              <w:rPr>
                <w:sz w:val="18"/>
              </w:rPr>
              <w:t>万元</w:t>
            </w:r>
          </w:p>
        </w:tc>
        <w:tc>
          <w:tcPr>
            <w:tcW w:w="1191" w:type="dxa"/>
          </w:tcPr>
          <w:p w14:paraId="193A4485">
            <w:pPr>
              <w:pStyle w:val="30"/>
              <w:spacing w:before="77"/>
              <w:ind w:right="169"/>
              <w:jc w:val="center"/>
              <w:rPr>
                <w:sz w:val="18"/>
              </w:rPr>
            </w:pPr>
            <w:r>
              <w:rPr>
                <w:sz w:val="18"/>
              </w:rPr>
              <w:t>Y≥80000</w:t>
            </w:r>
          </w:p>
        </w:tc>
        <w:tc>
          <w:tcPr>
            <w:tcW w:w="1803" w:type="dxa"/>
          </w:tcPr>
          <w:p w14:paraId="42DD6FCD">
            <w:pPr>
              <w:pStyle w:val="30"/>
              <w:spacing w:before="77"/>
              <w:jc w:val="center"/>
              <w:rPr>
                <w:sz w:val="18"/>
              </w:rPr>
            </w:pPr>
            <w:r>
              <w:rPr>
                <w:sz w:val="18"/>
              </w:rPr>
              <w:t>6000≤Y＜80000</w:t>
            </w:r>
          </w:p>
        </w:tc>
        <w:tc>
          <w:tcPr>
            <w:tcW w:w="1511" w:type="dxa"/>
          </w:tcPr>
          <w:p w14:paraId="7AEBC728">
            <w:pPr>
              <w:pStyle w:val="30"/>
              <w:spacing w:before="77"/>
              <w:jc w:val="center"/>
              <w:rPr>
                <w:sz w:val="18"/>
              </w:rPr>
            </w:pPr>
            <w:r>
              <w:rPr>
                <w:sz w:val="18"/>
              </w:rPr>
              <w:t>300≤Y＜6000</w:t>
            </w:r>
          </w:p>
        </w:tc>
        <w:tc>
          <w:tcPr>
            <w:tcW w:w="1049" w:type="dxa"/>
          </w:tcPr>
          <w:p w14:paraId="2BAF5E71">
            <w:pPr>
              <w:pStyle w:val="30"/>
              <w:spacing w:before="77"/>
              <w:ind w:right="186"/>
              <w:jc w:val="center"/>
              <w:rPr>
                <w:sz w:val="18"/>
              </w:rPr>
            </w:pPr>
            <w:r>
              <w:rPr>
                <w:sz w:val="18"/>
              </w:rPr>
              <w:t>Y＜300</w:t>
            </w:r>
          </w:p>
        </w:tc>
      </w:tr>
      <w:tr w14:paraId="1B827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continue"/>
            <w:tcBorders>
              <w:top w:val="nil"/>
            </w:tcBorders>
          </w:tcPr>
          <w:p w14:paraId="223A06E5">
            <w:pPr>
              <w:ind w:firstLine="40"/>
              <w:rPr>
                <w:sz w:val="2"/>
                <w:szCs w:val="2"/>
              </w:rPr>
            </w:pPr>
          </w:p>
        </w:tc>
        <w:tc>
          <w:tcPr>
            <w:tcW w:w="1451" w:type="dxa"/>
          </w:tcPr>
          <w:p w14:paraId="0150CBDC">
            <w:pPr>
              <w:pStyle w:val="30"/>
              <w:spacing w:before="86"/>
              <w:ind w:right="210"/>
              <w:jc w:val="both"/>
              <w:rPr>
                <w:sz w:val="18"/>
              </w:rPr>
            </w:pPr>
            <w:r>
              <w:rPr>
                <w:sz w:val="18"/>
              </w:rPr>
              <w:t>资产总额(Z)</w:t>
            </w:r>
          </w:p>
        </w:tc>
        <w:tc>
          <w:tcPr>
            <w:tcW w:w="750" w:type="dxa"/>
          </w:tcPr>
          <w:p w14:paraId="29A07105">
            <w:pPr>
              <w:pStyle w:val="30"/>
              <w:spacing w:before="79"/>
              <w:ind w:right="171"/>
              <w:jc w:val="center"/>
              <w:rPr>
                <w:sz w:val="18"/>
              </w:rPr>
            </w:pPr>
            <w:r>
              <w:rPr>
                <w:sz w:val="18"/>
              </w:rPr>
              <w:t>万元</w:t>
            </w:r>
          </w:p>
        </w:tc>
        <w:tc>
          <w:tcPr>
            <w:tcW w:w="1191" w:type="dxa"/>
          </w:tcPr>
          <w:p w14:paraId="0B2E55E6">
            <w:pPr>
              <w:pStyle w:val="30"/>
              <w:spacing w:before="79"/>
              <w:ind w:right="169"/>
              <w:jc w:val="center"/>
              <w:rPr>
                <w:sz w:val="18"/>
              </w:rPr>
            </w:pPr>
            <w:r>
              <w:rPr>
                <w:sz w:val="18"/>
              </w:rPr>
              <w:t>Z≥80000</w:t>
            </w:r>
          </w:p>
        </w:tc>
        <w:tc>
          <w:tcPr>
            <w:tcW w:w="1803" w:type="dxa"/>
          </w:tcPr>
          <w:p w14:paraId="1BB65B3C">
            <w:pPr>
              <w:pStyle w:val="30"/>
              <w:spacing w:before="79"/>
              <w:jc w:val="center"/>
              <w:rPr>
                <w:sz w:val="18"/>
              </w:rPr>
            </w:pPr>
            <w:r>
              <w:rPr>
                <w:sz w:val="18"/>
              </w:rPr>
              <w:t>5000≤Z＜80000</w:t>
            </w:r>
          </w:p>
        </w:tc>
        <w:tc>
          <w:tcPr>
            <w:tcW w:w="1511" w:type="dxa"/>
          </w:tcPr>
          <w:p w14:paraId="40BC87C3">
            <w:pPr>
              <w:pStyle w:val="30"/>
              <w:spacing w:before="79"/>
              <w:jc w:val="center"/>
              <w:rPr>
                <w:sz w:val="18"/>
              </w:rPr>
            </w:pPr>
            <w:r>
              <w:rPr>
                <w:sz w:val="18"/>
              </w:rPr>
              <w:t>300≤Z＜5000</w:t>
            </w:r>
          </w:p>
        </w:tc>
        <w:tc>
          <w:tcPr>
            <w:tcW w:w="1049" w:type="dxa"/>
          </w:tcPr>
          <w:p w14:paraId="590B4473">
            <w:pPr>
              <w:pStyle w:val="30"/>
              <w:spacing w:before="79"/>
              <w:ind w:right="186"/>
              <w:jc w:val="center"/>
              <w:rPr>
                <w:sz w:val="18"/>
              </w:rPr>
            </w:pPr>
            <w:r>
              <w:rPr>
                <w:sz w:val="18"/>
              </w:rPr>
              <w:t>Z＜300</w:t>
            </w:r>
          </w:p>
        </w:tc>
      </w:tr>
      <w:tr w14:paraId="003DE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790B5F31">
            <w:pPr>
              <w:pStyle w:val="30"/>
              <w:spacing w:before="2"/>
              <w:ind w:firstLine="420"/>
              <w:rPr>
                <w:b/>
              </w:rPr>
            </w:pPr>
          </w:p>
          <w:p w14:paraId="5F026059">
            <w:pPr>
              <w:pStyle w:val="30"/>
              <w:ind w:left="107" w:firstLine="361"/>
              <w:rPr>
                <w:sz w:val="18"/>
              </w:rPr>
            </w:pPr>
            <w:r>
              <w:rPr>
                <w:sz w:val="18"/>
              </w:rPr>
              <w:t>批发业</w:t>
            </w:r>
          </w:p>
        </w:tc>
        <w:tc>
          <w:tcPr>
            <w:tcW w:w="1451" w:type="dxa"/>
          </w:tcPr>
          <w:p w14:paraId="4F33EAEE">
            <w:pPr>
              <w:pStyle w:val="30"/>
              <w:spacing w:before="78"/>
              <w:ind w:right="210"/>
              <w:jc w:val="both"/>
              <w:rPr>
                <w:sz w:val="18"/>
              </w:rPr>
            </w:pPr>
            <w:r>
              <w:rPr>
                <w:sz w:val="18"/>
              </w:rPr>
              <w:t>从业人员(X)</w:t>
            </w:r>
          </w:p>
        </w:tc>
        <w:tc>
          <w:tcPr>
            <w:tcW w:w="750" w:type="dxa"/>
          </w:tcPr>
          <w:p w14:paraId="731ACE53">
            <w:pPr>
              <w:pStyle w:val="30"/>
              <w:spacing w:before="78"/>
              <w:ind w:left="9" w:firstLine="361"/>
              <w:jc w:val="center"/>
              <w:rPr>
                <w:sz w:val="18"/>
              </w:rPr>
            </w:pPr>
            <w:r>
              <w:rPr>
                <w:sz w:val="18"/>
              </w:rPr>
              <w:t>人</w:t>
            </w:r>
          </w:p>
        </w:tc>
        <w:tc>
          <w:tcPr>
            <w:tcW w:w="1191" w:type="dxa"/>
          </w:tcPr>
          <w:p w14:paraId="36D337C0">
            <w:pPr>
              <w:pStyle w:val="30"/>
              <w:spacing w:before="78"/>
              <w:ind w:right="169"/>
              <w:jc w:val="center"/>
              <w:rPr>
                <w:sz w:val="18"/>
              </w:rPr>
            </w:pPr>
            <w:r>
              <w:rPr>
                <w:sz w:val="18"/>
              </w:rPr>
              <w:t>X≥200</w:t>
            </w:r>
          </w:p>
        </w:tc>
        <w:tc>
          <w:tcPr>
            <w:tcW w:w="1803" w:type="dxa"/>
          </w:tcPr>
          <w:p w14:paraId="6111EFFF">
            <w:pPr>
              <w:pStyle w:val="30"/>
              <w:spacing w:before="78"/>
              <w:jc w:val="center"/>
              <w:rPr>
                <w:sz w:val="18"/>
              </w:rPr>
            </w:pPr>
            <w:r>
              <w:rPr>
                <w:sz w:val="18"/>
              </w:rPr>
              <w:t>20≤X＜200</w:t>
            </w:r>
          </w:p>
        </w:tc>
        <w:tc>
          <w:tcPr>
            <w:tcW w:w="1511" w:type="dxa"/>
          </w:tcPr>
          <w:p w14:paraId="6E29F67C">
            <w:pPr>
              <w:pStyle w:val="30"/>
              <w:spacing w:before="78"/>
              <w:jc w:val="center"/>
              <w:rPr>
                <w:sz w:val="18"/>
              </w:rPr>
            </w:pPr>
            <w:r>
              <w:rPr>
                <w:sz w:val="18"/>
              </w:rPr>
              <w:t>5≤X＜20</w:t>
            </w:r>
          </w:p>
        </w:tc>
        <w:tc>
          <w:tcPr>
            <w:tcW w:w="1049" w:type="dxa"/>
          </w:tcPr>
          <w:p w14:paraId="0DE2245E">
            <w:pPr>
              <w:pStyle w:val="30"/>
              <w:spacing w:before="78"/>
              <w:ind w:right="186"/>
              <w:jc w:val="center"/>
              <w:rPr>
                <w:sz w:val="18"/>
              </w:rPr>
            </w:pPr>
            <w:r>
              <w:rPr>
                <w:sz w:val="18"/>
              </w:rPr>
              <w:t>X＜5</w:t>
            </w:r>
          </w:p>
        </w:tc>
      </w:tr>
      <w:tr w14:paraId="3AD58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56CC3C62">
            <w:pPr>
              <w:ind w:firstLine="40"/>
              <w:rPr>
                <w:sz w:val="2"/>
                <w:szCs w:val="2"/>
              </w:rPr>
            </w:pPr>
          </w:p>
        </w:tc>
        <w:tc>
          <w:tcPr>
            <w:tcW w:w="1451" w:type="dxa"/>
          </w:tcPr>
          <w:p w14:paraId="1347D3B7">
            <w:pPr>
              <w:pStyle w:val="30"/>
              <w:spacing w:before="86"/>
              <w:ind w:right="210"/>
              <w:jc w:val="both"/>
              <w:rPr>
                <w:sz w:val="18"/>
              </w:rPr>
            </w:pPr>
            <w:r>
              <w:rPr>
                <w:sz w:val="18"/>
              </w:rPr>
              <w:t>营业收入(Y)</w:t>
            </w:r>
          </w:p>
        </w:tc>
        <w:tc>
          <w:tcPr>
            <w:tcW w:w="750" w:type="dxa"/>
          </w:tcPr>
          <w:p w14:paraId="14906E84">
            <w:pPr>
              <w:pStyle w:val="30"/>
              <w:spacing w:before="77"/>
              <w:ind w:right="171"/>
              <w:jc w:val="center"/>
              <w:rPr>
                <w:sz w:val="18"/>
              </w:rPr>
            </w:pPr>
            <w:r>
              <w:rPr>
                <w:sz w:val="18"/>
              </w:rPr>
              <w:t>万元</w:t>
            </w:r>
          </w:p>
        </w:tc>
        <w:tc>
          <w:tcPr>
            <w:tcW w:w="1191" w:type="dxa"/>
          </w:tcPr>
          <w:p w14:paraId="254B7AC6">
            <w:pPr>
              <w:pStyle w:val="30"/>
              <w:spacing w:before="77"/>
              <w:ind w:right="169"/>
              <w:jc w:val="center"/>
              <w:rPr>
                <w:sz w:val="18"/>
              </w:rPr>
            </w:pPr>
            <w:r>
              <w:rPr>
                <w:sz w:val="18"/>
              </w:rPr>
              <w:t>Y≥40000</w:t>
            </w:r>
          </w:p>
        </w:tc>
        <w:tc>
          <w:tcPr>
            <w:tcW w:w="1803" w:type="dxa"/>
          </w:tcPr>
          <w:p w14:paraId="24DE1E3C">
            <w:pPr>
              <w:pStyle w:val="30"/>
              <w:spacing w:before="77"/>
              <w:jc w:val="center"/>
              <w:rPr>
                <w:sz w:val="18"/>
              </w:rPr>
            </w:pPr>
            <w:r>
              <w:rPr>
                <w:sz w:val="18"/>
              </w:rPr>
              <w:t>5000≤Y＜40000</w:t>
            </w:r>
          </w:p>
        </w:tc>
        <w:tc>
          <w:tcPr>
            <w:tcW w:w="1511" w:type="dxa"/>
          </w:tcPr>
          <w:p w14:paraId="57C745C1">
            <w:pPr>
              <w:pStyle w:val="30"/>
              <w:spacing w:before="77"/>
              <w:jc w:val="center"/>
              <w:rPr>
                <w:sz w:val="18"/>
              </w:rPr>
            </w:pPr>
            <w:r>
              <w:rPr>
                <w:sz w:val="18"/>
              </w:rPr>
              <w:t>1000≤Y＜5000</w:t>
            </w:r>
          </w:p>
        </w:tc>
        <w:tc>
          <w:tcPr>
            <w:tcW w:w="1049" w:type="dxa"/>
          </w:tcPr>
          <w:p w14:paraId="36D67B3E">
            <w:pPr>
              <w:pStyle w:val="30"/>
              <w:spacing w:before="77"/>
              <w:ind w:right="186"/>
              <w:jc w:val="center"/>
              <w:rPr>
                <w:sz w:val="18"/>
              </w:rPr>
            </w:pPr>
            <w:r>
              <w:rPr>
                <w:sz w:val="18"/>
              </w:rPr>
              <w:t>Y＜1000</w:t>
            </w:r>
          </w:p>
        </w:tc>
      </w:tr>
      <w:tr w14:paraId="33818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6ABBA5C6">
            <w:pPr>
              <w:pStyle w:val="30"/>
              <w:spacing w:before="3"/>
              <w:ind w:firstLine="420"/>
              <w:rPr>
                <w:b/>
              </w:rPr>
            </w:pPr>
          </w:p>
          <w:p w14:paraId="5CD3FE94">
            <w:pPr>
              <w:pStyle w:val="30"/>
              <w:ind w:left="107" w:firstLine="361"/>
              <w:rPr>
                <w:sz w:val="18"/>
              </w:rPr>
            </w:pPr>
            <w:r>
              <w:rPr>
                <w:sz w:val="18"/>
              </w:rPr>
              <w:t>零售业</w:t>
            </w:r>
          </w:p>
        </w:tc>
        <w:tc>
          <w:tcPr>
            <w:tcW w:w="1451" w:type="dxa"/>
          </w:tcPr>
          <w:p w14:paraId="2E399DD3">
            <w:pPr>
              <w:pStyle w:val="30"/>
              <w:spacing w:before="78"/>
              <w:ind w:right="210"/>
              <w:jc w:val="both"/>
              <w:rPr>
                <w:sz w:val="18"/>
              </w:rPr>
            </w:pPr>
            <w:r>
              <w:rPr>
                <w:sz w:val="18"/>
              </w:rPr>
              <w:t>从业人员(X)</w:t>
            </w:r>
          </w:p>
        </w:tc>
        <w:tc>
          <w:tcPr>
            <w:tcW w:w="750" w:type="dxa"/>
          </w:tcPr>
          <w:p w14:paraId="02E39132">
            <w:pPr>
              <w:pStyle w:val="30"/>
              <w:spacing w:before="78"/>
              <w:ind w:left="9" w:firstLine="361"/>
              <w:jc w:val="center"/>
              <w:rPr>
                <w:sz w:val="18"/>
              </w:rPr>
            </w:pPr>
            <w:r>
              <w:rPr>
                <w:sz w:val="18"/>
              </w:rPr>
              <w:t>人</w:t>
            </w:r>
          </w:p>
        </w:tc>
        <w:tc>
          <w:tcPr>
            <w:tcW w:w="1191" w:type="dxa"/>
          </w:tcPr>
          <w:p w14:paraId="5B82C4A4">
            <w:pPr>
              <w:pStyle w:val="30"/>
              <w:spacing w:before="78"/>
              <w:ind w:right="169"/>
              <w:jc w:val="center"/>
              <w:rPr>
                <w:sz w:val="18"/>
              </w:rPr>
            </w:pPr>
            <w:r>
              <w:rPr>
                <w:sz w:val="18"/>
              </w:rPr>
              <w:t>X≥300</w:t>
            </w:r>
          </w:p>
        </w:tc>
        <w:tc>
          <w:tcPr>
            <w:tcW w:w="1803" w:type="dxa"/>
          </w:tcPr>
          <w:p w14:paraId="6463FF3C">
            <w:pPr>
              <w:pStyle w:val="30"/>
              <w:spacing w:before="78"/>
              <w:jc w:val="center"/>
              <w:rPr>
                <w:sz w:val="18"/>
              </w:rPr>
            </w:pPr>
            <w:r>
              <w:rPr>
                <w:sz w:val="18"/>
              </w:rPr>
              <w:t>50≤X＜300</w:t>
            </w:r>
          </w:p>
        </w:tc>
        <w:tc>
          <w:tcPr>
            <w:tcW w:w="1511" w:type="dxa"/>
          </w:tcPr>
          <w:p w14:paraId="336D0611">
            <w:pPr>
              <w:pStyle w:val="30"/>
              <w:spacing w:before="78"/>
              <w:jc w:val="center"/>
              <w:rPr>
                <w:sz w:val="18"/>
              </w:rPr>
            </w:pPr>
            <w:r>
              <w:rPr>
                <w:sz w:val="18"/>
              </w:rPr>
              <w:t>10≤X＜50</w:t>
            </w:r>
          </w:p>
        </w:tc>
        <w:tc>
          <w:tcPr>
            <w:tcW w:w="1049" w:type="dxa"/>
          </w:tcPr>
          <w:p w14:paraId="2716316B">
            <w:pPr>
              <w:pStyle w:val="30"/>
              <w:spacing w:before="78"/>
              <w:ind w:right="186"/>
              <w:jc w:val="center"/>
              <w:rPr>
                <w:sz w:val="18"/>
              </w:rPr>
            </w:pPr>
            <w:r>
              <w:rPr>
                <w:sz w:val="18"/>
              </w:rPr>
              <w:t>X＜10</w:t>
            </w:r>
          </w:p>
        </w:tc>
      </w:tr>
      <w:tr w14:paraId="5CAD3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257622F7">
            <w:pPr>
              <w:ind w:firstLine="40"/>
              <w:rPr>
                <w:sz w:val="2"/>
                <w:szCs w:val="2"/>
              </w:rPr>
            </w:pPr>
          </w:p>
        </w:tc>
        <w:tc>
          <w:tcPr>
            <w:tcW w:w="1451" w:type="dxa"/>
          </w:tcPr>
          <w:p w14:paraId="111F2561">
            <w:pPr>
              <w:pStyle w:val="30"/>
              <w:spacing w:before="87"/>
              <w:ind w:right="210"/>
              <w:jc w:val="both"/>
              <w:rPr>
                <w:sz w:val="18"/>
              </w:rPr>
            </w:pPr>
            <w:r>
              <w:rPr>
                <w:sz w:val="18"/>
              </w:rPr>
              <w:t>营业收入(Y)</w:t>
            </w:r>
          </w:p>
        </w:tc>
        <w:tc>
          <w:tcPr>
            <w:tcW w:w="750" w:type="dxa"/>
          </w:tcPr>
          <w:p w14:paraId="36F3A192">
            <w:pPr>
              <w:pStyle w:val="30"/>
              <w:spacing w:before="77"/>
              <w:ind w:right="171"/>
              <w:jc w:val="center"/>
              <w:rPr>
                <w:sz w:val="18"/>
              </w:rPr>
            </w:pPr>
            <w:r>
              <w:rPr>
                <w:sz w:val="18"/>
              </w:rPr>
              <w:t>万元</w:t>
            </w:r>
          </w:p>
        </w:tc>
        <w:tc>
          <w:tcPr>
            <w:tcW w:w="1191" w:type="dxa"/>
          </w:tcPr>
          <w:p w14:paraId="62AB6274">
            <w:pPr>
              <w:pStyle w:val="30"/>
              <w:spacing w:before="77"/>
              <w:ind w:right="169"/>
              <w:jc w:val="center"/>
              <w:rPr>
                <w:sz w:val="18"/>
              </w:rPr>
            </w:pPr>
            <w:r>
              <w:rPr>
                <w:sz w:val="18"/>
              </w:rPr>
              <w:t>Y≥20000</w:t>
            </w:r>
          </w:p>
        </w:tc>
        <w:tc>
          <w:tcPr>
            <w:tcW w:w="1803" w:type="dxa"/>
          </w:tcPr>
          <w:p w14:paraId="0F1FBA8F">
            <w:pPr>
              <w:pStyle w:val="30"/>
              <w:spacing w:before="77"/>
              <w:jc w:val="center"/>
              <w:rPr>
                <w:sz w:val="18"/>
              </w:rPr>
            </w:pPr>
            <w:r>
              <w:rPr>
                <w:sz w:val="18"/>
              </w:rPr>
              <w:t>500≤Y＜20000</w:t>
            </w:r>
          </w:p>
        </w:tc>
        <w:tc>
          <w:tcPr>
            <w:tcW w:w="1511" w:type="dxa"/>
          </w:tcPr>
          <w:p w14:paraId="3415C601">
            <w:pPr>
              <w:pStyle w:val="30"/>
              <w:spacing w:before="77"/>
              <w:jc w:val="center"/>
              <w:rPr>
                <w:sz w:val="18"/>
              </w:rPr>
            </w:pPr>
            <w:r>
              <w:rPr>
                <w:sz w:val="18"/>
              </w:rPr>
              <w:t>100≤Y＜500</w:t>
            </w:r>
          </w:p>
        </w:tc>
        <w:tc>
          <w:tcPr>
            <w:tcW w:w="1049" w:type="dxa"/>
          </w:tcPr>
          <w:p w14:paraId="2F02F6C2">
            <w:pPr>
              <w:pStyle w:val="30"/>
              <w:spacing w:before="77"/>
              <w:ind w:right="186"/>
              <w:jc w:val="center"/>
              <w:rPr>
                <w:sz w:val="18"/>
              </w:rPr>
            </w:pPr>
            <w:r>
              <w:rPr>
                <w:sz w:val="18"/>
              </w:rPr>
              <w:t>Y＜100</w:t>
            </w:r>
          </w:p>
        </w:tc>
      </w:tr>
      <w:tr w14:paraId="4A4B1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restart"/>
          </w:tcPr>
          <w:p w14:paraId="3FDE5AF5">
            <w:pPr>
              <w:pStyle w:val="30"/>
              <w:spacing w:before="3"/>
              <w:ind w:firstLine="420"/>
              <w:rPr>
                <w:b/>
              </w:rPr>
            </w:pPr>
          </w:p>
          <w:p w14:paraId="0AF1F6A6">
            <w:pPr>
              <w:pStyle w:val="30"/>
              <w:ind w:left="107" w:firstLine="361"/>
              <w:rPr>
                <w:sz w:val="18"/>
              </w:rPr>
            </w:pPr>
            <w:r>
              <w:rPr>
                <w:sz w:val="18"/>
              </w:rPr>
              <w:t>交通运输业*</w:t>
            </w:r>
          </w:p>
        </w:tc>
        <w:tc>
          <w:tcPr>
            <w:tcW w:w="1451" w:type="dxa"/>
          </w:tcPr>
          <w:p w14:paraId="23D02F77">
            <w:pPr>
              <w:pStyle w:val="30"/>
              <w:spacing w:before="79"/>
              <w:ind w:right="210"/>
              <w:jc w:val="both"/>
              <w:rPr>
                <w:sz w:val="18"/>
              </w:rPr>
            </w:pPr>
            <w:r>
              <w:rPr>
                <w:sz w:val="18"/>
              </w:rPr>
              <w:t>从业人员(X)</w:t>
            </w:r>
          </w:p>
        </w:tc>
        <w:tc>
          <w:tcPr>
            <w:tcW w:w="750" w:type="dxa"/>
          </w:tcPr>
          <w:p w14:paraId="4C68B135">
            <w:pPr>
              <w:pStyle w:val="30"/>
              <w:spacing w:before="79"/>
              <w:ind w:left="9" w:firstLine="361"/>
              <w:jc w:val="center"/>
              <w:rPr>
                <w:sz w:val="18"/>
              </w:rPr>
            </w:pPr>
            <w:r>
              <w:rPr>
                <w:sz w:val="18"/>
              </w:rPr>
              <w:t>人</w:t>
            </w:r>
          </w:p>
        </w:tc>
        <w:tc>
          <w:tcPr>
            <w:tcW w:w="1191" w:type="dxa"/>
          </w:tcPr>
          <w:p w14:paraId="27AF0422">
            <w:pPr>
              <w:pStyle w:val="30"/>
              <w:spacing w:before="79"/>
              <w:ind w:right="169"/>
              <w:jc w:val="center"/>
              <w:rPr>
                <w:sz w:val="18"/>
              </w:rPr>
            </w:pPr>
            <w:r>
              <w:rPr>
                <w:sz w:val="18"/>
              </w:rPr>
              <w:t>X≥1000</w:t>
            </w:r>
          </w:p>
        </w:tc>
        <w:tc>
          <w:tcPr>
            <w:tcW w:w="1803" w:type="dxa"/>
          </w:tcPr>
          <w:p w14:paraId="63B8813F">
            <w:pPr>
              <w:pStyle w:val="30"/>
              <w:spacing w:before="79"/>
              <w:jc w:val="center"/>
              <w:rPr>
                <w:sz w:val="18"/>
              </w:rPr>
            </w:pPr>
            <w:r>
              <w:rPr>
                <w:sz w:val="18"/>
              </w:rPr>
              <w:t>300≤X＜1000</w:t>
            </w:r>
          </w:p>
        </w:tc>
        <w:tc>
          <w:tcPr>
            <w:tcW w:w="1511" w:type="dxa"/>
          </w:tcPr>
          <w:p w14:paraId="60E03034">
            <w:pPr>
              <w:pStyle w:val="30"/>
              <w:spacing w:before="79"/>
              <w:jc w:val="center"/>
              <w:rPr>
                <w:sz w:val="18"/>
              </w:rPr>
            </w:pPr>
            <w:r>
              <w:rPr>
                <w:sz w:val="18"/>
              </w:rPr>
              <w:t>20≤X＜300</w:t>
            </w:r>
          </w:p>
        </w:tc>
        <w:tc>
          <w:tcPr>
            <w:tcW w:w="1049" w:type="dxa"/>
          </w:tcPr>
          <w:p w14:paraId="532999CE">
            <w:pPr>
              <w:pStyle w:val="30"/>
              <w:spacing w:before="79"/>
              <w:ind w:right="186"/>
              <w:jc w:val="center"/>
              <w:rPr>
                <w:sz w:val="18"/>
              </w:rPr>
            </w:pPr>
            <w:r>
              <w:rPr>
                <w:sz w:val="18"/>
              </w:rPr>
              <w:t>X＜20</w:t>
            </w:r>
          </w:p>
        </w:tc>
      </w:tr>
      <w:tr w14:paraId="61009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3FD6BBB6">
            <w:pPr>
              <w:ind w:firstLine="40"/>
              <w:rPr>
                <w:sz w:val="2"/>
                <w:szCs w:val="2"/>
              </w:rPr>
            </w:pPr>
          </w:p>
        </w:tc>
        <w:tc>
          <w:tcPr>
            <w:tcW w:w="1451" w:type="dxa"/>
          </w:tcPr>
          <w:p w14:paraId="228FBD65">
            <w:pPr>
              <w:pStyle w:val="30"/>
              <w:spacing w:before="85"/>
              <w:ind w:right="210"/>
              <w:jc w:val="both"/>
              <w:rPr>
                <w:sz w:val="18"/>
              </w:rPr>
            </w:pPr>
            <w:r>
              <w:rPr>
                <w:sz w:val="18"/>
              </w:rPr>
              <w:t>营业收入(Y)</w:t>
            </w:r>
          </w:p>
        </w:tc>
        <w:tc>
          <w:tcPr>
            <w:tcW w:w="750" w:type="dxa"/>
          </w:tcPr>
          <w:p w14:paraId="2F38C438">
            <w:pPr>
              <w:pStyle w:val="30"/>
              <w:spacing w:before="78"/>
              <w:ind w:right="171"/>
              <w:jc w:val="center"/>
              <w:rPr>
                <w:sz w:val="18"/>
              </w:rPr>
            </w:pPr>
            <w:r>
              <w:rPr>
                <w:sz w:val="18"/>
              </w:rPr>
              <w:t>万元</w:t>
            </w:r>
          </w:p>
        </w:tc>
        <w:tc>
          <w:tcPr>
            <w:tcW w:w="1191" w:type="dxa"/>
          </w:tcPr>
          <w:p w14:paraId="126E63BA">
            <w:pPr>
              <w:pStyle w:val="30"/>
              <w:spacing w:before="78"/>
              <w:ind w:right="169"/>
              <w:jc w:val="center"/>
              <w:rPr>
                <w:sz w:val="18"/>
              </w:rPr>
            </w:pPr>
            <w:r>
              <w:rPr>
                <w:sz w:val="18"/>
              </w:rPr>
              <w:t>Y≥30000</w:t>
            </w:r>
          </w:p>
        </w:tc>
        <w:tc>
          <w:tcPr>
            <w:tcW w:w="1803" w:type="dxa"/>
          </w:tcPr>
          <w:p w14:paraId="7DEB0511">
            <w:pPr>
              <w:pStyle w:val="30"/>
              <w:spacing w:before="78"/>
              <w:jc w:val="center"/>
              <w:rPr>
                <w:sz w:val="18"/>
              </w:rPr>
            </w:pPr>
            <w:r>
              <w:rPr>
                <w:sz w:val="18"/>
              </w:rPr>
              <w:t>3000≤Y＜30000</w:t>
            </w:r>
          </w:p>
        </w:tc>
        <w:tc>
          <w:tcPr>
            <w:tcW w:w="1511" w:type="dxa"/>
          </w:tcPr>
          <w:p w14:paraId="03B0CCFD">
            <w:pPr>
              <w:pStyle w:val="30"/>
              <w:spacing w:before="78"/>
              <w:jc w:val="center"/>
              <w:rPr>
                <w:sz w:val="18"/>
              </w:rPr>
            </w:pPr>
            <w:r>
              <w:rPr>
                <w:sz w:val="18"/>
              </w:rPr>
              <w:t>200≤Y＜3000</w:t>
            </w:r>
          </w:p>
        </w:tc>
        <w:tc>
          <w:tcPr>
            <w:tcW w:w="1049" w:type="dxa"/>
          </w:tcPr>
          <w:p w14:paraId="7E093ABC">
            <w:pPr>
              <w:pStyle w:val="30"/>
              <w:spacing w:before="78"/>
              <w:ind w:right="186"/>
              <w:jc w:val="center"/>
              <w:rPr>
                <w:sz w:val="18"/>
              </w:rPr>
            </w:pPr>
            <w:r>
              <w:rPr>
                <w:sz w:val="18"/>
              </w:rPr>
              <w:t>Y＜200</w:t>
            </w:r>
          </w:p>
        </w:tc>
      </w:tr>
      <w:tr w14:paraId="0FA42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restart"/>
          </w:tcPr>
          <w:p w14:paraId="29092C0F">
            <w:pPr>
              <w:pStyle w:val="30"/>
              <w:spacing w:before="3"/>
              <w:ind w:firstLine="420"/>
              <w:rPr>
                <w:b/>
              </w:rPr>
            </w:pPr>
          </w:p>
          <w:p w14:paraId="23009666">
            <w:pPr>
              <w:pStyle w:val="30"/>
              <w:spacing w:before="1"/>
              <w:ind w:left="107" w:firstLine="361"/>
              <w:rPr>
                <w:sz w:val="18"/>
              </w:rPr>
            </w:pPr>
            <w:r>
              <w:rPr>
                <w:sz w:val="18"/>
              </w:rPr>
              <w:t>仓储业*</w:t>
            </w:r>
          </w:p>
        </w:tc>
        <w:tc>
          <w:tcPr>
            <w:tcW w:w="1451" w:type="dxa"/>
          </w:tcPr>
          <w:p w14:paraId="2E77A481">
            <w:pPr>
              <w:pStyle w:val="30"/>
              <w:spacing w:before="77"/>
              <w:ind w:right="210"/>
              <w:jc w:val="both"/>
              <w:rPr>
                <w:sz w:val="18"/>
              </w:rPr>
            </w:pPr>
            <w:r>
              <w:rPr>
                <w:sz w:val="18"/>
              </w:rPr>
              <w:t>从业人员(X)</w:t>
            </w:r>
          </w:p>
        </w:tc>
        <w:tc>
          <w:tcPr>
            <w:tcW w:w="750" w:type="dxa"/>
          </w:tcPr>
          <w:p w14:paraId="3AAF94F1">
            <w:pPr>
              <w:pStyle w:val="30"/>
              <w:spacing w:before="77"/>
              <w:ind w:left="9" w:firstLine="361"/>
              <w:jc w:val="center"/>
              <w:rPr>
                <w:sz w:val="18"/>
              </w:rPr>
            </w:pPr>
            <w:r>
              <w:rPr>
                <w:sz w:val="18"/>
              </w:rPr>
              <w:t>人</w:t>
            </w:r>
          </w:p>
        </w:tc>
        <w:tc>
          <w:tcPr>
            <w:tcW w:w="1191" w:type="dxa"/>
          </w:tcPr>
          <w:p w14:paraId="476CA667">
            <w:pPr>
              <w:pStyle w:val="30"/>
              <w:spacing w:before="77"/>
              <w:ind w:right="169"/>
              <w:jc w:val="center"/>
              <w:rPr>
                <w:sz w:val="18"/>
              </w:rPr>
            </w:pPr>
            <w:r>
              <w:rPr>
                <w:sz w:val="18"/>
              </w:rPr>
              <w:t>X≥200</w:t>
            </w:r>
          </w:p>
        </w:tc>
        <w:tc>
          <w:tcPr>
            <w:tcW w:w="1803" w:type="dxa"/>
          </w:tcPr>
          <w:p w14:paraId="6CA6E101">
            <w:pPr>
              <w:pStyle w:val="30"/>
              <w:spacing w:before="77"/>
              <w:jc w:val="center"/>
              <w:rPr>
                <w:sz w:val="18"/>
              </w:rPr>
            </w:pPr>
            <w:r>
              <w:rPr>
                <w:sz w:val="18"/>
              </w:rPr>
              <w:t>100≤X＜200</w:t>
            </w:r>
          </w:p>
        </w:tc>
        <w:tc>
          <w:tcPr>
            <w:tcW w:w="1511" w:type="dxa"/>
          </w:tcPr>
          <w:p w14:paraId="6C269F35">
            <w:pPr>
              <w:pStyle w:val="30"/>
              <w:spacing w:before="77"/>
              <w:jc w:val="center"/>
              <w:rPr>
                <w:sz w:val="18"/>
              </w:rPr>
            </w:pPr>
            <w:r>
              <w:rPr>
                <w:sz w:val="18"/>
              </w:rPr>
              <w:t>20≤X＜100</w:t>
            </w:r>
          </w:p>
        </w:tc>
        <w:tc>
          <w:tcPr>
            <w:tcW w:w="1049" w:type="dxa"/>
          </w:tcPr>
          <w:p w14:paraId="4AD6AFE7">
            <w:pPr>
              <w:pStyle w:val="30"/>
              <w:spacing w:before="77"/>
              <w:ind w:right="186"/>
              <w:jc w:val="center"/>
              <w:rPr>
                <w:sz w:val="18"/>
              </w:rPr>
            </w:pPr>
            <w:r>
              <w:rPr>
                <w:sz w:val="18"/>
              </w:rPr>
              <w:t>X＜20</w:t>
            </w:r>
          </w:p>
        </w:tc>
      </w:tr>
      <w:tr w14:paraId="68565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2D6C3AC9">
            <w:pPr>
              <w:ind w:firstLine="40"/>
              <w:rPr>
                <w:sz w:val="2"/>
                <w:szCs w:val="2"/>
              </w:rPr>
            </w:pPr>
          </w:p>
        </w:tc>
        <w:tc>
          <w:tcPr>
            <w:tcW w:w="1451" w:type="dxa"/>
          </w:tcPr>
          <w:p w14:paraId="11122BFE">
            <w:pPr>
              <w:pStyle w:val="30"/>
              <w:spacing w:before="85"/>
              <w:ind w:right="210"/>
              <w:jc w:val="both"/>
              <w:rPr>
                <w:sz w:val="18"/>
              </w:rPr>
            </w:pPr>
            <w:r>
              <w:rPr>
                <w:sz w:val="18"/>
              </w:rPr>
              <w:t>营业收入(Y)</w:t>
            </w:r>
          </w:p>
        </w:tc>
        <w:tc>
          <w:tcPr>
            <w:tcW w:w="750" w:type="dxa"/>
          </w:tcPr>
          <w:p w14:paraId="5CE581C5">
            <w:pPr>
              <w:pStyle w:val="30"/>
              <w:spacing w:before="78"/>
              <w:ind w:right="171"/>
              <w:jc w:val="center"/>
              <w:rPr>
                <w:sz w:val="18"/>
              </w:rPr>
            </w:pPr>
            <w:r>
              <w:rPr>
                <w:sz w:val="18"/>
              </w:rPr>
              <w:t>万元</w:t>
            </w:r>
          </w:p>
        </w:tc>
        <w:tc>
          <w:tcPr>
            <w:tcW w:w="1191" w:type="dxa"/>
          </w:tcPr>
          <w:p w14:paraId="6E9DE6FB">
            <w:pPr>
              <w:pStyle w:val="30"/>
              <w:spacing w:before="78"/>
              <w:ind w:right="169"/>
              <w:jc w:val="center"/>
              <w:rPr>
                <w:sz w:val="18"/>
              </w:rPr>
            </w:pPr>
            <w:r>
              <w:rPr>
                <w:sz w:val="18"/>
              </w:rPr>
              <w:t>Y≥30000</w:t>
            </w:r>
          </w:p>
        </w:tc>
        <w:tc>
          <w:tcPr>
            <w:tcW w:w="1803" w:type="dxa"/>
          </w:tcPr>
          <w:p w14:paraId="555777F9">
            <w:pPr>
              <w:pStyle w:val="30"/>
              <w:spacing w:before="78"/>
              <w:jc w:val="center"/>
              <w:rPr>
                <w:sz w:val="18"/>
              </w:rPr>
            </w:pPr>
            <w:r>
              <w:rPr>
                <w:sz w:val="18"/>
              </w:rPr>
              <w:t>1000≤Y＜30000</w:t>
            </w:r>
          </w:p>
        </w:tc>
        <w:tc>
          <w:tcPr>
            <w:tcW w:w="1511" w:type="dxa"/>
          </w:tcPr>
          <w:p w14:paraId="4CD2A7E4">
            <w:pPr>
              <w:pStyle w:val="30"/>
              <w:spacing w:before="78"/>
              <w:jc w:val="center"/>
              <w:rPr>
                <w:sz w:val="18"/>
              </w:rPr>
            </w:pPr>
            <w:r>
              <w:rPr>
                <w:sz w:val="18"/>
              </w:rPr>
              <w:t>100≤Y＜1000</w:t>
            </w:r>
          </w:p>
        </w:tc>
        <w:tc>
          <w:tcPr>
            <w:tcW w:w="1049" w:type="dxa"/>
          </w:tcPr>
          <w:p w14:paraId="0FAEF9A7">
            <w:pPr>
              <w:pStyle w:val="30"/>
              <w:spacing w:before="78"/>
              <w:ind w:right="186"/>
              <w:jc w:val="center"/>
              <w:rPr>
                <w:sz w:val="18"/>
              </w:rPr>
            </w:pPr>
            <w:r>
              <w:rPr>
                <w:sz w:val="18"/>
              </w:rPr>
              <w:t>Y＜100</w:t>
            </w:r>
          </w:p>
        </w:tc>
      </w:tr>
      <w:tr w14:paraId="6C4B0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restart"/>
          </w:tcPr>
          <w:p w14:paraId="16B40B4B">
            <w:pPr>
              <w:pStyle w:val="30"/>
              <w:spacing w:before="4"/>
              <w:ind w:firstLine="420"/>
              <w:rPr>
                <w:b/>
              </w:rPr>
            </w:pPr>
          </w:p>
          <w:p w14:paraId="1B78FBF7">
            <w:pPr>
              <w:pStyle w:val="30"/>
              <w:ind w:left="107" w:firstLine="361"/>
              <w:rPr>
                <w:sz w:val="18"/>
              </w:rPr>
            </w:pPr>
            <w:r>
              <w:rPr>
                <w:sz w:val="18"/>
              </w:rPr>
              <w:t>邮政业</w:t>
            </w:r>
          </w:p>
        </w:tc>
        <w:tc>
          <w:tcPr>
            <w:tcW w:w="1451" w:type="dxa"/>
          </w:tcPr>
          <w:p w14:paraId="7B815E00">
            <w:pPr>
              <w:pStyle w:val="30"/>
              <w:spacing w:before="77"/>
              <w:ind w:right="210"/>
              <w:jc w:val="both"/>
              <w:rPr>
                <w:sz w:val="18"/>
              </w:rPr>
            </w:pPr>
            <w:r>
              <w:rPr>
                <w:sz w:val="18"/>
              </w:rPr>
              <w:t>从业人员(X)</w:t>
            </w:r>
          </w:p>
        </w:tc>
        <w:tc>
          <w:tcPr>
            <w:tcW w:w="750" w:type="dxa"/>
          </w:tcPr>
          <w:p w14:paraId="2772B782">
            <w:pPr>
              <w:pStyle w:val="30"/>
              <w:spacing w:before="77"/>
              <w:ind w:left="9" w:firstLine="361"/>
              <w:jc w:val="center"/>
              <w:rPr>
                <w:sz w:val="18"/>
              </w:rPr>
            </w:pPr>
            <w:r>
              <w:rPr>
                <w:sz w:val="18"/>
              </w:rPr>
              <w:t>人</w:t>
            </w:r>
          </w:p>
        </w:tc>
        <w:tc>
          <w:tcPr>
            <w:tcW w:w="1191" w:type="dxa"/>
          </w:tcPr>
          <w:p w14:paraId="6BB3B315">
            <w:pPr>
              <w:pStyle w:val="30"/>
              <w:spacing w:before="77"/>
              <w:ind w:right="169"/>
              <w:jc w:val="center"/>
              <w:rPr>
                <w:sz w:val="18"/>
              </w:rPr>
            </w:pPr>
            <w:r>
              <w:rPr>
                <w:sz w:val="18"/>
              </w:rPr>
              <w:t>X≥1000</w:t>
            </w:r>
          </w:p>
        </w:tc>
        <w:tc>
          <w:tcPr>
            <w:tcW w:w="1803" w:type="dxa"/>
          </w:tcPr>
          <w:p w14:paraId="4669C0EE">
            <w:pPr>
              <w:pStyle w:val="30"/>
              <w:spacing w:before="77"/>
              <w:jc w:val="center"/>
              <w:rPr>
                <w:sz w:val="18"/>
              </w:rPr>
            </w:pPr>
            <w:r>
              <w:rPr>
                <w:sz w:val="18"/>
              </w:rPr>
              <w:t>300≤X＜1000</w:t>
            </w:r>
          </w:p>
        </w:tc>
        <w:tc>
          <w:tcPr>
            <w:tcW w:w="1511" w:type="dxa"/>
          </w:tcPr>
          <w:p w14:paraId="287C6DF2">
            <w:pPr>
              <w:pStyle w:val="30"/>
              <w:spacing w:before="77"/>
              <w:jc w:val="center"/>
              <w:rPr>
                <w:sz w:val="18"/>
              </w:rPr>
            </w:pPr>
            <w:r>
              <w:rPr>
                <w:sz w:val="18"/>
              </w:rPr>
              <w:t>20≤X＜300</w:t>
            </w:r>
          </w:p>
        </w:tc>
        <w:tc>
          <w:tcPr>
            <w:tcW w:w="1049" w:type="dxa"/>
          </w:tcPr>
          <w:p w14:paraId="1FD569A4">
            <w:pPr>
              <w:pStyle w:val="30"/>
              <w:spacing w:before="77"/>
              <w:ind w:right="186"/>
              <w:jc w:val="center"/>
              <w:rPr>
                <w:sz w:val="18"/>
              </w:rPr>
            </w:pPr>
            <w:r>
              <w:rPr>
                <w:sz w:val="18"/>
              </w:rPr>
              <w:t>X＜20</w:t>
            </w:r>
          </w:p>
        </w:tc>
      </w:tr>
      <w:tr w14:paraId="30357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continue"/>
            <w:tcBorders>
              <w:top w:val="nil"/>
            </w:tcBorders>
          </w:tcPr>
          <w:p w14:paraId="09DFD994">
            <w:pPr>
              <w:ind w:firstLine="40"/>
              <w:rPr>
                <w:sz w:val="2"/>
                <w:szCs w:val="2"/>
              </w:rPr>
            </w:pPr>
          </w:p>
        </w:tc>
        <w:tc>
          <w:tcPr>
            <w:tcW w:w="1451" w:type="dxa"/>
          </w:tcPr>
          <w:p w14:paraId="4F417218">
            <w:pPr>
              <w:pStyle w:val="30"/>
              <w:spacing w:before="86"/>
              <w:ind w:right="210"/>
              <w:jc w:val="both"/>
              <w:rPr>
                <w:sz w:val="18"/>
              </w:rPr>
            </w:pPr>
            <w:r>
              <w:rPr>
                <w:sz w:val="18"/>
              </w:rPr>
              <w:t>营业收入(Y)</w:t>
            </w:r>
          </w:p>
        </w:tc>
        <w:tc>
          <w:tcPr>
            <w:tcW w:w="750" w:type="dxa"/>
          </w:tcPr>
          <w:p w14:paraId="087B0511">
            <w:pPr>
              <w:pStyle w:val="30"/>
              <w:spacing w:before="79"/>
              <w:ind w:right="171"/>
              <w:jc w:val="center"/>
              <w:rPr>
                <w:sz w:val="18"/>
              </w:rPr>
            </w:pPr>
            <w:r>
              <w:rPr>
                <w:sz w:val="18"/>
              </w:rPr>
              <w:t>万元</w:t>
            </w:r>
          </w:p>
        </w:tc>
        <w:tc>
          <w:tcPr>
            <w:tcW w:w="1191" w:type="dxa"/>
          </w:tcPr>
          <w:p w14:paraId="4D0C800D">
            <w:pPr>
              <w:pStyle w:val="30"/>
              <w:spacing w:before="79"/>
              <w:ind w:right="169"/>
              <w:jc w:val="center"/>
              <w:rPr>
                <w:sz w:val="18"/>
              </w:rPr>
            </w:pPr>
            <w:r>
              <w:rPr>
                <w:sz w:val="18"/>
              </w:rPr>
              <w:t>Y≥30000</w:t>
            </w:r>
          </w:p>
        </w:tc>
        <w:tc>
          <w:tcPr>
            <w:tcW w:w="1803" w:type="dxa"/>
          </w:tcPr>
          <w:p w14:paraId="65F0320B">
            <w:pPr>
              <w:pStyle w:val="30"/>
              <w:spacing w:before="79"/>
              <w:jc w:val="center"/>
              <w:rPr>
                <w:sz w:val="18"/>
              </w:rPr>
            </w:pPr>
            <w:r>
              <w:rPr>
                <w:sz w:val="18"/>
              </w:rPr>
              <w:t>2000≤Y＜30000</w:t>
            </w:r>
          </w:p>
        </w:tc>
        <w:tc>
          <w:tcPr>
            <w:tcW w:w="1511" w:type="dxa"/>
          </w:tcPr>
          <w:p w14:paraId="75D0705E">
            <w:pPr>
              <w:pStyle w:val="30"/>
              <w:spacing w:before="79"/>
              <w:jc w:val="center"/>
              <w:rPr>
                <w:sz w:val="18"/>
              </w:rPr>
            </w:pPr>
            <w:r>
              <w:rPr>
                <w:sz w:val="18"/>
              </w:rPr>
              <w:t>100≤Y＜2000</w:t>
            </w:r>
          </w:p>
        </w:tc>
        <w:tc>
          <w:tcPr>
            <w:tcW w:w="1049" w:type="dxa"/>
          </w:tcPr>
          <w:p w14:paraId="0B903454">
            <w:pPr>
              <w:pStyle w:val="30"/>
              <w:spacing w:before="79"/>
              <w:ind w:right="186"/>
              <w:jc w:val="center"/>
              <w:rPr>
                <w:sz w:val="18"/>
              </w:rPr>
            </w:pPr>
            <w:r>
              <w:rPr>
                <w:sz w:val="18"/>
              </w:rPr>
              <w:t>Y＜100</w:t>
            </w:r>
          </w:p>
        </w:tc>
      </w:tr>
      <w:tr w14:paraId="49E0F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34F216CF">
            <w:pPr>
              <w:pStyle w:val="30"/>
              <w:spacing w:before="2"/>
              <w:ind w:firstLine="420"/>
              <w:rPr>
                <w:b/>
              </w:rPr>
            </w:pPr>
          </w:p>
          <w:p w14:paraId="5E918309">
            <w:pPr>
              <w:pStyle w:val="30"/>
              <w:ind w:left="107" w:firstLine="361"/>
              <w:rPr>
                <w:sz w:val="18"/>
              </w:rPr>
            </w:pPr>
            <w:r>
              <w:rPr>
                <w:sz w:val="18"/>
              </w:rPr>
              <w:t>住宿业</w:t>
            </w:r>
          </w:p>
        </w:tc>
        <w:tc>
          <w:tcPr>
            <w:tcW w:w="1451" w:type="dxa"/>
          </w:tcPr>
          <w:p w14:paraId="72BB13EC">
            <w:pPr>
              <w:pStyle w:val="30"/>
              <w:spacing w:before="77"/>
              <w:ind w:right="210"/>
              <w:jc w:val="both"/>
              <w:rPr>
                <w:sz w:val="18"/>
              </w:rPr>
            </w:pPr>
            <w:r>
              <w:rPr>
                <w:sz w:val="18"/>
              </w:rPr>
              <w:t>从业人员(X)</w:t>
            </w:r>
          </w:p>
        </w:tc>
        <w:tc>
          <w:tcPr>
            <w:tcW w:w="750" w:type="dxa"/>
          </w:tcPr>
          <w:p w14:paraId="406E5EE0">
            <w:pPr>
              <w:pStyle w:val="30"/>
              <w:spacing w:before="77"/>
              <w:ind w:left="9" w:firstLine="361"/>
              <w:jc w:val="center"/>
              <w:rPr>
                <w:sz w:val="18"/>
              </w:rPr>
            </w:pPr>
            <w:r>
              <w:rPr>
                <w:sz w:val="18"/>
              </w:rPr>
              <w:t>人</w:t>
            </w:r>
          </w:p>
        </w:tc>
        <w:tc>
          <w:tcPr>
            <w:tcW w:w="1191" w:type="dxa"/>
          </w:tcPr>
          <w:p w14:paraId="3F6A4901">
            <w:pPr>
              <w:pStyle w:val="30"/>
              <w:spacing w:before="77"/>
              <w:ind w:right="169"/>
              <w:jc w:val="center"/>
              <w:rPr>
                <w:sz w:val="18"/>
              </w:rPr>
            </w:pPr>
            <w:r>
              <w:rPr>
                <w:sz w:val="18"/>
              </w:rPr>
              <w:t>X≥300</w:t>
            </w:r>
          </w:p>
        </w:tc>
        <w:tc>
          <w:tcPr>
            <w:tcW w:w="1803" w:type="dxa"/>
          </w:tcPr>
          <w:p w14:paraId="6FE03678">
            <w:pPr>
              <w:pStyle w:val="30"/>
              <w:spacing w:before="77"/>
              <w:jc w:val="center"/>
              <w:rPr>
                <w:sz w:val="18"/>
              </w:rPr>
            </w:pPr>
            <w:r>
              <w:rPr>
                <w:sz w:val="18"/>
              </w:rPr>
              <w:t>100≤X＜300</w:t>
            </w:r>
          </w:p>
        </w:tc>
        <w:tc>
          <w:tcPr>
            <w:tcW w:w="1511" w:type="dxa"/>
          </w:tcPr>
          <w:p w14:paraId="095DF09E">
            <w:pPr>
              <w:pStyle w:val="30"/>
              <w:spacing w:before="77"/>
              <w:jc w:val="center"/>
              <w:rPr>
                <w:sz w:val="18"/>
              </w:rPr>
            </w:pPr>
            <w:r>
              <w:rPr>
                <w:sz w:val="18"/>
              </w:rPr>
              <w:t>10≤X＜100</w:t>
            </w:r>
          </w:p>
        </w:tc>
        <w:tc>
          <w:tcPr>
            <w:tcW w:w="1049" w:type="dxa"/>
          </w:tcPr>
          <w:p w14:paraId="0709B54D">
            <w:pPr>
              <w:pStyle w:val="30"/>
              <w:spacing w:before="77"/>
              <w:ind w:right="186"/>
              <w:jc w:val="center"/>
              <w:rPr>
                <w:sz w:val="18"/>
              </w:rPr>
            </w:pPr>
            <w:r>
              <w:rPr>
                <w:sz w:val="18"/>
              </w:rPr>
              <w:t>X＜10</w:t>
            </w:r>
          </w:p>
        </w:tc>
      </w:tr>
      <w:tr w14:paraId="37DFE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continue"/>
            <w:tcBorders>
              <w:top w:val="nil"/>
            </w:tcBorders>
          </w:tcPr>
          <w:p w14:paraId="45D3A706">
            <w:pPr>
              <w:ind w:firstLine="40"/>
              <w:rPr>
                <w:sz w:val="2"/>
                <w:szCs w:val="2"/>
              </w:rPr>
            </w:pPr>
          </w:p>
        </w:tc>
        <w:tc>
          <w:tcPr>
            <w:tcW w:w="1451" w:type="dxa"/>
          </w:tcPr>
          <w:p w14:paraId="68588E32">
            <w:pPr>
              <w:pStyle w:val="30"/>
              <w:spacing w:before="86"/>
              <w:ind w:right="210"/>
              <w:jc w:val="both"/>
              <w:rPr>
                <w:sz w:val="18"/>
              </w:rPr>
            </w:pPr>
            <w:r>
              <w:rPr>
                <w:sz w:val="18"/>
              </w:rPr>
              <w:t>营业收入(Y)</w:t>
            </w:r>
          </w:p>
        </w:tc>
        <w:tc>
          <w:tcPr>
            <w:tcW w:w="750" w:type="dxa"/>
          </w:tcPr>
          <w:p w14:paraId="28FFE9AB">
            <w:pPr>
              <w:pStyle w:val="30"/>
              <w:spacing w:before="79"/>
              <w:ind w:right="171"/>
              <w:jc w:val="center"/>
              <w:rPr>
                <w:sz w:val="18"/>
              </w:rPr>
            </w:pPr>
            <w:r>
              <w:rPr>
                <w:sz w:val="18"/>
              </w:rPr>
              <w:t>万元</w:t>
            </w:r>
          </w:p>
        </w:tc>
        <w:tc>
          <w:tcPr>
            <w:tcW w:w="1191" w:type="dxa"/>
          </w:tcPr>
          <w:p w14:paraId="7D3F96F7">
            <w:pPr>
              <w:pStyle w:val="30"/>
              <w:spacing w:before="79"/>
              <w:ind w:right="169"/>
              <w:jc w:val="center"/>
              <w:rPr>
                <w:sz w:val="18"/>
              </w:rPr>
            </w:pPr>
            <w:r>
              <w:rPr>
                <w:sz w:val="18"/>
              </w:rPr>
              <w:t>Y≥10000</w:t>
            </w:r>
          </w:p>
        </w:tc>
        <w:tc>
          <w:tcPr>
            <w:tcW w:w="1803" w:type="dxa"/>
          </w:tcPr>
          <w:p w14:paraId="138418EA">
            <w:pPr>
              <w:pStyle w:val="30"/>
              <w:spacing w:before="79"/>
              <w:jc w:val="center"/>
              <w:rPr>
                <w:sz w:val="18"/>
              </w:rPr>
            </w:pPr>
            <w:r>
              <w:rPr>
                <w:sz w:val="18"/>
              </w:rPr>
              <w:t>2000≤Y＜10000</w:t>
            </w:r>
          </w:p>
        </w:tc>
        <w:tc>
          <w:tcPr>
            <w:tcW w:w="1511" w:type="dxa"/>
          </w:tcPr>
          <w:p w14:paraId="1EEC0A46">
            <w:pPr>
              <w:pStyle w:val="30"/>
              <w:spacing w:before="79"/>
              <w:jc w:val="center"/>
              <w:rPr>
                <w:sz w:val="18"/>
              </w:rPr>
            </w:pPr>
            <w:r>
              <w:rPr>
                <w:sz w:val="18"/>
              </w:rPr>
              <w:t>100≤Y＜2000</w:t>
            </w:r>
          </w:p>
        </w:tc>
        <w:tc>
          <w:tcPr>
            <w:tcW w:w="1049" w:type="dxa"/>
          </w:tcPr>
          <w:p w14:paraId="050403F2">
            <w:pPr>
              <w:pStyle w:val="30"/>
              <w:spacing w:before="79"/>
              <w:ind w:right="186"/>
              <w:jc w:val="center"/>
              <w:rPr>
                <w:sz w:val="18"/>
              </w:rPr>
            </w:pPr>
            <w:r>
              <w:rPr>
                <w:sz w:val="18"/>
              </w:rPr>
              <w:t>Y＜100</w:t>
            </w:r>
          </w:p>
        </w:tc>
      </w:tr>
      <w:tr w14:paraId="7B493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35DEBF2A">
            <w:pPr>
              <w:pStyle w:val="30"/>
              <w:spacing w:before="2"/>
              <w:ind w:firstLine="420"/>
              <w:rPr>
                <w:b/>
              </w:rPr>
            </w:pPr>
          </w:p>
          <w:p w14:paraId="51879DBF">
            <w:pPr>
              <w:pStyle w:val="30"/>
              <w:ind w:left="107" w:firstLine="361"/>
              <w:rPr>
                <w:sz w:val="18"/>
              </w:rPr>
            </w:pPr>
            <w:r>
              <w:rPr>
                <w:sz w:val="18"/>
              </w:rPr>
              <w:t>餐饮业</w:t>
            </w:r>
          </w:p>
        </w:tc>
        <w:tc>
          <w:tcPr>
            <w:tcW w:w="1451" w:type="dxa"/>
          </w:tcPr>
          <w:p w14:paraId="3D589B6F">
            <w:pPr>
              <w:pStyle w:val="30"/>
              <w:spacing w:before="78"/>
              <w:ind w:right="210"/>
              <w:jc w:val="both"/>
              <w:rPr>
                <w:sz w:val="18"/>
              </w:rPr>
            </w:pPr>
            <w:r>
              <w:rPr>
                <w:sz w:val="18"/>
              </w:rPr>
              <w:t>从业人员(X)</w:t>
            </w:r>
          </w:p>
        </w:tc>
        <w:tc>
          <w:tcPr>
            <w:tcW w:w="750" w:type="dxa"/>
          </w:tcPr>
          <w:p w14:paraId="6C055256">
            <w:pPr>
              <w:pStyle w:val="30"/>
              <w:spacing w:before="78"/>
              <w:ind w:left="9" w:firstLine="361"/>
              <w:jc w:val="center"/>
              <w:rPr>
                <w:sz w:val="18"/>
              </w:rPr>
            </w:pPr>
            <w:r>
              <w:rPr>
                <w:sz w:val="18"/>
              </w:rPr>
              <w:t>人</w:t>
            </w:r>
          </w:p>
        </w:tc>
        <w:tc>
          <w:tcPr>
            <w:tcW w:w="1191" w:type="dxa"/>
          </w:tcPr>
          <w:p w14:paraId="7E5B84EC">
            <w:pPr>
              <w:pStyle w:val="30"/>
              <w:spacing w:before="78"/>
              <w:ind w:right="169"/>
              <w:jc w:val="center"/>
              <w:rPr>
                <w:sz w:val="18"/>
              </w:rPr>
            </w:pPr>
            <w:r>
              <w:rPr>
                <w:sz w:val="18"/>
              </w:rPr>
              <w:t>X≥300</w:t>
            </w:r>
          </w:p>
        </w:tc>
        <w:tc>
          <w:tcPr>
            <w:tcW w:w="1803" w:type="dxa"/>
          </w:tcPr>
          <w:p w14:paraId="0F01360B">
            <w:pPr>
              <w:pStyle w:val="30"/>
              <w:spacing w:before="78"/>
              <w:jc w:val="center"/>
              <w:rPr>
                <w:sz w:val="18"/>
              </w:rPr>
            </w:pPr>
            <w:r>
              <w:rPr>
                <w:sz w:val="18"/>
              </w:rPr>
              <w:t>100≤X＜300</w:t>
            </w:r>
          </w:p>
        </w:tc>
        <w:tc>
          <w:tcPr>
            <w:tcW w:w="1511" w:type="dxa"/>
          </w:tcPr>
          <w:p w14:paraId="215310F1">
            <w:pPr>
              <w:pStyle w:val="30"/>
              <w:spacing w:before="78"/>
              <w:jc w:val="center"/>
              <w:rPr>
                <w:sz w:val="18"/>
              </w:rPr>
            </w:pPr>
            <w:r>
              <w:rPr>
                <w:sz w:val="18"/>
              </w:rPr>
              <w:t>10≤X＜100</w:t>
            </w:r>
          </w:p>
        </w:tc>
        <w:tc>
          <w:tcPr>
            <w:tcW w:w="1049" w:type="dxa"/>
          </w:tcPr>
          <w:p w14:paraId="240AC139">
            <w:pPr>
              <w:pStyle w:val="30"/>
              <w:spacing w:before="78"/>
              <w:ind w:right="186"/>
              <w:jc w:val="center"/>
              <w:rPr>
                <w:sz w:val="18"/>
              </w:rPr>
            </w:pPr>
            <w:r>
              <w:rPr>
                <w:sz w:val="18"/>
              </w:rPr>
              <w:t>X＜10</w:t>
            </w:r>
          </w:p>
        </w:tc>
      </w:tr>
      <w:tr w14:paraId="50BA9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continue"/>
            <w:tcBorders>
              <w:top w:val="nil"/>
            </w:tcBorders>
          </w:tcPr>
          <w:p w14:paraId="2C8B3FC9">
            <w:pPr>
              <w:ind w:firstLine="40"/>
              <w:rPr>
                <w:sz w:val="2"/>
                <w:szCs w:val="2"/>
              </w:rPr>
            </w:pPr>
          </w:p>
        </w:tc>
        <w:tc>
          <w:tcPr>
            <w:tcW w:w="1451" w:type="dxa"/>
          </w:tcPr>
          <w:p w14:paraId="72119E65">
            <w:pPr>
              <w:pStyle w:val="30"/>
              <w:spacing w:before="86"/>
              <w:ind w:right="210"/>
              <w:jc w:val="both"/>
              <w:rPr>
                <w:sz w:val="18"/>
              </w:rPr>
            </w:pPr>
            <w:r>
              <w:rPr>
                <w:sz w:val="18"/>
              </w:rPr>
              <w:t>营业收入(Y)</w:t>
            </w:r>
          </w:p>
        </w:tc>
        <w:tc>
          <w:tcPr>
            <w:tcW w:w="750" w:type="dxa"/>
          </w:tcPr>
          <w:p w14:paraId="64AF55D3">
            <w:pPr>
              <w:pStyle w:val="30"/>
              <w:spacing w:before="77"/>
              <w:ind w:right="171"/>
              <w:jc w:val="center"/>
              <w:rPr>
                <w:sz w:val="18"/>
              </w:rPr>
            </w:pPr>
            <w:r>
              <w:rPr>
                <w:sz w:val="18"/>
              </w:rPr>
              <w:t>万元</w:t>
            </w:r>
          </w:p>
        </w:tc>
        <w:tc>
          <w:tcPr>
            <w:tcW w:w="1191" w:type="dxa"/>
          </w:tcPr>
          <w:p w14:paraId="31A77AE4">
            <w:pPr>
              <w:pStyle w:val="30"/>
              <w:spacing w:before="77"/>
              <w:ind w:right="169"/>
              <w:jc w:val="center"/>
              <w:rPr>
                <w:sz w:val="18"/>
              </w:rPr>
            </w:pPr>
            <w:r>
              <w:rPr>
                <w:sz w:val="18"/>
              </w:rPr>
              <w:t>Y≥10000</w:t>
            </w:r>
          </w:p>
        </w:tc>
        <w:tc>
          <w:tcPr>
            <w:tcW w:w="1803" w:type="dxa"/>
          </w:tcPr>
          <w:p w14:paraId="19304016">
            <w:pPr>
              <w:pStyle w:val="30"/>
              <w:spacing w:before="77"/>
              <w:jc w:val="center"/>
              <w:rPr>
                <w:sz w:val="18"/>
              </w:rPr>
            </w:pPr>
            <w:r>
              <w:rPr>
                <w:sz w:val="18"/>
              </w:rPr>
              <w:t>2000≤Y＜10000</w:t>
            </w:r>
          </w:p>
        </w:tc>
        <w:tc>
          <w:tcPr>
            <w:tcW w:w="1511" w:type="dxa"/>
          </w:tcPr>
          <w:p w14:paraId="2CCA83CB">
            <w:pPr>
              <w:pStyle w:val="30"/>
              <w:spacing w:before="77"/>
              <w:jc w:val="center"/>
              <w:rPr>
                <w:sz w:val="18"/>
              </w:rPr>
            </w:pPr>
            <w:r>
              <w:rPr>
                <w:sz w:val="18"/>
              </w:rPr>
              <w:t>100≤Y＜2000</w:t>
            </w:r>
          </w:p>
        </w:tc>
        <w:tc>
          <w:tcPr>
            <w:tcW w:w="1049" w:type="dxa"/>
          </w:tcPr>
          <w:p w14:paraId="2C6FEED2">
            <w:pPr>
              <w:pStyle w:val="30"/>
              <w:spacing w:before="77"/>
              <w:ind w:right="186"/>
              <w:jc w:val="center"/>
              <w:rPr>
                <w:sz w:val="18"/>
              </w:rPr>
            </w:pPr>
            <w:r>
              <w:rPr>
                <w:sz w:val="18"/>
              </w:rPr>
              <w:t>Y＜100</w:t>
            </w:r>
          </w:p>
        </w:tc>
      </w:tr>
      <w:tr w14:paraId="2E1DF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vMerge w:val="restart"/>
          </w:tcPr>
          <w:p w14:paraId="769CF155">
            <w:pPr>
              <w:pStyle w:val="30"/>
              <w:spacing w:before="3"/>
              <w:ind w:firstLine="420"/>
              <w:rPr>
                <w:b/>
              </w:rPr>
            </w:pPr>
          </w:p>
          <w:p w14:paraId="3313A00C">
            <w:pPr>
              <w:pStyle w:val="30"/>
              <w:ind w:left="107" w:firstLine="361"/>
              <w:rPr>
                <w:sz w:val="18"/>
              </w:rPr>
            </w:pPr>
            <w:r>
              <w:rPr>
                <w:sz w:val="18"/>
              </w:rPr>
              <w:t>信息传输业*</w:t>
            </w:r>
          </w:p>
        </w:tc>
        <w:tc>
          <w:tcPr>
            <w:tcW w:w="1451" w:type="dxa"/>
          </w:tcPr>
          <w:p w14:paraId="38B1EB8B">
            <w:pPr>
              <w:pStyle w:val="30"/>
              <w:spacing w:before="78"/>
              <w:ind w:right="210"/>
              <w:jc w:val="both"/>
              <w:rPr>
                <w:sz w:val="18"/>
              </w:rPr>
            </w:pPr>
            <w:r>
              <w:rPr>
                <w:sz w:val="18"/>
              </w:rPr>
              <w:t>从业人员(X)</w:t>
            </w:r>
          </w:p>
        </w:tc>
        <w:tc>
          <w:tcPr>
            <w:tcW w:w="750" w:type="dxa"/>
          </w:tcPr>
          <w:p w14:paraId="68C41C10">
            <w:pPr>
              <w:pStyle w:val="30"/>
              <w:spacing w:before="78"/>
              <w:ind w:left="9" w:firstLine="361"/>
              <w:jc w:val="center"/>
              <w:rPr>
                <w:sz w:val="18"/>
              </w:rPr>
            </w:pPr>
            <w:r>
              <w:rPr>
                <w:sz w:val="18"/>
              </w:rPr>
              <w:t>人</w:t>
            </w:r>
          </w:p>
        </w:tc>
        <w:tc>
          <w:tcPr>
            <w:tcW w:w="1191" w:type="dxa"/>
          </w:tcPr>
          <w:p w14:paraId="66D0E0D1">
            <w:pPr>
              <w:pStyle w:val="30"/>
              <w:spacing w:before="78"/>
              <w:ind w:right="169"/>
              <w:jc w:val="center"/>
              <w:rPr>
                <w:sz w:val="18"/>
              </w:rPr>
            </w:pPr>
            <w:r>
              <w:rPr>
                <w:sz w:val="18"/>
              </w:rPr>
              <w:t>X≥2000</w:t>
            </w:r>
          </w:p>
        </w:tc>
        <w:tc>
          <w:tcPr>
            <w:tcW w:w="1803" w:type="dxa"/>
          </w:tcPr>
          <w:p w14:paraId="6F763CA6">
            <w:pPr>
              <w:pStyle w:val="30"/>
              <w:spacing w:before="78"/>
              <w:jc w:val="center"/>
              <w:rPr>
                <w:sz w:val="18"/>
              </w:rPr>
            </w:pPr>
            <w:r>
              <w:rPr>
                <w:sz w:val="18"/>
              </w:rPr>
              <w:t>100≤X＜2000</w:t>
            </w:r>
          </w:p>
        </w:tc>
        <w:tc>
          <w:tcPr>
            <w:tcW w:w="1511" w:type="dxa"/>
          </w:tcPr>
          <w:p w14:paraId="5AA6E090">
            <w:pPr>
              <w:pStyle w:val="30"/>
              <w:spacing w:before="78"/>
              <w:jc w:val="center"/>
              <w:rPr>
                <w:sz w:val="18"/>
              </w:rPr>
            </w:pPr>
            <w:r>
              <w:rPr>
                <w:sz w:val="18"/>
              </w:rPr>
              <w:t>10≤X＜100</w:t>
            </w:r>
          </w:p>
        </w:tc>
        <w:tc>
          <w:tcPr>
            <w:tcW w:w="1049" w:type="dxa"/>
          </w:tcPr>
          <w:p w14:paraId="15C4B1AE">
            <w:pPr>
              <w:pStyle w:val="30"/>
              <w:spacing w:before="78"/>
              <w:ind w:right="186"/>
              <w:jc w:val="center"/>
              <w:rPr>
                <w:sz w:val="18"/>
              </w:rPr>
            </w:pPr>
            <w:r>
              <w:rPr>
                <w:sz w:val="18"/>
              </w:rPr>
              <w:t>X＜10</w:t>
            </w:r>
          </w:p>
        </w:tc>
      </w:tr>
      <w:tr w14:paraId="44CC2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1847" w:type="dxa"/>
            <w:vMerge w:val="continue"/>
            <w:tcBorders>
              <w:top w:val="nil"/>
            </w:tcBorders>
          </w:tcPr>
          <w:p w14:paraId="5BDA8F1B">
            <w:pPr>
              <w:ind w:firstLine="40"/>
              <w:rPr>
                <w:sz w:val="2"/>
                <w:szCs w:val="2"/>
              </w:rPr>
            </w:pPr>
          </w:p>
        </w:tc>
        <w:tc>
          <w:tcPr>
            <w:tcW w:w="1451" w:type="dxa"/>
          </w:tcPr>
          <w:p w14:paraId="5700248F">
            <w:pPr>
              <w:pStyle w:val="30"/>
              <w:spacing w:before="87"/>
              <w:ind w:right="210"/>
              <w:jc w:val="both"/>
              <w:rPr>
                <w:sz w:val="18"/>
              </w:rPr>
            </w:pPr>
            <w:r>
              <w:rPr>
                <w:sz w:val="18"/>
              </w:rPr>
              <w:t>营业收入(Y)</w:t>
            </w:r>
          </w:p>
        </w:tc>
        <w:tc>
          <w:tcPr>
            <w:tcW w:w="750" w:type="dxa"/>
          </w:tcPr>
          <w:p w14:paraId="7852F90D">
            <w:pPr>
              <w:pStyle w:val="30"/>
              <w:spacing w:before="77"/>
              <w:ind w:right="171"/>
              <w:jc w:val="center"/>
              <w:rPr>
                <w:sz w:val="18"/>
              </w:rPr>
            </w:pPr>
            <w:r>
              <w:rPr>
                <w:sz w:val="18"/>
              </w:rPr>
              <w:t>万元</w:t>
            </w:r>
          </w:p>
        </w:tc>
        <w:tc>
          <w:tcPr>
            <w:tcW w:w="1191" w:type="dxa"/>
          </w:tcPr>
          <w:p w14:paraId="6B17AB42">
            <w:pPr>
              <w:pStyle w:val="30"/>
              <w:spacing w:before="77"/>
              <w:ind w:right="169"/>
              <w:jc w:val="center"/>
              <w:rPr>
                <w:sz w:val="18"/>
              </w:rPr>
            </w:pPr>
            <w:r>
              <w:rPr>
                <w:sz w:val="18"/>
              </w:rPr>
              <w:t>Y≥100000</w:t>
            </w:r>
          </w:p>
        </w:tc>
        <w:tc>
          <w:tcPr>
            <w:tcW w:w="1803" w:type="dxa"/>
          </w:tcPr>
          <w:p w14:paraId="271F2BF9">
            <w:pPr>
              <w:pStyle w:val="30"/>
              <w:spacing w:before="77"/>
              <w:jc w:val="center"/>
              <w:rPr>
                <w:sz w:val="18"/>
              </w:rPr>
            </w:pPr>
            <w:r>
              <w:rPr>
                <w:sz w:val="18"/>
              </w:rPr>
              <w:t>1000≤Y＜100000</w:t>
            </w:r>
          </w:p>
        </w:tc>
        <w:tc>
          <w:tcPr>
            <w:tcW w:w="1511" w:type="dxa"/>
          </w:tcPr>
          <w:p w14:paraId="058F660C">
            <w:pPr>
              <w:pStyle w:val="30"/>
              <w:spacing w:before="77"/>
              <w:jc w:val="center"/>
              <w:rPr>
                <w:sz w:val="18"/>
              </w:rPr>
            </w:pPr>
            <w:r>
              <w:rPr>
                <w:sz w:val="18"/>
              </w:rPr>
              <w:t>100≤Y＜1000</w:t>
            </w:r>
          </w:p>
        </w:tc>
        <w:tc>
          <w:tcPr>
            <w:tcW w:w="1049" w:type="dxa"/>
          </w:tcPr>
          <w:p w14:paraId="78F87AB8">
            <w:pPr>
              <w:pStyle w:val="30"/>
              <w:spacing w:before="77"/>
              <w:ind w:right="186"/>
              <w:jc w:val="center"/>
              <w:rPr>
                <w:sz w:val="18"/>
              </w:rPr>
            </w:pPr>
            <w:r>
              <w:rPr>
                <w:sz w:val="18"/>
              </w:rPr>
              <w:t>Y＜100</w:t>
            </w:r>
          </w:p>
        </w:tc>
      </w:tr>
      <w:tr w14:paraId="45A85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restart"/>
          </w:tcPr>
          <w:p w14:paraId="72DFD231">
            <w:pPr>
              <w:pStyle w:val="30"/>
              <w:spacing w:before="9"/>
              <w:ind w:firstLine="340"/>
              <w:rPr>
                <w:b/>
                <w:sz w:val="17"/>
              </w:rPr>
            </w:pPr>
          </w:p>
          <w:p w14:paraId="0D1FEFD4">
            <w:pPr>
              <w:pStyle w:val="30"/>
              <w:spacing w:before="1"/>
              <w:ind w:left="107" w:firstLine="361"/>
              <w:rPr>
                <w:sz w:val="18"/>
              </w:rPr>
            </w:pPr>
            <w:r>
              <w:rPr>
                <w:sz w:val="18"/>
              </w:rPr>
              <w:t>软件和信息技术服务业</w:t>
            </w:r>
          </w:p>
        </w:tc>
        <w:tc>
          <w:tcPr>
            <w:tcW w:w="1451" w:type="dxa"/>
          </w:tcPr>
          <w:p w14:paraId="3A83E9D1">
            <w:pPr>
              <w:pStyle w:val="30"/>
              <w:spacing w:before="50"/>
              <w:ind w:right="210"/>
              <w:jc w:val="both"/>
              <w:rPr>
                <w:sz w:val="18"/>
              </w:rPr>
            </w:pPr>
            <w:r>
              <w:rPr>
                <w:sz w:val="18"/>
              </w:rPr>
              <w:t>从业人员(X)</w:t>
            </w:r>
          </w:p>
        </w:tc>
        <w:tc>
          <w:tcPr>
            <w:tcW w:w="750" w:type="dxa"/>
          </w:tcPr>
          <w:p w14:paraId="2C4A7A3F">
            <w:pPr>
              <w:pStyle w:val="30"/>
              <w:spacing w:before="50"/>
              <w:ind w:left="9" w:firstLine="361"/>
              <w:jc w:val="center"/>
              <w:rPr>
                <w:sz w:val="18"/>
              </w:rPr>
            </w:pPr>
            <w:r>
              <w:rPr>
                <w:sz w:val="18"/>
              </w:rPr>
              <w:t>人</w:t>
            </w:r>
          </w:p>
        </w:tc>
        <w:tc>
          <w:tcPr>
            <w:tcW w:w="1191" w:type="dxa"/>
          </w:tcPr>
          <w:p w14:paraId="71DCC452">
            <w:pPr>
              <w:pStyle w:val="30"/>
              <w:spacing w:before="50"/>
              <w:ind w:right="169"/>
              <w:jc w:val="center"/>
              <w:rPr>
                <w:sz w:val="18"/>
              </w:rPr>
            </w:pPr>
            <w:r>
              <w:rPr>
                <w:sz w:val="18"/>
              </w:rPr>
              <w:t>X≥300</w:t>
            </w:r>
          </w:p>
        </w:tc>
        <w:tc>
          <w:tcPr>
            <w:tcW w:w="1803" w:type="dxa"/>
          </w:tcPr>
          <w:p w14:paraId="35084284">
            <w:pPr>
              <w:pStyle w:val="30"/>
              <w:spacing w:before="50"/>
              <w:jc w:val="center"/>
              <w:rPr>
                <w:sz w:val="18"/>
              </w:rPr>
            </w:pPr>
            <w:r>
              <w:rPr>
                <w:sz w:val="18"/>
              </w:rPr>
              <w:t>100≤X＜300</w:t>
            </w:r>
          </w:p>
        </w:tc>
        <w:tc>
          <w:tcPr>
            <w:tcW w:w="1511" w:type="dxa"/>
          </w:tcPr>
          <w:p w14:paraId="7EAA21FC">
            <w:pPr>
              <w:pStyle w:val="30"/>
              <w:spacing w:before="50"/>
              <w:jc w:val="center"/>
              <w:rPr>
                <w:sz w:val="18"/>
              </w:rPr>
            </w:pPr>
            <w:r>
              <w:rPr>
                <w:sz w:val="18"/>
              </w:rPr>
              <w:t>10≤X＜100</w:t>
            </w:r>
          </w:p>
        </w:tc>
        <w:tc>
          <w:tcPr>
            <w:tcW w:w="1049" w:type="dxa"/>
          </w:tcPr>
          <w:p w14:paraId="75C9ADD8">
            <w:pPr>
              <w:pStyle w:val="30"/>
              <w:spacing w:before="50"/>
              <w:ind w:right="186"/>
              <w:jc w:val="center"/>
              <w:rPr>
                <w:sz w:val="18"/>
              </w:rPr>
            </w:pPr>
            <w:r>
              <w:rPr>
                <w:sz w:val="18"/>
              </w:rPr>
              <w:t>X＜10</w:t>
            </w:r>
          </w:p>
        </w:tc>
      </w:tr>
      <w:tr w14:paraId="230C1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continue"/>
            <w:tcBorders>
              <w:top w:val="nil"/>
            </w:tcBorders>
          </w:tcPr>
          <w:p w14:paraId="087DBC52">
            <w:pPr>
              <w:ind w:firstLine="40"/>
              <w:rPr>
                <w:sz w:val="2"/>
                <w:szCs w:val="2"/>
              </w:rPr>
            </w:pPr>
          </w:p>
        </w:tc>
        <w:tc>
          <w:tcPr>
            <w:tcW w:w="1451" w:type="dxa"/>
          </w:tcPr>
          <w:p w14:paraId="7479D4AE">
            <w:pPr>
              <w:pStyle w:val="30"/>
              <w:spacing w:before="51"/>
              <w:ind w:right="210"/>
              <w:jc w:val="both"/>
              <w:rPr>
                <w:sz w:val="18"/>
              </w:rPr>
            </w:pPr>
            <w:r>
              <w:rPr>
                <w:sz w:val="18"/>
              </w:rPr>
              <w:t>营业收入(Y)</w:t>
            </w:r>
          </w:p>
        </w:tc>
        <w:tc>
          <w:tcPr>
            <w:tcW w:w="750" w:type="dxa"/>
          </w:tcPr>
          <w:p w14:paraId="4D935C43">
            <w:pPr>
              <w:pStyle w:val="30"/>
              <w:spacing w:before="51"/>
              <w:ind w:right="171"/>
              <w:jc w:val="center"/>
              <w:rPr>
                <w:sz w:val="18"/>
              </w:rPr>
            </w:pPr>
            <w:r>
              <w:rPr>
                <w:sz w:val="18"/>
              </w:rPr>
              <w:t>万元</w:t>
            </w:r>
          </w:p>
        </w:tc>
        <w:tc>
          <w:tcPr>
            <w:tcW w:w="1191" w:type="dxa"/>
          </w:tcPr>
          <w:p w14:paraId="22422BEE">
            <w:pPr>
              <w:pStyle w:val="30"/>
              <w:spacing w:before="51"/>
              <w:ind w:right="169"/>
              <w:jc w:val="center"/>
              <w:rPr>
                <w:sz w:val="18"/>
              </w:rPr>
            </w:pPr>
            <w:r>
              <w:rPr>
                <w:sz w:val="18"/>
              </w:rPr>
              <w:t>Y≥10000</w:t>
            </w:r>
          </w:p>
        </w:tc>
        <w:tc>
          <w:tcPr>
            <w:tcW w:w="1803" w:type="dxa"/>
          </w:tcPr>
          <w:p w14:paraId="63EF0F78">
            <w:pPr>
              <w:pStyle w:val="30"/>
              <w:spacing w:before="51"/>
              <w:jc w:val="center"/>
              <w:rPr>
                <w:sz w:val="18"/>
              </w:rPr>
            </w:pPr>
            <w:r>
              <w:rPr>
                <w:sz w:val="18"/>
              </w:rPr>
              <w:t>1000≤Y＜10000</w:t>
            </w:r>
          </w:p>
        </w:tc>
        <w:tc>
          <w:tcPr>
            <w:tcW w:w="1511" w:type="dxa"/>
          </w:tcPr>
          <w:p w14:paraId="0C2A186B">
            <w:pPr>
              <w:pStyle w:val="30"/>
              <w:spacing w:before="51"/>
              <w:jc w:val="center"/>
              <w:rPr>
                <w:sz w:val="18"/>
              </w:rPr>
            </w:pPr>
            <w:r>
              <w:rPr>
                <w:sz w:val="18"/>
              </w:rPr>
              <w:t>50≤Y＜1000</w:t>
            </w:r>
          </w:p>
        </w:tc>
        <w:tc>
          <w:tcPr>
            <w:tcW w:w="1049" w:type="dxa"/>
          </w:tcPr>
          <w:p w14:paraId="0E6005C6">
            <w:pPr>
              <w:pStyle w:val="30"/>
              <w:spacing w:before="51"/>
              <w:ind w:right="186"/>
              <w:jc w:val="center"/>
              <w:rPr>
                <w:sz w:val="18"/>
              </w:rPr>
            </w:pPr>
            <w:r>
              <w:rPr>
                <w:sz w:val="18"/>
              </w:rPr>
              <w:t>Y＜50</w:t>
            </w:r>
          </w:p>
        </w:tc>
      </w:tr>
      <w:tr w14:paraId="4C357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restart"/>
          </w:tcPr>
          <w:p w14:paraId="1C82F8E7">
            <w:pPr>
              <w:pStyle w:val="30"/>
              <w:spacing w:before="9"/>
              <w:ind w:firstLine="340"/>
              <w:jc w:val="center"/>
              <w:rPr>
                <w:b/>
                <w:sz w:val="17"/>
              </w:rPr>
            </w:pPr>
          </w:p>
          <w:p w14:paraId="5DDD968D">
            <w:pPr>
              <w:pStyle w:val="30"/>
              <w:ind w:left="107" w:firstLine="361"/>
              <w:jc w:val="center"/>
              <w:rPr>
                <w:sz w:val="18"/>
              </w:rPr>
            </w:pPr>
            <w:r>
              <w:rPr>
                <w:sz w:val="18"/>
              </w:rPr>
              <w:t>房地产开发经营</w:t>
            </w:r>
          </w:p>
        </w:tc>
        <w:tc>
          <w:tcPr>
            <w:tcW w:w="1451" w:type="dxa"/>
          </w:tcPr>
          <w:p w14:paraId="110D68D7">
            <w:pPr>
              <w:pStyle w:val="30"/>
              <w:spacing w:before="49"/>
              <w:ind w:right="210"/>
              <w:jc w:val="center"/>
              <w:rPr>
                <w:sz w:val="18"/>
              </w:rPr>
            </w:pPr>
            <w:r>
              <w:rPr>
                <w:sz w:val="18"/>
              </w:rPr>
              <w:t>营业收入(Y)</w:t>
            </w:r>
          </w:p>
        </w:tc>
        <w:tc>
          <w:tcPr>
            <w:tcW w:w="750" w:type="dxa"/>
          </w:tcPr>
          <w:p w14:paraId="2FBC7F38">
            <w:pPr>
              <w:pStyle w:val="30"/>
              <w:spacing w:before="49"/>
              <w:ind w:right="171"/>
              <w:jc w:val="center"/>
              <w:rPr>
                <w:sz w:val="18"/>
              </w:rPr>
            </w:pPr>
            <w:r>
              <w:rPr>
                <w:sz w:val="18"/>
              </w:rPr>
              <w:t>万元</w:t>
            </w:r>
          </w:p>
        </w:tc>
        <w:tc>
          <w:tcPr>
            <w:tcW w:w="1191" w:type="dxa"/>
          </w:tcPr>
          <w:p w14:paraId="68D83368">
            <w:pPr>
              <w:pStyle w:val="30"/>
              <w:spacing w:before="49"/>
              <w:ind w:right="169"/>
              <w:jc w:val="center"/>
              <w:rPr>
                <w:sz w:val="18"/>
              </w:rPr>
            </w:pPr>
            <w:r>
              <w:rPr>
                <w:sz w:val="18"/>
              </w:rPr>
              <w:t>Y≥200000</w:t>
            </w:r>
          </w:p>
        </w:tc>
        <w:tc>
          <w:tcPr>
            <w:tcW w:w="1803" w:type="dxa"/>
          </w:tcPr>
          <w:p w14:paraId="45A01D47">
            <w:pPr>
              <w:pStyle w:val="30"/>
              <w:spacing w:before="49"/>
              <w:jc w:val="center"/>
              <w:rPr>
                <w:sz w:val="18"/>
              </w:rPr>
            </w:pPr>
            <w:r>
              <w:rPr>
                <w:sz w:val="18"/>
              </w:rPr>
              <w:t>1000≤Y＜200000</w:t>
            </w:r>
          </w:p>
        </w:tc>
        <w:tc>
          <w:tcPr>
            <w:tcW w:w="1511" w:type="dxa"/>
          </w:tcPr>
          <w:p w14:paraId="6A70F35D">
            <w:pPr>
              <w:pStyle w:val="30"/>
              <w:spacing w:before="49"/>
              <w:jc w:val="center"/>
              <w:rPr>
                <w:sz w:val="18"/>
              </w:rPr>
            </w:pPr>
            <w:r>
              <w:rPr>
                <w:sz w:val="18"/>
              </w:rPr>
              <w:t>100≤Y＜1000</w:t>
            </w:r>
          </w:p>
        </w:tc>
        <w:tc>
          <w:tcPr>
            <w:tcW w:w="1049" w:type="dxa"/>
          </w:tcPr>
          <w:p w14:paraId="2D9BE560">
            <w:pPr>
              <w:pStyle w:val="30"/>
              <w:spacing w:before="49"/>
              <w:ind w:right="186"/>
              <w:jc w:val="center"/>
              <w:rPr>
                <w:sz w:val="18"/>
              </w:rPr>
            </w:pPr>
            <w:r>
              <w:rPr>
                <w:sz w:val="18"/>
              </w:rPr>
              <w:t>Y＜100</w:t>
            </w:r>
          </w:p>
        </w:tc>
      </w:tr>
      <w:tr w14:paraId="1B557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continue"/>
            <w:tcBorders>
              <w:top w:val="nil"/>
            </w:tcBorders>
          </w:tcPr>
          <w:p w14:paraId="1069E714">
            <w:pPr>
              <w:ind w:firstLine="40"/>
              <w:jc w:val="center"/>
              <w:rPr>
                <w:sz w:val="2"/>
                <w:szCs w:val="2"/>
              </w:rPr>
            </w:pPr>
          </w:p>
        </w:tc>
        <w:tc>
          <w:tcPr>
            <w:tcW w:w="1451" w:type="dxa"/>
          </w:tcPr>
          <w:p w14:paraId="704DD352">
            <w:pPr>
              <w:pStyle w:val="30"/>
              <w:spacing w:before="57"/>
              <w:ind w:right="210"/>
              <w:jc w:val="center"/>
              <w:rPr>
                <w:sz w:val="18"/>
              </w:rPr>
            </w:pPr>
            <w:r>
              <w:rPr>
                <w:sz w:val="18"/>
              </w:rPr>
              <w:t>资产总额(Z)</w:t>
            </w:r>
          </w:p>
        </w:tc>
        <w:tc>
          <w:tcPr>
            <w:tcW w:w="750" w:type="dxa"/>
          </w:tcPr>
          <w:p w14:paraId="55A51AF0">
            <w:pPr>
              <w:pStyle w:val="30"/>
              <w:spacing w:before="50"/>
              <w:ind w:right="171"/>
              <w:jc w:val="center"/>
              <w:rPr>
                <w:sz w:val="18"/>
              </w:rPr>
            </w:pPr>
            <w:r>
              <w:rPr>
                <w:sz w:val="18"/>
              </w:rPr>
              <w:t>万元</w:t>
            </w:r>
          </w:p>
        </w:tc>
        <w:tc>
          <w:tcPr>
            <w:tcW w:w="1191" w:type="dxa"/>
          </w:tcPr>
          <w:p w14:paraId="08FB307D">
            <w:pPr>
              <w:pStyle w:val="30"/>
              <w:spacing w:before="50"/>
              <w:ind w:right="169"/>
              <w:jc w:val="center"/>
              <w:rPr>
                <w:sz w:val="18"/>
              </w:rPr>
            </w:pPr>
            <w:r>
              <w:rPr>
                <w:sz w:val="18"/>
              </w:rPr>
              <w:t>Z≥10000</w:t>
            </w:r>
          </w:p>
        </w:tc>
        <w:tc>
          <w:tcPr>
            <w:tcW w:w="1803" w:type="dxa"/>
          </w:tcPr>
          <w:p w14:paraId="4BB1AFD0">
            <w:pPr>
              <w:pStyle w:val="30"/>
              <w:spacing w:before="50"/>
              <w:jc w:val="center"/>
              <w:rPr>
                <w:sz w:val="18"/>
              </w:rPr>
            </w:pPr>
            <w:r>
              <w:rPr>
                <w:sz w:val="18"/>
              </w:rPr>
              <w:t>5000≤Z＜10000</w:t>
            </w:r>
          </w:p>
        </w:tc>
        <w:tc>
          <w:tcPr>
            <w:tcW w:w="1511" w:type="dxa"/>
          </w:tcPr>
          <w:p w14:paraId="60B08B86">
            <w:pPr>
              <w:pStyle w:val="30"/>
              <w:spacing w:before="50"/>
              <w:jc w:val="center"/>
              <w:rPr>
                <w:sz w:val="18"/>
              </w:rPr>
            </w:pPr>
            <w:r>
              <w:rPr>
                <w:sz w:val="18"/>
              </w:rPr>
              <w:t>2000≤Z＜5000</w:t>
            </w:r>
          </w:p>
        </w:tc>
        <w:tc>
          <w:tcPr>
            <w:tcW w:w="1049" w:type="dxa"/>
          </w:tcPr>
          <w:p w14:paraId="61F991B4">
            <w:pPr>
              <w:pStyle w:val="30"/>
              <w:spacing w:before="50"/>
              <w:ind w:right="186"/>
              <w:jc w:val="center"/>
              <w:rPr>
                <w:sz w:val="18"/>
              </w:rPr>
            </w:pPr>
            <w:r>
              <w:rPr>
                <w:sz w:val="18"/>
              </w:rPr>
              <w:t>Z＜2000</w:t>
            </w:r>
          </w:p>
        </w:tc>
      </w:tr>
      <w:tr w14:paraId="3F499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restart"/>
          </w:tcPr>
          <w:p w14:paraId="1DF4E8AE">
            <w:pPr>
              <w:pStyle w:val="30"/>
              <w:spacing w:before="10"/>
              <w:ind w:firstLine="340"/>
              <w:jc w:val="center"/>
              <w:rPr>
                <w:b/>
                <w:sz w:val="17"/>
              </w:rPr>
            </w:pPr>
          </w:p>
          <w:p w14:paraId="561A9E3A">
            <w:pPr>
              <w:pStyle w:val="30"/>
              <w:ind w:left="107" w:firstLine="361"/>
              <w:jc w:val="center"/>
              <w:rPr>
                <w:sz w:val="18"/>
              </w:rPr>
            </w:pPr>
            <w:r>
              <w:rPr>
                <w:sz w:val="18"/>
              </w:rPr>
              <w:t>物业管理</w:t>
            </w:r>
          </w:p>
        </w:tc>
        <w:tc>
          <w:tcPr>
            <w:tcW w:w="1451" w:type="dxa"/>
          </w:tcPr>
          <w:p w14:paraId="28BB9A74">
            <w:pPr>
              <w:pStyle w:val="30"/>
              <w:spacing w:before="51"/>
              <w:ind w:right="210"/>
              <w:jc w:val="center"/>
              <w:rPr>
                <w:sz w:val="18"/>
              </w:rPr>
            </w:pPr>
            <w:r>
              <w:rPr>
                <w:sz w:val="18"/>
              </w:rPr>
              <w:t>从业人员(X)</w:t>
            </w:r>
          </w:p>
        </w:tc>
        <w:tc>
          <w:tcPr>
            <w:tcW w:w="750" w:type="dxa"/>
          </w:tcPr>
          <w:p w14:paraId="236E3C7B">
            <w:pPr>
              <w:pStyle w:val="30"/>
              <w:spacing w:before="51"/>
              <w:ind w:left="9" w:firstLine="361"/>
              <w:jc w:val="center"/>
              <w:rPr>
                <w:sz w:val="18"/>
              </w:rPr>
            </w:pPr>
            <w:r>
              <w:rPr>
                <w:sz w:val="18"/>
              </w:rPr>
              <w:t>人</w:t>
            </w:r>
          </w:p>
        </w:tc>
        <w:tc>
          <w:tcPr>
            <w:tcW w:w="1191" w:type="dxa"/>
          </w:tcPr>
          <w:p w14:paraId="7038C6A1">
            <w:pPr>
              <w:pStyle w:val="30"/>
              <w:spacing w:before="51"/>
              <w:ind w:right="169"/>
              <w:jc w:val="center"/>
              <w:rPr>
                <w:sz w:val="18"/>
              </w:rPr>
            </w:pPr>
            <w:r>
              <w:rPr>
                <w:sz w:val="18"/>
              </w:rPr>
              <w:t>X≥1000</w:t>
            </w:r>
          </w:p>
        </w:tc>
        <w:tc>
          <w:tcPr>
            <w:tcW w:w="1803" w:type="dxa"/>
          </w:tcPr>
          <w:p w14:paraId="27ADD068">
            <w:pPr>
              <w:pStyle w:val="30"/>
              <w:spacing w:before="51"/>
              <w:jc w:val="center"/>
              <w:rPr>
                <w:sz w:val="18"/>
              </w:rPr>
            </w:pPr>
            <w:r>
              <w:rPr>
                <w:sz w:val="18"/>
              </w:rPr>
              <w:t>300≤X＜1000</w:t>
            </w:r>
          </w:p>
        </w:tc>
        <w:tc>
          <w:tcPr>
            <w:tcW w:w="1511" w:type="dxa"/>
          </w:tcPr>
          <w:p w14:paraId="327BA3C2">
            <w:pPr>
              <w:pStyle w:val="30"/>
              <w:spacing w:before="51"/>
              <w:jc w:val="center"/>
              <w:rPr>
                <w:sz w:val="18"/>
              </w:rPr>
            </w:pPr>
            <w:r>
              <w:rPr>
                <w:sz w:val="18"/>
              </w:rPr>
              <w:t>100≤X＜300</w:t>
            </w:r>
          </w:p>
        </w:tc>
        <w:tc>
          <w:tcPr>
            <w:tcW w:w="1049" w:type="dxa"/>
          </w:tcPr>
          <w:p w14:paraId="578266BD">
            <w:pPr>
              <w:pStyle w:val="30"/>
              <w:spacing w:before="51"/>
              <w:ind w:right="186"/>
              <w:jc w:val="center"/>
              <w:rPr>
                <w:sz w:val="18"/>
              </w:rPr>
            </w:pPr>
            <w:r>
              <w:rPr>
                <w:sz w:val="18"/>
              </w:rPr>
              <w:t>X＜100</w:t>
            </w:r>
          </w:p>
        </w:tc>
      </w:tr>
      <w:tr w14:paraId="38E57C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continue"/>
            <w:tcBorders>
              <w:top w:val="nil"/>
            </w:tcBorders>
          </w:tcPr>
          <w:p w14:paraId="68CBBB60">
            <w:pPr>
              <w:ind w:firstLine="40"/>
              <w:jc w:val="center"/>
              <w:rPr>
                <w:sz w:val="2"/>
                <w:szCs w:val="2"/>
              </w:rPr>
            </w:pPr>
          </w:p>
        </w:tc>
        <w:tc>
          <w:tcPr>
            <w:tcW w:w="1451" w:type="dxa"/>
          </w:tcPr>
          <w:p w14:paraId="0C83131C">
            <w:pPr>
              <w:pStyle w:val="30"/>
              <w:spacing w:before="59"/>
              <w:ind w:right="210"/>
              <w:jc w:val="center"/>
              <w:rPr>
                <w:sz w:val="18"/>
              </w:rPr>
            </w:pPr>
            <w:r>
              <w:rPr>
                <w:sz w:val="18"/>
              </w:rPr>
              <w:t>营业收入(Y)</w:t>
            </w:r>
          </w:p>
        </w:tc>
        <w:tc>
          <w:tcPr>
            <w:tcW w:w="750" w:type="dxa"/>
          </w:tcPr>
          <w:p w14:paraId="75D2BE7B">
            <w:pPr>
              <w:pStyle w:val="30"/>
              <w:spacing w:before="49"/>
              <w:ind w:right="171"/>
              <w:jc w:val="center"/>
              <w:rPr>
                <w:sz w:val="18"/>
              </w:rPr>
            </w:pPr>
            <w:r>
              <w:rPr>
                <w:sz w:val="18"/>
              </w:rPr>
              <w:t>万元</w:t>
            </w:r>
          </w:p>
        </w:tc>
        <w:tc>
          <w:tcPr>
            <w:tcW w:w="1191" w:type="dxa"/>
          </w:tcPr>
          <w:p w14:paraId="450CB08D">
            <w:pPr>
              <w:pStyle w:val="30"/>
              <w:spacing w:before="49"/>
              <w:ind w:right="169"/>
              <w:jc w:val="center"/>
              <w:rPr>
                <w:sz w:val="18"/>
              </w:rPr>
            </w:pPr>
            <w:r>
              <w:rPr>
                <w:sz w:val="18"/>
              </w:rPr>
              <w:t>Y≥5000</w:t>
            </w:r>
          </w:p>
        </w:tc>
        <w:tc>
          <w:tcPr>
            <w:tcW w:w="1803" w:type="dxa"/>
          </w:tcPr>
          <w:p w14:paraId="7FDB487F">
            <w:pPr>
              <w:pStyle w:val="30"/>
              <w:spacing w:before="49"/>
              <w:jc w:val="center"/>
              <w:rPr>
                <w:sz w:val="18"/>
              </w:rPr>
            </w:pPr>
            <w:r>
              <w:rPr>
                <w:sz w:val="18"/>
              </w:rPr>
              <w:t>1000≤Y＜5000</w:t>
            </w:r>
          </w:p>
        </w:tc>
        <w:tc>
          <w:tcPr>
            <w:tcW w:w="1511" w:type="dxa"/>
          </w:tcPr>
          <w:p w14:paraId="2B06AAD3">
            <w:pPr>
              <w:pStyle w:val="30"/>
              <w:spacing w:before="49"/>
              <w:jc w:val="center"/>
              <w:rPr>
                <w:sz w:val="18"/>
              </w:rPr>
            </w:pPr>
            <w:r>
              <w:rPr>
                <w:sz w:val="18"/>
              </w:rPr>
              <w:t>500≤Y＜1000</w:t>
            </w:r>
          </w:p>
        </w:tc>
        <w:tc>
          <w:tcPr>
            <w:tcW w:w="1049" w:type="dxa"/>
          </w:tcPr>
          <w:p w14:paraId="3567289B">
            <w:pPr>
              <w:pStyle w:val="30"/>
              <w:spacing w:before="49"/>
              <w:ind w:right="186"/>
              <w:jc w:val="center"/>
              <w:rPr>
                <w:sz w:val="18"/>
              </w:rPr>
            </w:pPr>
            <w:r>
              <w:rPr>
                <w:sz w:val="18"/>
              </w:rPr>
              <w:t>Y＜500</w:t>
            </w:r>
          </w:p>
        </w:tc>
      </w:tr>
      <w:tr w14:paraId="62605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restart"/>
          </w:tcPr>
          <w:p w14:paraId="3B4786C0">
            <w:pPr>
              <w:pStyle w:val="30"/>
              <w:spacing w:before="9"/>
              <w:ind w:firstLine="340"/>
              <w:jc w:val="center"/>
              <w:rPr>
                <w:b/>
                <w:sz w:val="17"/>
              </w:rPr>
            </w:pPr>
          </w:p>
          <w:p w14:paraId="601B1E8D">
            <w:pPr>
              <w:pStyle w:val="30"/>
              <w:spacing w:before="1"/>
              <w:jc w:val="center"/>
              <w:rPr>
                <w:sz w:val="18"/>
              </w:rPr>
            </w:pPr>
            <w:r>
              <w:rPr>
                <w:sz w:val="18"/>
              </w:rPr>
              <w:t>租赁和商务服务业</w:t>
            </w:r>
          </w:p>
        </w:tc>
        <w:tc>
          <w:tcPr>
            <w:tcW w:w="1451" w:type="dxa"/>
          </w:tcPr>
          <w:p w14:paraId="7CA425F4">
            <w:pPr>
              <w:pStyle w:val="30"/>
              <w:spacing w:before="50"/>
              <w:ind w:right="210"/>
              <w:jc w:val="center"/>
              <w:rPr>
                <w:sz w:val="18"/>
              </w:rPr>
            </w:pPr>
            <w:r>
              <w:rPr>
                <w:sz w:val="18"/>
              </w:rPr>
              <w:t>从业人员(X)</w:t>
            </w:r>
          </w:p>
        </w:tc>
        <w:tc>
          <w:tcPr>
            <w:tcW w:w="750" w:type="dxa"/>
          </w:tcPr>
          <w:p w14:paraId="1E4B6E5B">
            <w:pPr>
              <w:pStyle w:val="30"/>
              <w:spacing w:before="50"/>
              <w:ind w:left="9" w:firstLine="361"/>
              <w:jc w:val="center"/>
              <w:rPr>
                <w:sz w:val="18"/>
              </w:rPr>
            </w:pPr>
            <w:r>
              <w:rPr>
                <w:sz w:val="18"/>
              </w:rPr>
              <w:t>人</w:t>
            </w:r>
          </w:p>
        </w:tc>
        <w:tc>
          <w:tcPr>
            <w:tcW w:w="1191" w:type="dxa"/>
          </w:tcPr>
          <w:p w14:paraId="1337108D">
            <w:pPr>
              <w:pStyle w:val="30"/>
              <w:spacing w:before="50"/>
              <w:ind w:right="169"/>
              <w:jc w:val="center"/>
              <w:rPr>
                <w:sz w:val="18"/>
              </w:rPr>
            </w:pPr>
            <w:r>
              <w:rPr>
                <w:sz w:val="18"/>
              </w:rPr>
              <w:t>X≥300</w:t>
            </w:r>
          </w:p>
        </w:tc>
        <w:tc>
          <w:tcPr>
            <w:tcW w:w="1803" w:type="dxa"/>
          </w:tcPr>
          <w:p w14:paraId="1EF89038">
            <w:pPr>
              <w:pStyle w:val="30"/>
              <w:spacing w:before="50"/>
              <w:jc w:val="center"/>
              <w:rPr>
                <w:sz w:val="18"/>
              </w:rPr>
            </w:pPr>
            <w:r>
              <w:rPr>
                <w:sz w:val="18"/>
              </w:rPr>
              <w:t>100≤X＜300</w:t>
            </w:r>
          </w:p>
        </w:tc>
        <w:tc>
          <w:tcPr>
            <w:tcW w:w="1511" w:type="dxa"/>
          </w:tcPr>
          <w:p w14:paraId="1E7D1283">
            <w:pPr>
              <w:pStyle w:val="30"/>
              <w:spacing w:before="50"/>
              <w:jc w:val="center"/>
              <w:rPr>
                <w:sz w:val="18"/>
              </w:rPr>
            </w:pPr>
            <w:r>
              <w:rPr>
                <w:sz w:val="18"/>
              </w:rPr>
              <w:t>10≤X＜100</w:t>
            </w:r>
          </w:p>
        </w:tc>
        <w:tc>
          <w:tcPr>
            <w:tcW w:w="1049" w:type="dxa"/>
          </w:tcPr>
          <w:p w14:paraId="071F35CA">
            <w:pPr>
              <w:pStyle w:val="30"/>
              <w:spacing w:before="50"/>
              <w:ind w:right="186"/>
              <w:jc w:val="center"/>
              <w:rPr>
                <w:sz w:val="18"/>
              </w:rPr>
            </w:pPr>
            <w:r>
              <w:rPr>
                <w:sz w:val="18"/>
              </w:rPr>
              <w:t>X＜10</w:t>
            </w:r>
          </w:p>
        </w:tc>
      </w:tr>
      <w:tr w14:paraId="5309E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847" w:type="dxa"/>
            <w:vMerge w:val="continue"/>
            <w:tcBorders>
              <w:top w:val="nil"/>
            </w:tcBorders>
          </w:tcPr>
          <w:p w14:paraId="2009D751">
            <w:pPr>
              <w:ind w:firstLine="40"/>
              <w:jc w:val="center"/>
              <w:rPr>
                <w:sz w:val="2"/>
                <w:szCs w:val="2"/>
              </w:rPr>
            </w:pPr>
          </w:p>
        </w:tc>
        <w:tc>
          <w:tcPr>
            <w:tcW w:w="1451" w:type="dxa"/>
          </w:tcPr>
          <w:p w14:paraId="3B17BA99">
            <w:pPr>
              <w:pStyle w:val="30"/>
              <w:spacing w:before="58"/>
              <w:ind w:right="210"/>
              <w:jc w:val="center"/>
              <w:rPr>
                <w:sz w:val="18"/>
              </w:rPr>
            </w:pPr>
            <w:r>
              <w:rPr>
                <w:sz w:val="18"/>
              </w:rPr>
              <w:t>资产总额(Z)</w:t>
            </w:r>
          </w:p>
        </w:tc>
        <w:tc>
          <w:tcPr>
            <w:tcW w:w="750" w:type="dxa"/>
          </w:tcPr>
          <w:p w14:paraId="7ACB555E">
            <w:pPr>
              <w:pStyle w:val="30"/>
              <w:spacing w:before="51"/>
              <w:ind w:right="171"/>
              <w:jc w:val="center"/>
              <w:rPr>
                <w:sz w:val="18"/>
              </w:rPr>
            </w:pPr>
            <w:r>
              <w:rPr>
                <w:sz w:val="18"/>
              </w:rPr>
              <w:t>万元</w:t>
            </w:r>
          </w:p>
        </w:tc>
        <w:tc>
          <w:tcPr>
            <w:tcW w:w="1191" w:type="dxa"/>
          </w:tcPr>
          <w:p w14:paraId="56A84D39">
            <w:pPr>
              <w:pStyle w:val="30"/>
              <w:spacing w:before="51"/>
              <w:ind w:right="169"/>
              <w:jc w:val="center"/>
              <w:rPr>
                <w:sz w:val="18"/>
              </w:rPr>
            </w:pPr>
            <w:r>
              <w:rPr>
                <w:sz w:val="18"/>
              </w:rPr>
              <w:t>Z≥120000</w:t>
            </w:r>
          </w:p>
        </w:tc>
        <w:tc>
          <w:tcPr>
            <w:tcW w:w="1803" w:type="dxa"/>
          </w:tcPr>
          <w:p w14:paraId="4695DA69">
            <w:pPr>
              <w:pStyle w:val="30"/>
              <w:spacing w:before="51"/>
              <w:jc w:val="center"/>
              <w:rPr>
                <w:sz w:val="18"/>
              </w:rPr>
            </w:pPr>
            <w:r>
              <w:rPr>
                <w:sz w:val="18"/>
              </w:rPr>
              <w:t>8000≤Z＜120000</w:t>
            </w:r>
          </w:p>
        </w:tc>
        <w:tc>
          <w:tcPr>
            <w:tcW w:w="1511" w:type="dxa"/>
          </w:tcPr>
          <w:p w14:paraId="343D0E3B">
            <w:pPr>
              <w:pStyle w:val="30"/>
              <w:spacing w:before="51"/>
              <w:jc w:val="center"/>
              <w:rPr>
                <w:sz w:val="18"/>
              </w:rPr>
            </w:pPr>
            <w:r>
              <w:rPr>
                <w:sz w:val="18"/>
              </w:rPr>
              <w:t>100≤Z＜8000</w:t>
            </w:r>
          </w:p>
        </w:tc>
        <w:tc>
          <w:tcPr>
            <w:tcW w:w="1049" w:type="dxa"/>
          </w:tcPr>
          <w:p w14:paraId="1DB51B1B">
            <w:pPr>
              <w:pStyle w:val="30"/>
              <w:spacing w:before="51"/>
              <w:ind w:right="186"/>
              <w:jc w:val="center"/>
              <w:rPr>
                <w:sz w:val="18"/>
              </w:rPr>
            </w:pPr>
            <w:r>
              <w:rPr>
                <w:sz w:val="18"/>
              </w:rPr>
              <w:t>Z＜100</w:t>
            </w:r>
          </w:p>
        </w:tc>
      </w:tr>
      <w:tr w14:paraId="15EB3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847" w:type="dxa"/>
          </w:tcPr>
          <w:p w14:paraId="6A6E057E">
            <w:pPr>
              <w:pStyle w:val="30"/>
              <w:spacing w:before="85"/>
              <w:ind w:left="107" w:firstLine="361"/>
              <w:jc w:val="center"/>
              <w:rPr>
                <w:sz w:val="18"/>
              </w:rPr>
            </w:pPr>
            <w:r>
              <w:rPr>
                <w:sz w:val="18"/>
              </w:rPr>
              <w:t>建筑业*</w:t>
            </w:r>
          </w:p>
        </w:tc>
        <w:tc>
          <w:tcPr>
            <w:tcW w:w="1451" w:type="dxa"/>
          </w:tcPr>
          <w:p w14:paraId="7DE735C5">
            <w:pPr>
              <w:pStyle w:val="30"/>
              <w:spacing w:before="78"/>
              <w:ind w:right="210"/>
              <w:jc w:val="center"/>
              <w:rPr>
                <w:sz w:val="18"/>
              </w:rPr>
            </w:pPr>
            <w:r>
              <w:rPr>
                <w:sz w:val="18"/>
              </w:rPr>
              <w:t>从业人员(X)</w:t>
            </w:r>
          </w:p>
        </w:tc>
        <w:tc>
          <w:tcPr>
            <w:tcW w:w="750" w:type="dxa"/>
          </w:tcPr>
          <w:p w14:paraId="02DCD158">
            <w:pPr>
              <w:pStyle w:val="30"/>
              <w:spacing w:before="78"/>
              <w:ind w:left="9" w:firstLine="361"/>
              <w:jc w:val="center"/>
              <w:rPr>
                <w:sz w:val="18"/>
              </w:rPr>
            </w:pPr>
            <w:r>
              <w:rPr>
                <w:sz w:val="18"/>
              </w:rPr>
              <w:t>人</w:t>
            </w:r>
          </w:p>
        </w:tc>
        <w:tc>
          <w:tcPr>
            <w:tcW w:w="1191" w:type="dxa"/>
          </w:tcPr>
          <w:p w14:paraId="15110228">
            <w:pPr>
              <w:pStyle w:val="30"/>
              <w:spacing w:before="78"/>
              <w:ind w:right="169"/>
              <w:jc w:val="center"/>
              <w:rPr>
                <w:sz w:val="18"/>
              </w:rPr>
            </w:pPr>
            <w:r>
              <w:rPr>
                <w:sz w:val="18"/>
              </w:rPr>
              <w:t>X≥300</w:t>
            </w:r>
          </w:p>
        </w:tc>
        <w:tc>
          <w:tcPr>
            <w:tcW w:w="1803" w:type="dxa"/>
          </w:tcPr>
          <w:p w14:paraId="5C5B7BF0">
            <w:pPr>
              <w:pStyle w:val="30"/>
              <w:spacing w:before="78"/>
              <w:jc w:val="center"/>
              <w:rPr>
                <w:sz w:val="18"/>
              </w:rPr>
            </w:pPr>
            <w:r>
              <w:rPr>
                <w:sz w:val="18"/>
              </w:rPr>
              <w:t>100≤X＜300</w:t>
            </w:r>
          </w:p>
        </w:tc>
        <w:tc>
          <w:tcPr>
            <w:tcW w:w="1511" w:type="dxa"/>
          </w:tcPr>
          <w:p w14:paraId="45467BFF">
            <w:pPr>
              <w:pStyle w:val="30"/>
              <w:spacing w:before="78"/>
              <w:jc w:val="center"/>
              <w:rPr>
                <w:sz w:val="18"/>
              </w:rPr>
            </w:pPr>
            <w:r>
              <w:rPr>
                <w:sz w:val="18"/>
              </w:rPr>
              <w:t>10≤X＜100</w:t>
            </w:r>
          </w:p>
        </w:tc>
        <w:tc>
          <w:tcPr>
            <w:tcW w:w="1049" w:type="dxa"/>
          </w:tcPr>
          <w:p w14:paraId="68D75F2B">
            <w:pPr>
              <w:pStyle w:val="30"/>
              <w:spacing w:before="78"/>
              <w:ind w:right="186"/>
              <w:jc w:val="center"/>
              <w:rPr>
                <w:sz w:val="18"/>
              </w:rPr>
            </w:pPr>
            <w:r>
              <w:rPr>
                <w:sz w:val="18"/>
              </w:rPr>
              <w:t>X＜10</w:t>
            </w:r>
          </w:p>
        </w:tc>
      </w:tr>
    </w:tbl>
    <w:p w14:paraId="23F88AFE">
      <w:pPr>
        <w:pStyle w:val="12"/>
        <w:ind w:firstLine="400"/>
        <w:rPr>
          <w:b/>
          <w:sz w:val="20"/>
        </w:rPr>
      </w:pPr>
    </w:p>
    <w:p w14:paraId="58176017">
      <w:pPr>
        <w:pStyle w:val="12"/>
        <w:spacing w:before="9"/>
        <w:ind w:firstLine="280"/>
        <w:rPr>
          <w:b/>
          <w:sz w:val="14"/>
        </w:rPr>
      </w:pPr>
    </w:p>
    <w:p w14:paraId="708C798B">
      <w:pPr>
        <w:pStyle w:val="8"/>
        <w:spacing w:before="67"/>
        <w:ind w:firstLine="482"/>
      </w:pPr>
      <w:r>
        <w:t>说明：</w:t>
      </w:r>
    </w:p>
    <w:p w14:paraId="0504441B">
      <w:pPr>
        <w:pStyle w:val="8"/>
        <w:numPr>
          <w:ilvl w:val="0"/>
          <w:numId w:val="16"/>
        </w:numPr>
        <w:tabs>
          <w:tab w:val="left" w:pos="1249"/>
        </w:tabs>
        <w:spacing w:before="48" w:line="295" w:lineRule="auto"/>
        <w:ind w:right="814" w:firstLine="482"/>
      </w:pPr>
      <w:r>
        <w:t>大型、中型和小型企业须同时满足所列指标的下限，否则下划一档；微型企业只须满足所列指标中的一项即可。</w:t>
      </w:r>
    </w:p>
    <w:p w14:paraId="34251404">
      <w:pPr>
        <w:pStyle w:val="8"/>
        <w:numPr>
          <w:ilvl w:val="0"/>
          <w:numId w:val="16"/>
        </w:numPr>
        <w:tabs>
          <w:tab w:val="left" w:pos="1247"/>
        </w:tabs>
        <w:spacing w:before="1"/>
        <w:ind w:left="1247" w:firstLine="482"/>
      </w:pPr>
      <w:r>
        <w:t>附表中各行业的范围以《国民经济行业分类》（GB/T4754-2017）为准。带</w:t>
      </w:r>
    </w:p>
    <w:p w14:paraId="4C28EF8D">
      <w:pPr>
        <w:pStyle w:val="8"/>
        <w:spacing w:before="75" w:line="297" w:lineRule="auto"/>
        <w:ind w:right="814" w:firstLine="482"/>
        <w:jc w:val="both"/>
      </w:pPr>
      <w: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建筑业包括科学研究和技术服务业，水利、环境和公共设施管理业，居民服务、修理和其他服务业，社会工作，文化、体育和娱乐业，以及房地产中介服务，其他房地产业等，不包括自有房地产经营活动。</w:t>
      </w:r>
    </w:p>
    <w:p w14:paraId="1853CA1D">
      <w:pPr>
        <w:pStyle w:val="8"/>
        <w:numPr>
          <w:ilvl w:val="0"/>
          <w:numId w:val="16"/>
        </w:numPr>
        <w:tabs>
          <w:tab w:val="left" w:pos="1247"/>
        </w:tabs>
        <w:spacing w:line="297" w:lineRule="auto"/>
        <w:ind w:right="687" w:firstLine="482"/>
      </w:pPr>
      <w:r>
        <w:t>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6789A657">
      <w:pPr>
        <w:spacing w:line="297" w:lineRule="auto"/>
        <w:ind w:firstLine="422"/>
        <w:sectPr>
          <w:pgSz w:w="11910" w:h="16840"/>
          <w:pgMar w:top="1080" w:right="640" w:bottom="1180" w:left="960" w:header="0" w:footer="954" w:gutter="0"/>
          <w:cols w:space="720" w:num="1"/>
        </w:sectPr>
      </w:pPr>
    </w:p>
    <w:p w14:paraId="5400B342">
      <w:pPr>
        <w:pStyle w:val="5"/>
        <w:spacing w:before="33"/>
        <w:ind w:firstLine="562"/>
      </w:pPr>
      <w:r>
        <w:t>附件：</w:t>
      </w:r>
    </w:p>
    <w:p w14:paraId="160EDB11">
      <w:pPr>
        <w:pStyle w:val="12"/>
        <w:spacing w:before="1"/>
        <w:ind w:firstLine="260"/>
        <w:rPr>
          <w:b/>
          <w:sz w:val="13"/>
        </w:rPr>
      </w:pPr>
    </w:p>
    <w:p w14:paraId="405C252A">
      <w:pPr>
        <w:pStyle w:val="5"/>
        <w:spacing w:before="62"/>
        <w:ind w:left="0" w:right="327" w:firstLine="562"/>
        <w:jc w:val="center"/>
      </w:pPr>
      <w:r>
        <w:t>残疾人福利性单位声明函（格式）</w:t>
      </w:r>
    </w:p>
    <w:p w14:paraId="72BBBA23">
      <w:pPr>
        <w:pStyle w:val="12"/>
        <w:ind w:firstLine="560"/>
        <w:rPr>
          <w:b/>
          <w:sz w:val="28"/>
        </w:rPr>
      </w:pPr>
    </w:p>
    <w:p w14:paraId="2276AE57">
      <w:pPr>
        <w:pStyle w:val="12"/>
        <w:spacing w:before="11"/>
        <w:ind w:firstLine="760"/>
        <w:rPr>
          <w:b/>
          <w:sz w:val="38"/>
        </w:rPr>
      </w:pPr>
    </w:p>
    <w:p w14:paraId="667DD730">
      <w:pPr>
        <w:pStyle w:val="8"/>
        <w:tabs>
          <w:tab w:val="left" w:pos="4718"/>
          <w:tab w:val="left" w:pos="6230"/>
        </w:tabs>
        <w:spacing w:line="458" w:lineRule="auto"/>
        <w:ind w:right="809" w:firstLine="482"/>
        <w:jc w:val="both"/>
      </w:pPr>
      <w:r>
        <w:t>本单位郑重声明，根据《财政部民政部中国残疾人联合会关于促进残疾人就业政府采购政策的通知》（财库〔2017〕141号）的规定，本单位为符合条件的残疾人福利性单位，且本单位参加</w:t>
      </w:r>
      <w:r>
        <w:rPr>
          <w:rFonts w:ascii="Times New Roman" w:eastAsia="Times New Roman"/>
          <w:u w:val="single"/>
        </w:rPr>
        <w:tab/>
      </w:r>
      <w:r>
        <w:t>单位的</w:t>
      </w:r>
      <w:r>
        <w:rPr>
          <w:rFonts w:ascii="Times New Roman" w:eastAsia="Times New Roman"/>
          <w:u w:val="single"/>
        </w:rPr>
        <w:tab/>
      </w:r>
      <w:r>
        <w:t>项目采购活动提供本单位制造的货物（由本单位承担工程/提供服务），或者提供其他残疾人福利性单位制造的货物（不包括使用非残疾人福利性单位注册商标的货物）。</w:t>
      </w:r>
    </w:p>
    <w:p w14:paraId="201D0C3D">
      <w:pPr>
        <w:pStyle w:val="8"/>
        <w:spacing w:before="4"/>
        <w:ind w:left="984" w:firstLine="482"/>
      </w:pPr>
      <w:r>
        <w:t>本单位对上述声明的真实性负责。如有虚假，将依法承担相应责任。</w:t>
      </w:r>
    </w:p>
    <w:p w14:paraId="2ED58CA2">
      <w:pPr>
        <w:pStyle w:val="12"/>
        <w:ind w:firstLine="482"/>
        <w:rPr>
          <w:sz w:val="24"/>
        </w:rPr>
      </w:pPr>
    </w:p>
    <w:p w14:paraId="0BBE244C">
      <w:pPr>
        <w:pStyle w:val="12"/>
        <w:ind w:firstLine="482"/>
        <w:rPr>
          <w:sz w:val="24"/>
        </w:rPr>
      </w:pPr>
    </w:p>
    <w:p w14:paraId="2C68664E">
      <w:pPr>
        <w:pStyle w:val="12"/>
        <w:spacing w:before="10"/>
        <w:ind w:firstLine="381"/>
        <w:rPr>
          <w:sz w:val="19"/>
        </w:rPr>
      </w:pPr>
    </w:p>
    <w:p w14:paraId="3A5D78AF">
      <w:pPr>
        <w:pStyle w:val="8"/>
        <w:ind w:left="1488" w:firstLine="482"/>
      </w:pPr>
      <w:r>
        <w:t>单位名称（加盖供应商CA证书签章）：</w:t>
      </w:r>
    </w:p>
    <w:p w14:paraId="2AF615DA">
      <w:pPr>
        <w:pStyle w:val="12"/>
        <w:spacing w:before="11"/>
      </w:pPr>
    </w:p>
    <w:p w14:paraId="4784E748">
      <w:pPr>
        <w:pStyle w:val="8"/>
        <w:ind w:left="0" w:right="1257" w:firstLine="482"/>
        <w:jc w:val="center"/>
      </w:pPr>
      <w:r>
        <w:t>日期：</w:t>
      </w:r>
    </w:p>
    <w:p w14:paraId="03CE08BB">
      <w:pPr>
        <w:ind w:firstLine="422"/>
        <w:jc w:val="center"/>
        <w:sectPr>
          <w:pgSz w:w="11910" w:h="16840"/>
          <w:pgMar w:top="1220" w:right="640" w:bottom="1180" w:left="960" w:header="0" w:footer="954" w:gutter="0"/>
          <w:cols w:space="720" w:num="1"/>
        </w:sectPr>
      </w:pPr>
    </w:p>
    <w:p w14:paraId="476D1524">
      <w:pPr>
        <w:spacing w:before="24"/>
        <w:ind w:right="322" w:firstLine="643"/>
        <w:jc w:val="center"/>
        <w:rPr>
          <w:b/>
          <w:sz w:val="32"/>
        </w:rPr>
      </w:pPr>
      <w:r>
        <w:rPr>
          <w:b/>
          <w:sz w:val="32"/>
        </w:rPr>
        <w:t>（二）符合性响应证明材料目录</w:t>
      </w:r>
    </w:p>
    <w:p w14:paraId="5E87F4C6">
      <w:pPr>
        <w:pStyle w:val="8"/>
        <w:numPr>
          <w:ilvl w:val="1"/>
          <w:numId w:val="16"/>
        </w:numPr>
        <w:tabs>
          <w:tab w:val="left" w:pos="1440"/>
        </w:tabs>
        <w:spacing w:before="211"/>
        <w:ind w:left="1440" w:firstLine="482"/>
      </w:pPr>
      <w:r>
        <w:t>响应函</w:t>
      </w:r>
      <w:r>
        <w:rPr>
          <w:rFonts w:hint="eastAsia"/>
        </w:rPr>
        <w:t>及响应函附录</w:t>
      </w:r>
      <w:r>
        <w:t>（必须提供）</w:t>
      </w:r>
    </w:p>
    <w:p w14:paraId="439155EF">
      <w:pPr>
        <w:pStyle w:val="8"/>
        <w:numPr>
          <w:ilvl w:val="1"/>
          <w:numId w:val="16"/>
        </w:numPr>
        <w:tabs>
          <w:tab w:val="left" w:pos="1440"/>
        </w:tabs>
        <w:spacing w:before="211"/>
        <w:ind w:left="1440" w:firstLine="482"/>
      </w:pPr>
      <w:r>
        <w:t>已标价工程量清单（必须提供）；</w:t>
      </w:r>
    </w:p>
    <w:p w14:paraId="53817400">
      <w:pPr>
        <w:pStyle w:val="8"/>
        <w:numPr>
          <w:ilvl w:val="1"/>
          <w:numId w:val="16"/>
        </w:numPr>
        <w:tabs>
          <w:tab w:val="left" w:pos="1440"/>
        </w:tabs>
        <w:spacing w:before="211"/>
        <w:ind w:left="1440" w:firstLine="482"/>
      </w:pPr>
      <w:r>
        <w:rPr>
          <w:rFonts w:hint="eastAsia"/>
        </w:rPr>
        <w:t>施工组织设计</w:t>
      </w:r>
      <w:r>
        <w:t>（必须提供）；</w:t>
      </w:r>
    </w:p>
    <w:p w14:paraId="6039AC0F">
      <w:pPr>
        <w:pStyle w:val="8"/>
        <w:numPr>
          <w:ilvl w:val="1"/>
          <w:numId w:val="16"/>
        </w:numPr>
        <w:tabs>
          <w:tab w:val="left" w:pos="1440"/>
        </w:tabs>
        <w:spacing w:before="211"/>
        <w:ind w:left="1440" w:firstLine="482"/>
      </w:pPr>
      <w:r>
        <w:rPr>
          <w:rFonts w:hint="eastAsia"/>
        </w:rPr>
        <w:t>项目管理机构（必须提供）；</w:t>
      </w:r>
    </w:p>
    <w:p w14:paraId="3E90B875">
      <w:pPr>
        <w:pStyle w:val="8"/>
        <w:numPr>
          <w:ilvl w:val="1"/>
          <w:numId w:val="16"/>
        </w:numPr>
        <w:tabs>
          <w:tab w:val="left" w:pos="1440"/>
        </w:tabs>
        <w:spacing w:before="211"/>
        <w:ind w:left="1440" w:firstLine="482"/>
      </w:pPr>
      <w:r>
        <w:rPr>
          <w:rFonts w:hint="eastAsia"/>
        </w:rPr>
        <w:t>农民工工资保证金承诺书及供应商承诺函（必须提供）；</w:t>
      </w:r>
    </w:p>
    <w:p w14:paraId="46499AB1">
      <w:pPr>
        <w:ind w:firstLine="422"/>
      </w:pPr>
    </w:p>
    <w:p w14:paraId="099DAD9B">
      <w:pPr>
        <w:ind w:firstLine="422"/>
      </w:pPr>
    </w:p>
    <w:p w14:paraId="26D1FD09">
      <w:pPr>
        <w:ind w:firstLine="422"/>
      </w:pPr>
    </w:p>
    <w:p w14:paraId="664EA804">
      <w:pPr>
        <w:ind w:firstLine="422"/>
      </w:pPr>
    </w:p>
    <w:p w14:paraId="23927B80">
      <w:pPr>
        <w:ind w:firstLine="422"/>
      </w:pPr>
    </w:p>
    <w:p w14:paraId="3A558D3C">
      <w:pPr>
        <w:ind w:firstLine="422"/>
      </w:pPr>
    </w:p>
    <w:p w14:paraId="6E7F19B7">
      <w:pPr>
        <w:ind w:firstLine="422"/>
      </w:pPr>
    </w:p>
    <w:p w14:paraId="6FD737C1">
      <w:pPr>
        <w:ind w:firstLine="422"/>
      </w:pPr>
    </w:p>
    <w:p w14:paraId="67D2D0EC">
      <w:pPr>
        <w:ind w:firstLine="422"/>
      </w:pPr>
    </w:p>
    <w:p w14:paraId="2CFF4727">
      <w:pPr>
        <w:ind w:firstLine="422"/>
      </w:pPr>
    </w:p>
    <w:p w14:paraId="37B0EA4F">
      <w:pPr>
        <w:ind w:firstLine="422"/>
      </w:pPr>
    </w:p>
    <w:p w14:paraId="541C2C5B">
      <w:pPr>
        <w:ind w:firstLine="422"/>
      </w:pPr>
    </w:p>
    <w:p w14:paraId="3B4CD519">
      <w:pPr>
        <w:ind w:firstLine="422"/>
      </w:pPr>
    </w:p>
    <w:p w14:paraId="61A23B27">
      <w:pPr>
        <w:ind w:firstLine="422"/>
      </w:pPr>
    </w:p>
    <w:p w14:paraId="5A78CA36">
      <w:pPr>
        <w:ind w:firstLine="422"/>
      </w:pPr>
    </w:p>
    <w:p w14:paraId="3C211920">
      <w:pPr>
        <w:ind w:firstLine="422"/>
      </w:pPr>
    </w:p>
    <w:p w14:paraId="07068B99">
      <w:pPr>
        <w:ind w:firstLine="422"/>
      </w:pPr>
    </w:p>
    <w:p w14:paraId="088DD6CC">
      <w:pPr>
        <w:ind w:firstLine="422"/>
      </w:pPr>
    </w:p>
    <w:p w14:paraId="653B3645">
      <w:pPr>
        <w:ind w:firstLine="422"/>
      </w:pPr>
    </w:p>
    <w:p w14:paraId="4068A5D6">
      <w:pPr>
        <w:ind w:firstLine="422"/>
      </w:pPr>
    </w:p>
    <w:p w14:paraId="1F671C17">
      <w:pPr>
        <w:ind w:firstLine="422"/>
      </w:pPr>
    </w:p>
    <w:p w14:paraId="5DFEA306">
      <w:pPr>
        <w:ind w:firstLine="422"/>
      </w:pPr>
    </w:p>
    <w:p w14:paraId="607A6060">
      <w:pPr>
        <w:ind w:firstLine="422"/>
      </w:pPr>
    </w:p>
    <w:p w14:paraId="55E1AD18">
      <w:pPr>
        <w:ind w:firstLine="422"/>
      </w:pPr>
    </w:p>
    <w:p w14:paraId="30E36749">
      <w:pPr>
        <w:ind w:firstLine="422"/>
      </w:pPr>
    </w:p>
    <w:p w14:paraId="6164BD33">
      <w:pPr>
        <w:ind w:firstLine="422"/>
      </w:pPr>
    </w:p>
    <w:p w14:paraId="2833ABDA">
      <w:pPr>
        <w:ind w:firstLine="422"/>
      </w:pPr>
    </w:p>
    <w:p w14:paraId="14B6125A">
      <w:pPr>
        <w:ind w:firstLine="422"/>
      </w:pPr>
    </w:p>
    <w:p w14:paraId="0B565ADB">
      <w:pPr>
        <w:ind w:firstLine="422"/>
      </w:pPr>
    </w:p>
    <w:p w14:paraId="3F6FC77C">
      <w:pPr>
        <w:ind w:firstLine="422"/>
      </w:pPr>
    </w:p>
    <w:p w14:paraId="0CA8813D">
      <w:pPr>
        <w:ind w:firstLine="422"/>
      </w:pPr>
    </w:p>
    <w:p w14:paraId="50B2E547">
      <w:pPr>
        <w:ind w:firstLine="422"/>
      </w:pPr>
    </w:p>
    <w:p w14:paraId="2F7AE290">
      <w:pPr>
        <w:ind w:firstLine="422"/>
      </w:pPr>
    </w:p>
    <w:p w14:paraId="0E91C860">
      <w:pPr>
        <w:ind w:firstLine="422"/>
      </w:pPr>
    </w:p>
    <w:p w14:paraId="5692BB0F">
      <w:pPr>
        <w:ind w:firstLine="422"/>
      </w:pPr>
    </w:p>
    <w:p w14:paraId="226126DA">
      <w:pPr>
        <w:ind w:firstLine="422"/>
      </w:pPr>
    </w:p>
    <w:p w14:paraId="1F7BEA4B">
      <w:pPr>
        <w:ind w:firstLine="422"/>
      </w:pPr>
    </w:p>
    <w:p w14:paraId="2A11B44A">
      <w:pPr>
        <w:ind w:firstLine="422"/>
      </w:pPr>
    </w:p>
    <w:p w14:paraId="71F912F9">
      <w:pPr>
        <w:ind w:firstLine="422"/>
      </w:pPr>
    </w:p>
    <w:p w14:paraId="66123C7F">
      <w:pPr>
        <w:ind w:firstLine="422"/>
      </w:pPr>
    </w:p>
    <w:p w14:paraId="6A8BC745">
      <w:pPr>
        <w:pStyle w:val="5"/>
        <w:tabs>
          <w:tab w:val="left" w:pos="760"/>
        </w:tabs>
        <w:spacing w:before="45"/>
        <w:ind w:firstLine="643"/>
        <w:rPr>
          <w:sz w:val="32"/>
          <w:szCs w:val="32"/>
        </w:rPr>
      </w:pPr>
      <w:r>
        <w:rPr>
          <w:rFonts w:hint="eastAsia"/>
          <w:sz w:val="32"/>
          <w:szCs w:val="32"/>
        </w:rPr>
        <w:t>1.</w:t>
      </w:r>
      <w:r>
        <w:rPr>
          <w:sz w:val="32"/>
          <w:szCs w:val="32"/>
        </w:rPr>
        <w:t>响应函</w:t>
      </w:r>
      <w:r>
        <w:rPr>
          <w:rFonts w:hint="eastAsia"/>
          <w:sz w:val="32"/>
          <w:szCs w:val="32"/>
        </w:rPr>
        <w:t>及响应函附录</w:t>
      </w:r>
      <w:r>
        <w:rPr>
          <w:sz w:val="32"/>
          <w:szCs w:val="32"/>
        </w:rPr>
        <w:t>（必须提供）</w:t>
      </w:r>
    </w:p>
    <w:p w14:paraId="0312752B">
      <w:pPr>
        <w:pStyle w:val="7"/>
        <w:spacing w:before="133"/>
        <w:ind w:firstLine="482"/>
      </w:pPr>
      <w:r>
        <w:t>附件：</w:t>
      </w:r>
    </w:p>
    <w:p w14:paraId="16EEFB7C">
      <w:pPr>
        <w:ind w:firstLine="643"/>
        <w:jc w:val="center"/>
        <w:rPr>
          <w:b/>
          <w:sz w:val="32"/>
          <w:szCs w:val="20"/>
        </w:rPr>
      </w:pPr>
      <w:r>
        <w:rPr>
          <w:rFonts w:hint="eastAsia"/>
          <w:b/>
          <w:sz w:val="32"/>
          <w:szCs w:val="20"/>
        </w:rPr>
        <w:t>（一）响应函</w:t>
      </w:r>
    </w:p>
    <w:p w14:paraId="32028845">
      <w:pPr>
        <w:spacing w:line="360" w:lineRule="exact"/>
        <w:ind w:firstLine="480" w:firstLineChars="200"/>
        <w:rPr>
          <w:sz w:val="24"/>
        </w:rPr>
      </w:pPr>
      <w:r>
        <w:rPr>
          <w:rFonts w:hint="eastAsia"/>
          <w:sz w:val="24"/>
        </w:rPr>
        <w:t>致：</w:t>
      </w:r>
      <w:r>
        <w:rPr>
          <w:rFonts w:hint="eastAsia"/>
          <w:sz w:val="24"/>
          <w:u w:val="single"/>
        </w:rPr>
        <w:t>广西壮族自治区资源公路养护中心</w:t>
      </w:r>
    </w:p>
    <w:p w14:paraId="0BB428DA">
      <w:pPr>
        <w:spacing w:line="360" w:lineRule="exact"/>
        <w:ind w:firstLine="480" w:firstLineChars="200"/>
        <w:rPr>
          <w:color w:val="FF0000"/>
          <w:sz w:val="24"/>
          <w:highlight w:val="green"/>
        </w:rPr>
      </w:pPr>
    </w:p>
    <w:p w14:paraId="0F0F89CC">
      <w:pPr>
        <w:spacing w:line="360" w:lineRule="exact"/>
        <w:ind w:firstLine="480" w:firstLineChars="200"/>
        <w:rPr>
          <w:sz w:val="24"/>
        </w:rPr>
      </w:pPr>
      <w:r>
        <w:rPr>
          <w:rFonts w:hint="eastAsia"/>
          <w:sz w:val="24"/>
        </w:rPr>
        <w:t>根据贵方</w:t>
      </w:r>
      <w:r>
        <w:rPr>
          <w:rFonts w:hint="eastAsia"/>
          <w:sz w:val="24"/>
          <w:u w:val="single"/>
        </w:rPr>
        <w:t>（项目名称）</w:t>
      </w:r>
      <w:r>
        <w:rPr>
          <w:rFonts w:hint="eastAsia"/>
          <w:sz w:val="24"/>
        </w:rPr>
        <w:t>项目磋商文件，项目编号，签字代表（姓名）经正式授权并代表供应商（供应商单位名称），提交电子响应文件。</w:t>
      </w:r>
    </w:p>
    <w:p w14:paraId="14579989">
      <w:pPr>
        <w:spacing w:line="360" w:lineRule="exact"/>
        <w:ind w:firstLine="480" w:firstLineChars="200"/>
        <w:rPr>
          <w:sz w:val="24"/>
        </w:rPr>
      </w:pPr>
      <w:r>
        <w:rPr>
          <w:rFonts w:hint="eastAsia"/>
          <w:sz w:val="24"/>
        </w:rPr>
        <w:t>据此函，签字代表宣布同意如下：</w:t>
      </w:r>
    </w:p>
    <w:p w14:paraId="6DFF64C5">
      <w:pPr>
        <w:spacing w:line="360" w:lineRule="exact"/>
        <w:ind w:firstLine="480" w:firstLineChars="200"/>
        <w:rPr>
          <w:sz w:val="24"/>
          <w:lang w:bidi="zh-CN"/>
        </w:rPr>
      </w:pPr>
      <w:r>
        <w:rPr>
          <w:rFonts w:hint="eastAsia"/>
          <w:sz w:val="24"/>
        </w:rPr>
        <w:t>1.</w:t>
      </w:r>
      <w:r>
        <w:rPr>
          <w:sz w:val="24"/>
          <w:szCs w:val="20"/>
          <w:lang w:bidi="zh-CN"/>
        </w:rPr>
        <w:t>我方已仔细研究</w:t>
      </w:r>
      <w:r>
        <w:rPr>
          <w:rFonts w:hint="eastAsia"/>
          <w:sz w:val="24"/>
        </w:rPr>
        <w:t>磋商文件</w:t>
      </w:r>
      <w:r>
        <w:rPr>
          <w:sz w:val="24"/>
          <w:szCs w:val="20"/>
          <w:lang w:bidi="zh-CN"/>
        </w:rPr>
        <w:t>的全部内容，愿意以人民币</w:t>
      </w:r>
      <w:r>
        <w:rPr>
          <w:sz w:val="24"/>
          <w:lang w:bidi="zh-CN"/>
        </w:rPr>
        <w:t>（大写）</w:t>
      </w:r>
      <w:r>
        <w:rPr>
          <w:sz w:val="24"/>
          <w:u w:val="single"/>
          <w:lang w:bidi="zh-CN"/>
        </w:rPr>
        <w:tab/>
      </w:r>
      <w:r>
        <w:rPr>
          <w:sz w:val="24"/>
          <w:lang w:bidi="zh-CN"/>
        </w:rPr>
        <w:t>元（¥</w:t>
      </w:r>
      <w:r>
        <w:rPr>
          <w:sz w:val="24"/>
          <w:u w:val="single"/>
          <w:lang w:bidi="zh-CN"/>
        </w:rPr>
        <w:tab/>
      </w:r>
      <w:r>
        <w:rPr>
          <w:sz w:val="24"/>
          <w:lang w:bidi="zh-CN"/>
        </w:rPr>
        <w:t>）的</w:t>
      </w:r>
      <w:r>
        <w:rPr>
          <w:rFonts w:hint="eastAsia"/>
          <w:sz w:val="24"/>
        </w:rPr>
        <w:t>磋商</w:t>
      </w:r>
      <w:r>
        <w:rPr>
          <w:sz w:val="24"/>
          <w:lang w:bidi="zh-CN"/>
        </w:rPr>
        <w:t>报价（或根据</w:t>
      </w:r>
      <w:r>
        <w:rPr>
          <w:rFonts w:hint="eastAsia"/>
          <w:sz w:val="24"/>
        </w:rPr>
        <w:t>磋商文件</w:t>
      </w:r>
      <w:r>
        <w:rPr>
          <w:sz w:val="24"/>
          <w:lang w:bidi="zh-CN"/>
        </w:rPr>
        <w:t>规定修正核实后确定的另一金额），按合同约定实施和完成承包工程，修补工程中的任何缺陷。</w:t>
      </w:r>
    </w:p>
    <w:p w14:paraId="6ECBC4AA">
      <w:pPr>
        <w:spacing w:line="360" w:lineRule="exact"/>
        <w:ind w:firstLine="480" w:firstLineChars="200"/>
        <w:rPr>
          <w:sz w:val="24"/>
        </w:rPr>
      </w:pPr>
      <w:r>
        <w:rPr>
          <w:rFonts w:hint="eastAsia"/>
          <w:sz w:val="24"/>
          <w:lang w:bidi="zh-CN"/>
        </w:rPr>
        <w:t>2.</w:t>
      </w:r>
      <w:r>
        <w:rPr>
          <w:sz w:val="24"/>
          <w:lang w:val="zh-CN" w:bidi="zh-CN"/>
        </w:rPr>
        <w:t>工程质量：</w:t>
      </w:r>
      <w:r>
        <w:rPr>
          <w:sz w:val="24"/>
          <w:u w:val="single"/>
          <w:lang w:val="zh-CN" w:bidi="zh-CN"/>
        </w:rPr>
        <w:tab/>
      </w:r>
      <w:r>
        <w:rPr>
          <w:sz w:val="24"/>
          <w:lang w:val="zh-CN" w:bidi="zh-CN"/>
        </w:rPr>
        <w:t>，工期：</w:t>
      </w:r>
      <w:r>
        <w:rPr>
          <w:sz w:val="24"/>
          <w:u w:val="single"/>
          <w:lang w:val="zh-CN" w:bidi="zh-CN"/>
        </w:rPr>
        <w:tab/>
      </w:r>
      <w:r>
        <w:rPr>
          <w:sz w:val="24"/>
          <w:lang w:val="zh-CN" w:bidi="zh-CN"/>
        </w:rPr>
        <w:t>。</w:t>
      </w:r>
    </w:p>
    <w:p w14:paraId="288FC832">
      <w:pPr>
        <w:spacing w:line="360" w:lineRule="exact"/>
        <w:ind w:firstLine="480" w:firstLineChars="200"/>
        <w:rPr>
          <w:sz w:val="24"/>
        </w:rPr>
      </w:pPr>
      <w:r>
        <w:rPr>
          <w:rFonts w:hint="eastAsia"/>
          <w:sz w:val="24"/>
        </w:rPr>
        <w:t>3.我方承诺已具备磋商文件规定的供应商资格条件。</w:t>
      </w:r>
    </w:p>
    <w:p w14:paraId="159C12F0">
      <w:pPr>
        <w:spacing w:line="360" w:lineRule="exact"/>
        <w:ind w:firstLine="480" w:firstLineChars="200"/>
        <w:rPr>
          <w:sz w:val="24"/>
        </w:rPr>
      </w:pPr>
      <w:r>
        <w:rPr>
          <w:rFonts w:hint="eastAsia"/>
          <w:sz w:val="24"/>
        </w:rPr>
        <w:t>4.我方已详细审核磋商文件，包括修改文件（如有的话）和有关附件，将自行承担因对全部磋商文件理解不正确或误解而产生的相应后果。</w:t>
      </w:r>
    </w:p>
    <w:p w14:paraId="06A54056">
      <w:pPr>
        <w:spacing w:line="360" w:lineRule="exact"/>
        <w:ind w:firstLine="480" w:firstLineChars="200"/>
        <w:rPr>
          <w:sz w:val="24"/>
        </w:rPr>
      </w:pPr>
      <w:r>
        <w:rPr>
          <w:rFonts w:hint="eastAsia"/>
          <w:sz w:val="24"/>
        </w:rPr>
        <w:t>5.响应文件有效期为响应文件递交截止时间之日起90天。</w:t>
      </w:r>
    </w:p>
    <w:p w14:paraId="11253757">
      <w:pPr>
        <w:spacing w:line="360" w:lineRule="exact"/>
        <w:ind w:firstLine="480" w:firstLineChars="200"/>
        <w:rPr>
          <w:sz w:val="24"/>
        </w:rPr>
      </w:pPr>
      <w:r>
        <w:rPr>
          <w:rFonts w:hint="eastAsia"/>
          <w:sz w:val="24"/>
        </w:rPr>
        <w:t>6.如我方成交：</w:t>
      </w:r>
    </w:p>
    <w:p w14:paraId="6C917F81">
      <w:pPr>
        <w:spacing w:line="360" w:lineRule="exact"/>
        <w:ind w:firstLine="480" w:firstLineChars="200"/>
        <w:rPr>
          <w:sz w:val="24"/>
        </w:rPr>
      </w:pPr>
      <w:r>
        <w:rPr>
          <w:rFonts w:hint="eastAsia"/>
          <w:sz w:val="24"/>
        </w:rPr>
        <w:t>（1）我方承诺在收到成交通知书后，在成交通知书规定的期限内与采购人签订合同。</w:t>
      </w:r>
    </w:p>
    <w:p w14:paraId="4717BF1D">
      <w:pPr>
        <w:spacing w:line="360" w:lineRule="exact"/>
        <w:ind w:firstLine="480" w:firstLineChars="200"/>
        <w:rPr>
          <w:sz w:val="24"/>
        </w:rPr>
      </w:pPr>
      <w:r>
        <w:rPr>
          <w:rFonts w:hint="eastAsia"/>
          <w:sz w:val="24"/>
        </w:rPr>
        <w:t>（2）我方承诺按照磋商文件规定递交履约担保。</w:t>
      </w:r>
    </w:p>
    <w:p w14:paraId="416FAA8A">
      <w:pPr>
        <w:spacing w:line="360" w:lineRule="exact"/>
        <w:ind w:firstLine="480" w:firstLineChars="200"/>
        <w:rPr>
          <w:sz w:val="24"/>
        </w:rPr>
      </w:pPr>
      <w:r>
        <w:rPr>
          <w:rFonts w:hint="eastAsia"/>
          <w:sz w:val="24"/>
        </w:rPr>
        <w:t>（3）我方承诺本响应文件至本项目合同履行完毕止均保持有效，按磋商文件及政府采购法律、法规的规定履行合同责任和义务。</w:t>
      </w:r>
    </w:p>
    <w:p w14:paraId="4DA62DBA">
      <w:pPr>
        <w:spacing w:line="360" w:lineRule="exact"/>
        <w:ind w:firstLine="480" w:firstLineChars="200"/>
        <w:rPr>
          <w:sz w:val="24"/>
        </w:rPr>
      </w:pPr>
    </w:p>
    <w:p w14:paraId="6F1688A3">
      <w:pPr>
        <w:spacing w:line="360" w:lineRule="exact"/>
        <w:ind w:firstLine="480" w:firstLineChars="200"/>
        <w:rPr>
          <w:sz w:val="24"/>
        </w:rPr>
      </w:pPr>
      <w:r>
        <w:rPr>
          <w:rFonts w:hint="eastAsia"/>
          <w:sz w:val="24"/>
        </w:rPr>
        <w:t>与本项目有关的正式通讯地址为：</w:t>
      </w:r>
    </w:p>
    <w:p w14:paraId="65A574B3">
      <w:pPr>
        <w:spacing w:line="360" w:lineRule="exact"/>
        <w:ind w:firstLine="480" w:firstLineChars="200"/>
        <w:rPr>
          <w:sz w:val="24"/>
        </w:rPr>
      </w:pPr>
      <w:r>
        <w:rPr>
          <w:rFonts w:hint="eastAsia"/>
          <w:sz w:val="24"/>
        </w:rPr>
        <w:t>地址：</w:t>
      </w:r>
      <w:r>
        <w:rPr>
          <w:rFonts w:hint="eastAsia"/>
          <w:sz w:val="24"/>
          <w:u w:val="single"/>
        </w:rPr>
        <w:t>　</w:t>
      </w:r>
      <w:r>
        <w:rPr>
          <w:rFonts w:hint="eastAsia"/>
          <w:sz w:val="24"/>
        </w:rPr>
        <w:t>邮编：</w:t>
      </w:r>
      <w:r>
        <w:rPr>
          <w:rFonts w:hint="eastAsia"/>
          <w:sz w:val="24"/>
          <w:u w:val="single"/>
        </w:rPr>
        <w:t>　</w:t>
      </w:r>
      <w:r>
        <w:rPr>
          <w:rFonts w:hint="eastAsia"/>
          <w:sz w:val="24"/>
        </w:rPr>
        <w:t>邮箱：</w:t>
      </w:r>
      <w:r>
        <w:rPr>
          <w:rFonts w:hint="eastAsia"/>
          <w:sz w:val="24"/>
          <w:u w:val="single"/>
        </w:rPr>
        <w:t>　</w:t>
      </w:r>
    </w:p>
    <w:p w14:paraId="59FE9AE0">
      <w:pPr>
        <w:spacing w:line="360" w:lineRule="exact"/>
        <w:ind w:firstLine="480" w:firstLineChars="200"/>
        <w:rPr>
          <w:sz w:val="24"/>
          <w:u w:val="single"/>
        </w:rPr>
      </w:pPr>
      <w:r>
        <w:rPr>
          <w:rFonts w:hint="eastAsia"/>
          <w:sz w:val="24"/>
        </w:rPr>
        <w:t>办公电话：</w:t>
      </w:r>
      <w:r>
        <w:rPr>
          <w:rFonts w:hint="eastAsia"/>
          <w:sz w:val="24"/>
          <w:u w:val="single"/>
        </w:rPr>
        <w:t>　</w:t>
      </w:r>
      <w:r>
        <w:rPr>
          <w:rFonts w:hint="eastAsia"/>
          <w:sz w:val="24"/>
        </w:rPr>
        <w:t>传真：</w:t>
      </w:r>
      <w:r>
        <w:rPr>
          <w:rFonts w:hint="eastAsia"/>
          <w:sz w:val="24"/>
          <w:u w:val="single"/>
        </w:rPr>
        <w:t>　</w:t>
      </w:r>
    </w:p>
    <w:p w14:paraId="27F87451">
      <w:pPr>
        <w:spacing w:line="360" w:lineRule="exact"/>
        <w:ind w:firstLine="480" w:firstLineChars="200"/>
        <w:rPr>
          <w:sz w:val="24"/>
          <w:u w:val="single"/>
        </w:rPr>
      </w:pPr>
      <w:r>
        <w:rPr>
          <w:rFonts w:hint="eastAsia"/>
          <w:sz w:val="24"/>
        </w:rPr>
        <w:t>委托代理人联系电话：</w:t>
      </w:r>
      <w:r>
        <w:rPr>
          <w:rFonts w:hint="eastAsia"/>
          <w:sz w:val="24"/>
          <w:u w:val="single"/>
        </w:rPr>
        <w:t>　</w:t>
      </w:r>
    </w:p>
    <w:p w14:paraId="4B92C8BD">
      <w:pPr>
        <w:spacing w:line="320" w:lineRule="exact"/>
        <w:ind w:firstLine="480" w:firstLineChars="200"/>
        <w:rPr>
          <w:sz w:val="24"/>
        </w:rPr>
      </w:pPr>
      <w:r>
        <w:rPr>
          <w:rFonts w:hint="eastAsia"/>
          <w:sz w:val="24"/>
        </w:rPr>
        <w:t>开户名称：</w:t>
      </w:r>
      <w:r>
        <w:rPr>
          <w:rFonts w:hint="eastAsia"/>
          <w:sz w:val="24"/>
          <w:u w:val="single"/>
        </w:rPr>
        <w:t>　</w:t>
      </w:r>
    </w:p>
    <w:p w14:paraId="4CBD3039">
      <w:pPr>
        <w:spacing w:line="320" w:lineRule="exact"/>
        <w:ind w:firstLine="480" w:firstLineChars="200"/>
        <w:rPr>
          <w:sz w:val="24"/>
        </w:rPr>
      </w:pPr>
      <w:r>
        <w:rPr>
          <w:rFonts w:hint="eastAsia"/>
          <w:sz w:val="24"/>
        </w:rPr>
        <w:t>开户银行：</w:t>
      </w:r>
      <w:r>
        <w:rPr>
          <w:rFonts w:hint="eastAsia"/>
          <w:sz w:val="24"/>
          <w:u w:val="single"/>
        </w:rPr>
        <w:t>　</w:t>
      </w:r>
    </w:p>
    <w:p w14:paraId="59722E00">
      <w:pPr>
        <w:spacing w:line="320" w:lineRule="exact"/>
        <w:ind w:firstLine="480" w:firstLineChars="200"/>
        <w:rPr>
          <w:sz w:val="24"/>
        </w:rPr>
      </w:pPr>
      <w:r>
        <w:rPr>
          <w:rFonts w:hint="eastAsia"/>
          <w:sz w:val="24"/>
        </w:rPr>
        <w:t>账号：</w:t>
      </w:r>
      <w:r>
        <w:rPr>
          <w:rFonts w:hint="eastAsia"/>
          <w:sz w:val="24"/>
          <w:u w:val="single"/>
        </w:rPr>
        <w:t>　　　</w:t>
      </w:r>
    </w:p>
    <w:p w14:paraId="14B2BF72">
      <w:pPr>
        <w:pStyle w:val="12"/>
        <w:spacing w:before="10"/>
        <w:ind w:firstLine="482"/>
        <w:rPr>
          <w:rFonts w:ascii="Times New Roman"/>
          <w:sz w:val="24"/>
        </w:rPr>
      </w:pPr>
    </w:p>
    <w:p w14:paraId="2A9677D0">
      <w:pPr>
        <w:pStyle w:val="12"/>
        <w:spacing w:before="69"/>
        <w:ind w:firstLine="720" w:firstLineChars="300"/>
        <w:rPr>
          <w:sz w:val="24"/>
          <w:szCs w:val="22"/>
        </w:rPr>
      </w:pPr>
      <w:r>
        <w:rPr>
          <w:rFonts w:hint="eastAsia"/>
          <w:sz w:val="24"/>
          <w:szCs w:val="22"/>
        </w:rPr>
        <w:t>磋商供应商（CA证书签章）：</w:t>
      </w:r>
    </w:p>
    <w:p w14:paraId="45AA47A1">
      <w:pPr>
        <w:ind w:firstLine="720" w:firstLineChars="300"/>
      </w:pPr>
      <w:r>
        <w:rPr>
          <w:rFonts w:hint="eastAsia"/>
          <w:sz w:val="24"/>
          <w:szCs w:val="24"/>
        </w:rPr>
        <w:t>法定代表人(负责人、自然人)或相应的委托代理人签字（或个人CA证书章）：</w:t>
      </w:r>
    </w:p>
    <w:p w14:paraId="34DAD879">
      <w:pPr>
        <w:pStyle w:val="12"/>
        <w:spacing w:before="70" w:line="304" w:lineRule="auto"/>
        <w:ind w:right="1949" w:firstLine="720" w:firstLineChars="300"/>
        <w:rPr>
          <w:sz w:val="24"/>
          <w:szCs w:val="22"/>
        </w:rPr>
      </w:pPr>
      <w:r>
        <w:rPr>
          <w:rFonts w:hint="eastAsia"/>
          <w:sz w:val="24"/>
          <w:szCs w:val="22"/>
        </w:rPr>
        <w:t>响应日期：</w:t>
      </w:r>
    </w:p>
    <w:p w14:paraId="3E214440">
      <w:pPr>
        <w:pStyle w:val="12"/>
        <w:spacing w:before="3"/>
        <w:ind w:firstLine="522"/>
        <w:rPr>
          <w:sz w:val="26"/>
        </w:rPr>
      </w:pPr>
    </w:p>
    <w:p w14:paraId="4C89A5C0">
      <w:pPr>
        <w:pStyle w:val="12"/>
        <w:spacing w:line="304" w:lineRule="auto"/>
        <w:ind w:left="480" w:right="796" w:firstLine="422"/>
      </w:pPr>
      <w:r>
        <w:t>注：1.未按照本响应函（格式）要求填报的应函将被视为非实质性响应竞争性磋商文件要求，从而导致该响应被拒绝。</w:t>
      </w:r>
    </w:p>
    <w:p w14:paraId="7B23DCBA">
      <w:pPr>
        <w:pStyle w:val="29"/>
        <w:numPr>
          <w:ilvl w:val="1"/>
          <w:numId w:val="15"/>
        </w:numPr>
        <w:tabs>
          <w:tab w:val="left" w:pos="1108"/>
        </w:tabs>
        <w:spacing w:line="302" w:lineRule="auto"/>
        <w:ind w:right="694" w:firstLine="422"/>
        <w:rPr>
          <w:sz w:val="19"/>
        </w:rPr>
      </w:pPr>
      <w:r>
        <w:rPr>
          <w:sz w:val="21"/>
        </w:rPr>
        <w:t>供应商必须按本响应函（格式）要求注明清楚联系方式（包括地址、邮编、邮箱、电话等），从而确保成交结果等相关信息能及时通知到位。</w:t>
      </w:r>
    </w:p>
    <w:p w14:paraId="7217F71C">
      <w:pPr>
        <w:pStyle w:val="29"/>
        <w:numPr>
          <w:ilvl w:val="1"/>
          <w:numId w:val="15"/>
        </w:numPr>
        <w:tabs>
          <w:tab w:val="left" w:pos="1111"/>
        </w:tabs>
        <w:spacing w:line="304" w:lineRule="auto"/>
        <w:ind w:right="799" w:firstLine="422"/>
        <w:rPr>
          <w:sz w:val="19"/>
        </w:rPr>
      </w:pPr>
      <w:r>
        <w:rPr>
          <w:sz w:val="21"/>
        </w:rPr>
        <w:t>响应函须由法定代表人(负责人、自然人)或相应的委托代理人签字（或个人CA证书签章）并加盖供应商公章（CA证书签章）。</w:t>
      </w:r>
    </w:p>
    <w:p w14:paraId="60ED3125">
      <w:pPr>
        <w:spacing w:line="304" w:lineRule="auto"/>
        <w:ind w:firstLine="381"/>
        <w:rPr>
          <w:sz w:val="19"/>
        </w:rPr>
      </w:pPr>
    </w:p>
    <w:p w14:paraId="23DF3172">
      <w:pPr>
        <w:spacing w:line="304" w:lineRule="auto"/>
        <w:ind w:firstLine="381"/>
        <w:rPr>
          <w:sz w:val="19"/>
        </w:rPr>
      </w:pPr>
    </w:p>
    <w:p w14:paraId="5936A9CA">
      <w:pPr>
        <w:spacing w:line="304" w:lineRule="auto"/>
        <w:ind w:firstLine="381"/>
        <w:rPr>
          <w:sz w:val="19"/>
        </w:rPr>
      </w:pPr>
    </w:p>
    <w:p w14:paraId="1C0121AE">
      <w:pPr>
        <w:spacing w:before="212"/>
        <w:ind w:right="176" w:firstLine="602"/>
        <w:jc w:val="center"/>
        <w:rPr>
          <w:b/>
          <w:sz w:val="30"/>
          <w:lang w:val="zh-CN" w:bidi="zh-CN"/>
        </w:rPr>
      </w:pPr>
      <w:r>
        <w:rPr>
          <w:b/>
          <w:sz w:val="30"/>
          <w:lang w:val="zh-CN" w:bidi="zh-CN"/>
        </w:rPr>
        <w:t>（二）</w:t>
      </w:r>
      <w:r>
        <w:rPr>
          <w:rFonts w:hint="eastAsia"/>
          <w:b/>
          <w:sz w:val="30"/>
          <w:lang w:val="zh-CN" w:bidi="zh-CN"/>
        </w:rPr>
        <w:t>响应函附录</w:t>
      </w:r>
    </w:p>
    <w:p w14:paraId="2793269D">
      <w:pPr>
        <w:spacing w:before="212"/>
        <w:ind w:right="176" w:firstLine="600"/>
        <w:jc w:val="center"/>
        <w:rPr>
          <w:b/>
          <w:sz w:val="30"/>
          <w:lang w:val="zh-CN" w:bidi="zh-CN"/>
        </w:rPr>
      </w:pPr>
    </w:p>
    <w:tbl>
      <w:tblPr>
        <w:tblStyle w:val="28"/>
        <w:tblW w:w="93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5"/>
        <w:gridCol w:w="2888"/>
        <w:gridCol w:w="1434"/>
        <w:gridCol w:w="3421"/>
        <w:gridCol w:w="724"/>
      </w:tblGrid>
      <w:tr w14:paraId="21AAC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835" w:type="dxa"/>
            <w:vAlign w:val="center"/>
          </w:tcPr>
          <w:p w14:paraId="7AA4B949">
            <w:pPr>
              <w:pStyle w:val="31"/>
              <w:spacing w:before="164" w:line="186" w:lineRule="auto"/>
              <w:ind w:left="213"/>
              <w:rPr>
                <w:rFonts w:ascii="宋体" w:hAnsi="宋体" w:eastAsia="宋体" w:cs="宋体"/>
                <w:sz w:val="21"/>
                <w:szCs w:val="21"/>
              </w:rPr>
            </w:pPr>
            <w:r>
              <w:rPr>
                <w:rFonts w:hint="eastAsia" w:ascii="宋体" w:hAnsi="宋体" w:eastAsia="宋体" w:cs="宋体"/>
                <w:sz w:val="21"/>
                <w:szCs w:val="21"/>
              </w:rPr>
              <w:t>序号</w:t>
            </w:r>
          </w:p>
        </w:tc>
        <w:tc>
          <w:tcPr>
            <w:tcW w:w="2888" w:type="dxa"/>
            <w:vAlign w:val="center"/>
          </w:tcPr>
          <w:p w14:paraId="6078152E">
            <w:pPr>
              <w:pStyle w:val="31"/>
              <w:spacing w:before="163" w:line="187" w:lineRule="auto"/>
              <w:ind w:left="1032"/>
              <w:rPr>
                <w:rFonts w:ascii="宋体" w:hAnsi="宋体" w:eastAsia="宋体" w:cs="宋体"/>
                <w:sz w:val="21"/>
                <w:szCs w:val="21"/>
              </w:rPr>
            </w:pPr>
            <w:r>
              <w:rPr>
                <w:rFonts w:hint="eastAsia" w:ascii="宋体" w:hAnsi="宋体" w:eastAsia="宋体" w:cs="宋体"/>
                <w:sz w:val="21"/>
                <w:szCs w:val="21"/>
              </w:rPr>
              <w:t>条款名称</w:t>
            </w:r>
          </w:p>
        </w:tc>
        <w:tc>
          <w:tcPr>
            <w:tcW w:w="1434" w:type="dxa"/>
            <w:vAlign w:val="center"/>
          </w:tcPr>
          <w:p w14:paraId="6026A51A">
            <w:pPr>
              <w:pStyle w:val="31"/>
              <w:spacing w:before="164" w:line="186" w:lineRule="auto"/>
              <w:ind w:left="197"/>
              <w:rPr>
                <w:rFonts w:ascii="宋体" w:hAnsi="宋体" w:eastAsia="宋体" w:cs="宋体"/>
                <w:sz w:val="21"/>
                <w:szCs w:val="21"/>
              </w:rPr>
            </w:pPr>
            <w:r>
              <w:rPr>
                <w:rFonts w:hint="eastAsia" w:ascii="宋体" w:hAnsi="宋体" w:eastAsia="宋体" w:cs="宋体"/>
                <w:sz w:val="21"/>
                <w:szCs w:val="21"/>
              </w:rPr>
              <w:t>合同条目号</w:t>
            </w:r>
          </w:p>
        </w:tc>
        <w:tc>
          <w:tcPr>
            <w:tcW w:w="3421" w:type="dxa"/>
            <w:vAlign w:val="center"/>
          </w:tcPr>
          <w:p w14:paraId="5296FC32">
            <w:pPr>
              <w:pStyle w:val="31"/>
              <w:spacing w:before="164" w:line="186" w:lineRule="auto"/>
              <w:ind w:left="1302"/>
              <w:rPr>
                <w:rFonts w:ascii="宋体" w:hAnsi="宋体" w:eastAsia="宋体" w:cs="宋体"/>
                <w:sz w:val="21"/>
                <w:szCs w:val="21"/>
              </w:rPr>
            </w:pPr>
            <w:r>
              <w:rPr>
                <w:rFonts w:hint="eastAsia" w:ascii="宋体" w:hAnsi="宋体" w:eastAsia="宋体" w:cs="宋体"/>
                <w:sz w:val="21"/>
                <w:szCs w:val="21"/>
              </w:rPr>
              <w:t>约定内容</w:t>
            </w:r>
          </w:p>
        </w:tc>
        <w:tc>
          <w:tcPr>
            <w:tcW w:w="724" w:type="dxa"/>
            <w:vAlign w:val="center"/>
          </w:tcPr>
          <w:p w14:paraId="7964AB15">
            <w:pPr>
              <w:pStyle w:val="31"/>
              <w:spacing w:before="163" w:line="188" w:lineRule="auto"/>
              <w:ind w:left="163"/>
              <w:rPr>
                <w:rFonts w:ascii="宋体" w:hAnsi="宋体" w:eastAsia="宋体" w:cs="宋体"/>
                <w:sz w:val="21"/>
                <w:szCs w:val="21"/>
              </w:rPr>
            </w:pPr>
            <w:r>
              <w:rPr>
                <w:rFonts w:hint="eastAsia" w:ascii="宋体" w:hAnsi="宋体" w:eastAsia="宋体" w:cs="宋体"/>
                <w:sz w:val="21"/>
                <w:szCs w:val="21"/>
              </w:rPr>
              <w:t>备注</w:t>
            </w:r>
          </w:p>
        </w:tc>
      </w:tr>
      <w:tr w14:paraId="5C74C4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35" w:type="dxa"/>
            <w:vAlign w:val="center"/>
          </w:tcPr>
          <w:p w14:paraId="68707FA0">
            <w:pPr>
              <w:pStyle w:val="31"/>
              <w:spacing w:before="207" w:line="161" w:lineRule="auto"/>
              <w:ind w:left="388"/>
              <w:rPr>
                <w:rFonts w:ascii="宋体" w:hAnsi="宋体" w:eastAsia="宋体" w:cs="宋体"/>
                <w:sz w:val="21"/>
                <w:szCs w:val="21"/>
              </w:rPr>
            </w:pPr>
            <w:r>
              <w:rPr>
                <w:rFonts w:hint="eastAsia" w:ascii="宋体" w:hAnsi="宋体" w:eastAsia="宋体" w:cs="宋体"/>
                <w:sz w:val="21"/>
                <w:szCs w:val="21"/>
              </w:rPr>
              <w:t>1</w:t>
            </w:r>
          </w:p>
        </w:tc>
        <w:tc>
          <w:tcPr>
            <w:tcW w:w="2888" w:type="dxa"/>
            <w:vAlign w:val="center"/>
          </w:tcPr>
          <w:p w14:paraId="2C5D1517">
            <w:pPr>
              <w:pStyle w:val="31"/>
              <w:spacing w:before="174" w:line="186" w:lineRule="auto"/>
              <w:ind w:left="925"/>
              <w:rPr>
                <w:rFonts w:ascii="宋体" w:hAnsi="宋体" w:eastAsia="宋体" w:cs="宋体"/>
                <w:sz w:val="21"/>
                <w:szCs w:val="21"/>
              </w:rPr>
            </w:pPr>
            <w:r>
              <w:rPr>
                <w:rFonts w:hint="eastAsia" w:ascii="宋体" w:hAnsi="宋体" w:eastAsia="宋体" w:cs="宋体"/>
                <w:sz w:val="21"/>
                <w:szCs w:val="21"/>
              </w:rPr>
              <w:t>缺陷责任期</w:t>
            </w:r>
          </w:p>
        </w:tc>
        <w:tc>
          <w:tcPr>
            <w:tcW w:w="1434" w:type="dxa"/>
            <w:vAlign w:val="center"/>
          </w:tcPr>
          <w:p w14:paraId="09AD50C9">
            <w:pPr>
              <w:pStyle w:val="31"/>
              <w:spacing w:before="207" w:line="161" w:lineRule="auto"/>
              <w:jc w:val="center"/>
              <w:rPr>
                <w:rFonts w:ascii="宋体" w:hAnsi="宋体" w:eastAsia="宋体" w:cs="宋体"/>
                <w:sz w:val="21"/>
                <w:szCs w:val="21"/>
              </w:rPr>
            </w:pPr>
            <w:r>
              <w:fldChar w:fldCharType="begin"/>
            </w:r>
            <w:r>
              <w:instrText xml:space="preserve"> HYPERLINK "1.1.4.5" </w:instrText>
            </w:r>
            <w:r>
              <w:fldChar w:fldCharType="separate"/>
            </w:r>
            <w:r>
              <w:rPr>
                <w:rFonts w:hint="eastAsia" w:ascii="宋体" w:hAnsi="宋体" w:eastAsia="宋体" w:cs="宋体"/>
                <w:sz w:val="21"/>
                <w:szCs w:val="21"/>
              </w:rPr>
              <w:t>1.1.4.5</w:t>
            </w:r>
            <w:r>
              <w:rPr>
                <w:rFonts w:hint="eastAsia" w:ascii="宋体" w:hAnsi="宋体" w:eastAsia="宋体" w:cs="宋体"/>
                <w:sz w:val="21"/>
                <w:szCs w:val="21"/>
              </w:rPr>
              <w:fldChar w:fldCharType="end"/>
            </w:r>
          </w:p>
        </w:tc>
        <w:tc>
          <w:tcPr>
            <w:tcW w:w="3421" w:type="dxa"/>
            <w:vAlign w:val="center"/>
          </w:tcPr>
          <w:p w14:paraId="3E2E805D">
            <w:pPr>
              <w:pStyle w:val="31"/>
              <w:spacing w:before="174" w:line="186" w:lineRule="auto"/>
              <w:ind w:left="151"/>
              <w:rPr>
                <w:rFonts w:ascii="宋体" w:hAnsi="宋体" w:eastAsia="宋体" w:cs="宋体"/>
                <w:sz w:val="21"/>
                <w:szCs w:val="21"/>
                <w:lang w:eastAsia="zh-CN"/>
              </w:rPr>
            </w:pPr>
            <w:r>
              <w:rPr>
                <w:rFonts w:hint="eastAsia" w:ascii="宋体" w:hAnsi="宋体" w:eastAsia="宋体" w:cs="宋体"/>
                <w:sz w:val="21"/>
                <w:szCs w:val="21"/>
                <w:lang w:eastAsia="zh-CN"/>
              </w:rPr>
              <w:t>自实际交工期起计算12个月</w:t>
            </w:r>
          </w:p>
        </w:tc>
        <w:tc>
          <w:tcPr>
            <w:tcW w:w="724" w:type="dxa"/>
            <w:vAlign w:val="center"/>
          </w:tcPr>
          <w:p w14:paraId="6C66FD16">
            <w:pPr>
              <w:ind w:firstLine="422"/>
              <w:rPr>
                <w:sz w:val="21"/>
                <w:szCs w:val="21"/>
              </w:rPr>
            </w:pPr>
          </w:p>
        </w:tc>
      </w:tr>
      <w:tr w14:paraId="3AC78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5" w:type="dxa"/>
            <w:vAlign w:val="center"/>
          </w:tcPr>
          <w:p w14:paraId="4E06CB5C">
            <w:pPr>
              <w:pStyle w:val="31"/>
              <w:spacing w:before="202" w:line="161" w:lineRule="auto"/>
              <w:ind w:left="375"/>
              <w:rPr>
                <w:rFonts w:ascii="宋体" w:hAnsi="宋体" w:eastAsia="宋体" w:cs="宋体"/>
                <w:sz w:val="21"/>
                <w:szCs w:val="21"/>
              </w:rPr>
            </w:pPr>
            <w:r>
              <w:rPr>
                <w:rFonts w:hint="eastAsia" w:ascii="宋体" w:hAnsi="宋体" w:eastAsia="宋体" w:cs="宋体"/>
                <w:sz w:val="21"/>
                <w:szCs w:val="21"/>
              </w:rPr>
              <w:t>2</w:t>
            </w:r>
          </w:p>
        </w:tc>
        <w:tc>
          <w:tcPr>
            <w:tcW w:w="2888" w:type="dxa"/>
            <w:vAlign w:val="center"/>
          </w:tcPr>
          <w:p w14:paraId="14D051D3">
            <w:pPr>
              <w:pStyle w:val="31"/>
              <w:spacing w:before="169" w:line="186" w:lineRule="auto"/>
              <w:ind w:left="712"/>
              <w:rPr>
                <w:rFonts w:ascii="宋体" w:hAnsi="宋体" w:eastAsia="宋体" w:cs="宋体"/>
                <w:sz w:val="21"/>
                <w:szCs w:val="21"/>
              </w:rPr>
            </w:pPr>
            <w:r>
              <w:rPr>
                <w:rFonts w:hint="eastAsia" w:ascii="宋体" w:hAnsi="宋体" w:eastAsia="宋体" w:cs="宋体"/>
                <w:sz w:val="21"/>
                <w:szCs w:val="21"/>
              </w:rPr>
              <w:t>逾期交工违约金</w:t>
            </w:r>
          </w:p>
        </w:tc>
        <w:tc>
          <w:tcPr>
            <w:tcW w:w="1434" w:type="dxa"/>
            <w:vAlign w:val="center"/>
          </w:tcPr>
          <w:p w14:paraId="4E460372">
            <w:pPr>
              <w:pStyle w:val="31"/>
              <w:spacing w:before="202" w:line="161" w:lineRule="auto"/>
              <w:ind w:left="529"/>
              <w:rPr>
                <w:rFonts w:ascii="宋体" w:hAnsi="宋体" w:eastAsia="宋体" w:cs="宋体"/>
                <w:sz w:val="21"/>
                <w:szCs w:val="21"/>
              </w:rPr>
            </w:pPr>
            <w:r>
              <w:rPr>
                <w:rFonts w:hint="eastAsia" w:ascii="宋体" w:hAnsi="宋体" w:eastAsia="宋体" w:cs="宋体"/>
                <w:sz w:val="21"/>
                <w:szCs w:val="21"/>
              </w:rPr>
              <w:t>11.5</w:t>
            </w:r>
          </w:p>
        </w:tc>
        <w:tc>
          <w:tcPr>
            <w:tcW w:w="3421" w:type="dxa"/>
            <w:vAlign w:val="center"/>
          </w:tcPr>
          <w:p w14:paraId="49F2461D">
            <w:pPr>
              <w:pStyle w:val="31"/>
              <w:spacing w:before="169" w:line="187" w:lineRule="auto"/>
              <w:ind w:left="120"/>
              <w:rPr>
                <w:rFonts w:ascii="宋体" w:hAnsi="宋体" w:eastAsia="宋体" w:cs="宋体"/>
                <w:sz w:val="21"/>
                <w:szCs w:val="21"/>
              </w:rPr>
            </w:pPr>
            <w:r>
              <w:rPr>
                <w:rFonts w:hint="eastAsia" w:ascii="宋体" w:hAnsi="宋体" w:eastAsia="宋体" w:cs="宋体"/>
                <w:sz w:val="21"/>
                <w:szCs w:val="21"/>
              </w:rPr>
              <w:t>5000元/天</w:t>
            </w:r>
          </w:p>
        </w:tc>
        <w:tc>
          <w:tcPr>
            <w:tcW w:w="724" w:type="dxa"/>
            <w:vAlign w:val="center"/>
          </w:tcPr>
          <w:p w14:paraId="253A862A">
            <w:pPr>
              <w:ind w:firstLine="422"/>
              <w:rPr>
                <w:sz w:val="21"/>
                <w:szCs w:val="21"/>
              </w:rPr>
            </w:pPr>
          </w:p>
        </w:tc>
      </w:tr>
      <w:tr w14:paraId="3E5F4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35" w:type="dxa"/>
            <w:vAlign w:val="center"/>
          </w:tcPr>
          <w:p w14:paraId="6B4B97E2">
            <w:pPr>
              <w:pStyle w:val="31"/>
              <w:spacing w:before="193" w:line="160" w:lineRule="auto"/>
              <w:ind w:left="377"/>
              <w:rPr>
                <w:rFonts w:ascii="宋体" w:hAnsi="宋体" w:eastAsia="宋体" w:cs="宋体"/>
                <w:sz w:val="21"/>
                <w:szCs w:val="21"/>
              </w:rPr>
            </w:pPr>
            <w:r>
              <w:rPr>
                <w:rFonts w:hint="eastAsia" w:ascii="宋体" w:hAnsi="宋体" w:eastAsia="宋体" w:cs="宋体"/>
                <w:sz w:val="21"/>
                <w:szCs w:val="21"/>
              </w:rPr>
              <w:t>3</w:t>
            </w:r>
          </w:p>
        </w:tc>
        <w:tc>
          <w:tcPr>
            <w:tcW w:w="2888" w:type="dxa"/>
            <w:vAlign w:val="center"/>
          </w:tcPr>
          <w:p w14:paraId="2873D67F">
            <w:pPr>
              <w:pStyle w:val="31"/>
              <w:spacing w:before="159" w:line="186" w:lineRule="auto"/>
              <w:ind w:left="500"/>
              <w:rPr>
                <w:rFonts w:ascii="宋体" w:hAnsi="宋体" w:eastAsia="宋体" w:cs="宋体"/>
                <w:sz w:val="21"/>
                <w:szCs w:val="21"/>
              </w:rPr>
            </w:pPr>
            <w:r>
              <w:rPr>
                <w:rFonts w:hint="eastAsia" w:ascii="宋体" w:hAnsi="宋体" w:eastAsia="宋体" w:cs="宋体"/>
                <w:sz w:val="21"/>
                <w:szCs w:val="21"/>
              </w:rPr>
              <w:t>逾期交工违约金限额</w:t>
            </w:r>
          </w:p>
        </w:tc>
        <w:tc>
          <w:tcPr>
            <w:tcW w:w="1434" w:type="dxa"/>
            <w:vAlign w:val="center"/>
          </w:tcPr>
          <w:p w14:paraId="44A740C5">
            <w:pPr>
              <w:pStyle w:val="31"/>
              <w:spacing w:before="192" w:line="161" w:lineRule="auto"/>
              <w:ind w:left="529"/>
              <w:rPr>
                <w:rFonts w:ascii="宋体" w:hAnsi="宋体" w:eastAsia="宋体" w:cs="宋体"/>
                <w:sz w:val="21"/>
                <w:szCs w:val="21"/>
              </w:rPr>
            </w:pPr>
            <w:r>
              <w:rPr>
                <w:rFonts w:hint="eastAsia" w:ascii="宋体" w:hAnsi="宋体" w:eastAsia="宋体" w:cs="宋体"/>
                <w:sz w:val="21"/>
                <w:szCs w:val="21"/>
              </w:rPr>
              <w:t>11.5</w:t>
            </w:r>
          </w:p>
        </w:tc>
        <w:tc>
          <w:tcPr>
            <w:tcW w:w="3421" w:type="dxa"/>
            <w:vAlign w:val="center"/>
          </w:tcPr>
          <w:p w14:paraId="2A3757DF">
            <w:pPr>
              <w:pStyle w:val="31"/>
              <w:spacing w:before="160" w:line="186" w:lineRule="auto"/>
              <w:ind w:left="132"/>
              <w:rPr>
                <w:rFonts w:ascii="宋体" w:hAnsi="宋体" w:eastAsia="宋体" w:cs="宋体"/>
                <w:sz w:val="21"/>
                <w:szCs w:val="21"/>
              </w:rPr>
            </w:pPr>
            <w:r>
              <w:rPr>
                <w:rFonts w:hint="eastAsia" w:ascii="宋体" w:hAnsi="宋体" w:eastAsia="宋体" w:cs="宋体"/>
                <w:sz w:val="21"/>
                <w:szCs w:val="21"/>
              </w:rPr>
              <w:t>10%签约合同价</w:t>
            </w:r>
          </w:p>
        </w:tc>
        <w:tc>
          <w:tcPr>
            <w:tcW w:w="724" w:type="dxa"/>
            <w:vAlign w:val="center"/>
          </w:tcPr>
          <w:p w14:paraId="57EE58CF">
            <w:pPr>
              <w:ind w:firstLine="422"/>
              <w:rPr>
                <w:sz w:val="21"/>
                <w:szCs w:val="21"/>
              </w:rPr>
            </w:pPr>
          </w:p>
        </w:tc>
      </w:tr>
      <w:tr w14:paraId="691CB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35" w:type="dxa"/>
            <w:vAlign w:val="center"/>
          </w:tcPr>
          <w:p w14:paraId="4CD52EA9">
            <w:pPr>
              <w:pStyle w:val="31"/>
              <w:spacing w:before="207" w:line="161" w:lineRule="auto"/>
              <w:ind w:left="371"/>
              <w:rPr>
                <w:rFonts w:ascii="宋体" w:hAnsi="宋体" w:eastAsia="宋体" w:cs="宋体"/>
                <w:sz w:val="21"/>
                <w:szCs w:val="21"/>
              </w:rPr>
            </w:pPr>
            <w:r>
              <w:rPr>
                <w:rFonts w:hint="eastAsia" w:ascii="宋体" w:hAnsi="宋体" w:eastAsia="宋体" w:cs="宋体"/>
                <w:sz w:val="21"/>
                <w:szCs w:val="21"/>
              </w:rPr>
              <w:t>4</w:t>
            </w:r>
          </w:p>
        </w:tc>
        <w:tc>
          <w:tcPr>
            <w:tcW w:w="2888" w:type="dxa"/>
            <w:vAlign w:val="center"/>
          </w:tcPr>
          <w:p w14:paraId="1A979559">
            <w:pPr>
              <w:pStyle w:val="31"/>
              <w:spacing w:before="175" w:line="186" w:lineRule="auto"/>
              <w:ind w:left="714"/>
              <w:rPr>
                <w:rFonts w:ascii="宋体" w:hAnsi="宋体" w:eastAsia="宋体" w:cs="宋体"/>
                <w:sz w:val="21"/>
                <w:szCs w:val="21"/>
              </w:rPr>
            </w:pPr>
            <w:r>
              <w:rPr>
                <w:rFonts w:hint="eastAsia" w:ascii="宋体" w:hAnsi="宋体" w:eastAsia="宋体" w:cs="宋体"/>
                <w:sz w:val="21"/>
                <w:szCs w:val="21"/>
              </w:rPr>
              <w:t>提前交工的奖金</w:t>
            </w:r>
          </w:p>
        </w:tc>
        <w:tc>
          <w:tcPr>
            <w:tcW w:w="1434" w:type="dxa"/>
            <w:vAlign w:val="center"/>
          </w:tcPr>
          <w:p w14:paraId="2D22E544">
            <w:pPr>
              <w:pStyle w:val="31"/>
              <w:spacing w:before="207" w:line="161" w:lineRule="auto"/>
              <w:ind w:left="529"/>
              <w:rPr>
                <w:rFonts w:ascii="宋体" w:hAnsi="宋体" w:eastAsia="宋体" w:cs="宋体"/>
                <w:sz w:val="21"/>
                <w:szCs w:val="21"/>
              </w:rPr>
            </w:pPr>
            <w:r>
              <w:rPr>
                <w:rFonts w:hint="eastAsia" w:ascii="宋体" w:hAnsi="宋体" w:eastAsia="宋体" w:cs="宋体"/>
                <w:sz w:val="21"/>
                <w:szCs w:val="21"/>
              </w:rPr>
              <w:t>11.6</w:t>
            </w:r>
          </w:p>
        </w:tc>
        <w:tc>
          <w:tcPr>
            <w:tcW w:w="3421" w:type="dxa"/>
            <w:vAlign w:val="center"/>
          </w:tcPr>
          <w:p w14:paraId="170C66A8">
            <w:pPr>
              <w:pStyle w:val="31"/>
              <w:spacing w:before="174" w:line="188" w:lineRule="auto"/>
              <w:ind w:left="115"/>
              <w:rPr>
                <w:rFonts w:ascii="宋体" w:hAnsi="宋体" w:eastAsia="宋体" w:cs="宋体"/>
                <w:sz w:val="21"/>
                <w:szCs w:val="21"/>
              </w:rPr>
            </w:pPr>
            <w:r>
              <w:rPr>
                <w:rFonts w:hint="eastAsia" w:ascii="宋体" w:hAnsi="宋体" w:eastAsia="宋体" w:cs="宋体"/>
                <w:sz w:val="21"/>
                <w:szCs w:val="21"/>
              </w:rPr>
              <w:t>/</w:t>
            </w:r>
          </w:p>
        </w:tc>
        <w:tc>
          <w:tcPr>
            <w:tcW w:w="724" w:type="dxa"/>
            <w:vAlign w:val="center"/>
          </w:tcPr>
          <w:p w14:paraId="4D71E5E3">
            <w:pPr>
              <w:ind w:firstLine="422"/>
              <w:rPr>
                <w:sz w:val="21"/>
                <w:szCs w:val="21"/>
              </w:rPr>
            </w:pPr>
          </w:p>
        </w:tc>
      </w:tr>
      <w:tr w14:paraId="38C46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5" w:type="dxa"/>
            <w:vAlign w:val="center"/>
          </w:tcPr>
          <w:p w14:paraId="1E25879E">
            <w:pPr>
              <w:pStyle w:val="31"/>
              <w:spacing w:before="204" w:line="159" w:lineRule="auto"/>
              <w:ind w:left="377"/>
              <w:rPr>
                <w:rFonts w:ascii="宋体" w:hAnsi="宋体" w:eastAsia="宋体" w:cs="宋体"/>
                <w:sz w:val="21"/>
                <w:szCs w:val="21"/>
              </w:rPr>
            </w:pPr>
            <w:r>
              <w:rPr>
                <w:rFonts w:hint="eastAsia" w:ascii="宋体" w:hAnsi="宋体" w:eastAsia="宋体" w:cs="宋体"/>
                <w:sz w:val="21"/>
                <w:szCs w:val="21"/>
              </w:rPr>
              <w:t>5</w:t>
            </w:r>
          </w:p>
        </w:tc>
        <w:tc>
          <w:tcPr>
            <w:tcW w:w="2888" w:type="dxa"/>
            <w:vAlign w:val="center"/>
          </w:tcPr>
          <w:p w14:paraId="70705209">
            <w:pPr>
              <w:pStyle w:val="31"/>
              <w:spacing w:before="169" w:line="186" w:lineRule="auto"/>
              <w:ind w:left="503"/>
              <w:rPr>
                <w:rFonts w:ascii="宋体" w:hAnsi="宋体" w:eastAsia="宋体" w:cs="宋体"/>
                <w:sz w:val="21"/>
                <w:szCs w:val="21"/>
              </w:rPr>
            </w:pPr>
            <w:r>
              <w:rPr>
                <w:rFonts w:hint="eastAsia" w:ascii="宋体" w:hAnsi="宋体" w:eastAsia="宋体" w:cs="宋体"/>
                <w:sz w:val="21"/>
                <w:szCs w:val="21"/>
              </w:rPr>
              <w:t>提前交工的奖金限额</w:t>
            </w:r>
          </w:p>
        </w:tc>
        <w:tc>
          <w:tcPr>
            <w:tcW w:w="1434" w:type="dxa"/>
            <w:vAlign w:val="center"/>
          </w:tcPr>
          <w:p w14:paraId="6CFCD9E2">
            <w:pPr>
              <w:pStyle w:val="31"/>
              <w:spacing w:before="202" w:line="161" w:lineRule="auto"/>
              <w:ind w:left="529"/>
              <w:rPr>
                <w:rFonts w:ascii="宋体" w:hAnsi="宋体" w:eastAsia="宋体" w:cs="宋体"/>
                <w:sz w:val="21"/>
                <w:szCs w:val="21"/>
              </w:rPr>
            </w:pPr>
            <w:r>
              <w:rPr>
                <w:rFonts w:hint="eastAsia" w:ascii="宋体" w:hAnsi="宋体" w:eastAsia="宋体" w:cs="宋体"/>
                <w:sz w:val="21"/>
                <w:szCs w:val="21"/>
              </w:rPr>
              <w:t>11.6</w:t>
            </w:r>
          </w:p>
        </w:tc>
        <w:tc>
          <w:tcPr>
            <w:tcW w:w="3421" w:type="dxa"/>
            <w:vAlign w:val="center"/>
          </w:tcPr>
          <w:p w14:paraId="03D56D3A">
            <w:pPr>
              <w:pStyle w:val="31"/>
              <w:spacing w:before="169" w:line="188" w:lineRule="auto"/>
              <w:ind w:left="115"/>
              <w:rPr>
                <w:rFonts w:ascii="宋体" w:hAnsi="宋体" w:eastAsia="宋体" w:cs="宋体"/>
                <w:sz w:val="21"/>
                <w:szCs w:val="21"/>
              </w:rPr>
            </w:pPr>
            <w:r>
              <w:rPr>
                <w:rFonts w:hint="eastAsia" w:ascii="宋体" w:hAnsi="宋体" w:eastAsia="宋体" w:cs="宋体"/>
                <w:sz w:val="21"/>
                <w:szCs w:val="21"/>
              </w:rPr>
              <w:t>/</w:t>
            </w:r>
          </w:p>
        </w:tc>
        <w:tc>
          <w:tcPr>
            <w:tcW w:w="724" w:type="dxa"/>
            <w:vAlign w:val="center"/>
          </w:tcPr>
          <w:p w14:paraId="252CC91A">
            <w:pPr>
              <w:ind w:firstLine="422"/>
              <w:rPr>
                <w:sz w:val="21"/>
                <w:szCs w:val="21"/>
              </w:rPr>
            </w:pPr>
          </w:p>
        </w:tc>
      </w:tr>
      <w:tr w14:paraId="3EAE6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35" w:type="dxa"/>
            <w:vAlign w:val="center"/>
          </w:tcPr>
          <w:p w14:paraId="6652F6A1">
            <w:pPr>
              <w:pStyle w:val="31"/>
              <w:spacing w:before="193" w:line="160" w:lineRule="auto"/>
              <w:ind w:left="374"/>
              <w:rPr>
                <w:rFonts w:ascii="宋体" w:hAnsi="宋体" w:eastAsia="宋体" w:cs="宋体"/>
                <w:sz w:val="21"/>
                <w:szCs w:val="21"/>
              </w:rPr>
            </w:pPr>
            <w:r>
              <w:rPr>
                <w:rFonts w:hint="eastAsia" w:ascii="宋体" w:hAnsi="宋体" w:eastAsia="宋体" w:cs="宋体"/>
                <w:sz w:val="21"/>
                <w:szCs w:val="21"/>
              </w:rPr>
              <w:t>6</w:t>
            </w:r>
          </w:p>
        </w:tc>
        <w:tc>
          <w:tcPr>
            <w:tcW w:w="2888" w:type="dxa"/>
            <w:vAlign w:val="center"/>
          </w:tcPr>
          <w:p w14:paraId="582D2181">
            <w:pPr>
              <w:pStyle w:val="31"/>
              <w:spacing w:before="159" w:line="186" w:lineRule="auto"/>
              <w:ind w:left="503"/>
              <w:rPr>
                <w:rFonts w:ascii="宋体" w:hAnsi="宋体" w:eastAsia="宋体" w:cs="宋体"/>
                <w:sz w:val="21"/>
                <w:szCs w:val="21"/>
              </w:rPr>
            </w:pPr>
            <w:r>
              <w:rPr>
                <w:rFonts w:hint="eastAsia" w:ascii="宋体" w:hAnsi="宋体" w:eastAsia="宋体" w:cs="宋体"/>
                <w:sz w:val="21"/>
                <w:szCs w:val="21"/>
              </w:rPr>
              <w:t>价格调整的差额计算</w:t>
            </w:r>
          </w:p>
        </w:tc>
        <w:tc>
          <w:tcPr>
            <w:tcW w:w="1434" w:type="dxa"/>
            <w:vAlign w:val="center"/>
          </w:tcPr>
          <w:p w14:paraId="7BCAD96E">
            <w:pPr>
              <w:pStyle w:val="31"/>
              <w:spacing w:before="193" w:line="161" w:lineRule="auto"/>
              <w:ind w:left="423"/>
              <w:rPr>
                <w:rFonts w:ascii="宋体" w:hAnsi="宋体" w:eastAsia="宋体" w:cs="宋体"/>
                <w:sz w:val="21"/>
                <w:szCs w:val="21"/>
              </w:rPr>
            </w:pPr>
            <w:r>
              <w:rPr>
                <w:rFonts w:hint="eastAsia" w:ascii="宋体" w:hAnsi="宋体" w:eastAsia="宋体" w:cs="宋体"/>
                <w:sz w:val="21"/>
                <w:szCs w:val="21"/>
              </w:rPr>
              <w:t>16.1.1</w:t>
            </w:r>
          </w:p>
        </w:tc>
        <w:tc>
          <w:tcPr>
            <w:tcW w:w="3421" w:type="dxa"/>
            <w:vAlign w:val="center"/>
          </w:tcPr>
          <w:p w14:paraId="79B6F860">
            <w:pPr>
              <w:pStyle w:val="31"/>
              <w:spacing w:before="160" w:line="186" w:lineRule="auto"/>
              <w:ind w:left="120"/>
              <w:rPr>
                <w:rFonts w:ascii="宋体" w:hAnsi="宋体" w:eastAsia="宋体" w:cs="宋体"/>
                <w:sz w:val="21"/>
                <w:szCs w:val="21"/>
              </w:rPr>
            </w:pPr>
            <w:r>
              <w:rPr>
                <w:rFonts w:hint="eastAsia" w:ascii="宋体" w:hAnsi="宋体" w:eastAsia="宋体" w:cs="宋体"/>
                <w:sz w:val="21"/>
                <w:szCs w:val="21"/>
              </w:rPr>
              <w:t>不调价</w:t>
            </w:r>
          </w:p>
        </w:tc>
        <w:tc>
          <w:tcPr>
            <w:tcW w:w="724" w:type="dxa"/>
            <w:vAlign w:val="center"/>
          </w:tcPr>
          <w:p w14:paraId="52632E92">
            <w:pPr>
              <w:ind w:firstLine="422"/>
              <w:rPr>
                <w:sz w:val="21"/>
                <w:szCs w:val="21"/>
              </w:rPr>
            </w:pPr>
          </w:p>
        </w:tc>
      </w:tr>
      <w:tr w14:paraId="0385B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835" w:type="dxa"/>
            <w:vAlign w:val="center"/>
          </w:tcPr>
          <w:p w14:paraId="428701CA">
            <w:pPr>
              <w:pStyle w:val="31"/>
              <w:spacing w:before="204" w:line="161" w:lineRule="auto"/>
              <w:ind w:left="377"/>
              <w:rPr>
                <w:rFonts w:ascii="宋体" w:hAnsi="宋体" w:eastAsia="宋体" w:cs="宋体"/>
                <w:sz w:val="21"/>
                <w:szCs w:val="21"/>
              </w:rPr>
            </w:pPr>
            <w:r>
              <w:rPr>
                <w:rFonts w:hint="eastAsia" w:ascii="宋体" w:hAnsi="宋体" w:eastAsia="宋体" w:cs="宋体"/>
                <w:sz w:val="21"/>
                <w:szCs w:val="21"/>
              </w:rPr>
              <w:t>7</w:t>
            </w:r>
          </w:p>
        </w:tc>
        <w:tc>
          <w:tcPr>
            <w:tcW w:w="2888" w:type="dxa"/>
            <w:vAlign w:val="center"/>
          </w:tcPr>
          <w:p w14:paraId="500ACBFF">
            <w:pPr>
              <w:pStyle w:val="31"/>
              <w:spacing w:before="169" w:line="186" w:lineRule="auto"/>
              <w:ind w:left="714"/>
              <w:rPr>
                <w:rFonts w:ascii="宋体" w:hAnsi="宋体" w:eastAsia="宋体" w:cs="宋体"/>
                <w:sz w:val="21"/>
                <w:szCs w:val="21"/>
              </w:rPr>
            </w:pPr>
            <w:r>
              <w:rPr>
                <w:rFonts w:hint="eastAsia" w:ascii="宋体" w:hAnsi="宋体" w:eastAsia="宋体" w:cs="宋体"/>
                <w:sz w:val="21"/>
                <w:szCs w:val="21"/>
              </w:rPr>
              <w:t>开工预付款金额</w:t>
            </w:r>
          </w:p>
        </w:tc>
        <w:tc>
          <w:tcPr>
            <w:tcW w:w="1434" w:type="dxa"/>
            <w:vAlign w:val="center"/>
          </w:tcPr>
          <w:p w14:paraId="0A03463F">
            <w:pPr>
              <w:pStyle w:val="31"/>
              <w:spacing w:before="203" w:line="161" w:lineRule="auto"/>
              <w:ind w:left="423"/>
              <w:rPr>
                <w:rFonts w:ascii="宋体" w:hAnsi="宋体" w:eastAsia="宋体" w:cs="宋体"/>
                <w:sz w:val="21"/>
                <w:szCs w:val="21"/>
              </w:rPr>
            </w:pPr>
            <w:r>
              <w:rPr>
                <w:rFonts w:hint="eastAsia" w:ascii="宋体" w:hAnsi="宋体" w:eastAsia="宋体" w:cs="宋体"/>
                <w:sz w:val="21"/>
                <w:szCs w:val="21"/>
              </w:rPr>
              <w:t>17.2.1</w:t>
            </w:r>
          </w:p>
        </w:tc>
        <w:tc>
          <w:tcPr>
            <w:tcW w:w="3421" w:type="dxa"/>
            <w:vAlign w:val="center"/>
          </w:tcPr>
          <w:p w14:paraId="68915852">
            <w:pPr>
              <w:pStyle w:val="31"/>
              <w:spacing w:before="170" w:line="186" w:lineRule="auto"/>
              <w:ind w:left="132" w:firstLine="422"/>
              <w:rPr>
                <w:rFonts w:ascii="宋体" w:hAnsi="宋体" w:eastAsia="宋体" w:cs="宋体"/>
                <w:sz w:val="21"/>
                <w:szCs w:val="21"/>
              </w:rPr>
            </w:pPr>
            <w:r>
              <w:rPr>
                <w:rFonts w:hint="eastAsia" w:ascii="宋体" w:hAnsi="宋体" w:eastAsia="宋体" w:cs="宋体"/>
                <w:b/>
                <w:bCs/>
                <w:sz w:val="21"/>
                <w:szCs w:val="21"/>
                <w:u w:val="single"/>
              </w:rPr>
              <w:t>10</w:t>
            </w:r>
            <w:r>
              <w:rPr>
                <w:rFonts w:hint="eastAsia" w:ascii="宋体" w:hAnsi="宋体" w:eastAsia="宋体" w:cs="宋体"/>
                <w:b/>
                <w:bCs/>
                <w:sz w:val="21"/>
                <w:szCs w:val="21"/>
              </w:rPr>
              <w:t>%签约合同价</w:t>
            </w:r>
          </w:p>
        </w:tc>
        <w:tc>
          <w:tcPr>
            <w:tcW w:w="724" w:type="dxa"/>
            <w:vAlign w:val="center"/>
          </w:tcPr>
          <w:p w14:paraId="56AC08D7">
            <w:pPr>
              <w:ind w:firstLine="422"/>
              <w:rPr>
                <w:sz w:val="21"/>
                <w:szCs w:val="21"/>
              </w:rPr>
            </w:pPr>
          </w:p>
        </w:tc>
      </w:tr>
      <w:tr w14:paraId="48652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835" w:type="dxa"/>
            <w:vAlign w:val="center"/>
          </w:tcPr>
          <w:p w14:paraId="16676064">
            <w:pPr>
              <w:pStyle w:val="31"/>
              <w:spacing w:before="309" w:line="160" w:lineRule="auto"/>
              <w:ind w:left="373"/>
              <w:rPr>
                <w:rFonts w:ascii="宋体" w:hAnsi="宋体" w:eastAsia="宋体" w:cs="宋体"/>
                <w:sz w:val="21"/>
                <w:szCs w:val="21"/>
              </w:rPr>
            </w:pPr>
            <w:r>
              <w:rPr>
                <w:rFonts w:hint="eastAsia" w:ascii="宋体" w:hAnsi="宋体" w:eastAsia="宋体" w:cs="宋体"/>
                <w:sz w:val="21"/>
                <w:szCs w:val="21"/>
              </w:rPr>
              <w:t>8</w:t>
            </w:r>
          </w:p>
        </w:tc>
        <w:tc>
          <w:tcPr>
            <w:tcW w:w="2888" w:type="dxa"/>
            <w:vAlign w:val="center"/>
          </w:tcPr>
          <w:p w14:paraId="2FC38804">
            <w:pPr>
              <w:pStyle w:val="31"/>
              <w:spacing w:before="275" w:line="186" w:lineRule="auto"/>
              <w:ind w:left="401"/>
              <w:rPr>
                <w:rFonts w:ascii="宋体" w:hAnsi="宋体" w:eastAsia="宋体" w:cs="宋体"/>
                <w:sz w:val="21"/>
                <w:szCs w:val="21"/>
                <w:lang w:eastAsia="zh-CN"/>
              </w:rPr>
            </w:pPr>
            <w:r>
              <w:rPr>
                <w:rFonts w:hint="eastAsia" w:ascii="宋体" w:hAnsi="宋体" w:eastAsia="宋体" w:cs="宋体"/>
                <w:sz w:val="21"/>
                <w:szCs w:val="21"/>
                <w:lang w:eastAsia="zh-CN"/>
              </w:rPr>
              <w:t>材料、设备预付款比例</w:t>
            </w:r>
          </w:p>
        </w:tc>
        <w:tc>
          <w:tcPr>
            <w:tcW w:w="1434" w:type="dxa"/>
            <w:vAlign w:val="center"/>
          </w:tcPr>
          <w:p w14:paraId="5DF1D352">
            <w:pPr>
              <w:pStyle w:val="31"/>
              <w:spacing w:before="308" w:line="161" w:lineRule="auto"/>
              <w:ind w:left="423"/>
              <w:rPr>
                <w:rFonts w:ascii="宋体" w:hAnsi="宋体" w:eastAsia="宋体" w:cs="宋体"/>
                <w:sz w:val="21"/>
                <w:szCs w:val="21"/>
              </w:rPr>
            </w:pPr>
            <w:r>
              <w:rPr>
                <w:rFonts w:hint="eastAsia" w:ascii="宋体" w:hAnsi="宋体" w:eastAsia="宋体" w:cs="宋体"/>
                <w:sz w:val="21"/>
                <w:szCs w:val="21"/>
              </w:rPr>
              <w:t>17.2.1</w:t>
            </w:r>
          </w:p>
        </w:tc>
        <w:tc>
          <w:tcPr>
            <w:tcW w:w="3421" w:type="dxa"/>
            <w:vAlign w:val="center"/>
          </w:tcPr>
          <w:p w14:paraId="61851604">
            <w:pPr>
              <w:pStyle w:val="31"/>
              <w:spacing w:before="141"/>
              <w:ind w:left="115" w:right="153" w:firstLine="422"/>
              <w:rPr>
                <w:rFonts w:ascii="宋体" w:hAnsi="宋体" w:eastAsia="宋体" w:cs="宋体"/>
                <w:sz w:val="21"/>
                <w:szCs w:val="21"/>
                <w:lang w:eastAsia="zh-CN"/>
              </w:rPr>
            </w:pPr>
            <w:r>
              <w:rPr>
                <w:rFonts w:hint="eastAsia" w:ascii="宋体" w:hAnsi="宋体" w:eastAsia="宋体" w:cs="宋体"/>
                <w:sz w:val="21"/>
                <w:szCs w:val="21"/>
                <w:u w:val="single"/>
                <w:lang w:eastAsia="zh-CN"/>
              </w:rPr>
              <w:t>钢材、水泥、沥青、砂、石</w:t>
            </w:r>
            <w:r>
              <w:rPr>
                <w:rFonts w:hint="eastAsia" w:ascii="宋体" w:hAnsi="宋体" w:eastAsia="宋体" w:cs="宋体"/>
                <w:sz w:val="21"/>
                <w:szCs w:val="21"/>
                <w:lang w:eastAsia="zh-CN"/>
              </w:rPr>
              <w:t>等主要材料、设备单据所列费用70%</w:t>
            </w:r>
          </w:p>
        </w:tc>
        <w:tc>
          <w:tcPr>
            <w:tcW w:w="724" w:type="dxa"/>
            <w:vAlign w:val="center"/>
          </w:tcPr>
          <w:p w14:paraId="03BBB8EC">
            <w:pPr>
              <w:ind w:firstLine="422"/>
              <w:rPr>
                <w:sz w:val="21"/>
                <w:szCs w:val="21"/>
              </w:rPr>
            </w:pPr>
          </w:p>
        </w:tc>
      </w:tr>
      <w:tr w14:paraId="74F746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835" w:type="dxa"/>
            <w:vAlign w:val="center"/>
          </w:tcPr>
          <w:p w14:paraId="3EF48C61">
            <w:pPr>
              <w:pStyle w:val="31"/>
              <w:spacing w:before="276" w:line="160" w:lineRule="auto"/>
              <w:ind w:left="373"/>
              <w:rPr>
                <w:rFonts w:ascii="宋体" w:hAnsi="宋体" w:eastAsia="宋体" w:cs="宋体"/>
                <w:sz w:val="21"/>
                <w:szCs w:val="21"/>
              </w:rPr>
            </w:pPr>
            <w:r>
              <w:rPr>
                <w:rFonts w:hint="eastAsia" w:ascii="宋体" w:hAnsi="宋体" w:eastAsia="宋体" w:cs="宋体"/>
                <w:sz w:val="21"/>
                <w:szCs w:val="21"/>
              </w:rPr>
              <w:t>9</w:t>
            </w:r>
          </w:p>
        </w:tc>
        <w:tc>
          <w:tcPr>
            <w:tcW w:w="2888" w:type="dxa"/>
            <w:vAlign w:val="center"/>
          </w:tcPr>
          <w:p w14:paraId="660D52DD">
            <w:pPr>
              <w:pStyle w:val="31"/>
              <w:spacing w:before="242" w:line="186" w:lineRule="auto"/>
              <w:ind w:left="400"/>
              <w:rPr>
                <w:rFonts w:ascii="宋体" w:hAnsi="宋体" w:eastAsia="宋体" w:cs="宋体"/>
                <w:sz w:val="21"/>
                <w:szCs w:val="21"/>
                <w:lang w:eastAsia="zh-CN"/>
              </w:rPr>
            </w:pPr>
            <w:r>
              <w:rPr>
                <w:rFonts w:hint="eastAsia" w:ascii="宋体" w:hAnsi="宋体" w:eastAsia="宋体" w:cs="宋体"/>
                <w:sz w:val="21"/>
                <w:szCs w:val="21"/>
                <w:lang w:eastAsia="zh-CN"/>
              </w:rPr>
              <w:t>进度付款证书最低限额</w:t>
            </w:r>
          </w:p>
        </w:tc>
        <w:tc>
          <w:tcPr>
            <w:tcW w:w="1434" w:type="dxa"/>
            <w:vAlign w:val="center"/>
          </w:tcPr>
          <w:p w14:paraId="2FE68B6B">
            <w:pPr>
              <w:pStyle w:val="31"/>
              <w:spacing w:before="242" w:line="182" w:lineRule="auto"/>
              <w:ind w:left="159"/>
              <w:rPr>
                <w:rFonts w:ascii="宋体" w:hAnsi="宋体" w:eastAsia="宋体" w:cs="宋体"/>
                <w:sz w:val="21"/>
                <w:szCs w:val="21"/>
              </w:rPr>
            </w:pPr>
            <w:r>
              <w:rPr>
                <w:rFonts w:hint="eastAsia" w:ascii="宋体" w:hAnsi="宋体" w:eastAsia="宋体" w:cs="宋体"/>
                <w:sz w:val="21"/>
                <w:szCs w:val="21"/>
              </w:rPr>
              <w:t>17.3.3（1）</w:t>
            </w:r>
          </w:p>
        </w:tc>
        <w:tc>
          <w:tcPr>
            <w:tcW w:w="3421" w:type="dxa"/>
            <w:vAlign w:val="center"/>
          </w:tcPr>
          <w:p w14:paraId="5ACC0A86">
            <w:pPr>
              <w:pStyle w:val="31"/>
              <w:spacing w:before="242"/>
              <w:ind w:left="120" w:firstLine="422"/>
              <w:rPr>
                <w:rFonts w:ascii="宋体" w:hAnsi="宋体" w:eastAsia="宋体" w:cs="宋体"/>
                <w:sz w:val="21"/>
                <w:szCs w:val="21"/>
                <w:lang w:eastAsia="zh-CN"/>
              </w:rPr>
            </w:pPr>
            <w:r>
              <w:rPr>
                <w:rFonts w:hint="eastAsia" w:ascii="宋体" w:hAnsi="宋体" w:eastAsia="宋体" w:cs="宋体"/>
                <w:b/>
                <w:bCs/>
                <w:sz w:val="21"/>
                <w:szCs w:val="21"/>
                <w:lang w:eastAsia="zh-CN"/>
              </w:rPr>
              <w:t>按每月完成的任务工程量逐月结算或按进度结算</w:t>
            </w:r>
          </w:p>
        </w:tc>
        <w:tc>
          <w:tcPr>
            <w:tcW w:w="724" w:type="dxa"/>
            <w:vAlign w:val="center"/>
          </w:tcPr>
          <w:p w14:paraId="399DA330">
            <w:pPr>
              <w:ind w:firstLine="422"/>
              <w:rPr>
                <w:sz w:val="21"/>
                <w:szCs w:val="21"/>
              </w:rPr>
            </w:pPr>
          </w:p>
        </w:tc>
      </w:tr>
      <w:tr w14:paraId="4423B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2" w:hRule="atLeast"/>
        </w:trPr>
        <w:tc>
          <w:tcPr>
            <w:tcW w:w="835" w:type="dxa"/>
            <w:vAlign w:val="center"/>
          </w:tcPr>
          <w:p w14:paraId="64E0F26D">
            <w:pPr>
              <w:spacing w:line="326" w:lineRule="auto"/>
              <w:ind w:firstLine="422"/>
              <w:rPr>
                <w:sz w:val="21"/>
                <w:szCs w:val="21"/>
              </w:rPr>
            </w:pPr>
          </w:p>
          <w:p w14:paraId="04776AA5">
            <w:pPr>
              <w:pStyle w:val="31"/>
              <w:spacing w:before="90" w:line="161" w:lineRule="auto"/>
              <w:ind w:left="335"/>
              <w:rPr>
                <w:rFonts w:ascii="宋体" w:hAnsi="宋体" w:eastAsia="宋体" w:cs="宋体"/>
                <w:sz w:val="21"/>
                <w:szCs w:val="21"/>
              </w:rPr>
            </w:pPr>
            <w:r>
              <w:rPr>
                <w:rFonts w:hint="eastAsia" w:ascii="宋体" w:hAnsi="宋体" w:eastAsia="宋体" w:cs="宋体"/>
                <w:sz w:val="21"/>
                <w:szCs w:val="21"/>
              </w:rPr>
              <w:t>10</w:t>
            </w:r>
          </w:p>
        </w:tc>
        <w:tc>
          <w:tcPr>
            <w:tcW w:w="2888" w:type="dxa"/>
            <w:vAlign w:val="center"/>
          </w:tcPr>
          <w:p w14:paraId="58C10B32">
            <w:pPr>
              <w:spacing w:line="294" w:lineRule="auto"/>
              <w:ind w:firstLine="422"/>
              <w:rPr>
                <w:sz w:val="21"/>
                <w:szCs w:val="21"/>
              </w:rPr>
            </w:pPr>
          </w:p>
          <w:p w14:paraId="481EE357">
            <w:pPr>
              <w:pStyle w:val="31"/>
              <w:spacing w:before="90" w:line="186" w:lineRule="auto"/>
              <w:ind w:left="400"/>
              <w:rPr>
                <w:rFonts w:ascii="宋体" w:hAnsi="宋体" w:eastAsia="宋体" w:cs="宋体"/>
                <w:sz w:val="21"/>
                <w:szCs w:val="21"/>
                <w:lang w:eastAsia="zh-CN"/>
              </w:rPr>
            </w:pPr>
            <w:r>
              <w:rPr>
                <w:rFonts w:hint="eastAsia" w:ascii="宋体" w:hAnsi="宋体" w:eastAsia="宋体" w:cs="宋体"/>
                <w:sz w:val="21"/>
                <w:szCs w:val="21"/>
                <w:lang w:eastAsia="zh-CN"/>
              </w:rPr>
              <w:t>逾期付款违约金的利率</w:t>
            </w:r>
          </w:p>
        </w:tc>
        <w:tc>
          <w:tcPr>
            <w:tcW w:w="1434" w:type="dxa"/>
            <w:vAlign w:val="center"/>
          </w:tcPr>
          <w:p w14:paraId="2F07EEDB">
            <w:pPr>
              <w:spacing w:line="294" w:lineRule="auto"/>
              <w:ind w:firstLine="422"/>
              <w:rPr>
                <w:sz w:val="21"/>
                <w:szCs w:val="21"/>
              </w:rPr>
            </w:pPr>
          </w:p>
          <w:p w14:paraId="0A632A69">
            <w:pPr>
              <w:pStyle w:val="31"/>
              <w:spacing w:before="90" w:line="182" w:lineRule="auto"/>
              <w:ind w:left="159"/>
              <w:rPr>
                <w:rFonts w:ascii="宋体" w:hAnsi="宋体" w:eastAsia="宋体" w:cs="宋体"/>
                <w:sz w:val="21"/>
                <w:szCs w:val="21"/>
              </w:rPr>
            </w:pPr>
            <w:r>
              <w:rPr>
                <w:rFonts w:hint="eastAsia" w:ascii="宋体" w:hAnsi="宋体" w:eastAsia="宋体" w:cs="宋体"/>
                <w:sz w:val="21"/>
                <w:szCs w:val="21"/>
              </w:rPr>
              <w:t>17.3.3（2）</w:t>
            </w:r>
          </w:p>
        </w:tc>
        <w:tc>
          <w:tcPr>
            <w:tcW w:w="3421" w:type="dxa"/>
            <w:vAlign w:val="center"/>
          </w:tcPr>
          <w:p w14:paraId="187412E9">
            <w:pPr>
              <w:spacing w:line="295" w:lineRule="auto"/>
              <w:ind w:firstLine="422"/>
              <w:rPr>
                <w:sz w:val="21"/>
                <w:szCs w:val="21"/>
              </w:rPr>
            </w:pPr>
          </w:p>
          <w:p w14:paraId="2D2FEEAB">
            <w:pPr>
              <w:pStyle w:val="31"/>
              <w:spacing w:before="90" w:line="187" w:lineRule="auto"/>
              <w:ind w:left="118"/>
              <w:rPr>
                <w:rFonts w:ascii="宋体" w:hAnsi="宋体" w:eastAsia="宋体" w:cs="宋体"/>
                <w:sz w:val="21"/>
                <w:szCs w:val="21"/>
              </w:rPr>
            </w:pPr>
            <w:r>
              <w:rPr>
                <w:rFonts w:hint="eastAsia" w:ascii="宋体" w:hAnsi="宋体" w:eastAsia="宋体" w:cs="宋体"/>
                <w:sz w:val="21"/>
                <w:szCs w:val="21"/>
              </w:rPr>
              <w:t>0.15‰/天</w:t>
            </w:r>
          </w:p>
        </w:tc>
        <w:tc>
          <w:tcPr>
            <w:tcW w:w="724" w:type="dxa"/>
            <w:vAlign w:val="center"/>
          </w:tcPr>
          <w:p w14:paraId="13EA235B">
            <w:pPr>
              <w:ind w:firstLine="422"/>
              <w:rPr>
                <w:sz w:val="21"/>
                <w:szCs w:val="21"/>
              </w:rPr>
            </w:pPr>
          </w:p>
        </w:tc>
      </w:tr>
      <w:tr w14:paraId="4EA42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9" w:hRule="atLeast"/>
        </w:trPr>
        <w:tc>
          <w:tcPr>
            <w:tcW w:w="835" w:type="dxa"/>
            <w:vAlign w:val="center"/>
          </w:tcPr>
          <w:p w14:paraId="17C0501C">
            <w:pPr>
              <w:spacing w:line="269" w:lineRule="auto"/>
              <w:ind w:firstLine="422"/>
              <w:rPr>
                <w:sz w:val="21"/>
                <w:szCs w:val="21"/>
              </w:rPr>
            </w:pPr>
          </w:p>
          <w:p w14:paraId="0ED72D50">
            <w:pPr>
              <w:spacing w:line="270" w:lineRule="auto"/>
              <w:ind w:firstLine="422"/>
              <w:rPr>
                <w:sz w:val="21"/>
                <w:szCs w:val="21"/>
              </w:rPr>
            </w:pPr>
          </w:p>
          <w:p w14:paraId="54407724">
            <w:pPr>
              <w:pStyle w:val="31"/>
              <w:spacing w:before="90" w:line="161" w:lineRule="auto"/>
              <w:ind w:left="335"/>
              <w:rPr>
                <w:rFonts w:ascii="宋体" w:hAnsi="宋体" w:eastAsia="宋体" w:cs="宋体"/>
                <w:sz w:val="21"/>
                <w:szCs w:val="21"/>
              </w:rPr>
            </w:pPr>
            <w:r>
              <w:rPr>
                <w:rFonts w:hint="eastAsia" w:ascii="宋体" w:hAnsi="宋体" w:eastAsia="宋体" w:cs="宋体"/>
                <w:sz w:val="21"/>
                <w:szCs w:val="21"/>
              </w:rPr>
              <w:t>11</w:t>
            </w:r>
          </w:p>
        </w:tc>
        <w:tc>
          <w:tcPr>
            <w:tcW w:w="2888" w:type="dxa"/>
            <w:vAlign w:val="center"/>
          </w:tcPr>
          <w:p w14:paraId="610E5FCB">
            <w:pPr>
              <w:spacing w:line="261" w:lineRule="auto"/>
              <w:ind w:firstLine="422"/>
              <w:rPr>
                <w:sz w:val="21"/>
                <w:szCs w:val="21"/>
              </w:rPr>
            </w:pPr>
          </w:p>
          <w:p w14:paraId="12B9B846">
            <w:pPr>
              <w:spacing w:line="261" w:lineRule="auto"/>
              <w:ind w:firstLine="422"/>
              <w:rPr>
                <w:sz w:val="21"/>
                <w:szCs w:val="21"/>
              </w:rPr>
            </w:pPr>
          </w:p>
          <w:p w14:paraId="6A008841">
            <w:pPr>
              <w:pStyle w:val="31"/>
              <w:spacing w:before="90" w:line="186" w:lineRule="auto"/>
              <w:ind w:left="714"/>
              <w:rPr>
                <w:rFonts w:ascii="宋体" w:hAnsi="宋体" w:eastAsia="宋体" w:cs="宋体"/>
                <w:sz w:val="21"/>
                <w:szCs w:val="21"/>
              </w:rPr>
            </w:pPr>
            <w:r>
              <w:rPr>
                <w:rFonts w:hint="eastAsia" w:ascii="宋体" w:hAnsi="宋体" w:eastAsia="宋体" w:cs="宋体"/>
                <w:sz w:val="21"/>
                <w:szCs w:val="21"/>
              </w:rPr>
              <w:t>质量保证金限额</w:t>
            </w:r>
          </w:p>
        </w:tc>
        <w:tc>
          <w:tcPr>
            <w:tcW w:w="1434" w:type="dxa"/>
            <w:vAlign w:val="center"/>
          </w:tcPr>
          <w:p w14:paraId="2FD4267F">
            <w:pPr>
              <w:pStyle w:val="31"/>
              <w:spacing w:before="90" w:line="161" w:lineRule="auto"/>
              <w:jc w:val="center"/>
              <w:rPr>
                <w:rFonts w:ascii="宋体" w:hAnsi="宋体" w:eastAsia="宋体" w:cs="宋体"/>
                <w:sz w:val="21"/>
                <w:szCs w:val="21"/>
              </w:rPr>
            </w:pPr>
            <w:r>
              <w:rPr>
                <w:rFonts w:hint="eastAsia" w:ascii="宋体" w:hAnsi="宋体" w:eastAsia="宋体" w:cs="宋体"/>
                <w:sz w:val="21"/>
                <w:szCs w:val="21"/>
              </w:rPr>
              <w:t>17.4.1</w:t>
            </w:r>
          </w:p>
        </w:tc>
        <w:tc>
          <w:tcPr>
            <w:tcW w:w="3421" w:type="dxa"/>
            <w:vAlign w:val="center"/>
          </w:tcPr>
          <w:p w14:paraId="2EEA111F">
            <w:pPr>
              <w:pStyle w:val="31"/>
              <w:tabs>
                <w:tab w:val="left" w:pos="375"/>
              </w:tabs>
              <w:spacing w:before="290" w:line="269" w:lineRule="auto"/>
              <w:ind w:left="221" w:right="181" w:firstLine="422"/>
              <w:jc w:val="both"/>
              <w:rPr>
                <w:rFonts w:ascii="宋体" w:hAnsi="宋体" w:eastAsia="宋体" w:cs="宋体"/>
                <w:sz w:val="21"/>
                <w:szCs w:val="21"/>
                <w:lang w:eastAsia="zh-CN"/>
              </w:rPr>
            </w:pPr>
            <w:r>
              <w:rPr>
                <w:rFonts w:hint="eastAsia" w:ascii="宋体" w:hAnsi="宋体" w:eastAsia="宋体" w:cs="宋体"/>
                <w:b/>
                <w:bCs/>
                <w:sz w:val="21"/>
                <w:szCs w:val="21"/>
                <w:u w:val="single"/>
                <w:lang w:eastAsia="zh-CN"/>
              </w:rPr>
              <w:t>2%签约合同价格。每次计量支付前按支付比例2%，转入建设单位指定银行账号</w:t>
            </w:r>
          </w:p>
        </w:tc>
        <w:tc>
          <w:tcPr>
            <w:tcW w:w="724" w:type="dxa"/>
            <w:vAlign w:val="center"/>
          </w:tcPr>
          <w:p w14:paraId="1167E612">
            <w:pPr>
              <w:ind w:firstLine="422"/>
              <w:rPr>
                <w:sz w:val="21"/>
                <w:szCs w:val="21"/>
              </w:rPr>
            </w:pPr>
          </w:p>
        </w:tc>
      </w:tr>
      <w:tr w14:paraId="0DC99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835" w:type="dxa"/>
            <w:vAlign w:val="center"/>
          </w:tcPr>
          <w:p w14:paraId="5EB3323D">
            <w:pPr>
              <w:pStyle w:val="31"/>
              <w:spacing w:before="316" w:line="161" w:lineRule="auto"/>
              <w:ind w:left="335"/>
              <w:rPr>
                <w:rFonts w:ascii="宋体" w:hAnsi="宋体" w:eastAsia="宋体" w:cs="宋体"/>
                <w:sz w:val="21"/>
                <w:szCs w:val="21"/>
              </w:rPr>
            </w:pPr>
            <w:r>
              <w:rPr>
                <w:rFonts w:hint="eastAsia" w:ascii="宋体" w:hAnsi="宋体" w:eastAsia="宋体" w:cs="宋体"/>
                <w:sz w:val="21"/>
                <w:szCs w:val="21"/>
              </w:rPr>
              <w:t>12</w:t>
            </w:r>
          </w:p>
        </w:tc>
        <w:tc>
          <w:tcPr>
            <w:tcW w:w="2888" w:type="dxa"/>
            <w:vAlign w:val="center"/>
          </w:tcPr>
          <w:p w14:paraId="7D642DDF">
            <w:pPr>
              <w:pStyle w:val="31"/>
              <w:spacing w:before="283" w:line="186" w:lineRule="auto"/>
              <w:ind w:left="1137"/>
              <w:rPr>
                <w:rFonts w:ascii="宋体" w:hAnsi="宋体" w:eastAsia="宋体" w:cs="宋体"/>
                <w:sz w:val="21"/>
                <w:szCs w:val="21"/>
              </w:rPr>
            </w:pPr>
            <w:r>
              <w:rPr>
                <w:rFonts w:hint="eastAsia" w:ascii="宋体" w:hAnsi="宋体" w:eastAsia="宋体" w:cs="宋体"/>
                <w:sz w:val="21"/>
                <w:szCs w:val="21"/>
              </w:rPr>
              <w:t>保修期</w:t>
            </w:r>
          </w:p>
        </w:tc>
        <w:tc>
          <w:tcPr>
            <w:tcW w:w="1434" w:type="dxa"/>
            <w:vAlign w:val="center"/>
          </w:tcPr>
          <w:p w14:paraId="12CB4469">
            <w:pPr>
              <w:pStyle w:val="31"/>
              <w:spacing w:before="316" w:line="161" w:lineRule="auto"/>
              <w:ind w:left="529"/>
              <w:rPr>
                <w:rFonts w:ascii="宋体" w:hAnsi="宋体" w:eastAsia="宋体" w:cs="宋体"/>
                <w:sz w:val="21"/>
                <w:szCs w:val="21"/>
              </w:rPr>
            </w:pPr>
            <w:r>
              <w:rPr>
                <w:rFonts w:hint="eastAsia" w:ascii="宋体" w:hAnsi="宋体" w:eastAsia="宋体" w:cs="宋体"/>
                <w:sz w:val="21"/>
                <w:szCs w:val="21"/>
              </w:rPr>
              <w:t>19.7</w:t>
            </w:r>
          </w:p>
        </w:tc>
        <w:tc>
          <w:tcPr>
            <w:tcW w:w="3421" w:type="dxa"/>
            <w:vAlign w:val="center"/>
          </w:tcPr>
          <w:p w14:paraId="1AC1E49A">
            <w:pPr>
              <w:pStyle w:val="31"/>
              <w:spacing w:before="283" w:line="186" w:lineRule="auto"/>
              <w:ind w:left="151"/>
              <w:rPr>
                <w:rFonts w:ascii="宋体" w:hAnsi="宋体" w:eastAsia="宋体" w:cs="宋体"/>
                <w:sz w:val="21"/>
                <w:szCs w:val="21"/>
                <w:lang w:eastAsia="zh-CN"/>
              </w:rPr>
            </w:pPr>
            <w:r>
              <w:rPr>
                <w:rFonts w:hint="eastAsia" w:ascii="宋体" w:hAnsi="宋体" w:eastAsia="宋体" w:cs="宋体"/>
                <w:sz w:val="21"/>
                <w:szCs w:val="21"/>
                <w:lang w:eastAsia="zh-CN"/>
              </w:rPr>
              <w:t>自实际交工日期起计算5年</w:t>
            </w:r>
          </w:p>
        </w:tc>
        <w:tc>
          <w:tcPr>
            <w:tcW w:w="724" w:type="dxa"/>
            <w:vAlign w:val="center"/>
          </w:tcPr>
          <w:p w14:paraId="195BF4B4">
            <w:pPr>
              <w:ind w:firstLine="422"/>
              <w:rPr>
                <w:sz w:val="21"/>
                <w:szCs w:val="21"/>
              </w:rPr>
            </w:pPr>
          </w:p>
        </w:tc>
      </w:tr>
    </w:tbl>
    <w:p w14:paraId="2969EFB2">
      <w:pPr>
        <w:pStyle w:val="12"/>
        <w:spacing w:before="69"/>
        <w:ind w:firstLine="630" w:firstLineChars="300"/>
      </w:pPr>
    </w:p>
    <w:p w14:paraId="21224A65">
      <w:pPr>
        <w:pStyle w:val="12"/>
        <w:spacing w:before="69"/>
        <w:ind w:firstLine="720" w:firstLineChars="300"/>
        <w:rPr>
          <w:sz w:val="24"/>
          <w:szCs w:val="22"/>
        </w:rPr>
      </w:pPr>
      <w:r>
        <w:rPr>
          <w:rFonts w:hint="eastAsia"/>
          <w:sz w:val="24"/>
          <w:szCs w:val="22"/>
        </w:rPr>
        <w:t>磋商供应商（CA证书签章）：</w:t>
      </w:r>
    </w:p>
    <w:p w14:paraId="32BC5502">
      <w:pPr>
        <w:ind w:firstLine="720" w:firstLineChars="300"/>
      </w:pPr>
      <w:r>
        <w:rPr>
          <w:rFonts w:hint="eastAsia"/>
          <w:sz w:val="24"/>
          <w:szCs w:val="24"/>
        </w:rPr>
        <w:t>法定代表人(负责人、自然人)或相应的委托代理人签字（或个人CA证书章）：</w:t>
      </w:r>
    </w:p>
    <w:p w14:paraId="7903E23B">
      <w:pPr>
        <w:spacing w:line="304" w:lineRule="auto"/>
        <w:ind w:firstLine="720" w:firstLineChars="300"/>
        <w:rPr>
          <w:sz w:val="19"/>
        </w:rPr>
        <w:sectPr>
          <w:pgSz w:w="11910" w:h="16840"/>
          <w:pgMar w:top="920" w:right="640" w:bottom="280" w:left="960" w:header="0" w:footer="954" w:gutter="0"/>
          <w:cols w:space="720" w:num="1"/>
        </w:sectPr>
      </w:pPr>
      <w:r>
        <w:rPr>
          <w:rFonts w:hint="eastAsia"/>
          <w:sz w:val="24"/>
        </w:rPr>
        <w:t>响应日期：</w:t>
      </w:r>
    </w:p>
    <w:p w14:paraId="3EE3F9A5">
      <w:pPr>
        <w:ind w:firstLine="422"/>
      </w:pPr>
    </w:p>
    <w:p w14:paraId="16C4904E">
      <w:pPr>
        <w:pStyle w:val="5"/>
        <w:tabs>
          <w:tab w:val="left" w:pos="760"/>
        </w:tabs>
        <w:spacing w:before="45"/>
        <w:ind w:firstLine="643"/>
        <w:rPr>
          <w:sz w:val="32"/>
          <w:szCs w:val="32"/>
        </w:rPr>
      </w:pPr>
      <w:r>
        <w:rPr>
          <w:rFonts w:hint="eastAsia"/>
          <w:sz w:val="32"/>
          <w:szCs w:val="32"/>
        </w:rPr>
        <w:t>2.已标价工程量清单（必须提供）</w:t>
      </w:r>
    </w:p>
    <w:p w14:paraId="0F5665F8">
      <w:pPr>
        <w:pStyle w:val="12"/>
        <w:ind w:firstLine="560"/>
        <w:rPr>
          <w:b/>
          <w:sz w:val="28"/>
        </w:rPr>
      </w:pPr>
    </w:p>
    <w:p w14:paraId="50CED2DB">
      <w:pPr>
        <w:pStyle w:val="12"/>
        <w:ind w:firstLine="560"/>
        <w:rPr>
          <w:b/>
          <w:sz w:val="28"/>
        </w:rPr>
      </w:pPr>
    </w:p>
    <w:p w14:paraId="0A702D7A">
      <w:pPr>
        <w:pStyle w:val="10"/>
        <w:spacing w:before="46"/>
        <w:ind w:left="0" w:right="319" w:firstLine="602"/>
        <w:jc w:val="center"/>
        <w:rPr>
          <w:sz w:val="30"/>
          <w:szCs w:val="30"/>
        </w:rPr>
      </w:pPr>
      <w:r>
        <w:rPr>
          <w:sz w:val="30"/>
          <w:szCs w:val="30"/>
        </w:rPr>
        <w:t>已标价工程量清单（</w:t>
      </w:r>
      <w:r>
        <w:rPr>
          <w:rFonts w:hint="eastAsia"/>
          <w:sz w:val="30"/>
          <w:szCs w:val="30"/>
        </w:rPr>
        <w:t>必须提供</w:t>
      </w:r>
      <w:r>
        <w:rPr>
          <w:sz w:val="30"/>
          <w:szCs w:val="30"/>
        </w:rPr>
        <w:t>）</w:t>
      </w:r>
    </w:p>
    <w:p w14:paraId="31980846">
      <w:pPr>
        <w:pStyle w:val="12"/>
        <w:ind w:firstLine="400"/>
        <w:rPr>
          <w:b/>
          <w:sz w:val="20"/>
        </w:rPr>
      </w:pPr>
    </w:p>
    <w:p w14:paraId="1C4DB097">
      <w:pPr>
        <w:pStyle w:val="12"/>
        <w:ind w:firstLine="400"/>
        <w:rPr>
          <w:b/>
          <w:sz w:val="20"/>
        </w:rPr>
      </w:pPr>
    </w:p>
    <w:p w14:paraId="767BF0AD">
      <w:pPr>
        <w:pStyle w:val="12"/>
        <w:spacing w:before="12"/>
        <w:ind w:firstLine="320"/>
        <w:rPr>
          <w:b/>
          <w:sz w:val="16"/>
        </w:rPr>
      </w:pPr>
    </w:p>
    <w:p w14:paraId="21B57F6C">
      <w:pPr>
        <w:tabs>
          <w:tab w:val="left" w:pos="433"/>
        </w:tabs>
        <w:spacing w:line="348" w:lineRule="auto"/>
        <w:ind w:firstLine="480" w:firstLineChars="200"/>
        <w:rPr>
          <w:sz w:val="24"/>
        </w:rPr>
      </w:pPr>
      <w:r>
        <w:rPr>
          <w:rFonts w:hint="eastAsia"/>
          <w:sz w:val="24"/>
        </w:rPr>
        <w:tab/>
      </w:r>
      <w:r>
        <w:rPr>
          <w:rFonts w:hint="eastAsia"/>
          <w:b/>
          <w:bCs/>
          <w:sz w:val="24"/>
        </w:rPr>
        <w:t>供应商</w:t>
      </w:r>
      <w:r>
        <w:rPr>
          <w:b/>
          <w:bCs/>
          <w:sz w:val="24"/>
        </w:rPr>
        <w:t>应按照</w:t>
      </w:r>
      <w:r>
        <w:rPr>
          <w:rFonts w:hint="eastAsia"/>
          <w:b/>
          <w:bCs/>
          <w:sz w:val="24"/>
        </w:rPr>
        <w:t>本项目招标</w:t>
      </w:r>
      <w:r>
        <w:rPr>
          <w:b/>
          <w:bCs/>
          <w:sz w:val="24"/>
        </w:rPr>
        <w:t>工程量清单的要求逐项填报工程量清单</w:t>
      </w:r>
      <w:r>
        <w:rPr>
          <w:rFonts w:hint="eastAsia"/>
          <w:b/>
          <w:bCs/>
        </w:rPr>
        <w:t>。</w:t>
      </w:r>
    </w:p>
    <w:p w14:paraId="53A49472">
      <w:pPr>
        <w:pStyle w:val="12"/>
        <w:ind w:firstLine="400"/>
        <w:rPr>
          <w:b/>
          <w:sz w:val="20"/>
        </w:rPr>
      </w:pPr>
    </w:p>
    <w:p w14:paraId="0A7A5B37">
      <w:pPr>
        <w:pStyle w:val="12"/>
        <w:ind w:firstLine="400"/>
        <w:rPr>
          <w:b/>
          <w:sz w:val="20"/>
        </w:rPr>
      </w:pPr>
    </w:p>
    <w:p w14:paraId="0DB3AC6D">
      <w:pPr>
        <w:pStyle w:val="12"/>
        <w:ind w:firstLine="400"/>
        <w:rPr>
          <w:b/>
          <w:sz w:val="20"/>
        </w:rPr>
      </w:pPr>
    </w:p>
    <w:p w14:paraId="2E21296E">
      <w:pPr>
        <w:pStyle w:val="12"/>
        <w:ind w:firstLine="400"/>
        <w:rPr>
          <w:b/>
          <w:sz w:val="20"/>
        </w:rPr>
      </w:pPr>
    </w:p>
    <w:p w14:paraId="2506ABCE">
      <w:pPr>
        <w:pStyle w:val="12"/>
        <w:ind w:firstLine="400"/>
        <w:rPr>
          <w:b/>
          <w:sz w:val="20"/>
        </w:rPr>
      </w:pPr>
    </w:p>
    <w:p w14:paraId="1ED43BF9">
      <w:pPr>
        <w:pStyle w:val="12"/>
        <w:ind w:firstLine="400"/>
        <w:rPr>
          <w:b/>
          <w:sz w:val="20"/>
        </w:rPr>
      </w:pPr>
    </w:p>
    <w:p w14:paraId="4A9409C2">
      <w:pPr>
        <w:pStyle w:val="12"/>
        <w:ind w:firstLine="400"/>
        <w:rPr>
          <w:b/>
          <w:sz w:val="20"/>
        </w:rPr>
      </w:pPr>
    </w:p>
    <w:p w14:paraId="00F1B72C">
      <w:pPr>
        <w:pStyle w:val="12"/>
        <w:ind w:firstLine="400"/>
        <w:rPr>
          <w:b/>
          <w:sz w:val="20"/>
        </w:rPr>
      </w:pPr>
    </w:p>
    <w:p w14:paraId="173F0A2B">
      <w:pPr>
        <w:pStyle w:val="12"/>
        <w:spacing w:before="4"/>
        <w:ind w:firstLine="300"/>
        <w:rPr>
          <w:b/>
          <w:sz w:val="15"/>
        </w:rPr>
      </w:pPr>
    </w:p>
    <w:p w14:paraId="702E6944">
      <w:pPr>
        <w:pStyle w:val="12"/>
        <w:ind w:left="1320"/>
      </w:pPr>
      <w:r>
        <w:t>磋商供应商（CA证书签章）：</w:t>
      </w:r>
    </w:p>
    <w:p w14:paraId="73DBB0FB">
      <w:pPr>
        <w:pStyle w:val="12"/>
        <w:spacing w:before="72" w:line="302" w:lineRule="auto"/>
        <w:ind w:left="1320" w:right="1529"/>
      </w:pPr>
      <w:r>
        <w:t>法定代表人(负责人、自然人)或相应的委托代理人签字（或个人CA证书签章）：日期：</w:t>
      </w:r>
    </w:p>
    <w:p w14:paraId="0149B76E">
      <w:pPr>
        <w:pStyle w:val="12"/>
        <w:spacing w:before="10"/>
      </w:pPr>
    </w:p>
    <w:p w14:paraId="549B6366">
      <w:pPr>
        <w:pStyle w:val="10"/>
        <w:spacing w:line="244" w:lineRule="auto"/>
        <w:ind w:left="480" w:right="840" w:firstLine="422"/>
      </w:pPr>
      <w:r>
        <w:t>备注：工程量清单报价表由多页构成，需逐页加盖供应商</w:t>
      </w:r>
      <w:r>
        <w:rPr>
          <w:rFonts w:ascii="Times New Roman" w:eastAsia="Times New Roman"/>
        </w:rPr>
        <w:t>CA</w:t>
      </w:r>
      <w:r>
        <w:t>章（</w:t>
      </w:r>
      <w:r>
        <w:rPr>
          <w:rFonts w:ascii="Times New Roman" w:eastAsia="Times New Roman"/>
        </w:rPr>
        <w:t>CA</w:t>
      </w:r>
      <w:r>
        <w:t>签章）（属自然人的须逐页签字或个人</w:t>
      </w:r>
      <w:r>
        <w:rPr>
          <w:rFonts w:ascii="Times New Roman" w:eastAsia="Times New Roman"/>
        </w:rPr>
        <w:t>CA</w:t>
      </w:r>
      <w:r>
        <w:t>签章）。</w:t>
      </w:r>
    </w:p>
    <w:p w14:paraId="5C612CDF">
      <w:pPr>
        <w:spacing w:line="244" w:lineRule="auto"/>
        <w:ind w:firstLine="422"/>
        <w:sectPr>
          <w:pgSz w:w="11910" w:h="16840"/>
          <w:pgMar w:top="1560" w:right="640" w:bottom="1180" w:left="960" w:header="0" w:footer="954" w:gutter="0"/>
          <w:cols w:space="720" w:num="1"/>
        </w:sectPr>
      </w:pPr>
    </w:p>
    <w:p w14:paraId="44E1E1FD">
      <w:pPr>
        <w:pStyle w:val="5"/>
        <w:tabs>
          <w:tab w:val="left" w:pos="760"/>
        </w:tabs>
        <w:spacing w:before="45"/>
        <w:ind w:firstLine="643"/>
        <w:rPr>
          <w:sz w:val="32"/>
          <w:szCs w:val="32"/>
        </w:rPr>
      </w:pPr>
      <w:r>
        <w:rPr>
          <w:rFonts w:hint="eastAsia"/>
          <w:sz w:val="32"/>
          <w:szCs w:val="32"/>
        </w:rPr>
        <w:t>3.施工组织设计（必须提供）</w:t>
      </w:r>
    </w:p>
    <w:p w14:paraId="5A729E0D">
      <w:pPr>
        <w:spacing w:line="400" w:lineRule="exact"/>
        <w:ind w:firstLine="640"/>
        <w:jc w:val="center"/>
        <w:rPr>
          <w:b/>
          <w:sz w:val="32"/>
          <w:szCs w:val="32"/>
        </w:rPr>
      </w:pPr>
    </w:p>
    <w:p w14:paraId="34EC3563">
      <w:pPr>
        <w:spacing w:line="340" w:lineRule="exact"/>
        <w:ind w:firstLine="560"/>
        <w:rPr>
          <w:b/>
          <w:sz w:val="28"/>
          <w:szCs w:val="28"/>
        </w:rPr>
      </w:pPr>
    </w:p>
    <w:p w14:paraId="05CA20A3">
      <w:pPr>
        <w:spacing w:line="340" w:lineRule="exact"/>
        <w:ind w:firstLine="560"/>
        <w:rPr>
          <w:b/>
          <w:sz w:val="28"/>
          <w:szCs w:val="28"/>
        </w:rPr>
      </w:pPr>
    </w:p>
    <w:p w14:paraId="231B5479">
      <w:pPr>
        <w:spacing w:line="340" w:lineRule="exact"/>
        <w:ind w:firstLine="562"/>
        <w:rPr>
          <w:b/>
          <w:sz w:val="28"/>
          <w:szCs w:val="28"/>
        </w:rPr>
      </w:pPr>
      <w:r>
        <w:rPr>
          <w:rFonts w:hint="eastAsia"/>
          <w:b/>
          <w:sz w:val="28"/>
          <w:szCs w:val="28"/>
        </w:rPr>
        <w:t>（根据工程量清单、评分办法及工程情况自行编制，格式自拟）（必须提供）</w:t>
      </w:r>
    </w:p>
    <w:p w14:paraId="73A39384">
      <w:pPr>
        <w:spacing w:line="400" w:lineRule="exact"/>
        <w:ind w:firstLine="640"/>
        <w:jc w:val="center"/>
        <w:rPr>
          <w:b/>
          <w:sz w:val="32"/>
          <w:szCs w:val="32"/>
        </w:rPr>
      </w:pPr>
    </w:p>
    <w:p w14:paraId="6ACD96DC">
      <w:pPr>
        <w:spacing w:before="206"/>
        <w:ind w:left="864" w:firstLine="640"/>
        <w:rPr>
          <w:b/>
          <w:sz w:val="32"/>
          <w:szCs w:val="32"/>
        </w:rPr>
      </w:pPr>
    </w:p>
    <w:p w14:paraId="2642B93A">
      <w:pPr>
        <w:spacing w:before="206"/>
        <w:ind w:left="864" w:firstLine="640"/>
        <w:rPr>
          <w:b/>
          <w:sz w:val="32"/>
          <w:szCs w:val="32"/>
        </w:rPr>
      </w:pPr>
    </w:p>
    <w:p w14:paraId="3C5ABF0A">
      <w:pPr>
        <w:pStyle w:val="12"/>
        <w:spacing w:before="72" w:line="302" w:lineRule="auto"/>
        <w:ind w:right="1529" w:firstLine="420" w:firstLineChars="200"/>
      </w:pPr>
      <w:r>
        <w:rPr>
          <w:rFonts w:hint="eastAsia"/>
        </w:rPr>
        <w:t>供</w:t>
      </w:r>
      <w:r>
        <w:t>磋商供应商（CA证书签章）：</w:t>
      </w:r>
    </w:p>
    <w:p w14:paraId="21A78197">
      <w:pPr>
        <w:pStyle w:val="12"/>
        <w:spacing w:before="72" w:line="302" w:lineRule="auto"/>
        <w:ind w:right="1529" w:firstLine="420" w:firstLineChars="200"/>
      </w:pPr>
      <w:r>
        <w:t>法定代表人(负责人、自然人)或相应的委托代理人签字（或个人CA证书签章）：</w:t>
      </w:r>
    </w:p>
    <w:p w14:paraId="377EA27C">
      <w:pPr>
        <w:pStyle w:val="12"/>
        <w:spacing w:before="72" w:line="302" w:lineRule="auto"/>
        <w:ind w:right="1529" w:firstLine="420" w:firstLineChars="200"/>
      </w:pPr>
      <w:r>
        <w:t>日期：</w:t>
      </w:r>
    </w:p>
    <w:p w14:paraId="553B28DD">
      <w:pPr>
        <w:spacing w:line="400" w:lineRule="exact"/>
        <w:ind w:firstLine="640"/>
        <w:jc w:val="center"/>
        <w:rPr>
          <w:b/>
          <w:sz w:val="32"/>
          <w:szCs w:val="32"/>
        </w:rPr>
      </w:pPr>
    </w:p>
    <w:p w14:paraId="123731BB">
      <w:pPr>
        <w:spacing w:line="400" w:lineRule="exact"/>
        <w:ind w:firstLine="640"/>
        <w:jc w:val="center"/>
        <w:rPr>
          <w:b/>
          <w:sz w:val="32"/>
          <w:szCs w:val="32"/>
        </w:rPr>
      </w:pPr>
    </w:p>
    <w:p w14:paraId="14FD4E86">
      <w:pPr>
        <w:spacing w:line="400" w:lineRule="exact"/>
        <w:ind w:firstLine="640"/>
        <w:jc w:val="both"/>
        <w:rPr>
          <w:b/>
          <w:sz w:val="32"/>
          <w:szCs w:val="32"/>
        </w:rPr>
      </w:pPr>
    </w:p>
    <w:p w14:paraId="59B24416">
      <w:pPr>
        <w:pStyle w:val="5"/>
        <w:tabs>
          <w:tab w:val="left" w:pos="760"/>
        </w:tabs>
        <w:spacing w:before="47"/>
        <w:ind w:firstLine="723"/>
        <w:rPr>
          <w:sz w:val="36"/>
          <w:szCs w:val="36"/>
        </w:rPr>
      </w:pPr>
    </w:p>
    <w:p w14:paraId="101209D8">
      <w:pPr>
        <w:ind w:firstLine="723"/>
        <w:rPr>
          <w:sz w:val="36"/>
          <w:szCs w:val="36"/>
        </w:rPr>
      </w:pPr>
    </w:p>
    <w:p w14:paraId="718FD37F">
      <w:pPr>
        <w:ind w:firstLine="723"/>
        <w:rPr>
          <w:sz w:val="36"/>
          <w:szCs w:val="36"/>
        </w:rPr>
      </w:pPr>
    </w:p>
    <w:p w14:paraId="06F3FE28">
      <w:pPr>
        <w:ind w:firstLine="723"/>
        <w:rPr>
          <w:sz w:val="36"/>
          <w:szCs w:val="36"/>
        </w:rPr>
      </w:pPr>
    </w:p>
    <w:p w14:paraId="0C19CBD2">
      <w:pPr>
        <w:ind w:firstLine="723"/>
        <w:rPr>
          <w:sz w:val="36"/>
          <w:szCs w:val="36"/>
        </w:rPr>
      </w:pPr>
    </w:p>
    <w:p w14:paraId="6A66DF4B">
      <w:pPr>
        <w:ind w:firstLine="723"/>
        <w:rPr>
          <w:sz w:val="36"/>
          <w:szCs w:val="36"/>
        </w:rPr>
      </w:pPr>
    </w:p>
    <w:p w14:paraId="434AE6B1">
      <w:pPr>
        <w:ind w:firstLine="723"/>
        <w:rPr>
          <w:sz w:val="36"/>
          <w:szCs w:val="36"/>
        </w:rPr>
      </w:pPr>
    </w:p>
    <w:p w14:paraId="04E0F08E">
      <w:pPr>
        <w:ind w:firstLine="723"/>
        <w:rPr>
          <w:sz w:val="36"/>
          <w:szCs w:val="36"/>
        </w:rPr>
      </w:pPr>
    </w:p>
    <w:p w14:paraId="3739AC3C">
      <w:pPr>
        <w:ind w:firstLine="723"/>
        <w:rPr>
          <w:sz w:val="36"/>
          <w:szCs w:val="36"/>
        </w:rPr>
      </w:pPr>
    </w:p>
    <w:p w14:paraId="040A1A14">
      <w:pPr>
        <w:ind w:firstLine="723"/>
        <w:rPr>
          <w:sz w:val="36"/>
          <w:szCs w:val="36"/>
        </w:rPr>
      </w:pPr>
    </w:p>
    <w:p w14:paraId="23737566">
      <w:pPr>
        <w:ind w:firstLine="723"/>
        <w:rPr>
          <w:sz w:val="36"/>
          <w:szCs w:val="36"/>
        </w:rPr>
      </w:pPr>
    </w:p>
    <w:p w14:paraId="60672B3F">
      <w:pPr>
        <w:ind w:firstLine="723"/>
        <w:rPr>
          <w:sz w:val="36"/>
          <w:szCs w:val="36"/>
        </w:rPr>
      </w:pPr>
    </w:p>
    <w:p w14:paraId="6253EAD7">
      <w:pPr>
        <w:ind w:firstLine="723"/>
        <w:rPr>
          <w:sz w:val="36"/>
          <w:szCs w:val="36"/>
        </w:rPr>
      </w:pPr>
    </w:p>
    <w:p w14:paraId="266114AA">
      <w:pPr>
        <w:ind w:firstLine="723"/>
        <w:rPr>
          <w:sz w:val="36"/>
          <w:szCs w:val="36"/>
        </w:rPr>
      </w:pPr>
    </w:p>
    <w:p w14:paraId="00BB6947">
      <w:pPr>
        <w:ind w:firstLine="723"/>
        <w:rPr>
          <w:sz w:val="36"/>
          <w:szCs w:val="36"/>
        </w:rPr>
      </w:pPr>
    </w:p>
    <w:p w14:paraId="7ED27882">
      <w:pPr>
        <w:ind w:firstLine="723"/>
        <w:rPr>
          <w:sz w:val="36"/>
          <w:szCs w:val="36"/>
        </w:rPr>
      </w:pPr>
    </w:p>
    <w:p w14:paraId="411B6CE2">
      <w:pPr>
        <w:ind w:firstLine="723"/>
        <w:rPr>
          <w:sz w:val="36"/>
          <w:szCs w:val="36"/>
        </w:rPr>
      </w:pPr>
    </w:p>
    <w:p w14:paraId="1E72470F">
      <w:pPr>
        <w:ind w:firstLine="723"/>
        <w:rPr>
          <w:sz w:val="36"/>
          <w:szCs w:val="36"/>
        </w:rPr>
      </w:pPr>
    </w:p>
    <w:p w14:paraId="43459AE7">
      <w:pPr>
        <w:ind w:firstLine="723"/>
        <w:rPr>
          <w:sz w:val="36"/>
          <w:szCs w:val="36"/>
        </w:rPr>
      </w:pPr>
    </w:p>
    <w:p w14:paraId="71E743AC">
      <w:pPr>
        <w:pStyle w:val="5"/>
        <w:tabs>
          <w:tab w:val="left" w:pos="760"/>
        </w:tabs>
        <w:spacing w:before="45"/>
        <w:ind w:firstLine="643"/>
        <w:rPr>
          <w:sz w:val="32"/>
          <w:szCs w:val="32"/>
        </w:rPr>
      </w:pPr>
      <w:r>
        <w:rPr>
          <w:rFonts w:hint="eastAsia"/>
          <w:sz w:val="32"/>
          <w:szCs w:val="32"/>
        </w:rPr>
        <w:t>4.项目管理机构（必须提供）</w:t>
      </w:r>
    </w:p>
    <w:p w14:paraId="30579AE3">
      <w:pPr>
        <w:widowControl/>
        <w:ind w:firstLine="560"/>
        <w:rPr>
          <w:b/>
          <w:bCs/>
          <w:sz w:val="28"/>
          <w:szCs w:val="28"/>
        </w:rPr>
      </w:pPr>
    </w:p>
    <w:p w14:paraId="26AA3F39">
      <w:pPr>
        <w:widowControl/>
        <w:ind w:firstLine="562"/>
        <w:jc w:val="center"/>
      </w:pPr>
      <w:r>
        <w:rPr>
          <w:rFonts w:hint="eastAsia"/>
          <w:b/>
          <w:bCs/>
          <w:sz w:val="28"/>
          <w:szCs w:val="28"/>
        </w:rPr>
        <w:t>（一）项目管理机构（格式）</w:t>
      </w:r>
    </w:p>
    <w:tbl>
      <w:tblPr>
        <w:tblStyle w:val="28"/>
        <w:tblW w:w="90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2"/>
      </w:tblGrid>
      <w:tr w14:paraId="6DDA86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7" w:hRule="atLeast"/>
        </w:trPr>
        <w:tc>
          <w:tcPr>
            <w:tcW w:w="9042" w:type="dxa"/>
          </w:tcPr>
          <w:p w14:paraId="02E60C57">
            <w:pPr>
              <w:pStyle w:val="31"/>
              <w:spacing w:before="38" w:line="186" w:lineRule="auto"/>
              <w:ind w:left="118" w:firstLine="420"/>
              <w:rPr>
                <w:sz w:val="21"/>
                <w:szCs w:val="21"/>
                <w:lang w:eastAsia="zh-CN"/>
              </w:rPr>
            </w:pPr>
            <w:r>
              <w:rPr>
                <w:sz w:val="21"/>
                <w:szCs w:val="21"/>
                <w:lang w:eastAsia="zh-CN"/>
              </w:rPr>
              <w:t>拟为承包本标段工程设立的组织机构以框图方式表示</w:t>
            </w:r>
          </w:p>
        </w:tc>
      </w:tr>
      <w:tr w14:paraId="5DC15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3" w:hRule="atLeast"/>
        </w:trPr>
        <w:tc>
          <w:tcPr>
            <w:tcW w:w="9042" w:type="dxa"/>
          </w:tcPr>
          <w:p w14:paraId="24DCC360">
            <w:pPr>
              <w:pStyle w:val="31"/>
              <w:spacing w:before="34" w:line="186" w:lineRule="auto"/>
              <w:ind w:left="120" w:firstLine="420"/>
              <w:rPr>
                <w:sz w:val="21"/>
                <w:szCs w:val="21"/>
              </w:rPr>
            </w:pPr>
            <w:r>
              <w:rPr>
                <w:sz w:val="21"/>
                <w:szCs w:val="21"/>
              </w:rPr>
              <w:t>说明</w:t>
            </w:r>
          </w:p>
        </w:tc>
      </w:tr>
    </w:tbl>
    <w:p w14:paraId="77893F8D">
      <w:pPr>
        <w:spacing w:line="400" w:lineRule="exact"/>
        <w:ind w:firstLine="640"/>
        <w:jc w:val="center"/>
        <w:rPr>
          <w:b/>
          <w:sz w:val="32"/>
          <w:szCs w:val="32"/>
        </w:rPr>
      </w:pPr>
    </w:p>
    <w:p w14:paraId="0A609C6E">
      <w:pPr>
        <w:pStyle w:val="5"/>
        <w:tabs>
          <w:tab w:val="left" w:pos="760"/>
        </w:tabs>
        <w:spacing w:before="45"/>
        <w:ind w:firstLine="723"/>
        <w:rPr>
          <w:sz w:val="36"/>
          <w:szCs w:val="36"/>
        </w:rPr>
      </w:pPr>
    </w:p>
    <w:p w14:paraId="55694848">
      <w:pPr>
        <w:pStyle w:val="5"/>
        <w:tabs>
          <w:tab w:val="left" w:pos="760"/>
        </w:tabs>
        <w:spacing w:before="45"/>
        <w:ind w:firstLine="723"/>
        <w:rPr>
          <w:sz w:val="36"/>
          <w:szCs w:val="36"/>
        </w:rPr>
      </w:pPr>
    </w:p>
    <w:p w14:paraId="433D6005">
      <w:pPr>
        <w:pStyle w:val="5"/>
        <w:tabs>
          <w:tab w:val="left" w:pos="760"/>
        </w:tabs>
        <w:spacing w:before="45"/>
        <w:ind w:firstLine="723"/>
        <w:rPr>
          <w:sz w:val="36"/>
          <w:szCs w:val="36"/>
        </w:rPr>
      </w:pPr>
    </w:p>
    <w:p w14:paraId="2BF4D469">
      <w:pPr>
        <w:pStyle w:val="5"/>
        <w:tabs>
          <w:tab w:val="left" w:pos="760"/>
        </w:tabs>
        <w:spacing w:before="45"/>
        <w:ind w:firstLine="723"/>
        <w:rPr>
          <w:sz w:val="36"/>
          <w:szCs w:val="36"/>
        </w:rPr>
      </w:pPr>
    </w:p>
    <w:p w14:paraId="26A610A2">
      <w:pPr>
        <w:ind w:firstLine="422"/>
      </w:pPr>
    </w:p>
    <w:p w14:paraId="5EC59CC2">
      <w:pPr>
        <w:pStyle w:val="5"/>
        <w:tabs>
          <w:tab w:val="left" w:pos="760"/>
        </w:tabs>
        <w:spacing w:before="45"/>
        <w:ind w:firstLine="723"/>
        <w:rPr>
          <w:sz w:val="36"/>
          <w:szCs w:val="36"/>
        </w:rPr>
      </w:pPr>
    </w:p>
    <w:p w14:paraId="3F5834B7">
      <w:pPr>
        <w:pStyle w:val="5"/>
        <w:tabs>
          <w:tab w:val="left" w:pos="760"/>
        </w:tabs>
        <w:spacing w:before="45"/>
        <w:ind w:firstLine="643"/>
        <w:rPr>
          <w:sz w:val="32"/>
          <w:szCs w:val="32"/>
        </w:rPr>
      </w:pPr>
      <w:r>
        <w:rPr>
          <w:rFonts w:hint="eastAsia"/>
          <w:sz w:val="32"/>
          <w:szCs w:val="32"/>
        </w:rPr>
        <w:t>5.农民工工资保证金承诺书及承诺函（必须提供）</w:t>
      </w:r>
    </w:p>
    <w:p w14:paraId="262FDDCF">
      <w:pPr>
        <w:pStyle w:val="12"/>
        <w:spacing w:line="294" w:lineRule="auto"/>
      </w:pPr>
    </w:p>
    <w:p w14:paraId="284D8DCF">
      <w:pPr>
        <w:spacing w:before="137" w:line="182" w:lineRule="auto"/>
        <w:ind w:firstLine="640"/>
        <w:jc w:val="center"/>
        <w:rPr>
          <w:rFonts w:asciiTheme="minorEastAsia" w:hAnsiTheme="minorEastAsia" w:eastAsiaTheme="minorEastAsia" w:cstheme="minorEastAsia"/>
          <w:b/>
          <w:bCs/>
          <w:sz w:val="32"/>
          <w:szCs w:val="32"/>
        </w:rPr>
      </w:pPr>
    </w:p>
    <w:p w14:paraId="75D1D60F">
      <w:pPr>
        <w:spacing w:before="137" w:line="182" w:lineRule="auto"/>
        <w:ind w:firstLine="643"/>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农民工工资保证金承诺书</w:t>
      </w:r>
    </w:p>
    <w:p w14:paraId="406D8F6B">
      <w:pPr>
        <w:spacing w:before="137" w:line="182" w:lineRule="auto"/>
        <w:ind w:firstLine="640"/>
        <w:jc w:val="center"/>
        <w:rPr>
          <w:rFonts w:asciiTheme="minorEastAsia" w:hAnsiTheme="minorEastAsia" w:eastAsiaTheme="minorEastAsia" w:cstheme="minorEastAsia"/>
          <w:b/>
          <w:bCs/>
          <w:sz w:val="32"/>
          <w:szCs w:val="32"/>
        </w:rPr>
      </w:pPr>
    </w:p>
    <w:p w14:paraId="137FD6F6">
      <w:pPr>
        <w:spacing w:line="460" w:lineRule="exact"/>
        <w:ind w:firstLine="482"/>
        <w:rPr>
          <w:sz w:val="24"/>
        </w:rPr>
      </w:pPr>
      <w:r>
        <w:rPr>
          <w:rFonts w:hint="eastAsia"/>
          <w:sz w:val="24"/>
        </w:rPr>
        <w:t>致：（采购人名称）</w:t>
      </w:r>
    </w:p>
    <w:p w14:paraId="252EFF23">
      <w:pPr>
        <w:spacing w:line="460" w:lineRule="exact"/>
        <w:ind w:firstLine="482"/>
        <w:rPr>
          <w:sz w:val="24"/>
        </w:rPr>
      </w:pPr>
      <w:r>
        <w:rPr>
          <w:rFonts w:hint="eastAsia" w:cs="Arial"/>
          <w:sz w:val="24"/>
        </w:rPr>
        <w:t>根据</w:t>
      </w:r>
      <w:r>
        <w:rPr>
          <w:rFonts w:hint="eastAsia"/>
          <w:sz w:val="24"/>
        </w:rPr>
        <w:t>《</w:t>
      </w:r>
      <w:r>
        <w:rPr>
          <w:rFonts w:hint="eastAsia" w:cs="Arial"/>
          <w:bCs/>
          <w:sz w:val="24"/>
        </w:rPr>
        <w:t>关于建立交通行业农民工工资保证金制度的通知》</w:t>
      </w:r>
      <w:r>
        <w:rPr>
          <w:rFonts w:hint="eastAsia"/>
          <w:sz w:val="24"/>
        </w:rPr>
        <w:t>（</w:t>
      </w:r>
      <w:r>
        <w:rPr>
          <w:rFonts w:hint="eastAsia" w:cs="Arial"/>
          <w:bCs/>
          <w:sz w:val="24"/>
        </w:rPr>
        <w:t>桂劳社发[2007]147号</w:t>
      </w:r>
      <w:r>
        <w:rPr>
          <w:rFonts w:hint="eastAsia"/>
          <w:sz w:val="24"/>
        </w:rPr>
        <w:t>）</w:t>
      </w:r>
      <w:r>
        <w:rPr>
          <w:rFonts w:hint="eastAsia" w:cs="Arial"/>
          <w:sz w:val="24"/>
        </w:rPr>
        <w:t>，在</w:t>
      </w:r>
      <w:r>
        <w:rPr>
          <w:rFonts w:hint="eastAsia"/>
          <w:sz w:val="24"/>
          <w:u w:val="single"/>
        </w:rPr>
        <w:t xml:space="preserve"> （项目名称） </w:t>
      </w:r>
      <w:r>
        <w:rPr>
          <w:rFonts w:hint="eastAsia" w:cs="Arial"/>
          <w:sz w:val="24"/>
        </w:rPr>
        <w:t>工程施工招标的投标中，我单位对农民工工资的支付作出以下郑重承诺：</w:t>
      </w:r>
    </w:p>
    <w:p w14:paraId="752D0F4C">
      <w:pPr>
        <w:spacing w:line="460" w:lineRule="exact"/>
        <w:ind w:firstLine="482"/>
        <w:rPr>
          <w:sz w:val="24"/>
        </w:rPr>
      </w:pPr>
      <w:r>
        <w:rPr>
          <w:rFonts w:hint="eastAsia" w:cs="Arial"/>
          <w:sz w:val="24"/>
        </w:rPr>
        <w:t>（一）我单位在本招标项目递交响应文件截止时间</w:t>
      </w:r>
      <w:r>
        <w:rPr>
          <w:rFonts w:hint="eastAsia" w:cs="Arial"/>
          <w:sz w:val="24"/>
          <w:u w:val="single"/>
        </w:rPr>
        <w:t xml:space="preserve">        年  月  日（开标日）</w:t>
      </w:r>
      <w:r>
        <w:rPr>
          <w:rFonts w:hint="eastAsia" w:cs="Arial"/>
          <w:sz w:val="24"/>
        </w:rPr>
        <w:t>前所承建的工程项目，不存在拖欠或克扣农民工工资的行为。</w:t>
      </w:r>
    </w:p>
    <w:p w14:paraId="5CB1DD48">
      <w:pPr>
        <w:spacing w:line="460" w:lineRule="exact"/>
        <w:ind w:firstLine="482"/>
        <w:rPr>
          <w:sz w:val="24"/>
        </w:rPr>
      </w:pPr>
      <w:r>
        <w:rPr>
          <w:rFonts w:hint="eastAsia"/>
          <w:sz w:val="24"/>
        </w:rPr>
        <w:t>（二）在签订合同后及项目开工前，我单位按（桂薪联发[2016]1号）《关于印发广西壮族自治区工程建设领域工人工资支付专用账户管理办法的通知》、（桂薪联发[2016]2号）《关于明确农民工工资保证金制度有关问题的通知》文要求预存工程中标价的3%作为农民工工资保证金转入项目所在地人力资源和社会保障局农民工工资保证金专户</w:t>
      </w:r>
      <w:r>
        <w:rPr>
          <w:rFonts w:hint="eastAsia" w:cs="Arial"/>
          <w:sz w:val="24"/>
        </w:rPr>
        <w:t>。</w:t>
      </w:r>
    </w:p>
    <w:p w14:paraId="688DF84B">
      <w:pPr>
        <w:spacing w:line="460" w:lineRule="exact"/>
        <w:ind w:firstLine="482"/>
        <w:rPr>
          <w:sz w:val="24"/>
        </w:rPr>
      </w:pPr>
      <w:r>
        <w:rPr>
          <w:rFonts w:hint="eastAsia" w:cs="Arial"/>
          <w:sz w:val="24"/>
        </w:rPr>
        <w:t>（三）</w:t>
      </w:r>
      <w:r>
        <w:rPr>
          <w:sz w:val="24"/>
        </w:rPr>
        <w:t>在项目实施过程中，若出现结算价超出合同价时，以实际结算金额的</w:t>
      </w:r>
      <w:r>
        <w:rPr>
          <w:rFonts w:hint="eastAsia"/>
          <w:sz w:val="24"/>
        </w:rPr>
        <w:t>3</w:t>
      </w:r>
      <w:r>
        <w:rPr>
          <w:sz w:val="24"/>
        </w:rPr>
        <w:t>%的额度补充存入农民工工资保证金</w:t>
      </w:r>
      <w:r>
        <w:rPr>
          <w:rFonts w:hint="eastAsia" w:cs="Arial"/>
          <w:sz w:val="24"/>
        </w:rPr>
        <w:t>。</w:t>
      </w:r>
    </w:p>
    <w:p w14:paraId="6FD1F06C">
      <w:pPr>
        <w:spacing w:line="460" w:lineRule="exact"/>
        <w:ind w:firstLine="482"/>
        <w:rPr>
          <w:rFonts w:cs="Arial"/>
          <w:sz w:val="24"/>
        </w:rPr>
      </w:pPr>
      <w:r>
        <w:rPr>
          <w:rFonts w:hint="eastAsia" w:cs="Arial"/>
          <w:sz w:val="24"/>
        </w:rPr>
        <w:t xml:space="preserve">（四）我单位向建设单位承诺依法足额支付农民工工资，一旦我单位（包含我单位的分包商）承建的 </w:t>
      </w:r>
      <w:r>
        <w:rPr>
          <w:rFonts w:hint="eastAsia" w:cs="Arial"/>
          <w:sz w:val="24"/>
          <w:u w:val="single"/>
        </w:rPr>
        <w:t xml:space="preserve"> （项目名称）</w:t>
      </w:r>
      <w:r>
        <w:rPr>
          <w:rFonts w:hint="eastAsia" w:cs="Arial"/>
          <w:sz w:val="24"/>
        </w:rPr>
        <w:t>出现拖欠农民工工资情况的，可由劳动保障、交通主管部门（或授权机构）及建设单位根据相关规定从我单位缴纳的农民工工资保证金中先予支取。</w:t>
      </w:r>
    </w:p>
    <w:p w14:paraId="48719D4D">
      <w:pPr>
        <w:spacing w:line="460" w:lineRule="exact"/>
        <w:ind w:firstLine="482"/>
        <w:rPr>
          <w:rFonts w:cs="Arial"/>
          <w:sz w:val="24"/>
        </w:rPr>
      </w:pPr>
      <w:r>
        <w:rPr>
          <w:rFonts w:hint="eastAsia" w:cs="Arial"/>
          <w:sz w:val="24"/>
        </w:rPr>
        <w:t>（五）其它未尽事宜按农民工工资保证金现行的有关规定执行。</w:t>
      </w:r>
    </w:p>
    <w:p w14:paraId="51F7E53D">
      <w:pPr>
        <w:spacing w:before="137" w:line="182" w:lineRule="auto"/>
        <w:ind w:firstLine="640"/>
        <w:jc w:val="center"/>
        <w:rPr>
          <w:rFonts w:asciiTheme="minorEastAsia" w:hAnsiTheme="minorEastAsia" w:eastAsiaTheme="minorEastAsia" w:cstheme="minorEastAsia"/>
          <w:b/>
          <w:bCs/>
          <w:sz w:val="32"/>
          <w:szCs w:val="32"/>
        </w:rPr>
      </w:pPr>
    </w:p>
    <w:p w14:paraId="4FC320CD">
      <w:pPr>
        <w:ind w:firstLine="422"/>
        <w:rPr>
          <w:szCs w:val="21"/>
          <w:lang w:val="zh-CN" w:bidi="zh-CN"/>
        </w:rPr>
      </w:pPr>
    </w:p>
    <w:p w14:paraId="17407533">
      <w:pPr>
        <w:ind w:firstLine="422"/>
        <w:rPr>
          <w:szCs w:val="21"/>
          <w:lang w:val="zh-CN" w:bidi="zh-CN"/>
        </w:rPr>
      </w:pPr>
    </w:p>
    <w:p w14:paraId="649ABF30">
      <w:pPr>
        <w:snapToGrid w:val="0"/>
        <w:spacing w:line="400" w:lineRule="exact"/>
        <w:ind w:firstLine="482"/>
        <w:outlineLvl w:val="4"/>
        <w:rPr>
          <w:sz w:val="24"/>
          <w:u w:val="single"/>
        </w:rPr>
      </w:pPr>
      <w:r>
        <w:rPr>
          <w:rFonts w:hint="eastAsia"/>
          <w:sz w:val="24"/>
        </w:rPr>
        <w:t>供应商[</w:t>
      </w:r>
      <w:r>
        <w:rPr>
          <w:rFonts w:hint="eastAsia"/>
          <w:bCs/>
          <w:sz w:val="24"/>
        </w:rPr>
        <w:t>公章(CA签章)</w:t>
      </w:r>
      <w:r>
        <w:rPr>
          <w:rFonts w:hint="eastAsia"/>
          <w:sz w:val="24"/>
        </w:rPr>
        <w:t>]：</w:t>
      </w:r>
    </w:p>
    <w:p w14:paraId="1C5CFB02">
      <w:pPr>
        <w:spacing w:line="340" w:lineRule="exact"/>
        <w:ind w:firstLine="480" w:firstLineChars="200"/>
        <w:rPr>
          <w:sz w:val="24"/>
        </w:rPr>
      </w:pPr>
      <w:r>
        <w:rPr>
          <w:rFonts w:hint="eastAsia"/>
          <w:sz w:val="24"/>
        </w:rPr>
        <w:t>法定代表人或相应的委托代理人签字[或盖章(CA签章)]：</w:t>
      </w:r>
    </w:p>
    <w:p w14:paraId="349A6793">
      <w:pPr>
        <w:ind w:firstLine="482"/>
        <w:rPr>
          <w:szCs w:val="21"/>
          <w:lang w:val="zh-CN" w:bidi="zh-CN"/>
        </w:rPr>
      </w:pPr>
      <w:r>
        <w:rPr>
          <w:rFonts w:hint="eastAsia"/>
          <w:sz w:val="24"/>
        </w:rPr>
        <w:t>日期：</w:t>
      </w:r>
    </w:p>
    <w:p w14:paraId="4CA9AB67">
      <w:pPr>
        <w:pStyle w:val="12"/>
        <w:spacing w:line="266" w:lineRule="auto"/>
      </w:pPr>
    </w:p>
    <w:p w14:paraId="2CFD2E60">
      <w:pPr>
        <w:spacing w:line="181" w:lineRule="auto"/>
        <w:ind w:firstLine="480"/>
        <w:rPr>
          <w:rFonts w:ascii="微软雅黑" w:hAnsi="微软雅黑" w:eastAsia="微软雅黑" w:cs="微软雅黑"/>
          <w:sz w:val="24"/>
          <w:szCs w:val="24"/>
        </w:rPr>
        <w:sectPr>
          <w:footerReference r:id="rId14" w:type="default"/>
          <w:pgSz w:w="11900" w:h="16840"/>
          <w:pgMar w:top="1112" w:right="1244" w:bottom="840" w:left="1305" w:header="0" w:footer="676" w:gutter="0"/>
          <w:cols w:space="720" w:num="1"/>
        </w:sectPr>
      </w:pPr>
    </w:p>
    <w:p w14:paraId="38555E93">
      <w:pPr>
        <w:spacing w:before="137" w:line="182" w:lineRule="auto"/>
        <w:ind w:firstLine="643"/>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供应商承诺函</w:t>
      </w:r>
    </w:p>
    <w:p w14:paraId="1D6D5730">
      <w:pPr>
        <w:pStyle w:val="12"/>
        <w:spacing w:line="335" w:lineRule="auto"/>
      </w:pPr>
    </w:p>
    <w:p w14:paraId="09B4B486">
      <w:pPr>
        <w:tabs>
          <w:tab w:val="left" w:pos="1261"/>
        </w:tabs>
        <w:spacing w:before="90" w:line="360" w:lineRule="auto"/>
        <w:ind w:firstLine="48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rPr>
        <w:t>（采购人名称）：</w:t>
      </w:r>
    </w:p>
    <w:p w14:paraId="3DA19E13">
      <w:pPr>
        <w:pStyle w:val="12"/>
        <w:spacing w:line="360" w:lineRule="auto"/>
        <w:ind w:firstLine="482"/>
        <w:rPr>
          <w:rFonts w:asciiTheme="minorEastAsia" w:hAnsiTheme="minorEastAsia" w:eastAsiaTheme="minorEastAsia" w:cstheme="minorEastAsia"/>
          <w:sz w:val="24"/>
          <w:szCs w:val="24"/>
        </w:rPr>
      </w:pPr>
    </w:p>
    <w:p w14:paraId="38216137">
      <w:pPr>
        <w:spacing w:before="90" w:line="360" w:lineRule="auto"/>
        <w:ind w:left="432"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我方参加了</w:t>
      </w:r>
      <w:r>
        <w:rPr>
          <w:rFonts w:hint="eastAsia" w:asciiTheme="minorEastAsia" w:hAnsiTheme="minorEastAsia" w:eastAsiaTheme="minorEastAsia" w:cstheme="minorEastAsia"/>
          <w:sz w:val="24"/>
          <w:szCs w:val="24"/>
          <w:u w:val="single"/>
        </w:rPr>
        <w:t>（项目名称）工程</w:t>
      </w:r>
      <w:r>
        <w:rPr>
          <w:rFonts w:hint="eastAsia" w:asciiTheme="minorEastAsia" w:hAnsiTheme="minorEastAsia" w:eastAsiaTheme="minorEastAsia" w:cstheme="minorEastAsia"/>
          <w:sz w:val="24"/>
          <w:szCs w:val="24"/>
        </w:rPr>
        <w:t>施工投标，若我方成交，我方在此承诺：</w:t>
      </w:r>
    </w:p>
    <w:p w14:paraId="729D65DA">
      <w:pPr>
        <w:spacing w:before="228" w:line="360" w:lineRule="auto"/>
        <w:ind w:left="11" w:right="168"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本项目资格预审文件或采购文件未要求我方在资格预审申请文件或响应文件中填报派驻本标段的其他主要管理人员和技术人员及主要机械设备和试验检测设备，在采购人向我方发出成交通知书之前，我方将按照合同附件提出的最低要求填报派驻本标段的其他主要管理人员和技术人员及主要机械设备和试验检测设备，在经采购人审批后作为派驻本标段的项目管理机构主要人员和主要设备且不进行更换。</w:t>
      </w:r>
    </w:p>
    <w:p w14:paraId="7293EFF7">
      <w:pPr>
        <w:spacing w:before="218" w:line="360" w:lineRule="auto"/>
        <w:ind w:left="9" w:right="168"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若我方已按本项目资格预审文件或采购文件要求在资格预审申请文件或响应文件中填报派驻本标段的其他主要管理人员和技术人员及主要机械设备和试验检测设备，我方将严格按照在资格预审申请文件或响应文件中填报的其他主要管理人员和技术人员及主要机械设备和试验检测设备组织进场施工，且不进行更换。</w:t>
      </w:r>
    </w:p>
    <w:p w14:paraId="25FA4315">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如我方违背了上述承诺，本项目采购人有权取消我方的成交资格，并由采购人将我方的违约行为上报省级交通主管部门，作为不良记录纳入公路建设市场信息管理系统。</w:t>
      </w:r>
    </w:p>
    <w:p w14:paraId="756592B7">
      <w:pPr>
        <w:pStyle w:val="12"/>
        <w:spacing w:line="298" w:lineRule="auto"/>
      </w:pPr>
    </w:p>
    <w:p w14:paraId="48713C18">
      <w:pPr>
        <w:pStyle w:val="12"/>
        <w:spacing w:line="299" w:lineRule="auto"/>
      </w:pPr>
    </w:p>
    <w:p w14:paraId="3A323D12">
      <w:pPr>
        <w:pStyle w:val="12"/>
        <w:spacing w:line="299" w:lineRule="auto"/>
      </w:pPr>
    </w:p>
    <w:p w14:paraId="73B7B374">
      <w:pPr>
        <w:pStyle w:val="12"/>
        <w:spacing w:before="72" w:line="302" w:lineRule="auto"/>
        <w:ind w:left="1320" w:right="1529"/>
      </w:pPr>
      <w:r>
        <w:rPr>
          <w:rFonts w:hint="eastAsia"/>
        </w:rPr>
        <w:t>供</w:t>
      </w:r>
      <w:r>
        <w:t>磋商供应商（CA证书签章）：</w:t>
      </w:r>
    </w:p>
    <w:p w14:paraId="1EB5C8F1">
      <w:pPr>
        <w:pStyle w:val="12"/>
        <w:spacing w:before="72" w:line="302" w:lineRule="auto"/>
        <w:ind w:left="1320" w:right="1529"/>
      </w:pPr>
      <w:r>
        <w:t>法定代表人(负责人、自然人)或相应的委托代理人签字（或个人CA证书签章）：日期：</w:t>
      </w:r>
    </w:p>
    <w:p w14:paraId="5CB8B526">
      <w:pPr>
        <w:pStyle w:val="12"/>
        <w:spacing w:before="3"/>
        <w:ind w:firstLine="3780" w:firstLineChars="1800"/>
        <w:rPr>
          <w:rFonts w:ascii="微软雅黑" w:hAnsi="微软雅黑" w:eastAsia="微软雅黑" w:cs="微软雅黑"/>
        </w:rPr>
      </w:pPr>
    </w:p>
    <w:p w14:paraId="545D5037">
      <w:pPr>
        <w:pStyle w:val="12"/>
        <w:ind w:firstLine="640"/>
        <w:rPr>
          <w:b/>
          <w:sz w:val="32"/>
        </w:rPr>
      </w:pPr>
    </w:p>
    <w:p w14:paraId="1223A5DC">
      <w:pPr>
        <w:pStyle w:val="12"/>
        <w:ind w:firstLine="640"/>
        <w:rPr>
          <w:b/>
          <w:sz w:val="32"/>
        </w:rPr>
      </w:pPr>
    </w:p>
    <w:p w14:paraId="4CE38E8F">
      <w:pPr>
        <w:pStyle w:val="12"/>
        <w:ind w:firstLine="640"/>
        <w:rPr>
          <w:b/>
          <w:sz w:val="32"/>
        </w:rPr>
      </w:pPr>
    </w:p>
    <w:p w14:paraId="7E035368">
      <w:pPr>
        <w:pStyle w:val="12"/>
        <w:ind w:firstLine="640"/>
        <w:rPr>
          <w:b/>
          <w:sz w:val="32"/>
        </w:rPr>
      </w:pPr>
    </w:p>
    <w:p w14:paraId="1AF00271">
      <w:pPr>
        <w:pStyle w:val="12"/>
        <w:ind w:firstLine="640"/>
        <w:rPr>
          <w:b/>
          <w:sz w:val="32"/>
        </w:rPr>
      </w:pPr>
    </w:p>
    <w:p w14:paraId="005F313C">
      <w:pPr>
        <w:pStyle w:val="12"/>
        <w:ind w:firstLine="640"/>
        <w:rPr>
          <w:b/>
          <w:sz w:val="32"/>
        </w:rPr>
      </w:pPr>
    </w:p>
    <w:p w14:paraId="409044AA">
      <w:pPr>
        <w:pStyle w:val="12"/>
        <w:ind w:firstLine="400"/>
        <w:rPr>
          <w:b/>
          <w:sz w:val="20"/>
        </w:rPr>
      </w:pPr>
    </w:p>
    <w:p w14:paraId="6B4CCEE6">
      <w:pPr>
        <w:pStyle w:val="12"/>
        <w:spacing w:before="8"/>
        <w:ind w:firstLine="201"/>
        <w:rPr>
          <w:sz w:val="10"/>
        </w:rPr>
      </w:pPr>
    </w:p>
    <w:p w14:paraId="30AC4855">
      <w:pPr>
        <w:spacing w:before="55"/>
        <w:ind w:left="120" w:firstLine="643"/>
        <w:rPr>
          <w:b/>
          <w:sz w:val="32"/>
        </w:rPr>
      </w:pPr>
      <w:r>
        <w:rPr>
          <w:b/>
          <w:sz w:val="32"/>
        </w:rPr>
        <w:t>（三）其它有效证明材料目录</w:t>
      </w:r>
    </w:p>
    <w:p w14:paraId="75192194">
      <w:pPr>
        <w:pStyle w:val="12"/>
        <w:spacing w:before="8"/>
        <w:ind w:firstLine="820"/>
        <w:rPr>
          <w:b/>
          <w:sz w:val="41"/>
        </w:rPr>
      </w:pPr>
    </w:p>
    <w:p w14:paraId="2E0E8FCB">
      <w:pPr>
        <w:pStyle w:val="8"/>
        <w:tabs>
          <w:tab w:val="left" w:pos="840"/>
        </w:tabs>
        <w:spacing w:before="113" w:line="328" w:lineRule="auto"/>
        <w:ind w:left="600" w:right="440" w:firstLine="482"/>
        <w:rPr>
          <w:sz w:val="22"/>
        </w:rPr>
      </w:pPr>
      <w:r>
        <w:rPr>
          <w:rFonts w:hint="eastAsia"/>
        </w:rPr>
        <w:t>1.</w:t>
      </w:r>
      <w:r>
        <w:t>供应商</w:t>
      </w:r>
      <w:r>
        <w:rPr>
          <w:rFonts w:hint="eastAsia"/>
          <w:color w:val="auto"/>
          <w:highlight w:val="none"/>
        </w:rPr>
        <w:t>2020</w:t>
      </w:r>
      <w:r>
        <w:rPr>
          <w:color w:val="auto"/>
          <w:highlight w:val="none"/>
        </w:rPr>
        <w:t>年</w:t>
      </w:r>
      <w:r>
        <w:rPr>
          <w:rFonts w:hint="eastAsia"/>
          <w:color w:val="auto"/>
          <w:highlight w:val="none"/>
        </w:rPr>
        <w:t>3月1日</w:t>
      </w:r>
      <w:r>
        <w:t>以来具有同类项目业绩的相关证明材料</w:t>
      </w:r>
      <w:r>
        <w:rPr>
          <w:b/>
        </w:rPr>
        <w:t>（如有，请提供）；</w:t>
      </w:r>
    </w:p>
    <w:p w14:paraId="395AD7E9">
      <w:pPr>
        <w:pStyle w:val="29"/>
        <w:tabs>
          <w:tab w:val="left" w:pos="840"/>
        </w:tabs>
        <w:spacing w:line="305" w:lineRule="exact"/>
        <w:ind w:left="600" w:firstLine="482"/>
        <w:sectPr>
          <w:pgSz w:w="11910" w:h="16840"/>
          <w:pgMar w:top="1920" w:right="640" w:bottom="1180" w:left="960" w:header="0" w:footer="954" w:gutter="0"/>
          <w:cols w:space="720" w:num="1"/>
        </w:sectPr>
      </w:pPr>
      <w:r>
        <w:rPr>
          <w:rFonts w:hint="eastAsia"/>
          <w:sz w:val="24"/>
        </w:rPr>
        <w:t>2.</w:t>
      </w:r>
      <w:r>
        <w:rPr>
          <w:sz w:val="24"/>
        </w:rPr>
        <w:t>供应商可结合本项目的评审办法视自身情况自行提交相关证明材料</w:t>
      </w:r>
      <w:r>
        <w:rPr>
          <w:b/>
          <w:sz w:val="24"/>
        </w:rPr>
        <w:t>（如有，请提供）</w:t>
      </w:r>
      <w:r>
        <w:rPr>
          <w:sz w:val="24"/>
        </w:rPr>
        <w:t>。</w:t>
      </w:r>
    </w:p>
    <w:p w14:paraId="1D07D441">
      <w:pPr>
        <w:pStyle w:val="12"/>
        <w:ind w:firstLine="660"/>
        <w:rPr>
          <w:b/>
          <w:sz w:val="33"/>
        </w:rPr>
      </w:pPr>
    </w:p>
    <w:p w14:paraId="1F3C77A0">
      <w:pPr>
        <w:pStyle w:val="29"/>
        <w:numPr>
          <w:ilvl w:val="0"/>
          <w:numId w:val="17"/>
        </w:numPr>
        <w:tabs>
          <w:tab w:val="left" w:pos="440"/>
        </w:tabs>
        <w:spacing w:line="242" w:lineRule="auto"/>
        <w:ind w:left="120" w:right="440" w:firstLine="643"/>
        <w:jc w:val="both"/>
        <w:rPr>
          <w:b/>
          <w:sz w:val="32"/>
        </w:rPr>
      </w:pPr>
      <w:r>
        <w:rPr>
          <w:b/>
          <w:sz w:val="32"/>
        </w:rPr>
        <w:t>供应商</w:t>
      </w:r>
      <w:r>
        <w:rPr>
          <w:rFonts w:hint="eastAsia"/>
          <w:b/>
          <w:color w:val="auto"/>
          <w:sz w:val="32"/>
          <w:highlight w:val="none"/>
        </w:rPr>
        <w:t>2020</w:t>
      </w:r>
      <w:r>
        <w:rPr>
          <w:b/>
          <w:color w:val="auto"/>
          <w:sz w:val="32"/>
          <w:highlight w:val="none"/>
        </w:rPr>
        <w:t>年</w:t>
      </w:r>
      <w:r>
        <w:rPr>
          <w:rFonts w:hint="eastAsia"/>
          <w:b/>
          <w:color w:val="auto"/>
          <w:sz w:val="32"/>
          <w:highlight w:val="none"/>
        </w:rPr>
        <w:t>3月1日</w:t>
      </w:r>
      <w:r>
        <w:rPr>
          <w:b/>
          <w:sz w:val="32"/>
        </w:rPr>
        <w:t>以来具有同类项目业绩的相关证明材料（如有，请提供）</w:t>
      </w:r>
    </w:p>
    <w:p w14:paraId="7875A6F7">
      <w:pPr>
        <w:pStyle w:val="12"/>
        <w:ind w:firstLine="640"/>
        <w:rPr>
          <w:b/>
          <w:sz w:val="32"/>
        </w:rPr>
      </w:pPr>
    </w:p>
    <w:p w14:paraId="694911AD">
      <w:pPr>
        <w:pStyle w:val="12"/>
        <w:ind w:firstLine="640"/>
        <w:rPr>
          <w:b/>
          <w:sz w:val="32"/>
        </w:rPr>
      </w:pPr>
    </w:p>
    <w:p w14:paraId="7DA09FDF">
      <w:pPr>
        <w:pStyle w:val="12"/>
        <w:ind w:firstLine="640"/>
        <w:rPr>
          <w:b/>
          <w:sz w:val="32"/>
        </w:rPr>
      </w:pPr>
    </w:p>
    <w:p w14:paraId="023C488B">
      <w:pPr>
        <w:pStyle w:val="12"/>
        <w:ind w:firstLine="640"/>
        <w:rPr>
          <w:b/>
          <w:sz w:val="32"/>
        </w:rPr>
      </w:pPr>
    </w:p>
    <w:p w14:paraId="09C45E03">
      <w:pPr>
        <w:pStyle w:val="12"/>
        <w:ind w:firstLine="640"/>
        <w:rPr>
          <w:b/>
          <w:sz w:val="32"/>
        </w:rPr>
      </w:pPr>
    </w:p>
    <w:p w14:paraId="3D6868B2">
      <w:pPr>
        <w:pStyle w:val="12"/>
        <w:ind w:firstLine="640"/>
        <w:rPr>
          <w:b/>
          <w:sz w:val="32"/>
        </w:rPr>
      </w:pPr>
    </w:p>
    <w:p w14:paraId="03B3F62E">
      <w:pPr>
        <w:pStyle w:val="12"/>
        <w:ind w:firstLine="640"/>
        <w:rPr>
          <w:b/>
          <w:sz w:val="32"/>
        </w:rPr>
      </w:pPr>
    </w:p>
    <w:p w14:paraId="12B0A792">
      <w:pPr>
        <w:pStyle w:val="12"/>
        <w:ind w:firstLine="640"/>
        <w:rPr>
          <w:b/>
          <w:sz w:val="32"/>
        </w:rPr>
      </w:pPr>
    </w:p>
    <w:p w14:paraId="4AB91472">
      <w:pPr>
        <w:pStyle w:val="12"/>
        <w:ind w:firstLine="640"/>
        <w:rPr>
          <w:b/>
          <w:sz w:val="32"/>
        </w:rPr>
      </w:pPr>
    </w:p>
    <w:p w14:paraId="7A98ACDF">
      <w:pPr>
        <w:pStyle w:val="12"/>
        <w:ind w:firstLine="640"/>
        <w:rPr>
          <w:b/>
          <w:sz w:val="32"/>
        </w:rPr>
      </w:pPr>
    </w:p>
    <w:p w14:paraId="31749E32">
      <w:pPr>
        <w:pStyle w:val="12"/>
        <w:ind w:firstLine="640"/>
        <w:rPr>
          <w:b/>
          <w:sz w:val="32"/>
        </w:rPr>
      </w:pPr>
    </w:p>
    <w:p w14:paraId="57A8F744">
      <w:pPr>
        <w:pStyle w:val="12"/>
        <w:spacing w:before="6"/>
        <w:ind w:firstLine="640"/>
        <w:rPr>
          <w:b/>
          <w:sz w:val="32"/>
        </w:rPr>
      </w:pPr>
    </w:p>
    <w:p w14:paraId="2A0CD634">
      <w:pPr>
        <w:pStyle w:val="29"/>
        <w:numPr>
          <w:ilvl w:val="0"/>
          <w:numId w:val="17"/>
        </w:numPr>
        <w:tabs>
          <w:tab w:val="left" w:pos="445"/>
        </w:tabs>
        <w:ind w:left="445" w:firstLine="643"/>
        <w:rPr>
          <w:b/>
          <w:sz w:val="32"/>
        </w:rPr>
      </w:pPr>
      <w:r>
        <w:rPr>
          <w:b/>
          <w:sz w:val="32"/>
        </w:rPr>
        <w:t>供应商可结合本项目的评审办法视自身情况自行提交相关证明材料</w:t>
      </w:r>
    </w:p>
    <w:p w14:paraId="255CB6B5">
      <w:pPr>
        <w:spacing w:before="178"/>
        <w:ind w:left="120" w:firstLine="643"/>
        <w:rPr>
          <w:b/>
          <w:sz w:val="32"/>
        </w:rPr>
      </w:pPr>
      <w:r>
        <w:rPr>
          <w:b/>
          <w:sz w:val="32"/>
        </w:rPr>
        <w:t>（如有，请提供）</w:t>
      </w:r>
    </w:p>
    <w:sectPr>
      <w:pgSz w:w="11910" w:h="16840"/>
      <w:pgMar w:top="1400" w:right="640" w:bottom="1180" w:left="960" w:header="0" w:footer="95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1BA5F">
    <w:pPr>
      <w:pStyle w:val="1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3684905</wp:posOffset>
              </wp:positionH>
              <wp:positionV relativeFrom="page">
                <wp:posOffset>10095230</wp:posOffset>
              </wp:positionV>
              <wp:extent cx="204470" cy="152400"/>
              <wp:effectExtent l="0" t="0" r="0" b="0"/>
              <wp:wrapNone/>
              <wp:docPr id="6" name="Textbox 6"/>
              <wp:cNvGraphicFramePr/>
              <a:graphic xmlns:a="http://schemas.openxmlformats.org/drawingml/2006/main">
                <a:graphicData uri="http://schemas.microsoft.com/office/word/2010/wordprocessingShape">
                  <wps:wsp>
                    <wps:cNvSpPr txBox="1"/>
                    <wps:spPr>
                      <a:xfrm>
                        <a:off x="0" y="0"/>
                        <a:ext cx="204470" cy="152400"/>
                      </a:xfrm>
                      <a:prstGeom prst="rect">
                        <a:avLst/>
                      </a:prstGeom>
                      <a:noFill/>
                      <a:ln>
                        <a:noFill/>
                      </a:ln>
                      <a:effectLst/>
                    </wps:spPr>
                    <wps:txbx>
                      <w:txbxContent>
                        <w:p w14:paraId="0C7A33D0">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28</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id="Textbox 6" o:spid="_x0000_s1026" o:spt="202" type="#_x0000_t202" style="position:absolute;left:0pt;margin-left:290.15pt;margin-top:794.9pt;height:12pt;width:16.1pt;mso-position-horizontal-relative:page;mso-position-vertical-relative:page;z-index:-251656192;mso-width-relative:page;mso-height-relative:page;" filled="f" stroked="f" coordsize="21600,21600" o:gfxdata="UEsDBAoAAAAAAIdO4kAAAAAAAAAAAAAAAAAEAAAAZHJzL1BLAwQUAAAACACHTuJA3NFm09sAAAAN&#10;AQAADwAAAGRycy9kb3ducmV2LnhtbE2PzU7DMBCE70i8g7WVuFE7rRKlaZwKITghIdJw4OjEbmI1&#10;XofY/eHtWU70uDOfZmfK3dWN7GzmYD1KSJYCmMHOa4u9hM/m9TEHFqJCrUaPRsKPCbCr7u9KVWh/&#10;wdqc97FnFIKhUBKGGKeC89ANxqmw9JNB8g5+dirSOfdcz+pC4W7kKyEy7pRF+jCoyTwPpjvuT07C&#10;0xfWL/b7vf2oD7Vtmo3At+wo5cMiEVtg0VzjPwx/9ak6VNSp9SfUgY0S0lysCSUjzTc0gpAsWaXA&#10;WpKyZJ0Dr0p+u6L6BVBLAwQUAAAACACHTuJAhcLjWsMBAACkAwAADgAAAGRycy9lMm9Eb2MueG1s&#10;rVPBjtMwEL0j8Q+W7zRpVQqKmq6AahESAqRdPsBxJo0l22Nst0n/nrGTdGG57IGLM54Zv5n3ZrK/&#10;G41mF/BBoa35elVyBlZiq+yp5j8f79+85yxEYVuh0ULNrxD43eH1q/3gKthgj7oFzwjEhmpwNe9j&#10;dFVRBNmDEWGFDiwFO/RGRLr6U9F6MRC60cWmLHfFgL51HiWEQN7jFOQzon8JIHadknBEeTZg44Tq&#10;QYtIlEKvXOCH3G3XgYzfuy5AZLrmxDTmk4qQ3aSzOOxFdfLC9UrOLYiXtPCMkxHKUtEb1FFEwc5e&#10;/QNllPQYsIsriaaYiGRFiMW6fKbNQy8cZC4kdXA30cP/g5XfLj88U23Nd5xZYWjgjzDGBke2S+IM&#10;LlSU8+AoK44fcaSVWfyBnInz2HmTvsSGUZykvd6kJSwmybkpt9t3FJEUWr/dbMssffH02PkQPwMa&#10;loyae5pcFlRcvoZIjVDqkpJqWbxXWufpafuXgxInD+Txz68Tj6nfZMWxGWdyDbZX4jbQCtQ8/DoL&#10;D5zpL5Y0TvuyGH4xmsXwUX/CvFVT+Q/niJ3KraYSEy71nS40vMxgXrS0HX/ec9bTz3X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zRZtPbAAAADQEAAA8AAAAAAAAAAQAgAAAAIgAAAGRycy9kb3du&#10;cmV2LnhtbFBLAQIUABQAAAAIAIdO4kCFwuNawwEAAKQDAAAOAAAAAAAAAAEAIAAAACoBAABkcnMv&#10;ZTJvRG9jLnhtbFBLBQYAAAAABgAGAFkBAABfBQAAAAA=&#10;">
              <v:fill on="f" focussize="0,0"/>
              <v:stroke on="f"/>
              <v:imagedata o:title=""/>
              <o:lock v:ext="edit" aspectratio="f"/>
              <v:textbox inset="0mm,0mm,0mm,0mm">
                <w:txbxContent>
                  <w:p w14:paraId="0C7A33D0">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28</w:t>
                    </w:r>
                    <w:r>
                      <w:rPr>
                        <w:rFonts w:ascii="Times New Roman"/>
                        <w:spacing w:val="-5"/>
                        <w:sz w:val="18"/>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EF99C">
    <w:pPr>
      <w:spacing w:line="178" w:lineRule="auto"/>
      <w:ind w:left="45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3D28164">
                          <w:pPr>
                            <w:pStyle w:val="17"/>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0nKMU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mlGim0PHL92+X&#10;H78uP78S3EGgxvo54nYWkaF9a1qMzXDvcRl5t6VT8ReMCPyQ93yVV7SB8PhoNp3NxnBx+IYD8LPH&#10;59b58E4YRaKRU4f+JVnZaetDFzqExGzabGopUw+lJg1I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ScoxTgCAABxBAAADgAAAAAAAAABACAAAAAfAQAAZHJzL2Uyb0RvYy54&#10;bWxQSwUGAAAAAAYABgBZAQAAyQUAAAAA&#10;">
              <v:fill on="f" focussize="0,0"/>
              <v:stroke on="f" weight="0.5pt"/>
              <v:imagedata o:title=""/>
              <o:lock v:ext="edit" aspectratio="f"/>
              <v:textbox inset="0mm,0mm,0mm,0mm" style="mso-fit-shape-to-text:t;">
                <w:txbxContent>
                  <w:p w14:paraId="73D28164">
                    <w:pPr>
                      <w:pStyle w:val="17"/>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BE294">
    <w:pPr>
      <w:spacing w:line="178" w:lineRule="auto"/>
      <w:ind w:left="45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44F5E8">
                          <w:pPr>
                            <w:pStyle w:val="17"/>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ufaQ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i59pDgCAABxBAAADgAAAAAAAAABACAAAAAfAQAAZHJzL2Uyb0RvYy54&#10;bWxQSwUGAAAAAAYABgBZAQAAyQUAAAAA&#10;">
              <v:fill on="f" focussize="0,0"/>
              <v:stroke on="f" weight="0.5pt"/>
              <v:imagedata o:title=""/>
              <o:lock v:ext="edit" aspectratio="f"/>
              <v:textbox inset="0mm,0mm,0mm,0mm" style="mso-fit-shape-to-text:t;">
                <w:txbxContent>
                  <w:p w14:paraId="6A44F5E8">
                    <w:pPr>
                      <w:pStyle w:val="17"/>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5B1D0">
    <w:pPr>
      <w:pStyle w:val="12"/>
      <w:spacing w:line="14" w:lineRule="auto"/>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F627FE9">
                          <w:pPr>
                            <w:pStyle w:val="17"/>
                          </w:pPr>
                          <w:r>
                            <w:fldChar w:fldCharType="begin"/>
                          </w:r>
                          <w:r>
                            <w:instrText xml:space="preserve"> PAGE  \* MERGEFORMAT </w:instrText>
                          </w:r>
                          <w:r>
                            <w:fldChar w:fldCharType="separate"/>
                          </w:r>
                          <w:r>
                            <w:t>34</w:t>
                          </w:r>
                          <w:r>
                            <w:fldChar w:fldCharType="end"/>
                          </w:r>
                        </w:p>
                      </w:txbxContent>
                    </wps:txbx>
                    <wps:bodyPr vert="horz" wrap="none" lIns="0" tIns="0" rIns="0" bIns="0" anchor="t" anchorCtr="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oQzT+IBAADNAwAADgAAAGRycy9lMm9Eb2MueG1srVNNrtMwEN4jcQfL&#10;e5q0QqiKmj4B1UNICJAeHMB1nMaS/zSeNikHgBuwYsOec/UcjJ2kDx6bt2CTzJ+/me/zeHMzWMNO&#10;CqL2rubLRcmZctI32h1q/vnT7bM1ZxGFa4TxTtX8rCK/2T59sulDpVa+86ZRwAjExaoPNe8QQ1UU&#10;UXbKirjwQTlKth6sQHLhUDQgekK3pliV5Yui99AE8FLFSNHdmOQTIjwG0Letlmrn5dEqhyMqKCOQ&#10;KMVOh8i3edq2VRI/tG1UyEzNiSnmLzUhe5++xXYjqgOI0Gk5jSAeM8IDTlZoR02vUDuBgh1B/wNl&#10;tQQffYsL6W0xEsmKEItl+UCbu04ElbmQ1DFcRY//D1a+P30Eppuar5acOWHpxi/fv11+/Lr8/Mqe&#10;J336ECsquwtUiMMrP9DWzPFIwUR7aMGmPxFilCd1z1d11YBMpkPr1XpdUkpSbnYIv7g/HiDiG+Ut&#10;S0bNga4vqypO7yKOpXNJ6ub8rTYmX6FxfwUIc4yovAPT6cRknDhZOOyHid7eN2diR6+CunYevnDW&#10;007U3NET4My8dSR5Wp/ZgNnYz4Zwkg7WHDkbzdc4rtkxgD50hLvMVGJ4eUSaO9NJY4y9SYbk0C1n&#10;QaaNTGv0p5+r7l/h9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UoQzT+IBAADNAwAADgAA&#10;AAAAAAABACAAAAAeAQAAZHJzL2Uyb0RvYy54bWxQSwUGAAAAAAYABgBZAQAAcgUAAAAA&#10;">
              <v:fill on="f" focussize="0,0"/>
              <v:stroke on="f"/>
              <v:imagedata o:title=""/>
              <o:lock v:ext="edit" aspectratio="f"/>
              <v:textbox inset="0mm,0mm,0mm,0mm" style="mso-fit-shape-to-text:t;">
                <w:txbxContent>
                  <w:p w14:paraId="7F627FE9">
                    <w:pPr>
                      <w:pStyle w:val="17"/>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D6935">
    <w:pPr>
      <w:pStyle w:val="12"/>
      <w:spacing w:line="14" w:lineRule="auto"/>
      <w:rPr>
        <w:sz w:val="16"/>
      </w:rPr>
    </w:pPr>
    <w:r>
      <mc:AlternateContent>
        <mc:Choice Requires="wps">
          <w:drawing>
            <wp:anchor distT="0" distB="0" distL="114300" distR="114300" simplePos="0" relativeHeight="251661312" behindDoc="1" locked="0" layoutInCell="1" allowOverlap="1">
              <wp:simplePos x="0" y="0"/>
              <wp:positionH relativeFrom="page">
                <wp:posOffset>3684905</wp:posOffset>
              </wp:positionH>
              <wp:positionV relativeFrom="page">
                <wp:posOffset>9921240</wp:posOffset>
              </wp:positionV>
              <wp:extent cx="204470" cy="152400"/>
              <wp:effectExtent l="0" t="0" r="0" b="0"/>
              <wp:wrapNone/>
              <wp:docPr id="14" name="Textbox 14"/>
              <wp:cNvGraphicFramePr/>
              <a:graphic xmlns:a="http://schemas.openxmlformats.org/drawingml/2006/main">
                <a:graphicData uri="http://schemas.microsoft.com/office/word/2010/wordprocessingShape">
                  <wps:wsp>
                    <wps:cNvSpPr txBox="1"/>
                    <wps:spPr>
                      <a:xfrm>
                        <a:off x="0" y="0"/>
                        <a:ext cx="204470" cy="152400"/>
                      </a:xfrm>
                      <a:prstGeom prst="rect">
                        <a:avLst/>
                      </a:prstGeom>
                      <a:noFill/>
                      <a:ln>
                        <a:noFill/>
                      </a:ln>
                      <a:effectLst/>
                    </wps:spPr>
                    <wps:txbx>
                      <w:txbxContent>
                        <w:p w14:paraId="64906599">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37</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id="Textbox 14" o:spid="_x0000_s1026" o:spt="202" type="#_x0000_t202" style="position:absolute;left:0pt;margin-left:290.15pt;margin-top:781.2pt;height:12pt;width:16.1pt;mso-position-horizontal-relative:page;mso-position-vertical-relative:page;z-index:-251655168;mso-width-relative:page;mso-height-relative:page;" filled="f" stroked="f" coordsize="21600,21600" o:gfxdata="UEsDBAoAAAAAAIdO4kAAAAAAAAAAAAAAAAAEAAAAZHJzL1BLAwQUAAAACACHTuJATpruktoAAAAN&#10;AQAADwAAAGRycy9kb3ducmV2LnhtbE2PTU+EMBCG7yb+h2ZMvLktuBBEysYYPZkYWTx4LHQWmqVT&#10;pN0P/73dkx5n3ifvPFNtznZiR1y8cSQhWQlgSL3ThgYJn+3rXQHMB0VaTY5Qwg962NTXV5UqtTtR&#10;g8dtGFgsIV8qCWMIc8m570e0yq/cjBSznVusCnFcBq4XdYrlduKpEDm3ylC8MKoZn0fs99uDlfD0&#10;Rc2L+X7vPppdY9r2QdBbvpfy9iYRj8ACnsMfDBf9qA51dOrcgbRnk4SsEPcRjUGWp2tgEcmTNAPW&#10;XVZFvgZeV/z/F/UvUEsDBBQAAAAIAIdO4kC/IoALxAEAAKYDAAAOAAAAZHJzL2Uyb0RvYy54bWyt&#10;U01v2zAMvQ/YfxB0X+wE2QeMOEW7oMOAYRvQ7gfIMh0LkERNUmLn34+S7bTrLj3sIlMk9cj3SO9u&#10;RqPZGXxQaGu+XpWcgZXYKnus+a/H+3efOAtR2FZotFDzCwR+s3/7Zje4CjbYo27BMwKxoRpczfsY&#10;XVUUQfZgRFihA0vBDr0Rka7+WLReDIRudLEpyw/FgL51HiWEQN7DFOQzon8NIHadknBAeTJg44Tq&#10;QYtIlEKvXOD73G3XgYw/ui5AZLrmxDTmk4qQ3aSz2O9EdfTC9UrOLYjXtPCCkxHKUtEr1EFEwU5e&#10;/QNllPQYsIsriaaYiGRFiMW6fKHNQy8cZC4kdXBX0cP/g5Xfzz89Uy1twpYzKwxN/BHG2ODIyEPy&#10;DC5UlPXgKC+OdzhS6uIP5Eysx86b9CU+jOIk7uUqLoExSc5Nud1+pIik0Pr9Zltm8Yunx86H+AXQ&#10;sGTU3NPssqTi/C1EaoRSl5RUy+K90jrPT9u/HJQ4eSAvwPw68Zj6TVYcm3Em12B7IW4DLUHNw++T&#10;8MCZ/mpJ5bQxi+EXo1kMH/VnzHs1lb89RexUbjWVmHCp73Sh8WUG86ql/Xh+z1lPv9f+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6a7pLaAAAADQEAAA8AAAAAAAAAAQAgAAAAIgAAAGRycy9kb3du&#10;cmV2LnhtbFBLAQIUABQAAAAIAIdO4kC/IoALxAEAAKYDAAAOAAAAAAAAAAEAIAAAACkBAABkcnMv&#10;ZTJvRG9jLnhtbFBLBQYAAAAABgAGAFkBAABfBQAAAAA=&#10;">
              <v:fill on="f" focussize="0,0"/>
              <v:stroke on="f"/>
              <v:imagedata o:title=""/>
              <o:lock v:ext="edit" aspectratio="f"/>
              <v:textbox inset="0mm,0mm,0mm,0mm">
                <w:txbxContent>
                  <w:p w14:paraId="64906599">
                    <w:pPr>
                      <w:spacing w:before="12"/>
                      <w:ind w:left="60"/>
                      <w:rPr>
                        <w:rFonts w:ascii="Times New Roman"/>
                        <w:sz w:val="18"/>
                      </w:rPr>
                    </w:pPr>
                    <w:r>
                      <w:rPr>
                        <w:rFonts w:ascii="Times New Roman"/>
                        <w:spacing w:val="-5"/>
                        <w:sz w:val="18"/>
                      </w:rPr>
                      <w:fldChar w:fldCharType="begin"/>
                    </w:r>
                    <w:r>
                      <w:rPr>
                        <w:rFonts w:ascii="Times New Roman"/>
                        <w:spacing w:val="-5"/>
                        <w:sz w:val="18"/>
                      </w:rPr>
                      <w:instrText xml:space="preserve"> PAGE </w:instrText>
                    </w:r>
                    <w:r>
                      <w:rPr>
                        <w:rFonts w:ascii="Times New Roman"/>
                        <w:spacing w:val="-5"/>
                        <w:sz w:val="18"/>
                      </w:rPr>
                      <w:fldChar w:fldCharType="separate"/>
                    </w:r>
                    <w:r>
                      <w:rPr>
                        <w:rFonts w:ascii="Times New Roman"/>
                        <w:spacing w:val="-5"/>
                        <w:sz w:val="18"/>
                      </w:rPr>
                      <w:t>37</w:t>
                    </w:r>
                    <w:r>
                      <w:rPr>
                        <w:rFonts w:ascii="Times New Roman"/>
                        <w:spacing w:val="-5"/>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8A7AC">
    <w:pPr>
      <w:spacing w:line="178" w:lineRule="auto"/>
      <w:ind w:left="453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F22359">
                          <w:pPr>
                            <w:pStyle w:val="17"/>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H8aY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QH8aY5AgAAcQQAAA4AAAAAAAAAAQAgAAAAHwEAAGRycy9lMm9Eb2Mu&#10;eG1sUEsFBgAAAAAGAAYAWQEAAMoFAAAAAA==&#10;">
              <v:fill on="f" focussize="0,0"/>
              <v:stroke on="f" weight="0.5pt"/>
              <v:imagedata o:title=""/>
              <o:lock v:ext="edit" aspectratio="f"/>
              <v:textbox inset="0mm,0mm,0mm,0mm" style="mso-fit-shape-to-text:t;">
                <w:txbxContent>
                  <w:p w14:paraId="50F22359">
                    <w:pPr>
                      <w:pStyle w:val="1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30176">
    <w:pPr>
      <w:spacing w:line="178" w:lineRule="auto"/>
      <w:ind w:left="45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C4566A">
                          <w:pPr>
                            <w:pStyle w:val="1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en6w5AgAAcQQAAA4AAABkcnMvZTJvRG9jLnhtbK1UzY7aMBC+V+o7&#10;WL6XAKsihAgruoiqEuquRKuejeOQSP6TbUjoA7Rv0FMvvfe5eI797BC22vawh17C2DP+Zr5vZpjf&#10;tkqSo3C+Njqno8GQEqG5KWq9z+nnT+s3U0p8YLpg0miR05Pw9Hbx+tW8sTMxNpWRhXAEINrPGpvT&#10;KgQ7yzLPK6GYHxgrNJylcYoFHN0+KxxrgK5kNh4OJ1ljXGGd4cJ73K46J70gupcAmrKsuVgZflBC&#10;hw7VCckCKPmqtp4uUrVlKXi4L0svApE5BdOQvkgCexe/2WLOZnvHbFXzSwnsJSU846RYrZH0CrVi&#10;gZGDq/+CUjV3xpsyDLhRWUckKQIWo+EzbbYVsyJxgdTeXkX3/w+Wfzw+OFIXOb2ZUKKZQsfPP76f&#10;f/4+//pGcAeBGutniNtaRIb2nWkxNv29x2Xk3ZZOxV8wIvBD3tNVXtEGwuOj6Xg6HcLF4esPwM+e&#10;nlvnw3thFIlGTh36l2Rlx40PXWgfErNps66lTD2UmjQ5ndy8HaYHVw/ApY6xIk3DBSZS6kqPVmh3&#10;7YXnzhQn0HSmmxRv+bpGKRvmwwNzGA2Uj+UJ9/iU0iCluViUVMZ9/dd9jEfH4KWkwajlVGOzKJEf&#10;NDoJwNAbrjd2vaEP6s5gdkdYSsuTiQcuyN4snVFfsFHLmAMupjky5TT05l3oxh0bycVymYIO1tX7&#10;qnuAObQsbPTW8pgmSuXt8hAgbVI8CtSpgk7FAyYx9eyyNXHU/zynqKd/isU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AXen6w5AgAAcQQAAA4AAAAAAAAAAQAgAAAAHwEAAGRycy9lMm9Eb2Mu&#10;eG1sUEsFBgAAAAAGAAYAWQEAAMoFAAAAAA==&#10;">
              <v:fill on="f" focussize="0,0"/>
              <v:stroke on="f" weight="0.5pt"/>
              <v:imagedata o:title=""/>
              <o:lock v:ext="edit" aspectratio="f"/>
              <v:textbox inset="0mm,0mm,0mm,0mm" style="mso-fit-shape-to-text:t;">
                <w:txbxContent>
                  <w:p w14:paraId="5EC4566A">
                    <w:pPr>
                      <w:pStyle w:val="1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8ACA1">
    <w:pPr>
      <w:spacing w:line="178" w:lineRule="auto"/>
      <w:ind w:left="40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81BF96">
                          <w:pPr>
                            <w:pStyle w:val="1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s1ek6AgAAcQQAAA4AAABkcnMvZTJvRG9jLnhtbK1UzY7TMBC+I/EO&#10;lu80aVcs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kbNXpOgIAAHEEAAAOAAAAAAAAAAEAIAAAAB8BAABkcnMvZTJvRG9j&#10;LnhtbFBLBQYAAAAABgAGAFkBAADLBQAAAAA=&#10;">
              <v:fill on="f" focussize="0,0"/>
              <v:stroke on="f" weight="0.5pt"/>
              <v:imagedata o:title=""/>
              <o:lock v:ext="edit" aspectratio="f"/>
              <v:textbox inset="0mm,0mm,0mm,0mm" style="mso-fit-shape-to-text:t;">
                <w:txbxContent>
                  <w:p w14:paraId="5881BF96">
                    <w:pPr>
                      <w:pStyle w:val="1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65131">
    <w:pPr>
      <w:spacing w:line="178" w:lineRule="auto"/>
      <w:ind w:left="45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B5279D5">
                          <w:pPr>
                            <w:pStyle w:val="17"/>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4vhk6AgAAcQ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dUaKZQsdP37+d&#10;fvw6/fxKcAeBWutniHuwiAzdW9NhbIZ7j8vIu6ucir9gROCHvMeLvKILhMdH08l0msPF4RsOwM8e&#10;n1vnwzthFIlGQR36l2Rlh40PfegQErNps26kTD2UmrQFvX79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COL4ZOgIAAHEEAAAOAAAAAAAAAAEAIAAAAB8BAABkcnMvZTJvRG9j&#10;LnhtbFBLBQYAAAAABgAGAFkBAADLBQAAAAA=&#10;">
              <v:fill on="f" focussize="0,0"/>
              <v:stroke on="f" weight="0.5pt"/>
              <v:imagedata o:title=""/>
              <o:lock v:ext="edit" aspectratio="f"/>
              <v:textbox inset="0mm,0mm,0mm,0mm" style="mso-fit-shape-to-text:t;">
                <w:txbxContent>
                  <w:p w14:paraId="0B5279D5">
                    <w:pPr>
                      <w:pStyle w:val="17"/>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83F9B">
    <w:pPr>
      <w:spacing w:line="178"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C55A6F">
                          <w:pPr>
                            <w:pStyle w:val="1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K9Fw6AgAAcQQAAA4AAABkcnMvZTJvRG9jLnhtbK1UzY7TMBC+I/EO&#10;lu80aWFX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r65okQzhY6fvn87&#10;/fh1+vmV4A4CtdbPEPdgERm6t6bD2Az3HpeRd1c5FX/BiMAPeY8XeUUXCI+PppPpNIeLwzccgJ89&#10;PrfOh3fCKBKNgjr0L8nKDhsf+tAhJGbTZt1ImXooNWkLev36K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jivRcOgIAAHEEAAAOAAAAAAAAAAEAIAAAAB8BAABkcnMvZTJvRG9j&#10;LnhtbFBLBQYAAAAABgAGAFkBAADLBQAAAAA=&#10;">
              <v:fill on="f" focussize="0,0"/>
              <v:stroke on="f" weight="0.5pt"/>
              <v:imagedata o:title=""/>
              <o:lock v:ext="edit" aspectratio="f"/>
              <v:textbox inset="0mm,0mm,0mm,0mm" style="mso-fit-shape-to-text:t;">
                <w:txbxContent>
                  <w:p w14:paraId="52C55A6F">
                    <w:pPr>
                      <w:pStyle w:val="1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4AB4D">
    <w:pPr>
      <w:spacing w:line="178" w:lineRule="auto"/>
      <w:ind w:left="45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E13E1C">
                          <w:pPr>
                            <w:pStyle w:val="17"/>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3fadU5AgAAcQQAAA4AAABkcnMvZTJvRG9jLnhtbK1UzY7TMBC+I/EO&#10;lu80aYFV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Ys6Ks3lGim0PHT92+n&#10;H79OP78S3EGg1voZ4jYWkaF7azqMzXDvcRl5d5VT8ReMCPyQ93iRV3SB8PhoOplOc7g4fMMB+NnD&#10;c+t8eCeMItEoqEP/kqzscOtDHzqExGzarBspUw+lJm1Br16+ztODiwfgUsdYkabhDBMp9aVHK3Tb&#10;7sxza8ojaDrTT4q3fN2glFvmwz1zGA2Uj+UJd/hU0iClOVuU1MZ9+dd9jEfH4KWkxagVVGOzKJHv&#10;NToJwDAYbjC2g6H36sZgdsdYSsuTiQcuyMGsnFGfsVHLmAMupjkyFTQM5k3oxx0bycVymYL21jW7&#10;un+AObQs3OqN5TFNlMrb5T5A2qR4FKhXBZ2KB0xi6tl5a+Ko/3lOUQ//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3fadU5AgAAcQQAAA4AAAAAAAAAAQAgAAAAHwEAAGRycy9lMm9Eb2Mu&#10;eG1sUEsFBgAAAAAGAAYAWQEAAMoFAAAAAA==&#10;">
              <v:fill on="f" focussize="0,0"/>
              <v:stroke on="f" weight="0.5pt"/>
              <v:imagedata o:title=""/>
              <o:lock v:ext="edit" aspectratio="f"/>
              <v:textbox inset="0mm,0mm,0mm,0mm" style="mso-fit-shape-to-text:t;">
                <w:txbxContent>
                  <w:p w14:paraId="5AE13E1C">
                    <w:pPr>
                      <w:pStyle w:val="17"/>
                    </w:pPr>
                    <w:r>
                      <w:fldChar w:fldCharType="begin"/>
                    </w:r>
                    <w:r>
                      <w:instrText xml:space="preserve"> PAGE  \* MERGEFORMAT </w:instrText>
                    </w:r>
                    <w:r>
                      <w:fldChar w:fldCharType="separate"/>
                    </w:r>
                    <w:r>
                      <w:t>75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BF804">
    <w:pPr>
      <w:pStyle w:val="12"/>
      <w:spacing w:line="14" w:lineRule="auto"/>
      <w:rPr>
        <w:sz w:val="20"/>
      </w:rPr>
    </w:pPr>
    <w:r>
      <mc:AlternateContent>
        <mc:Choice Requires="wps">
          <w:drawing>
            <wp:anchor distT="0" distB="0" distL="114300" distR="114300" simplePos="0" relativeHeight="251677696" behindDoc="1" locked="0" layoutInCell="1" allowOverlap="1">
              <wp:simplePos x="0" y="0"/>
              <wp:positionH relativeFrom="page">
                <wp:posOffset>774700</wp:posOffset>
              </wp:positionH>
              <wp:positionV relativeFrom="page">
                <wp:posOffset>600075</wp:posOffset>
              </wp:positionV>
              <wp:extent cx="6026150" cy="9525"/>
              <wp:effectExtent l="0" t="0" r="0" b="0"/>
              <wp:wrapNone/>
              <wp:docPr id="8" name="Graphic 15"/>
              <wp:cNvGraphicFramePr/>
              <a:graphic xmlns:a="http://schemas.openxmlformats.org/drawingml/2006/main">
                <a:graphicData uri="http://schemas.microsoft.com/office/word/2010/wordprocessingShape">
                  <wps:wsp>
                    <wps:cNvSpPr/>
                    <wps:spPr>
                      <a:xfrm>
                        <a:off x="0" y="0"/>
                        <a:ext cx="6026150" cy="9525"/>
                      </a:xfrm>
                      <a:custGeom>
                        <a:avLst/>
                        <a:gdLst/>
                        <a:ahLst/>
                        <a:cxnLst/>
                        <a:pathLst>
                          <a:path w="6026150" h="9525">
                            <a:moveTo>
                              <a:pt x="6026150" y="9144"/>
                            </a:moveTo>
                            <a:lnTo>
                              <a:pt x="0" y="9144"/>
                            </a:lnTo>
                            <a:lnTo>
                              <a:pt x="0" y="0"/>
                            </a:lnTo>
                            <a:lnTo>
                              <a:pt x="6026150" y="0"/>
                            </a:lnTo>
                            <a:lnTo>
                              <a:pt x="6026150" y="9144"/>
                            </a:lnTo>
                            <a:close/>
                          </a:path>
                        </a:pathLst>
                      </a:custGeom>
                      <a:solidFill>
                        <a:srgbClr val="000000"/>
                      </a:solidFill>
                      <a:ln>
                        <a:noFill/>
                      </a:ln>
                    </wps:spPr>
                    <wps:bodyPr lIns="0" tIns="0" rIns="0" bIns="0" upright="1"/>
                  </wps:wsp>
                </a:graphicData>
              </a:graphic>
            </wp:anchor>
          </w:drawing>
        </mc:Choice>
        <mc:Fallback>
          <w:pict>
            <v:shape id="Graphic 15" o:spid="_x0000_s1026" o:spt="100" style="position:absolute;left:0pt;margin-left:61pt;margin-top:47.25pt;height:0.75pt;width:474.5pt;mso-position-horizontal-relative:page;mso-position-vertical-relative:page;z-index:-251638784;mso-width-relative:page;mso-height-relative:page;" fillcolor="#000000" filled="t" stroked="f" coordsize="6026150,9525" o:gfxdata="UEsDBAoAAAAAAIdO4kAAAAAAAAAAAAAAAAAEAAAAZHJzL1BLAwQUAAAACACHTuJAtT8WmNcAAAAK&#10;AQAADwAAAGRycy9kb3ducmV2LnhtbE2PwU7DMBBE70j8g7VI3KidCAKEOD1UcCuHFgTi5sZLkjZe&#10;R7abFr6+2xMcZ3Y0+6aaH90gJgyx96QhmykQSI23PbUa3t9ebh5AxGTImsETavjBCPP68qIypfUH&#10;WuG0Tq3gEoql0dClNJZSxqZDZ+LMj0h8+/bBmcQytNIGc+ByN8hcqUI60xN/6MyIiw6b3XrvNGzb&#10;CYus+fgN8TV89Z/LWCyel1pfX2XqCUTCY/oLwxmf0aFmpo3fk41iYJ3nvCVpeLy9A3EOqPuMnQ07&#10;hQJZV/L/hPoEUEsDBBQAAAAIAIdO4kCJCAw7AgIAALAEAAAOAAAAZHJzL2Uyb0RvYy54bWytVMGO&#10;2yAQvVfqPyDujeNoE7VRnD002lWlql1ptx9AMLaRgEFA7OTvO2CTeLeXHJqDGZjhzXsPyO7xrBXp&#10;hfMSTEXLxZISYTjU0rQV/fP29OUrJT4wUzMFRlT0Ijx93H/+tBvsVqygA1ULRxDE+O1gK9qFYLdF&#10;4XknNPMLsMJgsgGnWcCpa4vasQHRtSpWy+WmGMDV1gEX3uPqYUzSCdHdAwhNI7k4AD9pYcKI6oRi&#10;ASX5TlpP94lt0wgefjeNF4GoiqLSkL7YBONj/Bb7Hdu2jtlO8okCu4fCB02aSYNNr1AHFhg5OfkP&#10;lJbcgYcmLDjoYhSSHEEV5fKDN68dsyJpQau9vZru/x8s/9W/OCLriuKxG6bxwJ8nN8p1dGewfotF&#10;r/bFTTOPYZR6bpyOI4og5+To5eqoOAfCcXGzXG3KNZrNMfdtvUqQxW0vP/nwLCDhsP6nD+N51Dli&#10;XY742eTQshCXY+8YkmHWp5vaxKSGXrxBKguR4ZVM5FI+PER5yOVWpsy8HFm/L8zpPNqEOpalm4Rg&#10;OZfHsWbe+f7KGccMxxV4MdKO0hP/qx3Yfu6nByXrJ6lUdMC79vhdOdKz+BDSb5L/rkyZWGwgbhvb&#10;xJUiXoLx2GN0hPqCl0b9MHgRUX7IgcvBMQcn62Tb4asrU7e4Gy9yoj09uvhS5vPU7fZHs/8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T8WmNcAAAAKAQAADwAAAAAAAAABACAAAAAiAAAAZHJzL2Rv&#10;d25yZXYueG1sUEsBAhQAFAAAAAgAh07iQIkIDDsCAgAAsAQAAA4AAAAAAAAAAQAgAAAAJgEAAGRy&#10;cy9lMm9Eb2MueG1sUEsFBgAAAAAGAAYAWQEAAJoFAAAAAA==&#10;" path="m6026150,9144l0,9144,0,0,6026150,0,6026150,9144xe">
              <v:fill on="t" focussize="0,0"/>
              <v:stroke on="f"/>
              <v:imagedata o:title=""/>
              <o:lock v:ext="edit" aspectratio="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F12F34"/>
    <w:multiLevelType w:val="multilevel"/>
    <w:tmpl w:val="D5F12F34"/>
    <w:lvl w:ilvl="0" w:tentative="0">
      <w:start w:val="1"/>
      <w:numFmt w:val="decimal"/>
      <w:lvlText w:val="%1."/>
      <w:lvlJc w:val="left"/>
      <w:pPr>
        <w:ind w:left="943" w:hanging="284"/>
      </w:pPr>
      <w:rPr>
        <w:rFonts w:hint="default"/>
        <w:spacing w:val="-2"/>
        <w:w w:val="92"/>
        <w:lang w:val="en-US" w:eastAsia="zh-CN" w:bidi="ar-SA"/>
      </w:rPr>
    </w:lvl>
    <w:lvl w:ilvl="1" w:tentative="0">
      <w:start w:val="1"/>
      <w:numFmt w:val="decimal"/>
      <w:lvlText w:val="%2."/>
      <w:lvlJc w:val="left"/>
      <w:pPr>
        <w:ind w:left="660" w:hanging="241"/>
      </w:pPr>
      <w:rPr>
        <w:rFonts w:hint="default"/>
        <w:spacing w:val="0"/>
        <w:w w:val="91"/>
        <w:lang w:val="en-US" w:eastAsia="zh-CN" w:bidi="ar-SA"/>
      </w:rPr>
    </w:lvl>
    <w:lvl w:ilvl="2" w:tentative="0">
      <w:start w:val="0"/>
      <w:numFmt w:val="bullet"/>
      <w:lvlText w:val="•"/>
      <w:lvlJc w:val="left"/>
      <w:pPr>
        <w:ind w:left="1500" w:hanging="241"/>
      </w:pPr>
      <w:rPr>
        <w:rFonts w:hint="default"/>
        <w:lang w:val="en-US" w:eastAsia="zh-CN" w:bidi="ar-SA"/>
      </w:rPr>
    </w:lvl>
    <w:lvl w:ilvl="3" w:tentative="0">
      <w:start w:val="0"/>
      <w:numFmt w:val="bullet"/>
      <w:lvlText w:val="•"/>
      <w:lvlJc w:val="left"/>
      <w:pPr>
        <w:ind w:left="1775" w:hanging="241"/>
      </w:pPr>
      <w:rPr>
        <w:rFonts w:hint="default"/>
        <w:lang w:val="en-US" w:eastAsia="zh-CN" w:bidi="ar-SA"/>
      </w:rPr>
    </w:lvl>
    <w:lvl w:ilvl="4" w:tentative="0">
      <w:start w:val="0"/>
      <w:numFmt w:val="bullet"/>
      <w:lvlText w:val="•"/>
      <w:lvlJc w:val="left"/>
      <w:pPr>
        <w:ind w:left="2051" w:hanging="241"/>
      </w:pPr>
      <w:rPr>
        <w:rFonts w:hint="default"/>
        <w:lang w:val="en-US" w:eastAsia="zh-CN" w:bidi="ar-SA"/>
      </w:rPr>
    </w:lvl>
    <w:lvl w:ilvl="5" w:tentative="0">
      <w:start w:val="0"/>
      <w:numFmt w:val="bullet"/>
      <w:lvlText w:val="•"/>
      <w:lvlJc w:val="left"/>
      <w:pPr>
        <w:ind w:left="2326" w:hanging="241"/>
      </w:pPr>
      <w:rPr>
        <w:rFonts w:hint="default"/>
        <w:lang w:val="en-US" w:eastAsia="zh-CN" w:bidi="ar-SA"/>
      </w:rPr>
    </w:lvl>
    <w:lvl w:ilvl="6" w:tentative="0">
      <w:start w:val="0"/>
      <w:numFmt w:val="bullet"/>
      <w:lvlText w:val="•"/>
      <w:lvlJc w:val="left"/>
      <w:pPr>
        <w:ind w:left="2602" w:hanging="241"/>
      </w:pPr>
      <w:rPr>
        <w:rFonts w:hint="default"/>
        <w:lang w:val="en-US" w:eastAsia="zh-CN" w:bidi="ar-SA"/>
      </w:rPr>
    </w:lvl>
    <w:lvl w:ilvl="7" w:tentative="0">
      <w:start w:val="0"/>
      <w:numFmt w:val="bullet"/>
      <w:lvlText w:val="•"/>
      <w:lvlJc w:val="left"/>
      <w:pPr>
        <w:ind w:left="2878" w:hanging="241"/>
      </w:pPr>
      <w:rPr>
        <w:rFonts w:hint="default"/>
        <w:lang w:val="en-US" w:eastAsia="zh-CN" w:bidi="ar-SA"/>
      </w:rPr>
    </w:lvl>
    <w:lvl w:ilvl="8" w:tentative="0">
      <w:start w:val="0"/>
      <w:numFmt w:val="bullet"/>
      <w:lvlText w:val="•"/>
      <w:lvlJc w:val="left"/>
      <w:pPr>
        <w:ind w:left="3153" w:hanging="241"/>
      </w:pPr>
      <w:rPr>
        <w:rFonts w:hint="default"/>
        <w:lang w:val="en-US" w:eastAsia="zh-CN" w:bidi="ar-SA"/>
      </w:rPr>
    </w:lvl>
  </w:abstractNum>
  <w:abstractNum w:abstractNumId="1">
    <w:nsid w:val="DAD3A854"/>
    <w:multiLevelType w:val="multilevel"/>
    <w:tmpl w:val="DAD3A854"/>
    <w:lvl w:ilvl="0" w:tentative="0">
      <w:start w:val="0"/>
      <w:numFmt w:val="bullet"/>
      <w:lvlText w:val="□"/>
      <w:lvlJc w:val="left"/>
      <w:pPr>
        <w:ind w:left="119" w:hanging="281"/>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716" w:hanging="281"/>
      </w:pPr>
      <w:rPr>
        <w:rFonts w:hint="default"/>
        <w:lang w:val="en-US" w:eastAsia="zh-CN" w:bidi="ar-SA"/>
      </w:rPr>
    </w:lvl>
    <w:lvl w:ilvl="2" w:tentative="0">
      <w:start w:val="0"/>
      <w:numFmt w:val="bullet"/>
      <w:lvlText w:val="•"/>
      <w:lvlJc w:val="left"/>
      <w:pPr>
        <w:ind w:left="1313" w:hanging="281"/>
      </w:pPr>
      <w:rPr>
        <w:rFonts w:hint="default"/>
        <w:lang w:val="en-US" w:eastAsia="zh-CN" w:bidi="ar-SA"/>
      </w:rPr>
    </w:lvl>
    <w:lvl w:ilvl="3" w:tentative="0">
      <w:start w:val="0"/>
      <w:numFmt w:val="bullet"/>
      <w:lvlText w:val="•"/>
      <w:lvlJc w:val="left"/>
      <w:pPr>
        <w:ind w:left="1909" w:hanging="281"/>
      </w:pPr>
      <w:rPr>
        <w:rFonts w:hint="default"/>
        <w:lang w:val="en-US" w:eastAsia="zh-CN" w:bidi="ar-SA"/>
      </w:rPr>
    </w:lvl>
    <w:lvl w:ilvl="4" w:tentative="0">
      <w:start w:val="0"/>
      <w:numFmt w:val="bullet"/>
      <w:lvlText w:val="•"/>
      <w:lvlJc w:val="left"/>
      <w:pPr>
        <w:ind w:left="2506" w:hanging="281"/>
      </w:pPr>
      <w:rPr>
        <w:rFonts w:hint="default"/>
        <w:lang w:val="en-US" w:eastAsia="zh-CN" w:bidi="ar-SA"/>
      </w:rPr>
    </w:lvl>
    <w:lvl w:ilvl="5" w:tentative="0">
      <w:start w:val="0"/>
      <w:numFmt w:val="bullet"/>
      <w:lvlText w:val="•"/>
      <w:lvlJc w:val="left"/>
      <w:pPr>
        <w:ind w:left="3102" w:hanging="281"/>
      </w:pPr>
      <w:rPr>
        <w:rFonts w:hint="default"/>
        <w:lang w:val="en-US" w:eastAsia="zh-CN" w:bidi="ar-SA"/>
      </w:rPr>
    </w:lvl>
    <w:lvl w:ilvl="6" w:tentative="0">
      <w:start w:val="0"/>
      <w:numFmt w:val="bullet"/>
      <w:lvlText w:val="•"/>
      <w:lvlJc w:val="left"/>
      <w:pPr>
        <w:ind w:left="3699" w:hanging="281"/>
      </w:pPr>
      <w:rPr>
        <w:rFonts w:hint="default"/>
        <w:lang w:val="en-US" w:eastAsia="zh-CN" w:bidi="ar-SA"/>
      </w:rPr>
    </w:lvl>
    <w:lvl w:ilvl="7" w:tentative="0">
      <w:start w:val="0"/>
      <w:numFmt w:val="bullet"/>
      <w:lvlText w:val="•"/>
      <w:lvlJc w:val="left"/>
      <w:pPr>
        <w:ind w:left="4295" w:hanging="281"/>
      </w:pPr>
      <w:rPr>
        <w:rFonts w:hint="default"/>
        <w:lang w:val="en-US" w:eastAsia="zh-CN" w:bidi="ar-SA"/>
      </w:rPr>
    </w:lvl>
    <w:lvl w:ilvl="8" w:tentative="0">
      <w:start w:val="0"/>
      <w:numFmt w:val="bullet"/>
      <w:lvlText w:val="•"/>
      <w:lvlJc w:val="left"/>
      <w:pPr>
        <w:ind w:left="4892" w:hanging="281"/>
      </w:pPr>
      <w:rPr>
        <w:rFonts w:hint="default"/>
        <w:lang w:val="en-US" w:eastAsia="zh-CN" w:bidi="ar-SA"/>
      </w:rPr>
    </w:lvl>
  </w:abstractNum>
  <w:abstractNum w:abstractNumId="2">
    <w:nsid w:val="E093A4B0"/>
    <w:multiLevelType w:val="multilevel"/>
    <w:tmpl w:val="E093A4B0"/>
    <w:lvl w:ilvl="0" w:tentative="0">
      <w:start w:val="1"/>
      <w:numFmt w:val="upperLetter"/>
      <w:lvlText w:val="%1."/>
      <w:lvlJc w:val="left"/>
      <w:pPr>
        <w:ind w:left="362" w:hanging="244"/>
        <w:jc w:val="right"/>
      </w:pPr>
      <w:rPr>
        <w:rFonts w:hint="default" w:ascii="宋体" w:hAnsi="宋体" w:eastAsia="宋体" w:cs="宋体"/>
        <w:b/>
        <w:bCs/>
        <w:i w:val="0"/>
        <w:iCs w:val="0"/>
        <w:spacing w:val="0"/>
        <w:w w:val="99"/>
        <w:sz w:val="22"/>
        <w:szCs w:val="22"/>
        <w:lang w:val="en-US" w:eastAsia="zh-CN" w:bidi="ar-SA"/>
      </w:rPr>
    </w:lvl>
    <w:lvl w:ilvl="1" w:tentative="0">
      <w:start w:val="0"/>
      <w:numFmt w:val="bullet"/>
      <w:lvlText w:val="•"/>
      <w:lvlJc w:val="left"/>
      <w:pPr>
        <w:ind w:left="1309" w:hanging="244"/>
      </w:pPr>
      <w:rPr>
        <w:rFonts w:hint="default"/>
        <w:lang w:val="en-US" w:eastAsia="zh-CN" w:bidi="ar-SA"/>
      </w:rPr>
    </w:lvl>
    <w:lvl w:ilvl="2" w:tentative="0">
      <w:start w:val="0"/>
      <w:numFmt w:val="bullet"/>
      <w:lvlText w:val="•"/>
      <w:lvlJc w:val="left"/>
      <w:pPr>
        <w:ind w:left="2258" w:hanging="244"/>
      </w:pPr>
      <w:rPr>
        <w:rFonts w:hint="default"/>
        <w:lang w:val="en-US" w:eastAsia="zh-CN" w:bidi="ar-SA"/>
      </w:rPr>
    </w:lvl>
    <w:lvl w:ilvl="3" w:tentative="0">
      <w:start w:val="0"/>
      <w:numFmt w:val="bullet"/>
      <w:lvlText w:val="•"/>
      <w:lvlJc w:val="left"/>
      <w:pPr>
        <w:ind w:left="3207" w:hanging="244"/>
      </w:pPr>
      <w:rPr>
        <w:rFonts w:hint="default"/>
        <w:lang w:val="en-US" w:eastAsia="zh-CN" w:bidi="ar-SA"/>
      </w:rPr>
    </w:lvl>
    <w:lvl w:ilvl="4" w:tentative="0">
      <w:start w:val="0"/>
      <w:numFmt w:val="bullet"/>
      <w:lvlText w:val="•"/>
      <w:lvlJc w:val="left"/>
      <w:pPr>
        <w:ind w:left="4156" w:hanging="244"/>
      </w:pPr>
      <w:rPr>
        <w:rFonts w:hint="default"/>
        <w:lang w:val="en-US" w:eastAsia="zh-CN" w:bidi="ar-SA"/>
      </w:rPr>
    </w:lvl>
    <w:lvl w:ilvl="5" w:tentative="0">
      <w:start w:val="0"/>
      <w:numFmt w:val="bullet"/>
      <w:lvlText w:val="•"/>
      <w:lvlJc w:val="left"/>
      <w:pPr>
        <w:ind w:left="5105" w:hanging="244"/>
      </w:pPr>
      <w:rPr>
        <w:rFonts w:hint="default"/>
        <w:lang w:val="en-US" w:eastAsia="zh-CN" w:bidi="ar-SA"/>
      </w:rPr>
    </w:lvl>
    <w:lvl w:ilvl="6" w:tentative="0">
      <w:start w:val="0"/>
      <w:numFmt w:val="bullet"/>
      <w:lvlText w:val="•"/>
      <w:lvlJc w:val="left"/>
      <w:pPr>
        <w:ind w:left="6054" w:hanging="244"/>
      </w:pPr>
      <w:rPr>
        <w:rFonts w:hint="default"/>
        <w:lang w:val="en-US" w:eastAsia="zh-CN" w:bidi="ar-SA"/>
      </w:rPr>
    </w:lvl>
    <w:lvl w:ilvl="7" w:tentative="0">
      <w:start w:val="0"/>
      <w:numFmt w:val="bullet"/>
      <w:lvlText w:val="•"/>
      <w:lvlJc w:val="left"/>
      <w:pPr>
        <w:ind w:left="7003" w:hanging="244"/>
      </w:pPr>
      <w:rPr>
        <w:rFonts w:hint="default"/>
        <w:lang w:val="en-US" w:eastAsia="zh-CN" w:bidi="ar-SA"/>
      </w:rPr>
    </w:lvl>
    <w:lvl w:ilvl="8" w:tentative="0">
      <w:start w:val="0"/>
      <w:numFmt w:val="bullet"/>
      <w:lvlText w:val="•"/>
      <w:lvlJc w:val="left"/>
      <w:pPr>
        <w:ind w:left="7952" w:hanging="244"/>
      </w:pPr>
      <w:rPr>
        <w:rFonts w:hint="default"/>
        <w:lang w:val="en-US" w:eastAsia="zh-CN" w:bidi="ar-SA"/>
      </w:rPr>
    </w:lvl>
  </w:abstractNum>
  <w:abstractNum w:abstractNumId="3">
    <w:nsid w:val="FCC85EE2"/>
    <w:multiLevelType w:val="multilevel"/>
    <w:tmpl w:val="FCC85EE2"/>
    <w:lvl w:ilvl="0" w:tentative="0">
      <w:start w:val="1"/>
      <w:numFmt w:val="decimal"/>
      <w:lvlText w:val="%1."/>
      <w:lvlJc w:val="left"/>
      <w:pPr>
        <w:ind w:left="480" w:hanging="260"/>
      </w:pPr>
      <w:rPr>
        <w:rFonts w:hint="default" w:ascii="宋体" w:hAnsi="宋体" w:eastAsia="宋体" w:cs="宋体"/>
        <w:b w:val="0"/>
        <w:bCs w:val="0"/>
        <w:i w:val="0"/>
        <w:iCs w:val="0"/>
        <w:spacing w:val="4"/>
        <w:w w:val="100"/>
        <w:sz w:val="22"/>
        <w:szCs w:val="22"/>
        <w:lang w:val="en-US" w:eastAsia="zh-CN" w:bidi="ar-SA"/>
      </w:rPr>
    </w:lvl>
    <w:lvl w:ilvl="1" w:tentative="0">
      <w:start w:val="1"/>
      <w:numFmt w:val="decimal"/>
      <w:lvlText w:val="%2."/>
      <w:lvlJc w:val="left"/>
      <w:pPr>
        <w:ind w:left="1441" w:hanging="241"/>
      </w:pPr>
      <w:rPr>
        <w:rFonts w:hint="default" w:ascii="宋体" w:hAnsi="宋体" w:eastAsia="宋体" w:cs="宋体"/>
        <w:b w:val="0"/>
        <w:bCs w:val="0"/>
        <w:i w:val="0"/>
        <w:iCs w:val="0"/>
        <w:spacing w:val="0"/>
        <w:w w:val="99"/>
        <w:sz w:val="22"/>
        <w:szCs w:val="22"/>
        <w:lang w:val="en-US" w:eastAsia="zh-CN" w:bidi="ar-SA"/>
      </w:rPr>
    </w:lvl>
    <w:lvl w:ilvl="2" w:tentative="0">
      <w:start w:val="0"/>
      <w:numFmt w:val="bullet"/>
      <w:lvlText w:val="•"/>
      <w:lvlJc w:val="left"/>
      <w:pPr>
        <w:ind w:left="2425" w:hanging="241"/>
      </w:pPr>
      <w:rPr>
        <w:rFonts w:hint="default"/>
        <w:lang w:val="en-US" w:eastAsia="zh-CN" w:bidi="ar-SA"/>
      </w:rPr>
    </w:lvl>
    <w:lvl w:ilvl="3" w:tentative="0">
      <w:start w:val="0"/>
      <w:numFmt w:val="bullet"/>
      <w:lvlText w:val="•"/>
      <w:lvlJc w:val="left"/>
      <w:pPr>
        <w:ind w:left="3410" w:hanging="241"/>
      </w:pPr>
      <w:rPr>
        <w:rFonts w:hint="default"/>
        <w:lang w:val="en-US" w:eastAsia="zh-CN" w:bidi="ar-SA"/>
      </w:rPr>
    </w:lvl>
    <w:lvl w:ilvl="4" w:tentative="0">
      <w:start w:val="0"/>
      <w:numFmt w:val="bullet"/>
      <w:lvlText w:val="•"/>
      <w:lvlJc w:val="left"/>
      <w:pPr>
        <w:ind w:left="4395" w:hanging="241"/>
      </w:pPr>
      <w:rPr>
        <w:rFonts w:hint="default"/>
        <w:lang w:val="en-US" w:eastAsia="zh-CN" w:bidi="ar-SA"/>
      </w:rPr>
    </w:lvl>
    <w:lvl w:ilvl="5" w:tentative="0">
      <w:start w:val="0"/>
      <w:numFmt w:val="bullet"/>
      <w:lvlText w:val="•"/>
      <w:lvlJc w:val="left"/>
      <w:pPr>
        <w:ind w:left="5380" w:hanging="241"/>
      </w:pPr>
      <w:rPr>
        <w:rFonts w:hint="default"/>
        <w:lang w:val="en-US" w:eastAsia="zh-CN" w:bidi="ar-SA"/>
      </w:rPr>
    </w:lvl>
    <w:lvl w:ilvl="6" w:tentative="0">
      <w:start w:val="0"/>
      <w:numFmt w:val="bullet"/>
      <w:lvlText w:val="•"/>
      <w:lvlJc w:val="left"/>
      <w:pPr>
        <w:ind w:left="6365" w:hanging="241"/>
      </w:pPr>
      <w:rPr>
        <w:rFonts w:hint="default"/>
        <w:lang w:val="en-US" w:eastAsia="zh-CN" w:bidi="ar-SA"/>
      </w:rPr>
    </w:lvl>
    <w:lvl w:ilvl="7" w:tentative="0">
      <w:start w:val="0"/>
      <w:numFmt w:val="bullet"/>
      <w:lvlText w:val="•"/>
      <w:lvlJc w:val="left"/>
      <w:pPr>
        <w:ind w:left="7350" w:hanging="241"/>
      </w:pPr>
      <w:rPr>
        <w:rFonts w:hint="default"/>
        <w:lang w:val="en-US" w:eastAsia="zh-CN" w:bidi="ar-SA"/>
      </w:rPr>
    </w:lvl>
    <w:lvl w:ilvl="8" w:tentative="0">
      <w:start w:val="0"/>
      <w:numFmt w:val="bullet"/>
      <w:lvlText w:val="•"/>
      <w:lvlJc w:val="left"/>
      <w:pPr>
        <w:ind w:left="8335" w:hanging="241"/>
      </w:pPr>
      <w:rPr>
        <w:rFonts w:hint="default"/>
        <w:lang w:val="en-US" w:eastAsia="zh-CN" w:bidi="ar-SA"/>
      </w:rPr>
    </w:lvl>
  </w:abstractNum>
  <w:abstractNum w:abstractNumId="4">
    <w:nsid w:val="00000003"/>
    <w:multiLevelType w:val="multilevel"/>
    <w:tmpl w:val="00000003"/>
    <w:lvl w:ilvl="0" w:tentative="0">
      <w:start w:val="1"/>
      <w:numFmt w:val="decimal"/>
      <w:lvlText w:val="（%1）"/>
      <w:lvlJc w:val="left"/>
      <w:pPr>
        <w:ind w:left="424" w:hanging="601"/>
      </w:pPr>
      <w:rPr>
        <w:rFonts w:hint="default" w:ascii="宋体" w:hAnsi="宋体" w:eastAsia="宋体" w:cs="宋体"/>
        <w:spacing w:val="-8"/>
        <w:w w:val="100"/>
        <w:sz w:val="22"/>
        <w:szCs w:val="22"/>
        <w:lang w:val="zh-CN" w:eastAsia="zh-CN" w:bidi="zh-CN"/>
      </w:rPr>
    </w:lvl>
    <w:lvl w:ilvl="1" w:tentative="0">
      <w:start w:val="0"/>
      <w:numFmt w:val="bullet"/>
      <w:lvlText w:val="•"/>
      <w:lvlJc w:val="left"/>
      <w:pPr>
        <w:ind w:left="1326" w:hanging="601"/>
      </w:pPr>
      <w:rPr>
        <w:rFonts w:hint="default"/>
        <w:lang w:val="zh-CN" w:eastAsia="zh-CN" w:bidi="zh-CN"/>
      </w:rPr>
    </w:lvl>
    <w:lvl w:ilvl="2" w:tentative="0">
      <w:start w:val="0"/>
      <w:numFmt w:val="bullet"/>
      <w:lvlText w:val="•"/>
      <w:lvlJc w:val="left"/>
      <w:pPr>
        <w:ind w:left="2233" w:hanging="601"/>
      </w:pPr>
      <w:rPr>
        <w:rFonts w:hint="default"/>
        <w:lang w:val="zh-CN" w:eastAsia="zh-CN" w:bidi="zh-CN"/>
      </w:rPr>
    </w:lvl>
    <w:lvl w:ilvl="3" w:tentative="0">
      <w:start w:val="0"/>
      <w:numFmt w:val="bullet"/>
      <w:lvlText w:val="•"/>
      <w:lvlJc w:val="left"/>
      <w:pPr>
        <w:ind w:left="3139" w:hanging="601"/>
      </w:pPr>
      <w:rPr>
        <w:rFonts w:hint="default"/>
        <w:lang w:val="zh-CN" w:eastAsia="zh-CN" w:bidi="zh-CN"/>
      </w:rPr>
    </w:lvl>
    <w:lvl w:ilvl="4" w:tentative="0">
      <w:start w:val="0"/>
      <w:numFmt w:val="bullet"/>
      <w:lvlText w:val="•"/>
      <w:lvlJc w:val="left"/>
      <w:pPr>
        <w:ind w:left="4046" w:hanging="601"/>
      </w:pPr>
      <w:rPr>
        <w:rFonts w:hint="default"/>
        <w:lang w:val="zh-CN" w:eastAsia="zh-CN" w:bidi="zh-CN"/>
      </w:rPr>
    </w:lvl>
    <w:lvl w:ilvl="5" w:tentative="0">
      <w:start w:val="0"/>
      <w:numFmt w:val="bullet"/>
      <w:lvlText w:val="•"/>
      <w:lvlJc w:val="left"/>
      <w:pPr>
        <w:ind w:left="4953" w:hanging="601"/>
      </w:pPr>
      <w:rPr>
        <w:rFonts w:hint="default"/>
        <w:lang w:val="zh-CN" w:eastAsia="zh-CN" w:bidi="zh-CN"/>
      </w:rPr>
    </w:lvl>
    <w:lvl w:ilvl="6" w:tentative="0">
      <w:start w:val="0"/>
      <w:numFmt w:val="bullet"/>
      <w:lvlText w:val="•"/>
      <w:lvlJc w:val="left"/>
      <w:pPr>
        <w:ind w:left="5859" w:hanging="601"/>
      </w:pPr>
      <w:rPr>
        <w:rFonts w:hint="default"/>
        <w:lang w:val="zh-CN" w:eastAsia="zh-CN" w:bidi="zh-CN"/>
      </w:rPr>
    </w:lvl>
    <w:lvl w:ilvl="7" w:tentative="0">
      <w:start w:val="0"/>
      <w:numFmt w:val="bullet"/>
      <w:lvlText w:val="•"/>
      <w:lvlJc w:val="left"/>
      <w:pPr>
        <w:ind w:left="6766" w:hanging="601"/>
      </w:pPr>
      <w:rPr>
        <w:rFonts w:hint="default"/>
        <w:lang w:val="zh-CN" w:eastAsia="zh-CN" w:bidi="zh-CN"/>
      </w:rPr>
    </w:lvl>
    <w:lvl w:ilvl="8" w:tentative="0">
      <w:start w:val="0"/>
      <w:numFmt w:val="bullet"/>
      <w:lvlText w:val="•"/>
      <w:lvlJc w:val="left"/>
      <w:pPr>
        <w:ind w:left="7673" w:hanging="601"/>
      </w:pPr>
      <w:rPr>
        <w:rFonts w:hint="default"/>
        <w:lang w:val="zh-CN" w:eastAsia="zh-CN" w:bidi="zh-CN"/>
      </w:rPr>
    </w:lvl>
  </w:abstractNum>
  <w:abstractNum w:abstractNumId="5">
    <w:nsid w:val="00000004"/>
    <w:multiLevelType w:val="multilevel"/>
    <w:tmpl w:val="00000004"/>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00000005"/>
    <w:multiLevelType w:val="multilevel"/>
    <w:tmpl w:val="00000005"/>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00000006"/>
    <w:multiLevelType w:val="multilevel"/>
    <w:tmpl w:val="00000006"/>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0000000A"/>
    <w:multiLevelType w:val="multilevel"/>
    <w:tmpl w:val="0000000A"/>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0000000B"/>
    <w:multiLevelType w:val="multilevel"/>
    <w:tmpl w:val="0000000B"/>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0">
    <w:nsid w:val="0000000C"/>
    <w:multiLevelType w:val="multilevel"/>
    <w:tmpl w:val="0000000C"/>
    <w:lvl w:ilvl="0" w:tentative="0">
      <w:start w:val="1"/>
      <w:numFmt w:val="decimal"/>
      <w:lvlText w:val="(%1)"/>
      <w:lvlJc w:val="left"/>
      <w:rPr>
        <w:rFonts w:ascii="MingLiU" w:hAnsi="MingLiU" w:eastAsia="MingLiU" w:cs="MingLiU"/>
        <w:b w:val="0"/>
        <w:bCs w:val="0"/>
        <w:i w:val="0"/>
        <w:iCs w:val="0"/>
        <w:smallCaps w:val="0"/>
        <w:color w:val="000000"/>
        <w:spacing w:val="0"/>
        <w:w w:val="100"/>
        <w:position w:val="0"/>
        <w:sz w:val="22"/>
        <w:szCs w:val="22"/>
        <w:u w:val="none"/>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30FB3B63"/>
    <w:multiLevelType w:val="singleLevel"/>
    <w:tmpl w:val="30FB3B63"/>
    <w:lvl w:ilvl="0" w:tentative="0">
      <w:start w:val="1"/>
      <w:numFmt w:val="decimal"/>
      <w:lvlText w:val="%1."/>
      <w:lvlJc w:val="left"/>
      <w:pPr>
        <w:tabs>
          <w:tab w:val="left" w:pos="312"/>
        </w:tabs>
      </w:pPr>
    </w:lvl>
  </w:abstractNum>
  <w:abstractNum w:abstractNumId="12">
    <w:nsid w:val="30FC5B15"/>
    <w:multiLevelType w:val="multilevel"/>
    <w:tmpl w:val="30FC5B15"/>
    <w:lvl w:ilvl="0" w:tentative="0">
      <w:start w:val="1"/>
      <w:numFmt w:val="decimal"/>
      <w:lvlText w:val="%1."/>
      <w:lvlJc w:val="left"/>
      <w:pPr>
        <w:ind w:left="119" w:hanging="212"/>
        <w:jc w:val="right"/>
      </w:pPr>
      <w:rPr>
        <w:rFonts w:hint="default" w:ascii="宋体" w:hAnsi="宋体" w:eastAsia="宋体" w:cs="宋体"/>
        <w:b w:val="0"/>
        <w:bCs w:val="0"/>
        <w:i w:val="0"/>
        <w:iCs w:val="0"/>
        <w:spacing w:val="1"/>
        <w:w w:val="98"/>
        <w:sz w:val="19"/>
        <w:szCs w:val="19"/>
        <w:lang w:val="en-US" w:eastAsia="zh-CN" w:bidi="ar-SA"/>
      </w:rPr>
    </w:lvl>
    <w:lvl w:ilvl="1" w:tentative="0">
      <w:start w:val="1"/>
      <w:numFmt w:val="decimal"/>
      <w:lvlText w:val="%1.%2."/>
      <w:lvlJc w:val="left"/>
      <w:pPr>
        <w:ind w:left="1484" w:hanging="526"/>
      </w:pPr>
      <w:rPr>
        <w:rFonts w:hint="default" w:ascii="宋体" w:hAnsi="宋体" w:eastAsia="宋体" w:cs="宋体"/>
        <w:b w:val="0"/>
        <w:bCs w:val="0"/>
        <w:i w:val="0"/>
        <w:iCs w:val="0"/>
        <w:spacing w:val="0"/>
        <w:w w:val="99"/>
        <w:sz w:val="21"/>
        <w:szCs w:val="21"/>
        <w:lang w:val="en-US" w:eastAsia="zh-CN" w:bidi="ar-SA"/>
      </w:rPr>
    </w:lvl>
    <w:lvl w:ilvl="2" w:tentative="0">
      <w:start w:val="0"/>
      <w:numFmt w:val="bullet"/>
      <w:lvlText w:val="•"/>
      <w:lvlJc w:val="left"/>
      <w:pPr>
        <w:ind w:left="2410" w:hanging="526"/>
      </w:pPr>
      <w:rPr>
        <w:rFonts w:hint="default"/>
        <w:lang w:val="en-US" w:eastAsia="zh-CN" w:bidi="ar-SA"/>
      </w:rPr>
    </w:lvl>
    <w:lvl w:ilvl="3" w:tentative="0">
      <w:start w:val="0"/>
      <w:numFmt w:val="bullet"/>
      <w:lvlText w:val="•"/>
      <w:lvlJc w:val="left"/>
      <w:pPr>
        <w:ind w:left="3340" w:hanging="526"/>
      </w:pPr>
      <w:rPr>
        <w:rFonts w:hint="default"/>
        <w:lang w:val="en-US" w:eastAsia="zh-CN" w:bidi="ar-SA"/>
      </w:rPr>
    </w:lvl>
    <w:lvl w:ilvl="4" w:tentative="0">
      <w:start w:val="0"/>
      <w:numFmt w:val="bullet"/>
      <w:lvlText w:val="•"/>
      <w:lvlJc w:val="left"/>
      <w:pPr>
        <w:ind w:left="4270" w:hanging="526"/>
      </w:pPr>
      <w:rPr>
        <w:rFonts w:hint="default"/>
        <w:lang w:val="en-US" w:eastAsia="zh-CN" w:bidi="ar-SA"/>
      </w:rPr>
    </w:lvl>
    <w:lvl w:ilvl="5" w:tentative="0">
      <w:start w:val="0"/>
      <w:numFmt w:val="bullet"/>
      <w:lvlText w:val="•"/>
      <w:lvlJc w:val="left"/>
      <w:pPr>
        <w:ind w:left="5200" w:hanging="526"/>
      </w:pPr>
      <w:rPr>
        <w:rFonts w:hint="default"/>
        <w:lang w:val="en-US" w:eastAsia="zh-CN" w:bidi="ar-SA"/>
      </w:rPr>
    </w:lvl>
    <w:lvl w:ilvl="6" w:tentative="0">
      <w:start w:val="0"/>
      <w:numFmt w:val="bullet"/>
      <w:lvlText w:val="•"/>
      <w:lvlJc w:val="left"/>
      <w:pPr>
        <w:ind w:left="6130" w:hanging="526"/>
      </w:pPr>
      <w:rPr>
        <w:rFonts w:hint="default"/>
        <w:lang w:val="en-US" w:eastAsia="zh-CN" w:bidi="ar-SA"/>
      </w:rPr>
    </w:lvl>
    <w:lvl w:ilvl="7" w:tentative="0">
      <w:start w:val="0"/>
      <w:numFmt w:val="bullet"/>
      <w:lvlText w:val="•"/>
      <w:lvlJc w:val="left"/>
      <w:pPr>
        <w:ind w:left="7060" w:hanging="526"/>
      </w:pPr>
      <w:rPr>
        <w:rFonts w:hint="default"/>
        <w:lang w:val="en-US" w:eastAsia="zh-CN" w:bidi="ar-SA"/>
      </w:rPr>
    </w:lvl>
    <w:lvl w:ilvl="8" w:tentative="0">
      <w:start w:val="0"/>
      <w:numFmt w:val="bullet"/>
      <w:lvlText w:val="•"/>
      <w:lvlJc w:val="left"/>
      <w:pPr>
        <w:ind w:left="7990" w:hanging="526"/>
      </w:pPr>
      <w:rPr>
        <w:rFonts w:hint="default"/>
        <w:lang w:val="en-US" w:eastAsia="zh-CN" w:bidi="ar-SA"/>
      </w:rPr>
    </w:lvl>
  </w:abstractNum>
  <w:abstractNum w:abstractNumId="13">
    <w:nsid w:val="429CD0B5"/>
    <w:multiLevelType w:val="multilevel"/>
    <w:tmpl w:val="429CD0B5"/>
    <w:lvl w:ilvl="0" w:tentative="0">
      <w:start w:val="1"/>
      <w:numFmt w:val="decimal"/>
      <w:lvlText w:val="%1."/>
      <w:lvlJc w:val="left"/>
      <w:pPr>
        <w:ind w:left="441" w:hanging="322"/>
      </w:pPr>
      <w:rPr>
        <w:rFonts w:hint="default" w:ascii="宋体" w:hAnsi="宋体" w:eastAsia="宋体" w:cs="宋体"/>
        <w:b/>
        <w:bCs/>
        <w:i w:val="0"/>
        <w:iCs w:val="0"/>
        <w:spacing w:val="1"/>
        <w:w w:val="97"/>
        <w:sz w:val="30"/>
        <w:szCs w:val="30"/>
        <w:lang w:val="en-US" w:eastAsia="zh-CN" w:bidi="ar-SA"/>
      </w:rPr>
    </w:lvl>
    <w:lvl w:ilvl="1" w:tentative="0">
      <w:start w:val="0"/>
      <w:numFmt w:val="bullet"/>
      <w:lvlText w:val="•"/>
      <w:lvlJc w:val="left"/>
      <w:pPr>
        <w:ind w:left="1426" w:hanging="322"/>
      </w:pPr>
      <w:rPr>
        <w:rFonts w:hint="default"/>
        <w:lang w:val="en-US" w:eastAsia="zh-CN" w:bidi="ar-SA"/>
      </w:rPr>
    </w:lvl>
    <w:lvl w:ilvl="2" w:tentative="0">
      <w:start w:val="0"/>
      <w:numFmt w:val="bullet"/>
      <w:lvlText w:val="•"/>
      <w:lvlJc w:val="left"/>
      <w:pPr>
        <w:ind w:left="2413" w:hanging="322"/>
      </w:pPr>
      <w:rPr>
        <w:rFonts w:hint="default"/>
        <w:lang w:val="en-US" w:eastAsia="zh-CN" w:bidi="ar-SA"/>
      </w:rPr>
    </w:lvl>
    <w:lvl w:ilvl="3" w:tentative="0">
      <w:start w:val="0"/>
      <w:numFmt w:val="bullet"/>
      <w:lvlText w:val="•"/>
      <w:lvlJc w:val="left"/>
      <w:pPr>
        <w:ind w:left="3399" w:hanging="322"/>
      </w:pPr>
      <w:rPr>
        <w:rFonts w:hint="default"/>
        <w:lang w:val="en-US" w:eastAsia="zh-CN" w:bidi="ar-SA"/>
      </w:rPr>
    </w:lvl>
    <w:lvl w:ilvl="4" w:tentative="0">
      <w:start w:val="0"/>
      <w:numFmt w:val="bullet"/>
      <w:lvlText w:val="•"/>
      <w:lvlJc w:val="left"/>
      <w:pPr>
        <w:ind w:left="4386" w:hanging="322"/>
      </w:pPr>
      <w:rPr>
        <w:rFonts w:hint="default"/>
        <w:lang w:val="en-US" w:eastAsia="zh-CN" w:bidi="ar-SA"/>
      </w:rPr>
    </w:lvl>
    <w:lvl w:ilvl="5" w:tentative="0">
      <w:start w:val="0"/>
      <w:numFmt w:val="bullet"/>
      <w:lvlText w:val="•"/>
      <w:lvlJc w:val="left"/>
      <w:pPr>
        <w:ind w:left="5373" w:hanging="322"/>
      </w:pPr>
      <w:rPr>
        <w:rFonts w:hint="default"/>
        <w:lang w:val="en-US" w:eastAsia="zh-CN" w:bidi="ar-SA"/>
      </w:rPr>
    </w:lvl>
    <w:lvl w:ilvl="6" w:tentative="0">
      <w:start w:val="0"/>
      <w:numFmt w:val="bullet"/>
      <w:lvlText w:val="•"/>
      <w:lvlJc w:val="left"/>
      <w:pPr>
        <w:ind w:left="6359" w:hanging="322"/>
      </w:pPr>
      <w:rPr>
        <w:rFonts w:hint="default"/>
        <w:lang w:val="en-US" w:eastAsia="zh-CN" w:bidi="ar-SA"/>
      </w:rPr>
    </w:lvl>
    <w:lvl w:ilvl="7" w:tentative="0">
      <w:start w:val="0"/>
      <w:numFmt w:val="bullet"/>
      <w:lvlText w:val="•"/>
      <w:lvlJc w:val="left"/>
      <w:pPr>
        <w:ind w:left="7346" w:hanging="322"/>
      </w:pPr>
      <w:rPr>
        <w:rFonts w:hint="default"/>
        <w:lang w:val="en-US" w:eastAsia="zh-CN" w:bidi="ar-SA"/>
      </w:rPr>
    </w:lvl>
    <w:lvl w:ilvl="8" w:tentative="0">
      <w:start w:val="0"/>
      <w:numFmt w:val="bullet"/>
      <w:lvlText w:val="•"/>
      <w:lvlJc w:val="left"/>
      <w:pPr>
        <w:ind w:left="8332" w:hanging="322"/>
      </w:pPr>
      <w:rPr>
        <w:rFonts w:hint="default"/>
        <w:lang w:val="en-US" w:eastAsia="zh-CN" w:bidi="ar-SA"/>
      </w:rPr>
    </w:lvl>
  </w:abstractNum>
  <w:abstractNum w:abstractNumId="14">
    <w:nsid w:val="6AC2D86A"/>
    <w:multiLevelType w:val="singleLevel"/>
    <w:tmpl w:val="6AC2D86A"/>
    <w:lvl w:ilvl="0" w:tentative="0">
      <w:start w:val="5"/>
      <w:numFmt w:val="chineseCounting"/>
      <w:suff w:val="space"/>
      <w:lvlText w:val="第%1章"/>
      <w:lvlJc w:val="left"/>
      <w:rPr>
        <w:rFonts w:hint="eastAsia"/>
      </w:rPr>
    </w:lvl>
  </w:abstractNum>
  <w:abstractNum w:abstractNumId="15">
    <w:nsid w:val="77633216"/>
    <w:multiLevelType w:val="multilevel"/>
    <w:tmpl w:val="77633216"/>
    <w:lvl w:ilvl="0" w:tentative="0">
      <w:start w:val="0"/>
      <w:numFmt w:val="bullet"/>
      <w:lvlText w:val="□"/>
      <w:lvlJc w:val="left"/>
      <w:pPr>
        <w:ind w:left="119" w:hanging="281"/>
      </w:pPr>
      <w:rPr>
        <w:rFonts w:hint="default" w:ascii="宋体" w:hAnsi="宋体" w:eastAsia="宋体" w:cs="宋体"/>
        <w:b w:val="0"/>
        <w:bCs w:val="0"/>
        <w:i w:val="0"/>
        <w:iCs w:val="0"/>
        <w:spacing w:val="0"/>
        <w:w w:val="100"/>
        <w:sz w:val="22"/>
        <w:szCs w:val="22"/>
        <w:lang w:val="en-US" w:eastAsia="zh-CN" w:bidi="ar-SA"/>
      </w:rPr>
    </w:lvl>
    <w:lvl w:ilvl="1" w:tentative="0">
      <w:start w:val="0"/>
      <w:numFmt w:val="bullet"/>
      <w:lvlText w:val="•"/>
      <w:lvlJc w:val="left"/>
      <w:pPr>
        <w:ind w:left="716" w:hanging="281"/>
      </w:pPr>
      <w:rPr>
        <w:rFonts w:hint="default"/>
        <w:lang w:val="en-US" w:eastAsia="zh-CN" w:bidi="ar-SA"/>
      </w:rPr>
    </w:lvl>
    <w:lvl w:ilvl="2" w:tentative="0">
      <w:start w:val="0"/>
      <w:numFmt w:val="bullet"/>
      <w:lvlText w:val="•"/>
      <w:lvlJc w:val="left"/>
      <w:pPr>
        <w:ind w:left="1313" w:hanging="281"/>
      </w:pPr>
      <w:rPr>
        <w:rFonts w:hint="default"/>
        <w:lang w:val="en-US" w:eastAsia="zh-CN" w:bidi="ar-SA"/>
      </w:rPr>
    </w:lvl>
    <w:lvl w:ilvl="3" w:tentative="0">
      <w:start w:val="0"/>
      <w:numFmt w:val="bullet"/>
      <w:lvlText w:val="•"/>
      <w:lvlJc w:val="left"/>
      <w:pPr>
        <w:ind w:left="1909" w:hanging="281"/>
      </w:pPr>
      <w:rPr>
        <w:rFonts w:hint="default"/>
        <w:lang w:val="en-US" w:eastAsia="zh-CN" w:bidi="ar-SA"/>
      </w:rPr>
    </w:lvl>
    <w:lvl w:ilvl="4" w:tentative="0">
      <w:start w:val="0"/>
      <w:numFmt w:val="bullet"/>
      <w:lvlText w:val="•"/>
      <w:lvlJc w:val="left"/>
      <w:pPr>
        <w:ind w:left="2506" w:hanging="281"/>
      </w:pPr>
      <w:rPr>
        <w:rFonts w:hint="default"/>
        <w:lang w:val="en-US" w:eastAsia="zh-CN" w:bidi="ar-SA"/>
      </w:rPr>
    </w:lvl>
    <w:lvl w:ilvl="5" w:tentative="0">
      <w:start w:val="0"/>
      <w:numFmt w:val="bullet"/>
      <w:lvlText w:val="•"/>
      <w:lvlJc w:val="left"/>
      <w:pPr>
        <w:ind w:left="3102" w:hanging="281"/>
      </w:pPr>
      <w:rPr>
        <w:rFonts w:hint="default"/>
        <w:lang w:val="en-US" w:eastAsia="zh-CN" w:bidi="ar-SA"/>
      </w:rPr>
    </w:lvl>
    <w:lvl w:ilvl="6" w:tentative="0">
      <w:start w:val="0"/>
      <w:numFmt w:val="bullet"/>
      <w:lvlText w:val="•"/>
      <w:lvlJc w:val="left"/>
      <w:pPr>
        <w:ind w:left="3699" w:hanging="281"/>
      </w:pPr>
      <w:rPr>
        <w:rFonts w:hint="default"/>
        <w:lang w:val="en-US" w:eastAsia="zh-CN" w:bidi="ar-SA"/>
      </w:rPr>
    </w:lvl>
    <w:lvl w:ilvl="7" w:tentative="0">
      <w:start w:val="0"/>
      <w:numFmt w:val="bullet"/>
      <w:lvlText w:val="•"/>
      <w:lvlJc w:val="left"/>
      <w:pPr>
        <w:ind w:left="4295" w:hanging="281"/>
      </w:pPr>
      <w:rPr>
        <w:rFonts w:hint="default"/>
        <w:lang w:val="en-US" w:eastAsia="zh-CN" w:bidi="ar-SA"/>
      </w:rPr>
    </w:lvl>
    <w:lvl w:ilvl="8" w:tentative="0">
      <w:start w:val="0"/>
      <w:numFmt w:val="bullet"/>
      <w:lvlText w:val="•"/>
      <w:lvlJc w:val="left"/>
      <w:pPr>
        <w:ind w:left="4892" w:hanging="281"/>
      </w:pPr>
      <w:rPr>
        <w:rFonts w:hint="default"/>
        <w:lang w:val="en-US" w:eastAsia="zh-CN" w:bidi="ar-SA"/>
      </w:rPr>
    </w:lvl>
  </w:abstractNum>
  <w:abstractNum w:abstractNumId="16">
    <w:nsid w:val="79AA4FA4"/>
    <w:multiLevelType w:val="multilevel"/>
    <w:tmpl w:val="79AA4FA4"/>
    <w:lvl w:ilvl="0" w:tentative="0">
      <w:start w:val="1"/>
      <w:numFmt w:val="decimal"/>
      <w:lvlText w:val="（%1）"/>
      <w:lvlJc w:val="left"/>
      <w:pPr>
        <w:ind w:left="119" w:hanging="527"/>
      </w:pPr>
      <w:rPr>
        <w:rFonts w:hint="default" w:ascii="宋体" w:hAnsi="宋体" w:eastAsia="宋体" w:cs="宋体"/>
        <w:b w:val="0"/>
        <w:bCs w:val="0"/>
        <w:i w:val="0"/>
        <w:iCs w:val="0"/>
        <w:spacing w:val="-63"/>
        <w:w w:val="99"/>
        <w:sz w:val="19"/>
        <w:szCs w:val="19"/>
        <w:lang w:val="en-US" w:eastAsia="zh-CN" w:bidi="ar-SA"/>
      </w:rPr>
    </w:lvl>
    <w:lvl w:ilvl="1" w:tentative="0">
      <w:start w:val="0"/>
      <w:numFmt w:val="bullet"/>
      <w:lvlText w:val="•"/>
      <w:lvlJc w:val="left"/>
      <w:pPr>
        <w:ind w:left="1093" w:hanging="527"/>
      </w:pPr>
      <w:rPr>
        <w:rFonts w:hint="default"/>
        <w:lang w:val="en-US" w:eastAsia="zh-CN" w:bidi="ar-SA"/>
      </w:rPr>
    </w:lvl>
    <w:lvl w:ilvl="2" w:tentative="0">
      <w:start w:val="0"/>
      <w:numFmt w:val="bullet"/>
      <w:lvlText w:val="•"/>
      <w:lvlJc w:val="left"/>
      <w:pPr>
        <w:ind w:left="2066" w:hanging="527"/>
      </w:pPr>
      <w:rPr>
        <w:rFonts w:hint="default"/>
        <w:lang w:val="en-US" w:eastAsia="zh-CN" w:bidi="ar-SA"/>
      </w:rPr>
    </w:lvl>
    <w:lvl w:ilvl="3" w:tentative="0">
      <w:start w:val="0"/>
      <w:numFmt w:val="bullet"/>
      <w:lvlText w:val="•"/>
      <w:lvlJc w:val="left"/>
      <w:pPr>
        <w:ind w:left="3039" w:hanging="527"/>
      </w:pPr>
      <w:rPr>
        <w:rFonts w:hint="default"/>
        <w:lang w:val="en-US" w:eastAsia="zh-CN" w:bidi="ar-SA"/>
      </w:rPr>
    </w:lvl>
    <w:lvl w:ilvl="4" w:tentative="0">
      <w:start w:val="0"/>
      <w:numFmt w:val="bullet"/>
      <w:lvlText w:val="•"/>
      <w:lvlJc w:val="left"/>
      <w:pPr>
        <w:ind w:left="4012" w:hanging="527"/>
      </w:pPr>
      <w:rPr>
        <w:rFonts w:hint="default"/>
        <w:lang w:val="en-US" w:eastAsia="zh-CN" w:bidi="ar-SA"/>
      </w:rPr>
    </w:lvl>
    <w:lvl w:ilvl="5" w:tentative="0">
      <w:start w:val="0"/>
      <w:numFmt w:val="bullet"/>
      <w:lvlText w:val="•"/>
      <w:lvlJc w:val="left"/>
      <w:pPr>
        <w:ind w:left="4985" w:hanging="527"/>
      </w:pPr>
      <w:rPr>
        <w:rFonts w:hint="default"/>
        <w:lang w:val="en-US" w:eastAsia="zh-CN" w:bidi="ar-SA"/>
      </w:rPr>
    </w:lvl>
    <w:lvl w:ilvl="6" w:tentative="0">
      <w:start w:val="0"/>
      <w:numFmt w:val="bullet"/>
      <w:lvlText w:val="•"/>
      <w:lvlJc w:val="left"/>
      <w:pPr>
        <w:ind w:left="5958" w:hanging="527"/>
      </w:pPr>
      <w:rPr>
        <w:rFonts w:hint="default"/>
        <w:lang w:val="en-US" w:eastAsia="zh-CN" w:bidi="ar-SA"/>
      </w:rPr>
    </w:lvl>
    <w:lvl w:ilvl="7" w:tentative="0">
      <w:start w:val="0"/>
      <w:numFmt w:val="bullet"/>
      <w:lvlText w:val="•"/>
      <w:lvlJc w:val="left"/>
      <w:pPr>
        <w:ind w:left="6931" w:hanging="527"/>
      </w:pPr>
      <w:rPr>
        <w:rFonts w:hint="default"/>
        <w:lang w:val="en-US" w:eastAsia="zh-CN" w:bidi="ar-SA"/>
      </w:rPr>
    </w:lvl>
    <w:lvl w:ilvl="8" w:tentative="0">
      <w:start w:val="0"/>
      <w:numFmt w:val="bullet"/>
      <w:lvlText w:val="•"/>
      <w:lvlJc w:val="left"/>
      <w:pPr>
        <w:ind w:left="7904" w:hanging="527"/>
      </w:pPr>
      <w:rPr>
        <w:rFonts w:hint="default"/>
        <w:lang w:val="en-US" w:eastAsia="zh-CN" w:bidi="ar-SA"/>
      </w:rPr>
    </w:lvl>
  </w:abstractNum>
  <w:num w:numId="1">
    <w:abstractNumId w:val="14"/>
  </w:num>
  <w:num w:numId="2">
    <w:abstractNumId w:val="2"/>
  </w:num>
  <w:num w:numId="3">
    <w:abstractNumId w:val="12"/>
  </w:num>
  <w:num w:numId="4">
    <w:abstractNumId w:val="16"/>
  </w:num>
  <w:num w:numId="5">
    <w:abstractNumId w:val="11"/>
  </w:num>
  <w:num w:numId="6">
    <w:abstractNumId w:val="4"/>
  </w:num>
  <w:num w:numId="7">
    <w:abstractNumId w:val="7"/>
  </w:num>
  <w:num w:numId="8">
    <w:abstractNumId w:val="9"/>
  </w:num>
  <w:num w:numId="9">
    <w:abstractNumId w:val="5"/>
  </w:num>
  <w:num w:numId="10">
    <w:abstractNumId w:val="8"/>
  </w:num>
  <w:num w:numId="11">
    <w:abstractNumId w:val="6"/>
  </w:num>
  <w:num w:numId="12">
    <w:abstractNumId w:val="10"/>
  </w:num>
  <w:num w:numId="13">
    <w:abstractNumId w:val="15"/>
  </w:num>
  <w:num w:numId="14">
    <w:abstractNumId w:val="1"/>
  </w:num>
  <w:num w:numId="15">
    <w:abstractNumId w:val="0"/>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M2RmMjQ5ZjhhZDg1YzlkYTgwYzQ5ODIzZjI0NzgifQ=="/>
  </w:docVars>
  <w:rsids>
    <w:rsidRoot w:val="00F72E13"/>
    <w:rsid w:val="0003205C"/>
    <w:rsid w:val="00042C68"/>
    <w:rsid w:val="00045E7E"/>
    <w:rsid w:val="000608F8"/>
    <w:rsid w:val="00061CA9"/>
    <w:rsid w:val="00077609"/>
    <w:rsid w:val="000817D7"/>
    <w:rsid w:val="00094C95"/>
    <w:rsid w:val="000B1392"/>
    <w:rsid w:val="000C2CA5"/>
    <w:rsid w:val="000C43CA"/>
    <w:rsid w:val="000D6754"/>
    <w:rsid w:val="000F026D"/>
    <w:rsid w:val="001061D0"/>
    <w:rsid w:val="00113F6F"/>
    <w:rsid w:val="00143A24"/>
    <w:rsid w:val="00157175"/>
    <w:rsid w:val="001E55EC"/>
    <w:rsid w:val="001E7300"/>
    <w:rsid w:val="001F0CC0"/>
    <w:rsid w:val="002140BD"/>
    <w:rsid w:val="0024309A"/>
    <w:rsid w:val="00250505"/>
    <w:rsid w:val="00256ACB"/>
    <w:rsid w:val="00285A99"/>
    <w:rsid w:val="002B5E1B"/>
    <w:rsid w:val="002C5246"/>
    <w:rsid w:val="00316F5E"/>
    <w:rsid w:val="0032091E"/>
    <w:rsid w:val="00327DA3"/>
    <w:rsid w:val="00341561"/>
    <w:rsid w:val="00354CF2"/>
    <w:rsid w:val="00357894"/>
    <w:rsid w:val="00375F8C"/>
    <w:rsid w:val="003807AF"/>
    <w:rsid w:val="00396EDF"/>
    <w:rsid w:val="003A51CE"/>
    <w:rsid w:val="003A7FE1"/>
    <w:rsid w:val="003B3840"/>
    <w:rsid w:val="003C1A7F"/>
    <w:rsid w:val="004231A1"/>
    <w:rsid w:val="00445044"/>
    <w:rsid w:val="004506E0"/>
    <w:rsid w:val="004555C7"/>
    <w:rsid w:val="004A01FE"/>
    <w:rsid w:val="004C0C32"/>
    <w:rsid w:val="004C47EF"/>
    <w:rsid w:val="004D01A8"/>
    <w:rsid w:val="004D4DEF"/>
    <w:rsid w:val="004F1E94"/>
    <w:rsid w:val="0050369E"/>
    <w:rsid w:val="00503ECE"/>
    <w:rsid w:val="00585BDE"/>
    <w:rsid w:val="005913BB"/>
    <w:rsid w:val="0059739E"/>
    <w:rsid w:val="005C1FF0"/>
    <w:rsid w:val="005D10D6"/>
    <w:rsid w:val="005D3BBE"/>
    <w:rsid w:val="005E2968"/>
    <w:rsid w:val="005F089C"/>
    <w:rsid w:val="005F35E5"/>
    <w:rsid w:val="00601D46"/>
    <w:rsid w:val="00620A5F"/>
    <w:rsid w:val="0062261A"/>
    <w:rsid w:val="00626A9F"/>
    <w:rsid w:val="00631FE5"/>
    <w:rsid w:val="0063619E"/>
    <w:rsid w:val="0065494E"/>
    <w:rsid w:val="00673A26"/>
    <w:rsid w:val="006747FD"/>
    <w:rsid w:val="00675280"/>
    <w:rsid w:val="006B7CB5"/>
    <w:rsid w:val="006C14C7"/>
    <w:rsid w:val="006C150E"/>
    <w:rsid w:val="006F539F"/>
    <w:rsid w:val="00737A2F"/>
    <w:rsid w:val="00774072"/>
    <w:rsid w:val="00793B6C"/>
    <w:rsid w:val="00814CEE"/>
    <w:rsid w:val="00855269"/>
    <w:rsid w:val="00861F96"/>
    <w:rsid w:val="00884C48"/>
    <w:rsid w:val="008C0084"/>
    <w:rsid w:val="008D138C"/>
    <w:rsid w:val="008D732A"/>
    <w:rsid w:val="00902B4B"/>
    <w:rsid w:val="009043DA"/>
    <w:rsid w:val="0094502A"/>
    <w:rsid w:val="009467F4"/>
    <w:rsid w:val="00976388"/>
    <w:rsid w:val="009820C2"/>
    <w:rsid w:val="009B69E2"/>
    <w:rsid w:val="009C16D8"/>
    <w:rsid w:val="009D571E"/>
    <w:rsid w:val="009F63E1"/>
    <w:rsid w:val="00A01532"/>
    <w:rsid w:val="00A27E15"/>
    <w:rsid w:val="00A415B2"/>
    <w:rsid w:val="00A45F57"/>
    <w:rsid w:val="00A74E88"/>
    <w:rsid w:val="00B01C53"/>
    <w:rsid w:val="00B07612"/>
    <w:rsid w:val="00B1411B"/>
    <w:rsid w:val="00B25D2F"/>
    <w:rsid w:val="00B30935"/>
    <w:rsid w:val="00B32650"/>
    <w:rsid w:val="00B35CAB"/>
    <w:rsid w:val="00B40149"/>
    <w:rsid w:val="00B85A8A"/>
    <w:rsid w:val="00BA0372"/>
    <w:rsid w:val="00BA40FA"/>
    <w:rsid w:val="00C073E8"/>
    <w:rsid w:val="00C16595"/>
    <w:rsid w:val="00C22C18"/>
    <w:rsid w:val="00C23661"/>
    <w:rsid w:val="00C30D1E"/>
    <w:rsid w:val="00C64D1E"/>
    <w:rsid w:val="00C67E37"/>
    <w:rsid w:val="00C92F97"/>
    <w:rsid w:val="00CB63CB"/>
    <w:rsid w:val="00CB74F5"/>
    <w:rsid w:val="00CD2DD0"/>
    <w:rsid w:val="00CF0AAB"/>
    <w:rsid w:val="00D10BE7"/>
    <w:rsid w:val="00D136AB"/>
    <w:rsid w:val="00D404BE"/>
    <w:rsid w:val="00D77229"/>
    <w:rsid w:val="00DB4472"/>
    <w:rsid w:val="00DC6435"/>
    <w:rsid w:val="00E127ED"/>
    <w:rsid w:val="00E30000"/>
    <w:rsid w:val="00E525AE"/>
    <w:rsid w:val="00EA046C"/>
    <w:rsid w:val="00EA1B5F"/>
    <w:rsid w:val="00EB31F8"/>
    <w:rsid w:val="00EC75AA"/>
    <w:rsid w:val="00ED3CB9"/>
    <w:rsid w:val="00EE07FA"/>
    <w:rsid w:val="00F02927"/>
    <w:rsid w:val="00F0432D"/>
    <w:rsid w:val="00F05A66"/>
    <w:rsid w:val="00F120BC"/>
    <w:rsid w:val="00F14904"/>
    <w:rsid w:val="00F21C69"/>
    <w:rsid w:val="00F46331"/>
    <w:rsid w:val="00F55B9C"/>
    <w:rsid w:val="00F66C39"/>
    <w:rsid w:val="00F72E13"/>
    <w:rsid w:val="00F752EC"/>
    <w:rsid w:val="00FC5530"/>
    <w:rsid w:val="00FE44E1"/>
    <w:rsid w:val="01081BE6"/>
    <w:rsid w:val="018041D4"/>
    <w:rsid w:val="01A761C5"/>
    <w:rsid w:val="01AA2265"/>
    <w:rsid w:val="01C422C3"/>
    <w:rsid w:val="01FF4B87"/>
    <w:rsid w:val="023E1BBB"/>
    <w:rsid w:val="02421F52"/>
    <w:rsid w:val="025C49EE"/>
    <w:rsid w:val="026B0E39"/>
    <w:rsid w:val="02820D07"/>
    <w:rsid w:val="028710B6"/>
    <w:rsid w:val="02E57972"/>
    <w:rsid w:val="03242788"/>
    <w:rsid w:val="03373607"/>
    <w:rsid w:val="034104E4"/>
    <w:rsid w:val="03660F5C"/>
    <w:rsid w:val="03716AB5"/>
    <w:rsid w:val="03C82140"/>
    <w:rsid w:val="03EF297E"/>
    <w:rsid w:val="0423608D"/>
    <w:rsid w:val="04241DDC"/>
    <w:rsid w:val="04D63DFE"/>
    <w:rsid w:val="04D75F69"/>
    <w:rsid w:val="04F43AEC"/>
    <w:rsid w:val="050C0A55"/>
    <w:rsid w:val="05373674"/>
    <w:rsid w:val="05A36F5B"/>
    <w:rsid w:val="05A607FA"/>
    <w:rsid w:val="05AF5900"/>
    <w:rsid w:val="06110877"/>
    <w:rsid w:val="06503885"/>
    <w:rsid w:val="0681016A"/>
    <w:rsid w:val="06C47618"/>
    <w:rsid w:val="07492961"/>
    <w:rsid w:val="07767BC9"/>
    <w:rsid w:val="07770ECE"/>
    <w:rsid w:val="07852DBD"/>
    <w:rsid w:val="07F76E9E"/>
    <w:rsid w:val="087010E6"/>
    <w:rsid w:val="087B3986"/>
    <w:rsid w:val="087D1CE6"/>
    <w:rsid w:val="08AE240B"/>
    <w:rsid w:val="08EA516D"/>
    <w:rsid w:val="08F754A1"/>
    <w:rsid w:val="08FC0CCA"/>
    <w:rsid w:val="096157DF"/>
    <w:rsid w:val="0976663B"/>
    <w:rsid w:val="099355F8"/>
    <w:rsid w:val="09AD3A47"/>
    <w:rsid w:val="09B502AE"/>
    <w:rsid w:val="09DD541A"/>
    <w:rsid w:val="09F10450"/>
    <w:rsid w:val="0A384706"/>
    <w:rsid w:val="0A3F2E4F"/>
    <w:rsid w:val="0A9A377B"/>
    <w:rsid w:val="0B27506F"/>
    <w:rsid w:val="0B4C5888"/>
    <w:rsid w:val="0B5A0591"/>
    <w:rsid w:val="0B8C5B00"/>
    <w:rsid w:val="0BC820E2"/>
    <w:rsid w:val="0BF40511"/>
    <w:rsid w:val="0C065F88"/>
    <w:rsid w:val="0C07544A"/>
    <w:rsid w:val="0C302D8B"/>
    <w:rsid w:val="0CD87D21"/>
    <w:rsid w:val="0CF66CB3"/>
    <w:rsid w:val="0D385650"/>
    <w:rsid w:val="0D891129"/>
    <w:rsid w:val="0DAA4406"/>
    <w:rsid w:val="0DCA3A23"/>
    <w:rsid w:val="0DF25B2F"/>
    <w:rsid w:val="0E8E42AF"/>
    <w:rsid w:val="0EDC6A0F"/>
    <w:rsid w:val="0F060C1D"/>
    <w:rsid w:val="0FA71D21"/>
    <w:rsid w:val="0FE64614"/>
    <w:rsid w:val="0FF4473B"/>
    <w:rsid w:val="0FFD7573"/>
    <w:rsid w:val="100159B8"/>
    <w:rsid w:val="103E3030"/>
    <w:rsid w:val="10696E6F"/>
    <w:rsid w:val="108125EE"/>
    <w:rsid w:val="10B27235"/>
    <w:rsid w:val="10B60628"/>
    <w:rsid w:val="11663318"/>
    <w:rsid w:val="116A10AE"/>
    <w:rsid w:val="119C37F2"/>
    <w:rsid w:val="12092208"/>
    <w:rsid w:val="121A4373"/>
    <w:rsid w:val="12646638"/>
    <w:rsid w:val="128F7744"/>
    <w:rsid w:val="129C2D65"/>
    <w:rsid w:val="12A22F6F"/>
    <w:rsid w:val="12B620EE"/>
    <w:rsid w:val="12CB3A7F"/>
    <w:rsid w:val="130A0366"/>
    <w:rsid w:val="130B144A"/>
    <w:rsid w:val="133F6DBC"/>
    <w:rsid w:val="13716B19"/>
    <w:rsid w:val="1396735C"/>
    <w:rsid w:val="14225EAD"/>
    <w:rsid w:val="144A4625"/>
    <w:rsid w:val="144A774A"/>
    <w:rsid w:val="1491511C"/>
    <w:rsid w:val="14A3156B"/>
    <w:rsid w:val="14DB27D8"/>
    <w:rsid w:val="15347BD0"/>
    <w:rsid w:val="154619B7"/>
    <w:rsid w:val="157835F1"/>
    <w:rsid w:val="15943BE4"/>
    <w:rsid w:val="16646CBF"/>
    <w:rsid w:val="16CD76C6"/>
    <w:rsid w:val="170D042D"/>
    <w:rsid w:val="1729478D"/>
    <w:rsid w:val="176236E3"/>
    <w:rsid w:val="17A13152"/>
    <w:rsid w:val="17D060CA"/>
    <w:rsid w:val="181F3A21"/>
    <w:rsid w:val="182061EA"/>
    <w:rsid w:val="18640C92"/>
    <w:rsid w:val="186B5020"/>
    <w:rsid w:val="19130410"/>
    <w:rsid w:val="19155099"/>
    <w:rsid w:val="1917594D"/>
    <w:rsid w:val="194D2952"/>
    <w:rsid w:val="196A5947"/>
    <w:rsid w:val="196C0F94"/>
    <w:rsid w:val="19B12B72"/>
    <w:rsid w:val="19E13681"/>
    <w:rsid w:val="1A3368A7"/>
    <w:rsid w:val="1A387A77"/>
    <w:rsid w:val="1A722743"/>
    <w:rsid w:val="1ADD2620"/>
    <w:rsid w:val="1B0100C6"/>
    <w:rsid w:val="1B197001"/>
    <w:rsid w:val="1B400C6F"/>
    <w:rsid w:val="1B445E80"/>
    <w:rsid w:val="1B5A0CF0"/>
    <w:rsid w:val="1C347690"/>
    <w:rsid w:val="1C7E486E"/>
    <w:rsid w:val="1C8156AA"/>
    <w:rsid w:val="1C8F719B"/>
    <w:rsid w:val="1D4E748C"/>
    <w:rsid w:val="1D5D4C3D"/>
    <w:rsid w:val="1D810C82"/>
    <w:rsid w:val="1D883533"/>
    <w:rsid w:val="1D8D4AEA"/>
    <w:rsid w:val="1DB91C37"/>
    <w:rsid w:val="1DC439BC"/>
    <w:rsid w:val="1DC55A34"/>
    <w:rsid w:val="1DDC5928"/>
    <w:rsid w:val="1DF276AF"/>
    <w:rsid w:val="1E3D37AB"/>
    <w:rsid w:val="1E9E6116"/>
    <w:rsid w:val="1EFB602E"/>
    <w:rsid w:val="1F056238"/>
    <w:rsid w:val="1F1101CF"/>
    <w:rsid w:val="1F3D3B25"/>
    <w:rsid w:val="1F7D3294"/>
    <w:rsid w:val="1FAB4482"/>
    <w:rsid w:val="202A3F09"/>
    <w:rsid w:val="207D33B2"/>
    <w:rsid w:val="2095673E"/>
    <w:rsid w:val="20AB7F59"/>
    <w:rsid w:val="20C92CE4"/>
    <w:rsid w:val="20CC2578"/>
    <w:rsid w:val="20DB339B"/>
    <w:rsid w:val="20DE7688"/>
    <w:rsid w:val="20E47373"/>
    <w:rsid w:val="21214387"/>
    <w:rsid w:val="218374CC"/>
    <w:rsid w:val="21A110B9"/>
    <w:rsid w:val="21D108A8"/>
    <w:rsid w:val="221F0E66"/>
    <w:rsid w:val="222D3FA5"/>
    <w:rsid w:val="2249436E"/>
    <w:rsid w:val="225348C7"/>
    <w:rsid w:val="225D430F"/>
    <w:rsid w:val="228F19B7"/>
    <w:rsid w:val="229D3590"/>
    <w:rsid w:val="229F5102"/>
    <w:rsid w:val="22A10C5C"/>
    <w:rsid w:val="22AD0CAD"/>
    <w:rsid w:val="22CA140C"/>
    <w:rsid w:val="231057D9"/>
    <w:rsid w:val="23741B32"/>
    <w:rsid w:val="24125BC8"/>
    <w:rsid w:val="243B61F5"/>
    <w:rsid w:val="24492E48"/>
    <w:rsid w:val="2457032D"/>
    <w:rsid w:val="245E26EC"/>
    <w:rsid w:val="246A0CA0"/>
    <w:rsid w:val="2496149D"/>
    <w:rsid w:val="249F7694"/>
    <w:rsid w:val="24D97602"/>
    <w:rsid w:val="256C067B"/>
    <w:rsid w:val="256C23F4"/>
    <w:rsid w:val="25C16E1F"/>
    <w:rsid w:val="25DA62B8"/>
    <w:rsid w:val="261629E0"/>
    <w:rsid w:val="26375014"/>
    <w:rsid w:val="26531CD5"/>
    <w:rsid w:val="26AB4ECA"/>
    <w:rsid w:val="26BB4C65"/>
    <w:rsid w:val="273E3D6E"/>
    <w:rsid w:val="274028C2"/>
    <w:rsid w:val="27622C6E"/>
    <w:rsid w:val="27C32548"/>
    <w:rsid w:val="27CE5BE7"/>
    <w:rsid w:val="27FE272D"/>
    <w:rsid w:val="282E3BB0"/>
    <w:rsid w:val="28AE7A00"/>
    <w:rsid w:val="28E8012C"/>
    <w:rsid w:val="293E7836"/>
    <w:rsid w:val="295264D7"/>
    <w:rsid w:val="29995DFC"/>
    <w:rsid w:val="29A22F02"/>
    <w:rsid w:val="29AA2CCE"/>
    <w:rsid w:val="2A81244C"/>
    <w:rsid w:val="2ACB4472"/>
    <w:rsid w:val="2AFA603F"/>
    <w:rsid w:val="2B6A376B"/>
    <w:rsid w:val="2B817698"/>
    <w:rsid w:val="2B8E29B7"/>
    <w:rsid w:val="2BFE4E64"/>
    <w:rsid w:val="2C166231"/>
    <w:rsid w:val="2C6E22A9"/>
    <w:rsid w:val="2C717120"/>
    <w:rsid w:val="2CA32EC2"/>
    <w:rsid w:val="2CE11997"/>
    <w:rsid w:val="2D0F6B01"/>
    <w:rsid w:val="2D3E1112"/>
    <w:rsid w:val="2D6B7AAF"/>
    <w:rsid w:val="2D7365A0"/>
    <w:rsid w:val="2D907A6A"/>
    <w:rsid w:val="2DAB6C49"/>
    <w:rsid w:val="2DC72229"/>
    <w:rsid w:val="2E29045C"/>
    <w:rsid w:val="2E2C24D4"/>
    <w:rsid w:val="2EC351CA"/>
    <w:rsid w:val="2ED753FC"/>
    <w:rsid w:val="2F0A54A8"/>
    <w:rsid w:val="2F294B9D"/>
    <w:rsid w:val="30125EBC"/>
    <w:rsid w:val="30B26229"/>
    <w:rsid w:val="30B7098A"/>
    <w:rsid w:val="30BA7D15"/>
    <w:rsid w:val="30C536FA"/>
    <w:rsid w:val="310061F3"/>
    <w:rsid w:val="31024C96"/>
    <w:rsid w:val="311D311F"/>
    <w:rsid w:val="313D17BE"/>
    <w:rsid w:val="314F7571"/>
    <w:rsid w:val="31A81E84"/>
    <w:rsid w:val="31BC0B24"/>
    <w:rsid w:val="31C3435E"/>
    <w:rsid w:val="31C816DA"/>
    <w:rsid w:val="31CE1D46"/>
    <w:rsid w:val="31EF3B00"/>
    <w:rsid w:val="323F10FE"/>
    <w:rsid w:val="326A16FF"/>
    <w:rsid w:val="32C12BAF"/>
    <w:rsid w:val="32C6485A"/>
    <w:rsid w:val="32E43392"/>
    <w:rsid w:val="32FC645C"/>
    <w:rsid w:val="33210C6F"/>
    <w:rsid w:val="33232A5F"/>
    <w:rsid w:val="33274BD5"/>
    <w:rsid w:val="3345288B"/>
    <w:rsid w:val="335704AD"/>
    <w:rsid w:val="33980436"/>
    <w:rsid w:val="33B2575C"/>
    <w:rsid w:val="33BD6150"/>
    <w:rsid w:val="34395B32"/>
    <w:rsid w:val="346103BB"/>
    <w:rsid w:val="346671F6"/>
    <w:rsid w:val="35085D0E"/>
    <w:rsid w:val="35244234"/>
    <w:rsid w:val="3538296D"/>
    <w:rsid w:val="35C22146"/>
    <w:rsid w:val="36105698"/>
    <w:rsid w:val="36111DC3"/>
    <w:rsid w:val="36203481"/>
    <w:rsid w:val="362F4340"/>
    <w:rsid w:val="36470979"/>
    <w:rsid w:val="366C4FC4"/>
    <w:rsid w:val="36761449"/>
    <w:rsid w:val="36C86B4A"/>
    <w:rsid w:val="36CF4A91"/>
    <w:rsid w:val="36E903C3"/>
    <w:rsid w:val="37386830"/>
    <w:rsid w:val="379167DA"/>
    <w:rsid w:val="37C27A7E"/>
    <w:rsid w:val="38107107"/>
    <w:rsid w:val="381E547B"/>
    <w:rsid w:val="382F433C"/>
    <w:rsid w:val="3831374F"/>
    <w:rsid w:val="389D005F"/>
    <w:rsid w:val="38A9721D"/>
    <w:rsid w:val="38EE4A5F"/>
    <w:rsid w:val="3908401F"/>
    <w:rsid w:val="39374B6F"/>
    <w:rsid w:val="39494261"/>
    <w:rsid w:val="394F6992"/>
    <w:rsid w:val="39DA5E57"/>
    <w:rsid w:val="3A106F32"/>
    <w:rsid w:val="3A534E77"/>
    <w:rsid w:val="3A60099C"/>
    <w:rsid w:val="3A9D5B5B"/>
    <w:rsid w:val="3AAC0258"/>
    <w:rsid w:val="3B043E9A"/>
    <w:rsid w:val="3B1D4ADF"/>
    <w:rsid w:val="3B653D90"/>
    <w:rsid w:val="3B8A6DB4"/>
    <w:rsid w:val="3BBA0580"/>
    <w:rsid w:val="3BE176FA"/>
    <w:rsid w:val="3BF13B36"/>
    <w:rsid w:val="3C0C45F3"/>
    <w:rsid w:val="3C303062"/>
    <w:rsid w:val="3C6628CF"/>
    <w:rsid w:val="3C9F3748"/>
    <w:rsid w:val="3CBA4223"/>
    <w:rsid w:val="3CD236A7"/>
    <w:rsid w:val="3CD72A6B"/>
    <w:rsid w:val="3CE06912"/>
    <w:rsid w:val="3CEA67D5"/>
    <w:rsid w:val="3D440B11"/>
    <w:rsid w:val="3D515C28"/>
    <w:rsid w:val="3D5A3BAB"/>
    <w:rsid w:val="3DF140CF"/>
    <w:rsid w:val="3DF9669F"/>
    <w:rsid w:val="3DFC0F76"/>
    <w:rsid w:val="3E033D2A"/>
    <w:rsid w:val="3E1716BD"/>
    <w:rsid w:val="3E2E6510"/>
    <w:rsid w:val="3E6B790F"/>
    <w:rsid w:val="3E7D7914"/>
    <w:rsid w:val="3EDA202D"/>
    <w:rsid w:val="3F6031EC"/>
    <w:rsid w:val="3FBC1E24"/>
    <w:rsid w:val="3FC840B3"/>
    <w:rsid w:val="3FDF697D"/>
    <w:rsid w:val="3FED6871"/>
    <w:rsid w:val="3FFB6333"/>
    <w:rsid w:val="3FFE3A57"/>
    <w:rsid w:val="40321186"/>
    <w:rsid w:val="408D24DA"/>
    <w:rsid w:val="40CA29DC"/>
    <w:rsid w:val="40DC2D46"/>
    <w:rsid w:val="40E43586"/>
    <w:rsid w:val="40E465B4"/>
    <w:rsid w:val="40FF7D51"/>
    <w:rsid w:val="41D43C02"/>
    <w:rsid w:val="42394698"/>
    <w:rsid w:val="429146ED"/>
    <w:rsid w:val="42E8295A"/>
    <w:rsid w:val="43051C38"/>
    <w:rsid w:val="433B4B0C"/>
    <w:rsid w:val="436F01CA"/>
    <w:rsid w:val="436F1C02"/>
    <w:rsid w:val="438C2802"/>
    <w:rsid w:val="43921508"/>
    <w:rsid w:val="43952960"/>
    <w:rsid w:val="43C138BD"/>
    <w:rsid w:val="43CB5548"/>
    <w:rsid w:val="43FF6E44"/>
    <w:rsid w:val="4403299E"/>
    <w:rsid w:val="441655A2"/>
    <w:rsid w:val="442706C0"/>
    <w:rsid w:val="44351579"/>
    <w:rsid w:val="444E229E"/>
    <w:rsid w:val="44634A97"/>
    <w:rsid w:val="446819DB"/>
    <w:rsid w:val="4473105F"/>
    <w:rsid w:val="450E5B7D"/>
    <w:rsid w:val="454D7C42"/>
    <w:rsid w:val="45500AE0"/>
    <w:rsid w:val="455D245B"/>
    <w:rsid w:val="456055DE"/>
    <w:rsid w:val="459E2002"/>
    <w:rsid w:val="45DB156B"/>
    <w:rsid w:val="463B406B"/>
    <w:rsid w:val="469F0A9E"/>
    <w:rsid w:val="46E025D7"/>
    <w:rsid w:val="46E71F62"/>
    <w:rsid w:val="46EB0BDC"/>
    <w:rsid w:val="46FE4846"/>
    <w:rsid w:val="470A1BC6"/>
    <w:rsid w:val="471E66DB"/>
    <w:rsid w:val="47574ED5"/>
    <w:rsid w:val="47655ADA"/>
    <w:rsid w:val="47835CCA"/>
    <w:rsid w:val="47D15DFF"/>
    <w:rsid w:val="48071717"/>
    <w:rsid w:val="485745AA"/>
    <w:rsid w:val="48D5178D"/>
    <w:rsid w:val="4907467E"/>
    <w:rsid w:val="490E5C22"/>
    <w:rsid w:val="49493CCA"/>
    <w:rsid w:val="49550E02"/>
    <w:rsid w:val="497C6E74"/>
    <w:rsid w:val="498540AB"/>
    <w:rsid w:val="4A7B715E"/>
    <w:rsid w:val="4AA565D6"/>
    <w:rsid w:val="4AAB6C73"/>
    <w:rsid w:val="4B2D7363"/>
    <w:rsid w:val="4B425326"/>
    <w:rsid w:val="4B4E65EF"/>
    <w:rsid w:val="4B6202EC"/>
    <w:rsid w:val="4B6D4481"/>
    <w:rsid w:val="4BA7702D"/>
    <w:rsid w:val="4BCF0C16"/>
    <w:rsid w:val="4BD9235C"/>
    <w:rsid w:val="4BF56DAC"/>
    <w:rsid w:val="4C00235D"/>
    <w:rsid w:val="4C720A47"/>
    <w:rsid w:val="4C742EFD"/>
    <w:rsid w:val="4C787DC7"/>
    <w:rsid w:val="4C942727"/>
    <w:rsid w:val="4CC5050B"/>
    <w:rsid w:val="4D162706"/>
    <w:rsid w:val="4D222CE9"/>
    <w:rsid w:val="4D432C40"/>
    <w:rsid w:val="4DB52C4D"/>
    <w:rsid w:val="4E37493D"/>
    <w:rsid w:val="4E5C2B25"/>
    <w:rsid w:val="4EAE2B39"/>
    <w:rsid w:val="4ECC61A8"/>
    <w:rsid w:val="4F074161"/>
    <w:rsid w:val="4F246F6F"/>
    <w:rsid w:val="4F8D6891"/>
    <w:rsid w:val="4F9A742C"/>
    <w:rsid w:val="4FAC1E35"/>
    <w:rsid w:val="4FD15017"/>
    <w:rsid w:val="4FE60326"/>
    <w:rsid w:val="4FE71AF7"/>
    <w:rsid w:val="4FF736F9"/>
    <w:rsid w:val="500F5C67"/>
    <w:rsid w:val="5027330E"/>
    <w:rsid w:val="50671B79"/>
    <w:rsid w:val="507E5F1B"/>
    <w:rsid w:val="509074BA"/>
    <w:rsid w:val="509520F0"/>
    <w:rsid w:val="51BD2490"/>
    <w:rsid w:val="51E2385D"/>
    <w:rsid w:val="520D1772"/>
    <w:rsid w:val="52446E01"/>
    <w:rsid w:val="52C03774"/>
    <w:rsid w:val="52E47B21"/>
    <w:rsid w:val="52F37652"/>
    <w:rsid w:val="52F52966"/>
    <w:rsid w:val="530449C0"/>
    <w:rsid w:val="533D01A8"/>
    <w:rsid w:val="535556C4"/>
    <w:rsid w:val="53791E73"/>
    <w:rsid w:val="53C22044"/>
    <w:rsid w:val="54145E9B"/>
    <w:rsid w:val="542778FC"/>
    <w:rsid w:val="5469408D"/>
    <w:rsid w:val="548136DA"/>
    <w:rsid w:val="54C432DB"/>
    <w:rsid w:val="551B02EF"/>
    <w:rsid w:val="551C7392"/>
    <w:rsid w:val="553F510E"/>
    <w:rsid w:val="55443E40"/>
    <w:rsid w:val="555B0397"/>
    <w:rsid w:val="557269EA"/>
    <w:rsid w:val="557B1FB1"/>
    <w:rsid w:val="557E7653"/>
    <w:rsid w:val="55911D3E"/>
    <w:rsid w:val="55A80497"/>
    <w:rsid w:val="55AD491E"/>
    <w:rsid w:val="55B84EAE"/>
    <w:rsid w:val="55FF7827"/>
    <w:rsid w:val="56324B26"/>
    <w:rsid w:val="565165EB"/>
    <w:rsid w:val="56743D30"/>
    <w:rsid w:val="569F42C5"/>
    <w:rsid w:val="56BB1258"/>
    <w:rsid w:val="56DE53C5"/>
    <w:rsid w:val="56FC15AA"/>
    <w:rsid w:val="572E6369"/>
    <w:rsid w:val="576528E0"/>
    <w:rsid w:val="577971A2"/>
    <w:rsid w:val="578A4C34"/>
    <w:rsid w:val="578C1931"/>
    <w:rsid w:val="5796443F"/>
    <w:rsid w:val="57A16053"/>
    <w:rsid w:val="57CF589D"/>
    <w:rsid w:val="57D47FE5"/>
    <w:rsid w:val="584E7471"/>
    <w:rsid w:val="58663036"/>
    <w:rsid w:val="58C3434A"/>
    <w:rsid w:val="59B326E7"/>
    <w:rsid w:val="59BA2135"/>
    <w:rsid w:val="5A085235"/>
    <w:rsid w:val="5A0F185C"/>
    <w:rsid w:val="5A221B2E"/>
    <w:rsid w:val="5A633192"/>
    <w:rsid w:val="5AC8210F"/>
    <w:rsid w:val="5B9D2886"/>
    <w:rsid w:val="5BA16CA9"/>
    <w:rsid w:val="5C522B03"/>
    <w:rsid w:val="5D41498A"/>
    <w:rsid w:val="5D4F04B0"/>
    <w:rsid w:val="5DDD6751"/>
    <w:rsid w:val="5DE27D97"/>
    <w:rsid w:val="5E0133B7"/>
    <w:rsid w:val="5E462D0A"/>
    <w:rsid w:val="5E4F2949"/>
    <w:rsid w:val="5E553AC2"/>
    <w:rsid w:val="5E980438"/>
    <w:rsid w:val="5F0955FB"/>
    <w:rsid w:val="5F12376C"/>
    <w:rsid w:val="5F2C3231"/>
    <w:rsid w:val="5F4911C8"/>
    <w:rsid w:val="5F6367FE"/>
    <w:rsid w:val="5F724B4A"/>
    <w:rsid w:val="5F7B0B93"/>
    <w:rsid w:val="5F853D43"/>
    <w:rsid w:val="5F8D2CC9"/>
    <w:rsid w:val="5FC92A22"/>
    <w:rsid w:val="5FDE07EF"/>
    <w:rsid w:val="5FE813E6"/>
    <w:rsid w:val="601F0B2B"/>
    <w:rsid w:val="60243B12"/>
    <w:rsid w:val="60297C51"/>
    <w:rsid w:val="603B794C"/>
    <w:rsid w:val="604E0C27"/>
    <w:rsid w:val="605D58E0"/>
    <w:rsid w:val="608359BC"/>
    <w:rsid w:val="60F44AF8"/>
    <w:rsid w:val="618F607B"/>
    <w:rsid w:val="61A0175F"/>
    <w:rsid w:val="61A72957"/>
    <w:rsid w:val="623A3203"/>
    <w:rsid w:val="6277079A"/>
    <w:rsid w:val="628B5EC2"/>
    <w:rsid w:val="628B7A5D"/>
    <w:rsid w:val="62E50DCE"/>
    <w:rsid w:val="635307EE"/>
    <w:rsid w:val="637A6239"/>
    <w:rsid w:val="63811978"/>
    <w:rsid w:val="63AB2E5B"/>
    <w:rsid w:val="63CC7186"/>
    <w:rsid w:val="63D30A57"/>
    <w:rsid w:val="63E63410"/>
    <w:rsid w:val="64303D77"/>
    <w:rsid w:val="64BE25DF"/>
    <w:rsid w:val="65187A69"/>
    <w:rsid w:val="652706FC"/>
    <w:rsid w:val="652D313E"/>
    <w:rsid w:val="655A5E64"/>
    <w:rsid w:val="656023DA"/>
    <w:rsid w:val="6597789D"/>
    <w:rsid w:val="659F166F"/>
    <w:rsid w:val="66155BD9"/>
    <w:rsid w:val="666174DB"/>
    <w:rsid w:val="666A1C5C"/>
    <w:rsid w:val="668D16DF"/>
    <w:rsid w:val="66AE4F91"/>
    <w:rsid w:val="66B3308E"/>
    <w:rsid w:val="6718400E"/>
    <w:rsid w:val="674462E7"/>
    <w:rsid w:val="67595674"/>
    <w:rsid w:val="678911AB"/>
    <w:rsid w:val="679171F9"/>
    <w:rsid w:val="67C04BAB"/>
    <w:rsid w:val="67CF6E95"/>
    <w:rsid w:val="680107B1"/>
    <w:rsid w:val="68047CDC"/>
    <w:rsid w:val="687256A3"/>
    <w:rsid w:val="68907DEF"/>
    <w:rsid w:val="68951C23"/>
    <w:rsid w:val="693353A9"/>
    <w:rsid w:val="6A316CB8"/>
    <w:rsid w:val="6A997170"/>
    <w:rsid w:val="6B0A19EB"/>
    <w:rsid w:val="6BD04C6F"/>
    <w:rsid w:val="6BDA5DCF"/>
    <w:rsid w:val="6C283EAB"/>
    <w:rsid w:val="6C5D5BC5"/>
    <w:rsid w:val="6CB561E6"/>
    <w:rsid w:val="6CD53E78"/>
    <w:rsid w:val="6CF23E8B"/>
    <w:rsid w:val="6D042B59"/>
    <w:rsid w:val="6D0520F7"/>
    <w:rsid w:val="6D195F0B"/>
    <w:rsid w:val="6D2B6338"/>
    <w:rsid w:val="6D7C40F7"/>
    <w:rsid w:val="6D950538"/>
    <w:rsid w:val="6DE446DA"/>
    <w:rsid w:val="6E085B41"/>
    <w:rsid w:val="6E0E27DB"/>
    <w:rsid w:val="6E1A3C66"/>
    <w:rsid w:val="6E6A3D7F"/>
    <w:rsid w:val="6E8D504A"/>
    <w:rsid w:val="6EC833F6"/>
    <w:rsid w:val="6ECD3A3D"/>
    <w:rsid w:val="6ED5666A"/>
    <w:rsid w:val="6F1F3C7A"/>
    <w:rsid w:val="6F201237"/>
    <w:rsid w:val="6FAF4C4A"/>
    <w:rsid w:val="6FC22F83"/>
    <w:rsid w:val="6FFB5E68"/>
    <w:rsid w:val="70344EA3"/>
    <w:rsid w:val="706B662B"/>
    <w:rsid w:val="708A15C7"/>
    <w:rsid w:val="708E5491"/>
    <w:rsid w:val="70A348C1"/>
    <w:rsid w:val="70C26258"/>
    <w:rsid w:val="70C66990"/>
    <w:rsid w:val="70DB5B09"/>
    <w:rsid w:val="71205421"/>
    <w:rsid w:val="71511D80"/>
    <w:rsid w:val="716F71A9"/>
    <w:rsid w:val="7171012E"/>
    <w:rsid w:val="71877EBD"/>
    <w:rsid w:val="71B27028"/>
    <w:rsid w:val="71B83C78"/>
    <w:rsid w:val="724D0DFA"/>
    <w:rsid w:val="72532C9F"/>
    <w:rsid w:val="727D73D5"/>
    <w:rsid w:val="732F1389"/>
    <w:rsid w:val="736C64A5"/>
    <w:rsid w:val="737F1AF0"/>
    <w:rsid w:val="738053F9"/>
    <w:rsid w:val="73EA2AA9"/>
    <w:rsid w:val="73F50D50"/>
    <w:rsid w:val="74002A9F"/>
    <w:rsid w:val="74106EF3"/>
    <w:rsid w:val="74337243"/>
    <w:rsid w:val="743B05C1"/>
    <w:rsid w:val="74583EB6"/>
    <w:rsid w:val="74822D3B"/>
    <w:rsid w:val="74CF594D"/>
    <w:rsid w:val="74EC6556"/>
    <w:rsid w:val="74F41F6E"/>
    <w:rsid w:val="751759A6"/>
    <w:rsid w:val="7534150C"/>
    <w:rsid w:val="755A2FB6"/>
    <w:rsid w:val="756E5C1E"/>
    <w:rsid w:val="758672DF"/>
    <w:rsid w:val="75CF36D6"/>
    <w:rsid w:val="762E7B7B"/>
    <w:rsid w:val="76A209B0"/>
    <w:rsid w:val="76A378E3"/>
    <w:rsid w:val="76BB697E"/>
    <w:rsid w:val="76D66663"/>
    <w:rsid w:val="76D85B1E"/>
    <w:rsid w:val="76DF3D2B"/>
    <w:rsid w:val="76ED6142"/>
    <w:rsid w:val="76F0011C"/>
    <w:rsid w:val="76F26E6C"/>
    <w:rsid w:val="77630DEE"/>
    <w:rsid w:val="777032C5"/>
    <w:rsid w:val="77707769"/>
    <w:rsid w:val="77B5517C"/>
    <w:rsid w:val="77C1794C"/>
    <w:rsid w:val="77D81C3E"/>
    <w:rsid w:val="784C2F6A"/>
    <w:rsid w:val="784E3E49"/>
    <w:rsid w:val="786603F9"/>
    <w:rsid w:val="78795D02"/>
    <w:rsid w:val="78922459"/>
    <w:rsid w:val="78FF1D9F"/>
    <w:rsid w:val="790A7EA5"/>
    <w:rsid w:val="7974376B"/>
    <w:rsid w:val="79F94A3C"/>
    <w:rsid w:val="7A320D06"/>
    <w:rsid w:val="7A3F3E02"/>
    <w:rsid w:val="7A6E36DB"/>
    <w:rsid w:val="7AAE2547"/>
    <w:rsid w:val="7AB00F65"/>
    <w:rsid w:val="7AB228ED"/>
    <w:rsid w:val="7ABC12FA"/>
    <w:rsid w:val="7AC626AE"/>
    <w:rsid w:val="7AEE0BA6"/>
    <w:rsid w:val="7B2D3A97"/>
    <w:rsid w:val="7BA35CA6"/>
    <w:rsid w:val="7BD229EC"/>
    <w:rsid w:val="7BD538A8"/>
    <w:rsid w:val="7BF00B62"/>
    <w:rsid w:val="7C307981"/>
    <w:rsid w:val="7C3264FE"/>
    <w:rsid w:val="7C4316D6"/>
    <w:rsid w:val="7C5510E6"/>
    <w:rsid w:val="7C6505C5"/>
    <w:rsid w:val="7C883F4E"/>
    <w:rsid w:val="7C8E215C"/>
    <w:rsid w:val="7C990C10"/>
    <w:rsid w:val="7CBB0B30"/>
    <w:rsid w:val="7CC97F0E"/>
    <w:rsid w:val="7D4B192B"/>
    <w:rsid w:val="7E470AF8"/>
    <w:rsid w:val="7E4834F5"/>
    <w:rsid w:val="7E4B67C3"/>
    <w:rsid w:val="7E602EE5"/>
    <w:rsid w:val="7EAE51E2"/>
    <w:rsid w:val="7EE352BF"/>
    <w:rsid w:val="7F1C364B"/>
    <w:rsid w:val="7F5A6980"/>
    <w:rsid w:val="7F6219EE"/>
    <w:rsid w:val="7F6810A2"/>
    <w:rsid w:val="7F9D28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nhideWhenUsed="0" w:uiPriority="1" w:semiHidden="0" w:name="heading 8"/>
    <w:lsdException w:qFormat="1" w:unhideWhenUsed="0" w:uiPriority="1"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link w:val="32"/>
    <w:qFormat/>
    <w:uiPriority w:val="1"/>
    <w:pPr>
      <w:outlineLvl w:val="0"/>
    </w:pPr>
    <w:rPr>
      <w:b/>
      <w:bCs/>
      <w:sz w:val="32"/>
      <w:szCs w:val="32"/>
    </w:rPr>
  </w:style>
  <w:style w:type="paragraph" w:styleId="3">
    <w:name w:val="heading 2"/>
    <w:basedOn w:val="1"/>
    <w:next w:val="1"/>
    <w:qFormat/>
    <w:uiPriority w:val="1"/>
    <w:pPr>
      <w:spacing w:before="255"/>
      <w:ind w:right="317"/>
      <w:jc w:val="center"/>
      <w:outlineLvl w:val="1"/>
    </w:pPr>
    <w:rPr>
      <w:sz w:val="32"/>
      <w:szCs w:val="32"/>
    </w:rPr>
  </w:style>
  <w:style w:type="paragraph" w:styleId="4">
    <w:name w:val="heading 3"/>
    <w:basedOn w:val="1"/>
    <w:next w:val="1"/>
    <w:qFormat/>
    <w:uiPriority w:val="1"/>
    <w:pPr>
      <w:spacing w:before="42"/>
      <w:ind w:right="320"/>
      <w:jc w:val="center"/>
      <w:outlineLvl w:val="2"/>
    </w:pPr>
    <w:rPr>
      <w:b/>
      <w:bCs/>
      <w:sz w:val="30"/>
      <w:szCs w:val="30"/>
    </w:rPr>
  </w:style>
  <w:style w:type="paragraph" w:styleId="5">
    <w:name w:val="heading 4"/>
    <w:basedOn w:val="1"/>
    <w:next w:val="1"/>
    <w:qFormat/>
    <w:uiPriority w:val="1"/>
    <w:pPr>
      <w:ind w:left="480"/>
      <w:outlineLvl w:val="3"/>
    </w:pPr>
    <w:rPr>
      <w:b/>
      <w:bCs/>
      <w:sz w:val="28"/>
      <w:szCs w:val="28"/>
    </w:rPr>
  </w:style>
  <w:style w:type="paragraph" w:styleId="6">
    <w:name w:val="heading 5"/>
    <w:basedOn w:val="1"/>
    <w:next w:val="1"/>
    <w:qFormat/>
    <w:uiPriority w:val="1"/>
    <w:pPr>
      <w:ind w:left="1812"/>
      <w:outlineLvl w:val="4"/>
    </w:pPr>
    <w:rPr>
      <w:sz w:val="28"/>
      <w:szCs w:val="28"/>
    </w:rPr>
  </w:style>
  <w:style w:type="paragraph" w:styleId="7">
    <w:name w:val="heading 6"/>
    <w:basedOn w:val="1"/>
    <w:next w:val="1"/>
    <w:qFormat/>
    <w:uiPriority w:val="1"/>
    <w:pPr>
      <w:ind w:left="480"/>
      <w:outlineLvl w:val="5"/>
    </w:pPr>
    <w:rPr>
      <w:b/>
      <w:bCs/>
      <w:sz w:val="24"/>
      <w:szCs w:val="24"/>
    </w:rPr>
  </w:style>
  <w:style w:type="paragraph" w:styleId="8">
    <w:name w:val="heading 7"/>
    <w:basedOn w:val="1"/>
    <w:next w:val="1"/>
    <w:qFormat/>
    <w:uiPriority w:val="1"/>
    <w:pPr>
      <w:ind w:left="480"/>
      <w:outlineLvl w:val="6"/>
    </w:pPr>
    <w:rPr>
      <w:sz w:val="24"/>
      <w:szCs w:val="24"/>
    </w:rPr>
  </w:style>
  <w:style w:type="paragraph" w:styleId="9">
    <w:name w:val="heading 8"/>
    <w:basedOn w:val="1"/>
    <w:next w:val="1"/>
    <w:qFormat/>
    <w:uiPriority w:val="1"/>
    <w:pPr>
      <w:ind w:left="900"/>
      <w:outlineLvl w:val="7"/>
    </w:pPr>
  </w:style>
  <w:style w:type="paragraph" w:styleId="10">
    <w:name w:val="heading 9"/>
    <w:basedOn w:val="1"/>
    <w:next w:val="1"/>
    <w:qFormat/>
    <w:uiPriority w:val="1"/>
    <w:pPr>
      <w:ind w:left="343"/>
      <w:outlineLvl w:val="8"/>
    </w:pPr>
    <w:rPr>
      <w:b/>
      <w:bCs/>
      <w:sz w:val="21"/>
      <w:szCs w:val="21"/>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51"/>
    <w:qFormat/>
    <w:uiPriority w:val="99"/>
  </w:style>
  <w:style w:type="paragraph" w:styleId="12">
    <w:name w:val="Body Text"/>
    <w:basedOn w:val="1"/>
    <w:next w:val="1"/>
    <w:link w:val="50"/>
    <w:qFormat/>
    <w:uiPriority w:val="99"/>
    <w:rPr>
      <w:sz w:val="21"/>
      <w:szCs w:val="21"/>
    </w:rPr>
  </w:style>
  <w:style w:type="paragraph" w:styleId="13">
    <w:name w:val="Block Text"/>
    <w:basedOn w:val="1"/>
    <w:qFormat/>
    <w:uiPriority w:val="0"/>
    <w:pPr>
      <w:ind w:left="1440" w:leftChars="700" w:right="700" w:rightChars="700"/>
    </w:pPr>
  </w:style>
  <w:style w:type="paragraph" w:styleId="14">
    <w:name w:val="toc 3"/>
    <w:basedOn w:val="1"/>
    <w:next w:val="1"/>
    <w:qFormat/>
    <w:uiPriority w:val="0"/>
    <w:pPr>
      <w:ind w:left="840" w:leftChars="400"/>
    </w:pPr>
  </w:style>
  <w:style w:type="paragraph" w:styleId="15">
    <w:name w:val="Plain Text"/>
    <w:basedOn w:val="1"/>
    <w:qFormat/>
    <w:uiPriority w:val="0"/>
    <w:rPr>
      <w:rFonts w:hAnsi="Courier New"/>
      <w:szCs w:val="20"/>
    </w:rPr>
  </w:style>
  <w:style w:type="paragraph" w:styleId="16">
    <w:name w:val="Balloon Text"/>
    <w:basedOn w:val="1"/>
    <w:link w:val="49"/>
    <w:qFormat/>
    <w:uiPriority w:val="0"/>
    <w:rPr>
      <w:sz w:val="18"/>
      <w:szCs w:val="18"/>
    </w:rPr>
  </w:style>
  <w:style w:type="paragraph" w:styleId="17">
    <w:name w:val="footer"/>
    <w:basedOn w:val="1"/>
    <w:next w:val="1"/>
    <w:qFormat/>
    <w:uiPriority w:val="0"/>
    <w:pPr>
      <w:tabs>
        <w:tab w:val="center" w:pos="4153"/>
        <w:tab w:val="right" w:pos="8306"/>
      </w:tabs>
      <w:snapToGrid w:val="0"/>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1"/>
    <w:pPr>
      <w:spacing w:before="434"/>
      <w:ind w:left="583"/>
    </w:pPr>
    <w:rPr>
      <w:b/>
      <w:bCs/>
      <w:sz w:val="24"/>
      <w:szCs w:val="24"/>
    </w:rPr>
  </w:style>
  <w:style w:type="paragraph" w:styleId="20">
    <w:name w:val="toc 2"/>
    <w:basedOn w:val="1"/>
    <w:next w:val="1"/>
    <w:qFormat/>
    <w:uiPriority w:val="0"/>
    <w:pPr>
      <w:ind w:left="420" w:leftChars="200"/>
    </w:pPr>
  </w:style>
  <w:style w:type="paragraph" w:styleId="21">
    <w:name w:val="Normal (Web)"/>
    <w:basedOn w:val="1"/>
    <w:qFormat/>
    <w:uiPriority w:val="0"/>
    <w:pPr>
      <w:widowControl/>
      <w:spacing w:before="100" w:beforeAutospacing="1" w:after="100" w:afterAutospacing="1"/>
    </w:pPr>
    <w:rPr>
      <w:sz w:val="24"/>
    </w:rPr>
  </w:style>
  <w:style w:type="paragraph" w:styleId="22">
    <w:name w:val="index 1"/>
    <w:basedOn w:val="1"/>
    <w:next w:val="1"/>
    <w:semiHidden/>
    <w:qFormat/>
    <w:uiPriority w:val="0"/>
    <w:pPr>
      <w:spacing w:line="400" w:lineRule="exact"/>
      <w:ind w:firstLine="420" w:firstLineChars="200"/>
    </w:pPr>
    <w:rPr>
      <w:rFonts w:hAnsi="Courier New"/>
      <w:szCs w:val="20"/>
    </w:rPr>
  </w:style>
  <w:style w:type="paragraph" w:styleId="23">
    <w:name w:val="Title"/>
    <w:basedOn w:val="1"/>
    <w:qFormat/>
    <w:uiPriority w:val="1"/>
    <w:pPr>
      <w:spacing w:before="1"/>
      <w:ind w:right="324"/>
      <w:jc w:val="center"/>
    </w:pPr>
    <w:rPr>
      <w:rFonts w:ascii="楷体" w:hAnsi="楷体" w:eastAsia="楷体" w:cs="楷体"/>
      <w:b/>
      <w:bCs/>
      <w:sz w:val="84"/>
      <w:szCs w:val="84"/>
    </w:rPr>
  </w:style>
  <w:style w:type="paragraph" w:styleId="24">
    <w:name w:val="annotation subject"/>
    <w:basedOn w:val="11"/>
    <w:next w:val="11"/>
    <w:link w:val="52"/>
    <w:qFormat/>
    <w:uiPriority w:val="0"/>
    <w:rPr>
      <w:b/>
      <w:bCs/>
    </w:rPr>
  </w:style>
  <w:style w:type="character" w:styleId="27">
    <w:name w:val="annotation reference"/>
    <w:basedOn w:val="26"/>
    <w:qFormat/>
    <w:uiPriority w:val="0"/>
    <w:rPr>
      <w:sz w:val="21"/>
      <w:szCs w:val="21"/>
    </w:rPr>
  </w:style>
  <w:style w:type="table" w:customStyle="1" w:styleId="28">
    <w:name w:val="Table Normal"/>
    <w:semiHidden/>
    <w:unhideWhenUsed/>
    <w:qFormat/>
    <w:uiPriority w:val="2"/>
    <w:tblPr>
      <w:tblCellMar>
        <w:top w:w="0" w:type="dxa"/>
        <w:left w:w="0" w:type="dxa"/>
        <w:bottom w:w="0" w:type="dxa"/>
        <w:right w:w="0" w:type="dxa"/>
      </w:tblCellMar>
    </w:tblPr>
  </w:style>
  <w:style w:type="paragraph" w:styleId="29">
    <w:name w:val="List Paragraph"/>
    <w:basedOn w:val="1"/>
    <w:qFormat/>
    <w:uiPriority w:val="1"/>
    <w:pPr>
      <w:ind w:left="343" w:firstLine="420"/>
    </w:pPr>
  </w:style>
  <w:style w:type="paragraph" w:customStyle="1" w:styleId="30">
    <w:name w:val="Table Paragraph"/>
    <w:basedOn w:val="1"/>
    <w:qFormat/>
    <w:uiPriority w:val="1"/>
  </w:style>
  <w:style w:type="paragraph" w:customStyle="1" w:styleId="31">
    <w:name w:val="Table Text"/>
    <w:basedOn w:val="1"/>
    <w:semiHidden/>
    <w:qFormat/>
    <w:uiPriority w:val="0"/>
    <w:rPr>
      <w:rFonts w:ascii="微软雅黑" w:hAnsi="微软雅黑" w:eastAsia="微软雅黑" w:cs="微软雅黑"/>
      <w:sz w:val="24"/>
      <w:szCs w:val="24"/>
      <w:lang w:eastAsia="en-US"/>
    </w:rPr>
  </w:style>
  <w:style w:type="character" w:customStyle="1" w:styleId="32">
    <w:name w:val="标题 1 Char"/>
    <w:link w:val="2"/>
    <w:qFormat/>
    <w:uiPriority w:val="1"/>
    <w:rPr>
      <w:rFonts w:ascii="宋体" w:hAnsi="宋体" w:eastAsia="宋体" w:cs="宋体"/>
      <w:b/>
      <w:bCs/>
      <w:sz w:val="32"/>
      <w:szCs w:val="32"/>
      <w:lang w:val="en-US" w:eastAsia="zh-CN" w:bidi="ar-SA"/>
    </w:rPr>
  </w:style>
  <w:style w:type="paragraph" w:customStyle="1" w:styleId="3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5">
    <w:name w:val="WPSOffice手动目录 1"/>
    <w:qFormat/>
    <w:uiPriority w:val="0"/>
    <w:rPr>
      <w:rFonts w:ascii="Times New Roman" w:hAnsi="Times New Roman" w:eastAsia="宋体" w:cs="Times New Roman"/>
      <w:lang w:val="en-US" w:eastAsia="zh-CN" w:bidi="ar-SA"/>
    </w:rPr>
  </w:style>
  <w:style w:type="character" w:customStyle="1" w:styleId="36">
    <w:name w:val="标题 #7 (4) + 间距 7 pt"/>
    <w:qFormat/>
    <w:uiPriority w:val="0"/>
    <w:rPr>
      <w:rFonts w:ascii="MingLiU" w:hAnsi="MingLiU" w:eastAsia="MingLiU" w:cs="Times New Roman"/>
      <w:color w:val="000000"/>
      <w:spacing w:val="140"/>
      <w:w w:val="100"/>
      <w:position w:val="0"/>
      <w:sz w:val="26"/>
      <w:szCs w:val="26"/>
      <w:lang w:val="zh-CN" w:eastAsia="zh-CN" w:bidi="ar-SA"/>
    </w:rPr>
  </w:style>
  <w:style w:type="paragraph" w:customStyle="1" w:styleId="37">
    <w:name w:val="List Paragraph1"/>
    <w:basedOn w:val="1"/>
    <w:qFormat/>
    <w:uiPriority w:val="0"/>
    <w:pPr>
      <w:ind w:left="424" w:firstLine="480"/>
    </w:pPr>
  </w:style>
  <w:style w:type="character" w:customStyle="1" w:styleId="38">
    <w:name w:val="标题 #7 + 间距 0 pt2"/>
    <w:qFormat/>
    <w:uiPriority w:val="0"/>
    <w:rPr>
      <w:rFonts w:ascii="MingLiU" w:hAnsi="MingLiU" w:eastAsia="MingLiU" w:cs="MingLiU"/>
      <w:color w:val="000000"/>
      <w:spacing w:val="10"/>
      <w:w w:val="100"/>
      <w:position w:val="0"/>
      <w:sz w:val="26"/>
      <w:szCs w:val="26"/>
      <w:u w:val="single"/>
      <w:shd w:val="clear" w:color="auto" w:fill="FFFFFF"/>
      <w:lang w:val="zh-CN" w:eastAsia="zh-CN"/>
    </w:rPr>
  </w:style>
  <w:style w:type="character" w:customStyle="1" w:styleId="39">
    <w:name w:val="标题 #7 + 间距 0 pt1"/>
    <w:qFormat/>
    <w:uiPriority w:val="0"/>
    <w:rPr>
      <w:rFonts w:ascii="MingLiU" w:hAnsi="MingLiU" w:eastAsia="MingLiU" w:cs="MingLiU"/>
      <w:color w:val="000000"/>
      <w:spacing w:val="10"/>
      <w:w w:val="100"/>
      <w:position w:val="0"/>
      <w:sz w:val="26"/>
      <w:szCs w:val="26"/>
      <w:u w:val="none"/>
      <w:shd w:val="clear" w:color="auto" w:fill="FFFFFF"/>
      <w:lang w:val="zh-CN" w:eastAsia="zh-CN"/>
    </w:rPr>
  </w:style>
  <w:style w:type="paragraph" w:customStyle="1" w:styleId="40">
    <w:name w:val="正文文本 (2)4"/>
    <w:basedOn w:val="1"/>
    <w:qFormat/>
    <w:uiPriority w:val="0"/>
    <w:pPr>
      <w:shd w:val="clear" w:color="auto" w:fill="FFFFFF"/>
      <w:spacing w:before="300" w:line="439" w:lineRule="exact"/>
      <w:jc w:val="distribute"/>
    </w:pPr>
    <w:rPr>
      <w:rFonts w:ascii="MingLiU" w:hAnsi="MingLiU" w:eastAsia="MingLiU"/>
      <w:spacing w:val="20"/>
      <w:szCs w:val="20"/>
    </w:rPr>
  </w:style>
  <w:style w:type="character" w:customStyle="1" w:styleId="41">
    <w:name w:val="正文文本 (2) + 间距 0 pt2"/>
    <w:qFormat/>
    <w:uiPriority w:val="0"/>
    <w:rPr>
      <w:rFonts w:ascii="MingLiU" w:hAnsi="MingLiU" w:eastAsia="MingLiU" w:cs="MingLiU"/>
      <w:color w:val="000000"/>
      <w:spacing w:val="0"/>
      <w:w w:val="100"/>
      <w:position w:val="0"/>
      <w:sz w:val="22"/>
      <w:szCs w:val="22"/>
      <w:u w:val="none"/>
      <w:shd w:val="clear" w:color="auto" w:fill="FFFFFF"/>
      <w:lang w:val="zh-CN" w:eastAsia="zh-CN" w:bidi="zh-CN"/>
    </w:rPr>
  </w:style>
  <w:style w:type="character" w:customStyle="1" w:styleId="42">
    <w:name w:val="正文文本 (2) + 间距 0 pt6"/>
    <w:qFormat/>
    <w:uiPriority w:val="0"/>
    <w:rPr>
      <w:rFonts w:ascii="MingLiU" w:hAnsi="MingLiU" w:eastAsia="MingLiU" w:cs="MingLiU"/>
      <w:color w:val="000000"/>
      <w:spacing w:val="0"/>
      <w:w w:val="100"/>
      <w:position w:val="0"/>
      <w:sz w:val="22"/>
      <w:szCs w:val="22"/>
      <w:u w:val="single"/>
      <w:shd w:val="clear" w:color="auto" w:fill="FFFFFF"/>
      <w:lang w:val="zh-CN" w:eastAsia="zh-CN"/>
    </w:rPr>
  </w:style>
  <w:style w:type="paragraph" w:customStyle="1" w:styleId="43">
    <w:name w:val="正文文本 (42)1"/>
    <w:basedOn w:val="1"/>
    <w:qFormat/>
    <w:uiPriority w:val="0"/>
    <w:pPr>
      <w:shd w:val="clear" w:color="auto" w:fill="FFFFFF"/>
      <w:spacing w:line="398" w:lineRule="exact"/>
      <w:jc w:val="distribute"/>
    </w:pPr>
    <w:rPr>
      <w:rFonts w:ascii="MingLiU" w:hAnsi="MingLiU" w:eastAsia="MingLiU"/>
      <w:b/>
      <w:bCs/>
      <w:sz w:val="20"/>
      <w:szCs w:val="20"/>
    </w:rPr>
  </w:style>
  <w:style w:type="character" w:customStyle="1" w:styleId="44">
    <w:name w:val="正文文本 (42)"/>
    <w:qFormat/>
    <w:uiPriority w:val="0"/>
    <w:rPr>
      <w:rFonts w:ascii="MingLiU" w:hAnsi="MingLiU" w:eastAsia="MingLiU" w:cs="Times New Roman"/>
      <w:b/>
      <w:bCs/>
      <w:color w:val="000000"/>
      <w:spacing w:val="0"/>
      <w:w w:val="100"/>
      <w:position w:val="0"/>
      <w:u w:val="single"/>
      <w:lang w:val="zh-CN" w:eastAsia="zh-CN" w:bidi="ar-SA"/>
    </w:rPr>
  </w:style>
  <w:style w:type="character" w:customStyle="1" w:styleId="45">
    <w:name w:val="标题 #7 (5) + 间距 0 pt"/>
    <w:qFormat/>
    <w:uiPriority w:val="0"/>
    <w:rPr>
      <w:rFonts w:ascii="MingLiU" w:hAnsi="MingLiU" w:eastAsia="MingLiU" w:cs="Times New Roman"/>
      <w:color w:val="000000"/>
      <w:spacing w:val="0"/>
      <w:w w:val="100"/>
      <w:position w:val="0"/>
      <w:sz w:val="30"/>
      <w:szCs w:val="30"/>
      <w:lang w:val="zh-CN" w:eastAsia="zh-CN" w:bidi="ar-SA"/>
    </w:rPr>
  </w:style>
  <w:style w:type="paragraph" w:customStyle="1" w:styleId="46">
    <w:name w:val="正文文本 (14)"/>
    <w:basedOn w:val="1"/>
    <w:qFormat/>
    <w:uiPriority w:val="0"/>
    <w:pPr>
      <w:shd w:val="clear" w:color="auto" w:fill="FFFFFF"/>
      <w:spacing w:before="300" w:line="300" w:lineRule="exact"/>
      <w:jc w:val="distribute"/>
    </w:pPr>
    <w:rPr>
      <w:rFonts w:ascii="MingLiU" w:hAnsi="MingLiU" w:eastAsia="MingLiU"/>
      <w:sz w:val="18"/>
      <w:szCs w:val="18"/>
    </w:rPr>
  </w:style>
  <w:style w:type="character" w:customStyle="1" w:styleId="47">
    <w:name w:val="正文文本 (2) + 5.5 pt"/>
    <w:qFormat/>
    <w:uiPriority w:val="0"/>
    <w:rPr>
      <w:rFonts w:ascii="MingLiU" w:hAnsi="MingLiU" w:eastAsia="MingLiU" w:cs="MingLiU"/>
      <w:i/>
      <w:iCs/>
      <w:color w:val="000000"/>
      <w:spacing w:val="10"/>
      <w:w w:val="100"/>
      <w:position w:val="0"/>
      <w:sz w:val="11"/>
      <w:szCs w:val="11"/>
      <w:u w:val="none"/>
      <w:shd w:val="clear" w:color="auto" w:fill="FFFFFF"/>
      <w:lang w:val="zh-CN" w:eastAsia="zh-CN"/>
    </w:rPr>
  </w:style>
  <w:style w:type="character" w:customStyle="1" w:styleId="48">
    <w:name w:val="正文文本 (2) + 间距 0 pt Exact1"/>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49">
    <w:name w:val="批注框文本 Char"/>
    <w:basedOn w:val="26"/>
    <w:link w:val="16"/>
    <w:qFormat/>
    <w:uiPriority w:val="0"/>
    <w:rPr>
      <w:rFonts w:ascii="宋体" w:hAnsi="宋体" w:cs="宋体"/>
      <w:sz w:val="18"/>
      <w:szCs w:val="18"/>
    </w:rPr>
  </w:style>
  <w:style w:type="character" w:customStyle="1" w:styleId="50">
    <w:name w:val="正文文本 Char"/>
    <w:basedOn w:val="26"/>
    <w:link w:val="12"/>
    <w:qFormat/>
    <w:uiPriority w:val="99"/>
    <w:rPr>
      <w:rFonts w:ascii="宋体" w:hAnsi="宋体" w:cs="宋体"/>
      <w:sz w:val="21"/>
      <w:szCs w:val="21"/>
    </w:rPr>
  </w:style>
  <w:style w:type="character" w:customStyle="1" w:styleId="51">
    <w:name w:val="批注文字 Char"/>
    <w:basedOn w:val="26"/>
    <w:link w:val="11"/>
    <w:qFormat/>
    <w:uiPriority w:val="99"/>
    <w:rPr>
      <w:rFonts w:ascii="宋体" w:hAnsi="宋体" w:cs="宋体"/>
      <w:sz w:val="22"/>
      <w:szCs w:val="22"/>
    </w:rPr>
  </w:style>
  <w:style w:type="character" w:customStyle="1" w:styleId="52">
    <w:name w:val="批注主题 Char"/>
    <w:basedOn w:val="51"/>
    <w:link w:val="24"/>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png"/><Relationship Id="rId17" Type="http://schemas.openxmlformats.org/officeDocument/2006/relationships/image" Target="media/image2.jpe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92</Pages>
  <Words>24592</Words>
  <Characters>26292</Characters>
  <Lines>442</Lines>
  <Paragraphs>124</Paragraphs>
  <TotalTime>19</TotalTime>
  <ScaleCrop>false</ScaleCrop>
  <LinksUpToDate>false</LinksUpToDate>
  <CharactersWithSpaces>26330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2024-04-10T02:08:00Z</dcterms:created>
  <dc:creator>微软用户</dc:creator>
  <cp:lastModifiedBy>Administrator</cp:lastModifiedBy>
  <cp:lastPrinted>2025-03-05T08:48:00Z</cp:lastPrinted>
  <dcterms:modified xsi:type="dcterms:W3CDTF">2025-04-22T02:58:39Z</dcterms:modified>
  <dc:title>医疗设备采购</dc:title>
  <cp:revision>312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2024-04-02T00:00:00Z</vt:filetime>
  </property>
  <property fmtid="{D5CDD505-2E9C-101B-9397-08002B2CF9AE}" pid="3" name="Creator">
    <vt:lpwstr>WPS 文字</vt:lpwstr>
  </property>
  <property fmtid="{D5CDD505-2E9C-101B-9397-08002B2CF9AE}" pid="4" name="LastSaved">
    <vt:filetime>2024-04-10T00:00:00Z</vt:filetime>
  </property>
  <property fmtid="{D5CDD505-2E9C-101B-9397-08002B2CF9AE}" pid="5" name="SourceModified">
    <vt:lpwstr>D:20240402164517+08'45'</vt:lpwstr>
  </property>
  <property fmtid="{D5CDD505-2E9C-101B-9397-08002B2CF9AE}" pid="6" name="KSOProductBuildVer">
    <vt:lpwstr>2052-12.1.0.20784</vt:lpwstr>
  </property>
  <property fmtid="{D5CDD505-2E9C-101B-9397-08002B2CF9AE}" pid="7" name="ICV">
    <vt:lpwstr>11088291DFEC4C828A8A06AD85D85DD9_13</vt:lpwstr>
  </property>
  <property fmtid="{D5CDD505-2E9C-101B-9397-08002B2CF9AE}" pid="8" name="KSOTemplateDocerSaveRecord">
    <vt:lpwstr>eyJoZGlkIjoiMjg4ZDYzMzdjZTRiNmQ2MWY0MjdjOTVmNzhkOWJiZWEifQ==</vt:lpwstr>
  </property>
</Properties>
</file>