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360" w:lineRule="auto"/>
        <w:jc w:val="center"/>
        <w:rPr>
          <w:rFonts w:hint="eastAsia" w:ascii="宋体" w:hAnsi="宋体" w:eastAsia="宋体" w:cs="宋体"/>
          <w:color w:val="auto"/>
          <w:sz w:val="52"/>
          <w:szCs w:val="52"/>
          <w:highlight w:val="none"/>
        </w:rPr>
      </w:pPr>
    </w:p>
    <w:p>
      <w:pPr>
        <w:spacing w:before="156" w:beforeLines="50"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南宁市政府采购</w:t>
      </w:r>
    </w:p>
    <w:p>
      <w:pPr>
        <w:spacing w:beforeLines="50" w:line="360" w:lineRule="auto"/>
        <w:jc w:val="center"/>
        <w:rPr>
          <w:rFonts w:asci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pPr>
        <w:spacing w:beforeLines="50" w:line="360" w:lineRule="auto"/>
        <w:jc w:val="center"/>
        <w:rPr>
          <w:rFonts w:ascii="宋体"/>
          <w:color w:val="auto"/>
          <w:sz w:val="36"/>
          <w:szCs w:val="36"/>
          <w:highlight w:val="none"/>
        </w:rPr>
      </w:pPr>
    </w:p>
    <w:p>
      <w:pPr>
        <w:snapToGrid w:val="0"/>
        <w:spacing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pPr>
        <w:spacing w:beforeLines="100" w:afterLines="50" w:line="360" w:lineRule="auto"/>
        <w:jc w:val="center"/>
        <w:rPr>
          <w:rFonts w:ascii="宋体"/>
          <w:color w:val="auto"/>
          <w:szCs w:val="21"/>
          <w:highlight w:val="none"/>
        </w:rPr>
      </w:pPr>
      <w:r>
        <w:rPr>
          <w:rFonts w:hint="eastAsia" w:ascii="宋体" w:hAnsi="宋体"/>
          <w:color w:val="auto"/>
          <w:szCs w:val="21"/>
          <w:highlight w:val="none"/>
        </w:rPr>
        <w:t>（全流程电子化评标）</w:t>
      </w:r>
    </w:p>
    <w:p>
      <w:pPr>
        <w:spacing w:before="156" w:beforeLines="50" w:line="360" w:lineRule="auto"/>
        <w:jc w:val="center"/>
        <w:rPr>
          <w:rFonts w:hint="eastAsia" w:ascii="宋体" w:hAnsi="宋体" w:eastAsia="宋体" w:cs="宋体"/>
          <w:color w:val="auto"/>
          <w:sz w:val="36"/>
          <w:szCs w:val="36"/>
          <w:highlight w:val="none"/>
        </w:rPr>
      </w:pPr>
    </w:p>
    <w:p>
      <w:pPr>
        <w:spacing w:line="360" w:lineRule="auto"/>
        <w:jc w:val="both"/>
        <w:rPr>
          <w:rFonts w:hint="eastAsia" w:ascii="宋体" w:hAnsi="宋体" w:eastAsia="宋体" w:cs="宋体"/>
          <w:b/>
          <w:color w:val="auto"/>
          <w:sz w:val="32"/>
          <w:szCs w:val="32"/>
          <w:highlight w:val="none"/>
        </w:rPr>
      </w:pPr>
    </w:p>
    <w:p>
      <w:pPr>
        <w:pStyle w:val="24"/>
        <w:rPr>
          <w:rFonts w:hint="eastAsia"/>
          <w:color w:val="auto"/>
          <w:highlight w:val="none"/>
        </w:rPr>
      </w:pPr>
    </w:p>
    <w:p>
      <w:pPr>
        <w:spacing w:line="360" w:lineRule="auto"/>
        <w:ind w:left="2883" w:leftChars="608" w:hanging="1606" w:hangingChars="500"/>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项目名称：</w:t>
      </w:r>
      <w:r>
        <w:rPr>
          <w:rFonts w:hint="eastAsia" w:ascii="仿宋" w:hAnsi="仿宋" w:eastAsia="仿宋" w:cs="仿宋"/>
          <w:b/>
          <w:color w:val="auto"/>
          <w:sz w:val="32"/>
          <w:szCs w:val="32"/>
          <w:highlight w:val="none"/>
          <w:lang w:val="en-US" w:eastAsia="zh-CN"/>
        </w:rPr>
        <w:t>横州</w:t>
      </w:r>
      <w:r>
        <w:rPr>
          <w:rFonts w:hint="eastAsia" w:ascii="仿宋" w:hAnsi="仿宋" w:eastAsia="仿宋" w:cs="仿宋"/>
          <w:b/>
          <w:color w:val="auto"/>
          <w:sz w:val="32"/>
          <w:szCs w:val="32"/>
          <w:highlight w:val="none"/>
        </w:rPr>
        <w:t>市</w:t>
      </w:r>
      <w:r>
        <w:rPr>
          <w:rFonts w:hint="eastAsia" w:ascii="仿宋" w:hAnsi="仿宋" w:eastAsia="仿宋" w:cs="仿宋"/>
          <w:b/>
          <w:color w:val="auto"/>
          <w:sz w:val="32"/>
          <w:szCs w:val="32"/>
          <w:highlight w:val="none"/>
          <w:lang w:val="en-US" w:eastAsia="zh-CN"/>
        </w:rPr>
        <w:t>横州</w:t>
      </w:r>
      <w:r>
        <w:rPr>
          <w:rFonts w:hint="eastAsia" w:ascii="仿宋" w:hAnsi="仿宋" w:eastAsia="仿宋" w:cs="仿宋"/>
          <w:b/>
          <w:color w:val="auto"/>
          <w:sz w:val="32"/>
          <w:szCs w:val="32"/>
          <w:highlight w:val="none"/>
        </w:rPr>
        <w:t>镇西津二线船闸移民新村人饮工程</w:t>
      </w:r>
    </w:p>
    <w:p>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项目编号：</w:t>
      </w:r>
      <w:r>
        <w:rPr>
          <w:rFonts w:hint="eastAsia" w:ascii="仿宋" w:hAnsi="仿宋" w:eastAsia="仿宋" w:cs="仿宋"/>
          <w:b/>
          <w:color w:val="auto"/>
          <w:sz w:val="32"/>
          <w:szCs w:val="32"/>
          <w:highlight w:val="none"/>
          <w:lang w:eastAsia="zh-CN"/>
        </w:rPr>
        <w:t xml:space="preserve">NNZC2025-C2-270019-JHGC  </w:t>
      </w:r>
    </w:p>
    <w:p>
      <w:pPr>
        <w:spacing w:line="360" w:lineRule="auto"/>
        <w:ind w:firstLine="1285" w:firstLineChars="400"/>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项目所属区划：</w:t>
      </w:r>
      <w:r>
        <w:rPr>
          <w:rFonts w:hint="eastAsia" w:ascii="仿宋" w:hAnsi="仿宋" w:eastAsia="仿宋" w:cs="仿宋"/>
          <w:b/>
          <w:color w:val="auto"/>
          <w:sz w:val="32"/>
          <w:szCs w:val="32"/>
          <w:highlight w:val="none"/>
          <w:lang w:val="en-US" w:eastAsia="zh-CN"/>
        </w:rPr>
        <w:t>横州市</w:t>
      </w:r>
    </w:p>
    <w:p>
      <w:pPr>
        <w:spacing w:line="360" w:lineRule="auto"/>
        <w:ind w:firstLine="1285" w:firstLineChars="4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采购人：横州市水利局</w:t>
      </w:r>
    </w:p>
    <w:p>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采购代理机构：</w:t>
      </w:r>
      <w:r>
        <w:rPr>
          <w:rFonts w:hint="eastAsia" w:ascii="仿宋" w:hAnsi="仿宋" w:eastAsia="仿宋" w:cs="仿宋"/>
          <w:b/>
          <w:color w:val="auto"/>
          <w:sz w:val="32"/>
          <w:szCs w:val="32"/>
          <w:highlight w:val="none"/>
          <w:lang w:eastAsia="zh-CN"/>
        </w:rPr>
        <w:t>广西佳鸿工程咨询有限公司</w:t>
      </w:r>
    </w:p>
    <w:p>
      <w:pPr>
        <w:outlineLvl w:val="9"/>
        <w:rPr>
          <w:rFonts w:hint="eastAsia"/>
          <w:color w:val="auto"/>
          <w:highlight w:val="none"/>
          <w:lang w:val="en-US" w:eastAsia="zh-CN"/>
        </w:rPr>
      </w:pPr>
    </w:p>
    <w:p>
      <w:pPr>
        <w:spacing w:line="360" w:lineRule="auto"/>
        <w:jc w:val="center"/>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eastAsia="zh-CN"/>
        </w:rPr>
        <w:t>202</w:t>
      </w:r>
      <w:r>
        <w:rPr>
          <w:rFonts w:hint="eastAsia" w:ascii="仿宋" w:hAnsi="仿宋" w:eastAsia="仿宋" w:cs="仿宋"/>
          <w:b/>
          <w:color w:val="auto"/>
          <w:sz w:val="32"/>
          <w:szCs w:val="32"/>
          <w:highlight w:val="none"/>
          <w:lang w:val="en-US" w:eastAsia="zh-CN"/>
        </w:rPr>
        <w:t>5</w:t>
      </w:r>
      <w:r>
        <w:rPr>
          <w:rFonts w:hint="eastAsia" w:ascii="仿宋" w:hAnsi="仿宋" w:eastAsia="仿宋" w:cs="仿宋"/>
          <w:b/>
          <w:color w:val="auto"/>
          <w:sz w:val="32"/>
          <w:szCs w:val="32"/>
          <w:highlight w:val="none"/>
          <w:lang w:eastAsia="zh-CN"/>
        </w:rPr>
        <w:t>年</w:t>
      </w:r>
      <w:r>
        <w:rPr>
          <w:rFonts w:hint="eastAsia" w:ascii="仿宋" w:hAnsi="仿宋" w:eastAsia="仿宋" w:cs="仿宋"/>
          <w:b/>
          <w:color w:val="auto"/>
          <w:sz w:val="32"/>
          <w:szCs w:val="32"/>
          <w:highlight w:val="none"/>
          <w:lang w:val="en-US" w:eastAsia="zh-CN"/>
        </w:rPr>
        <w:t>3</w:t>
      </w:r>
      <w:r>
        <w:rPr>
          <w:rFonts w:hint="eastAsia" w:ascii="仿宋" w:hAnsi="仿宋" w:eastAsia="仿宋" w:cs="仿宋"/>
          <w:b/>
          <w:color w:val="auto"/>
          <w:sz w:val="32"/>
          <w:szCs w:val="32"/>
          <w:highlight w:val="none"/>
          <w:lang w:eastAsia="zh-CN"/>
        </w:rPr>
        <w:t>月</w:t>
      </w:r>
      <w:r>
        <w:rPr>
          <w:rFonts w:hint="eastAsia" w:ascii="仿宋" w:hAnsi="仿宋" w:eastAsia="仿宋" w:cs="仿宋"/>
          <w:b/>
          <w:color w:val="auto"/>
          <w:sz w:val="32"/>
          <w:szCs w:val="32"/>
          <w:highlight w:val="none"/>
          <w:lang w:val="en-US" w:eastAsia="zh-CN"/>
        </w:rPr>
        <w:t>11</w:t>
      </w:r>
      <w:r>
        <w:rPr>
          <w:rFonts w:hint="eastAsia" w:ascii="仿宋" w:hAnsi="仿宋" w:eastAsia="仿宋" w:cs="仿宋"/>
          <w:b/>
          <w:color w:val="auto"/>
          <w:sz w:val="32"/>
          <w:szCs w:val="32"/>
          <w:highlight w:val="none"/>
        </w:rPr>
        <w:t>日</w:t>
      </w:r>
    </w:p>
    <w:p>
      <w:pPr>
        <w:pStyle w:val="24"/>
        <w:rPr>
          <w:rFonts w:hint="eastAsia" w:ascii="仿宋" w:hAnsi="仿宋" w:eastAsia="仿宋" w:cs="仿宋"/>
          <w:b/>
          <w:color w:val="auto"/>
          <w:sz w:val="32"/>
          <w:szCs w:val="32"/>
          <w:highlight w:val="none"/>
          <w:lang w:val="en-US" w:eastAsia="zh-CN"/>
        </w:rPr>
      </w:pPr>
    </w:p>
    <w:p>
      <w:pPr>
        <w:rPr>
          <w:rFonts w:hint="default"/>
          <w:color w:val="auto"/>
          <w:highlight w:val="none"/>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pPr>
        <w:spacing w:line="360" w:lineRule="auto"/>
        <w:jc w:val="center"/>
        <w:outlineLvl w:val="9"/>
        <w:rPr>
          <w:rFonts w:hint="eastAsia" w:ascii="宋体" w:hAnsi="宋体" w:eastAsia="宋体" w:cs="宋体"/>
          <w:b w:val="0"/>
          <w:color w:val="auto"/>
          <w:sz w:val="44"/>
          <w:szCs w:val="44"/>
          <w:highlight w:val="none"/>
        </w:rPr>
      </w:pPr>
      <w:bookmarkStart w:id="0" w:name="_Toc15289"/>
      <w:bookmarkStart w:id="1" w:name="_Toc21342"/>
      <w:bookmarkStart w:id="2" w:name="_Toc22635"/>
      <w:r>
        <w:rPr>
          <w:rFonts w:hint="eastAsia" w:ascii="宋体" w:hAnsi="宋体" w:eastAsia="宋体" w:cs="宋体"/>
          <w:b/>
          <w:bCs/>
          <w:color w:val="auto"/>
          <w:sz w:val="36"/>
          <w:szCs w:val="36"/>
          <w:highlight w:val="none"/>
        </w:rPr>
        <w:t>目   录</w:t>
      </w:r>
      <w:bookmarkEnd w:id="0"/>
      <w:bookmarkEnd w:id="1"/>
      <w:bookmarkEnd w:id="2"/>
    </w:p>
    <w:p>
      <w:pPr>
        <w:pStyle w:val="21"/>
        <w:tabs>
          <w:tab w:val="right" w:leader="dot" w:pos="9746"/>
        </w:tabs>
        <w:rPr>
          <w:color w:val="auto"/>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TOC \o "1-3" \h \z \u </w:instrText>
      </w:r>
      <w:r>
        <w:rPr>
          <w:rFonts w:hint="eastAsia" w:ascii="宋体" w:hAnsi="宋体" w:eastAsia="宋体" w:cs="宋体"/>
          <w:b/>
          <w:color w:val="auto"/>
          <w:sz w:val="24"/>
          <w:szCs w:val="24"/>
          <w:highlight w:val="none"/>
        </w:rPr>
        <w:fldChar w:fldCharType="separate"/>
      </w:r>
    </w:p>
    <w:p>
      <w:pPr>
        <w:pStyle w:val="21"/>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_Toc2884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第一章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_Toc2884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1"/>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_Toc15775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第二章 </w:t>
      </w:r>
      <w:r>
        <w:rPr>
          <w:rFonts w:hint="eastAsia" w:ascii="宋体" w:hAnsi="宋体" w:eastAsia="宋体" w:cs="宋体"/>
          <w:bCs/>
          <w:color w:val="auto"/>
          <w:sz w:val="28"/>
          <w:szCs w:val="28"/>
          <w:highlight w:val="none"/>
          <w:lang w:val="en-US" w:eastAsia="zh-CN"/>
        </w:rPr>
        <w:t xml:space="preserve"> 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fldChar w:fldCharType="end"/>
      </w:r>
    </w:p>
    <w:p>
      <w:pPr>
        <w:pStyle w:val="21"/>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_Toc23956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第三章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供应商须知</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1</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3</w:t>
      </w:r>
    </w:p>
    <w:p>
      <w:pPr>
        <w:pStyle w:val="21"/>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_Toc14829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第四章  评审程序、评审方法和评审标准</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_Toc14829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30</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1"/>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_Toc8541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第五章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响应文件格式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_Toc8541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39</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1"/>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_Toc25466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第六章  合同文本</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_Toc25466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74</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1"/>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_Toc13697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第七章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工程量清单（另册）</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_Toc13697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137</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1"/>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_Toc948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w:t>
      </w:r>
      <w:r>
        <w:rPr>
          <w:rFonts w:hint="eastAsia" w:ascii="宋体" w:hAnsi="宋体" w:eastAsia="宋体" w:cs="宋体"/>
          <w:color w:val="auto"/>
          <w:sz w:val="28"/>
          <w:szCs w:val="28"/>
          <w:highlight w:val="none"/>
          <w:lang w:val="en-US" w:eastAsia="zh-CN"/>
        </w:rPr>
        <w:t>八</w:t>
      </w:r>
      <w:r>
        <w:rPr>
          <w:rFonts w:hint="eastAsia" w:ascii="宋体" w:hAnsi="宋体" w:eastAsia="宋体" w:cs="宋体"/>
          <w:color w:val="auto"/>
          <w:sz w:val="28"/>
          <w:szCs w:val="28"/>
          <w:highlight w:val="none"/>
        </w:rPr>
        <w:t xml:space="preserve">章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图纸（另册）</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_Toc948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138</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1"/>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color w:val="auto"/>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_Toc11110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w:t>
      </w:r>
      <w:r>
        <w:rPr>
          <w:rFonts w:hint="eastAsia" w:ascii="宋体" w:hAnsi="宋体" w:eastAsia="宋体" w:cs="宋体"/>
          <w:bCs/>
          <w:color w:val="auto"/>
          <w:sz w:val="28"/>
          <w:szCs w:val="28"/>
          <w:highlight w:val="none"/>
          <w:lang w:val="en-US" w:eastAsia="zh-CN"/>
        </w:rPr>
        <w:t>九</w:t>
      </w:r>
      <w:r>
        <w:rPr>
          <w:rFonts w:hint="eastAsia" w:ascii="宋体" w:hAnsi="宋体" w:eastAsia="宋体" w:cs="宋体"/>
          <w:bCs/>
          <w:color w:val="auto"/>
          <w:sz w:val="28"/>
          <w:szCs w:val="28"/>
          <w:highlight w:val="none"/>
        </w:rPr>
        <w:t xml:space="preserve">章 </w:t>
      </w:r>
      <w:r>
        <w:rPr>
          <w:rFonts w:hint="eastAsia" w:ascii="宋体" w:hAnsi="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质疑、投诉材料格式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_Toc11110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139</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21"/>
        <w:tabs>
          <w:tab w:val="right" w:leader="dot" w:pos="8306"/>
        </w:tabs>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Cs w:val="24"/>
          <w:highlight w:val="none"/>
        </w:rPr>
        <w:fldChar w:fldCharType="end"/>
      </w:r>
    </w:p>
    <w:p>
      <w:pPr>
        <w:spacing w:line="360" w:lineRule="auto"/>
        <w:rPr>
          <w:rFonts w:hint="eastAsia" w:ascii="宋体" w:hAnsi="宋体" w:eastAsia="宋体" w:cs="宋体"/>
          <w:b/>
          <w:color w:val="auto"/>
          <w:sz w:val="32"/>
          <w:szCs w:val="32"/>
          <w:highlight w:val="none"/>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pPr>
        <w:pStyle w:val="2"/>
        <w:spacing w:line="360" w:lineRule="auto"/>
        <w:jc w:val="center"/>
        <w:rPr>
          <w:rFonts w:hint="eastAsia" w:ascii="宋体" w:hAnsi="宋体" w:eastAsia="宋体" w:cs="宋体"/>
          <w:color w:val="auto"/>
          <w:highlight w:val="none"/>
          <w:lang w:eastAsia="zh-CN"/>
        </w:rPr>
      </w:pPr>
      <w:bookmarkStart w:id="3" w:name="_Toc21181"/>
      <w:bookmarkStart w:id="4" w:name="_Toc23020"/>
      <w:bookmarkStart w:id="5" w:name="_Toc2884"/>
      <w:r>
        <w:rPr>
          <w:rFonts w:hint="eastAsia" w:ascii="宋体" w:hAnsi="宋体" w:eastAsia="宋体" w:cs="宋体"/>
          <w:color w:val="auto"/>
          <w:highlight w:val="none"/>
        </w:rPr>
        <w:t>第一章 竞争性磋商公告</w:t>
      </w:r>
      <w:bookmarkEnd w:id="3"/>
      <w:bookmarkEnd w:id="4"/>
      <w:bookmarkEnd w:id="5"/>
      <w:bookmarkStart w:id="6" w:name="_Toc35393629"/>
      <w:bookmarkStart w:id="7" w:name="_Toc35393798"/>
      <w:bookmarkStart w:id="8" w:name="_Toc28359089"/>
      <w:bookmarkStart w:id="9" w:name="_Toc28359012"/>
      <w:bookmarkStart w:id="10" w:name="_Toc44229878"/>
      <w:bookmarkStart w:id="11" w:name="_Toc28359004"/>
      <w:bookmarkStart w:id="12" w:name="_Toc28359081"/>
      <w:bookmarkStart w:id="13" w:name="_Toc35393792"/>
      <w:bookmarkStart w:id="14" w:name="_Toc35393623"/>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u w:val="single"/>
          <w:lang w:val="en-US" w:eastAsia="zh-CN"/>
        </w:rPr>
        <w:t>横州</w:t>
      </w:r>
      <w:r>
        <w:rPr>
          <w:rFonts w:hint="eastAsia" w:ascii="宋体" w:hAnsi="宋体" w:cs="宋体"/>
          <w:color w:val="auto"/>
          <w:szCs w:val="21"/>
          <w:highlight w:val="none"/>
          <w:u w:val="single"/>
          <w:lang w:eastAsia="zh-CN"/>
        </w:rPr>
        <w:t>市</w:t>
      </w:r>
      <w:r>
        <w:rPr>
          <w:rFonts w:hint="eastAsia" w:ascii="宋体" w:hAnsi="宋体" w:cs="宋体"/>
          <w:color w:val="auto"/>
          <w:szCs w:val="21"/>
          <w:highlight w:val="none"/>
          <w:u w:val="single"/>
          <w:lang w:val="en-US" w:eastAsia="zh-CN"/>
        </w:rPr>
        <w:t>横州</w:t>
      </w:r>
      <w:r>
        <w:rPr>
          <w:rFonts w:hint="eastAsia" w:ascii="宋体" w:hAnsi="宋体" w:cs="宋体"/>
          <w:color w:val="auto"/>
          <w:szCs w:val="21"/>
          <w:highlight w:val="none"/>
          <w:u w:val="single"/>
          <w:lang w:eastAsia="zh-CN"/>
        </w:rPr>
        <w:t>镇西津二线船闸移民新村人饮工程</w:t>
      </w:r>
      <w:r>
        <w:rPr>
          <w:rFonts w:hint="eastAsia" w:ascii="宋体" w:hAnsi="宋体" w:cs="宋体"/>
          <w:color w:val="auto"/>
          <w:szCs w:val="21"/>
          <w:highlight w:val="none"/>
          <w:u w:val="none"/>
          <w:lang w:val="en-US" w:eastAsia="zh-CN"/>
        </w:rPr>
        <w:t>项目</w:t>
      </w:r>
      <w:r>
        <w:rPr>
          <w:rFonts w:hint="eastAsia" w:ascii="宋体" w:hAnsi="宋体" w:eastAsia="宋体" w:cs="宋体"/>
          <w:color w:val="auto"/>
          <w:szCs w:val="21"/>
          <w:highlight w:val="none"/>
          <w:u w:val="none"/>
        </w:rPr>
        <w:t>的</w:t>
      </w:r>
      <w:r>
        <w:rPr>
          <w:rFonts w:hint="eastAsia" w:ascii="宋体" w:hAnsi="宋体" w:eastAsia="宋体" w:cs="宋体"/>
          <w:color w:val="auto"/>
          <w:szCs w:val="21"/>
          <w:highlight w:val="none"/>
        </w:rPr>
        <w:t>潜在供应商应在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s="宋体"/>
          <w:color w:val="auto"/>
          <w:kern w:val="0"/>
          <w:szCs w:val="21"/>
          <w:highlight w:val="none"/>
        </w:rPr>
        <w:t>https://www.gcy.zfcg.gxzf.gov.cn/</w:t>
      </w:r>
      <w:r>
        <w:rPr>
          <w:rFonts w:hint="eastAsia" w:ascii="宋体" w:hAnsi="宋体"/>
          <w:color w:val="auto"/>
          <w:szCs w:val="21"/>
          <w:highlight w:val="none"/>
        </w:rPr>
        <w:t>）</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24</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15时00分</w:t>
      </w:r>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6"/>
      <w:bookmarkEnd w:id="7"/>
      <w:bookmarkEnd w:id="8"/>
      <w:bookmarkEnd w:id="9"/>
      <w:bookmarkEnd w:id="10"/>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1.项目编号：</w:t>
      </w:r>
      <w:r>
        <w:rPr>
          <w:rFonts w:hint="eastAsia" w:ascii="宋体" w:hAnsi="宋体" w:cs="宋体"/>
          <w:color w:val="auto"/>
          <w:szCs w:val="21"/>
          <w:highlight w:val="none"/>
          <w:lang w:eastAsia="zh-CN"/>
        </w:rPr>
        <w:t>NNZC2025-C2-270019-JHGC</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color w:val="auto"/>
          <w:highlight w:val="none"/>
          <w:lang w:eastAsia="zh-CN"/>
        </w:rPr>
      </w:pPr>
      <w:r>
        <w:rPr>
          <w:rFonts w:hint="eastAsia" w:ascii="宋体" w:hAnsi="宋体" w:eastAsia="宋体" w:cs="宋体"/>
          <w:color w:val="auto"/>
          <w:szCs w:val="21"/>
          <w:highlight w:val="none"/>
        </w:rPr>
        <w:t>2.项目名称：</w:t>
      </w:r>
      <w:r>
        <w:rPr>
          <w:rFonts w:hint="eastAsia" w:ascii="宋体" w:hAnsi="宋体" w:eastAsia="宋体" w:cs="宋体"/>
          <w:color w:val="auto"/>
          <w:szCs w:val="21"/>
          <w:highlight w:val="none"/>
          <w:lang w:val="en-US" w:eastAsia="zh-CN"/>
        </w:rPr>
        <w:t>横州</w:t>
      </w:r>
      <w:r>
        <w:rPr>
          <w:rFonts w:hint="eastAsia" w:ascii="宋体" w:hAnsi="宋体" w:eastAsia="宋体" w:cs="宋体"/>
          <w:color w:val="auto"/>
          <w:szCs w:val="21"/>
          <w:highlight w:val="none"/>
        </w:rPr>
        <w:t>市</w:t>
      </w:r>
      <w:r>
        <w:rPr>
          <w:rFonts w:hint="eastAsia" w:ascii="宋体" w:hAnsi="宋体" w:eastAsia="宋体" w:cs="宋体"/>
          <w:color w:val="auto"/>
          <w:szCs w:val="21"/>
          <w:highlight w:val="none"/>
          <w:lang w:val="en-US" w:eastAsia="zh-CN"/>
        </w:rPr>
        <w:t>横州</w:t>
      </w:r>
      <w:r>
        <w:rPr>
          <w:rFonts w:hint="eastAsia" w:ascii="宋体" w:hAnsi="宋体" w:eastAsia="宋体" w:cs="宋体"/>
          <w:color w:val="auto"/>
          <w:szCs w:val="21"/>
          <w:highlight w:val="none"/>
        </w:rPr>
        <w:t>镇西津二线船闸移民新村人饮工程</w:t>
      </w:r>
    </w:p>
    <w:p>
      <w:pPr>
        <w:keepNext w:val="0"/>
        <w:keepLines w:val="0"/>
        <w:pageBreakBefore w:val="0"/>
        <w:tabs>
          <w:tab w:val="left" w:pos="6358"/>
        </w:tabs>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3.采购方式：竞争性磋商</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4.预算金额：</w:t>
      </w:r>
      <w:r>
        <w:rPr>
          <w:rFonts w:hint="eastAsia" w:ascii="宋体" w:hAnsi="宋体" w:eastAsia="宋体" w:cs="宋体"/>
          <w:b w:val="0"/>
          <w:bCs w:val="0"/>
          <w:color w:val="auto"/>
          <w:szCs w:val="21"/>
          <w:highlight w:val="none"/>
          <w:lang w:val="en-US" w:eastAsia="zh-CN"/>
        </w:rPr>
        <w:t>168</w:t>
      </w:r>
      <w:r>
        <w:rPr>
          <w:rFonts w:hint="eastAsia" w:ascii="宋体" w:hAnsi="宋体" w:cs="宋体"/>
          <w:b w:val="0"/>
          <w:bCs w:val="0"/>
          <w:color w:val="auto"/>
          <w:szCs w:val="21"/>
          <w:highlight w:val="none"/>
          <w:lang w:val="en-US" w:eastAsia="zh-CN"/>
        </w:rPr>
        <w:t>.</w:t>
      </w:r>
      <w:r>
        <w:rPr>
          <w:rFonts w:hint="eastAsia" w:ascii="宋体" w:hAnsi="宋体" w:eastAsia="宋体" w:cs="宋体"/>
          <w:b w:val="0"/>
          <w:bCs w:val="0"/>
          <w:color w:val="auto"/>
          <w:szCs w:val="21"/>
          <w:highlight w:val="none"/>
          <w:lang w:val="en-US" w:eastAsia="zh-CN"/>
        </w:rPr>
        <w:t>162106</w:t>
      </w:r>
      <w:r>
        <w:rPr>
          <w:rFonts w:hint="eastAsia" w:ascii="宋体" w:hAnsi="宋体" w:cs="宋体"/>
          <w:b w:val="0"/>
          <w:bCs w:val="0"/>
          <w:color w:val="auto"/>
          <w:szCs w:val="21"/>
          <w:highlight w:val="none"/>
          <w:lang w:val="en-US" w:eastAsia="zh-CN"/>
        </w:rPr>
        <w:t>万</w:t>
      </w:r>
      <w:r>
        <w:rPr>
          <w:rFonts w:hint="eastAsia" w:ascii="宋体" w:hAnsi="宋体" w:eastAsia="宋体" w:cs="宋体"/>
          <w:b w:val="0"/>
          <w:bCs w:val="0"/>
          <w:color w:val="auto"/>
          <w:szCs w:val="21"/>
          <w:highlight w:val="none"/>
          <w:lang w:val="en-US" w:eastAsia="zh-CN"/>
        </w:rPr>
        <w:t>元</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5.</w:t>
      </w:r>
      <w:r>
        <w:rPr>
          <w:rFonts w:hint="eastAsia" w:ascii="宋体" w:hAnsi="宋体" w:eastAsia="宋体" w:cs="Times New Roman"/>
          <w:b w:val="0"/>
          <w:bCs w:val="0"/>
          <w:color w:val="auto"/>
          <w:sz w:val="21"/>
          <w:szCs w:val="21"/>
          <w:highlight w:val="none"/>
        </w:rPr>
        <w:t>最高限价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lang w:eastAsia="zh-CN"/>
        </w:rPr>
        <w:t>招标控制价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168.162106万元</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6.采购需求：</w:t>
      </w:r>
      <w:r>
        <w:rPr>
          <w:rFonts w:hint="eastAsia" w:ascii="宋体" w:hAnsi="宋体" w:cs="宋体"/>
          <w:color w:val="auto"/>
          <w:szCs w:val="21"/>
          <w:highlight w:val="none"/>
          <w:lang w:val="en-US" w:eastAsia="zh-CN"/>
        </w:rPr>
        <w:t>建抽水泵房、输水管路、水塔，配水管网工程，抽水系统、净水系统及线路等。具体内容详见施工图纸及工程量清单所包含的内容</w:t>
      </w:r>
      <w:r>
        <w:rPr>
          <w:rFonts w:hint="eastAsia" w:ascii="宋体" w:hAnsi="宋体" w:eastAsia="宋体" w:cs="宋体"/>
          <w:color w:val="auto"/>
          <w:szCs w:val="21"/>
          <w:highlight w:val="none"/>
        </w:rPr>
        <w:t>。</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7.</w:t>
      </w:r>
      <w:r>
        <w:rPr>
          <w:rFonts w:hint="eastAsia" w:ascii="宋体" w:hAnsi="宋体" w:cs="宋体"/>
          <w:color w:val="auto"/>
          <w:sz w:val="21"/>
          <w:szCs w:val="21"/>
          <w:highlight w:val="none"/>
        </w:rPr>
        <w:t>合同履</w:t>
      </w:r>
      <w:r>
        <w:rPr>
          <w:rFonts w:hint="eastAsia" w:ascii="宋体" w:hAnsi="宋体" w:eastAsia="宋体" w:cs="宋体"/>
          <w:color w:val="auto"/>
          <w:sz w:val="21"/>
          <w:szCs w:val="21"/>
          <w:highlight w:val="none"/>
        </w:rPr>
        <w:t>行期限（工期）</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180日历天</w:t>
      </w:r>
      <w:r>
        <w:rPr>
          <w:rFonts w:hint="eastAsia" w:ascii="宋体" w:hAnsi="宋体" w:eastAsia="宋体" w:cs="宋体"/>
          <w:color w:val="auto"/>
          <w:szCs w:val="21"/>
          <w:highlight w:val="none"/>
        </w:rPr>
        <w:t>。</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bookmarkStart w:id="15" w:name="_Toc28359013"/>
      <w:bookmarkStart w:id="16" w:name="_Toc35393799"/>
      <w:bookmarkStart w:id="17" w:name="_Toc35393630"/>
      <w:bookmarkStart w:id="18" w:name="_Toc28359090"/>
      <w:bookmarkStart w:id="19" w:name="_Toc44229879"/>
      <w:r>
        <w:rPr>
          <w:rFonts w:hint="eastAsia" w:ascii="宋体" w:hAnsi="宋体" w:eastAsia="宋体" w:cs="宋体"/>
          <w:b/>
          <w:color w:val="auto"/>
          <w:kern w:val="44"/>
          <w:sz w:val="24"/>
          <w:highlight w:val="none"/>
        </w:rPr>
        <w:t>二、供应商的资格条件</w:t>
      </w:r>
      <w:bookmarkEnd w:id="15"/>
      <w:bookmarkEnd w:id="16"/>
      <w:bookmarkEnd w:id="17"/>
      <w:bookmarkEnd w:id="18"/>
      <w:bookmarkEnd w:id="19"/>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lang w:eastAsia="zh-CN"/>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cs="宋体"/>
          <w:b/>
          <w:bCs/>
          <w:color w:val="auto"/>
          <w:spacing w:val="0"/>
          <w:w w:val="100"/>
          <w:position w:val="0"/>
          <w:sz w:val="21"/>
          <w:szCs w:val="21"/>
          <w:highlight w:val="none"/>
          <w:lang w:eastAsia="zh-CN"/>
        </w:rPr>
        <w:t>本项目</w:t>
      </w:r>
      <w:r>
        <w:rPr>
          <w:rFonts w:hint="eastAsia" w:ascii="宋体" w:hAnsi="宋体" w:eastAsia="宋体" w:cs="宋体"/>
          <w:b/>
          <w:bCs/>
          <w:color w:val="auto"/>
          <w:spacing w:val="0"/>
          <w:w w:val="100"/>
          <w:position w:val="0"/>
          <w:sz w:val="21"/>
          <w:szCs w:val="21"/>
          <w:highlight w:val="none"/>
          <w:lang w:eastAsia="zh-CN"/>
        </w:rPr>
        <w:t>专门面向</w:t>
      </w:r>
      <w:r>
        <w:rPr>
          <w:rFonts w:hint="eastAsia" w:ascii="宋体" w:hAnsi="宋体" w:cs="宋体"/>
          <w:b/>
          <w:bCs/>
          <w:color w:val="auto"/>
          <w:spacing w:val="0"/>
          <w:w w:val="100"/>
          <w:position w:val="0"/>
          <w:sz w:val="21"/>
          <w:szCs w:val="21"/>
          <w:highlight w:val="none"/>
          <w:lang w:val="en-US" w:eastAsia="zh-CN"/>
        </w:rPr>
        <w:t>小微</w:t>
      </w:r>
      <w:r>
        <w:rPr>
          <w:rFonts w:hint="eastAsia" w:ascii="宋体" w:hAnsi="宋体" w:eastAsia="宋体" w:cs="宋体"/>
          <w:b/>
          <w:bCs/>
          <w:color w:val="auto"/>
          <w:spacing w:val="0"/>
          <w:w w:val="100"/>
          <w:position w:val="0"/>
          <w:sz w:val="21"/>
          <w:szCs w:val="21"/>
          <w:highlight w:val="none"/>
          <w:lang w:eastAsia="zh-CN"/>
        </w:rPr>
        <w:t>企业采购的项目（供应商应为</w:t>
      </w:r>
      <w:r>
        <w:rPr>
          <w:rFonts w:hint="eastAsia" w:ascii="宋体" w:hAnsi="宋体" w:cs="宋体"/>
          <w:b/>
          <w:bCs/>
          <w:color w:val="auto"/>
          <w:spacing w:val="0"/>
          <w:w w:val="100"/>
          <w:position w:val="0"/>
          <w:sz w:val="21"/>
          <w:szCs w:val="21"/>
          <w:highlight w:val="none"/>
          <w:lang w:val="en-US" w:eastAsia="zh-CN"/>
        </w:rPr>
        <w:t>小微</w:t>
      </w:r>
      <w:r>
        <w:rPr>
          <w:rFonts w:hint="eastAsia" w:ascii="宋体" w:hAnsi="宋体" w:eastAsia="宋体" w:cs="宋体"/>
          <w:b/>
          <w:bCs/>
          <w:color w:val="auto"/>
          <w:spacing w:val="0"/>
          <w:w w:val="100"/>
          <w:position w:val="0"/>
          <w:sz w:val="21"/>
          <w:szCs w:val="21"/>
          <w:highlight w:val="none"/>
          <w:lang w:eastAsia="zh-CN"/>
        </w:rPr>
        <w:t>企业或监狱企业或残疾人福利性单位）</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u w:val="none"/>
          <w:lang w:eastAsia="zh-CN"/>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u w:val="none"/>
          <w:lang w:eastAsia="zh-CN"/>
        </w:rPr>
        <w:t>：</w:t>
      </w:r>
    </w:p>
    <w:p>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（1）具备</w:t>
      </w:r>
      <w:r>
        <w:rPr>
          <w:rFonts w:hint="eastAsia" w:ascii="宋体" w:hAnsi="宋体" w:cs="宋体"/>
          <w:color w:val="auto"/>
          <w:szCs w:val="21"/>
          <w:highlight w:val="none"/>
          <w:lang w:eastAsia="zh-CN"/>
        </w:rPr>
        <w:t>水利水电工程施工总承包叁级以上</w:t>
      </w:r>
      <w:r>
        <w:rPr>
          <w:rFonts w:hint="eastAsia" w:ascii="宋体" w:hAnsi="宋体" w:eastAsia="宋体" w:cs="宋体"/>
          <w:color w:val="auto"/>
          <w:szCs w:val="21"/>
          <w:highlight w:val="none"/>
        </w:rPr>
        <w:t>（含叁级）资质，</w:t>
      </w:r>
      <w:r>
        <w:rPr>
          <w:rFonts w:hint="eastAsia" w:ascii="宋体" w:hAnsi="宋体" w:eastAsia="宋体" w:cs="宋体"/>
          <w:color w:val="auto"/>
          <w:szCs w:val="21"/>
          <w:highlight w:val="none"/>
          <w:lang w:eastAsia="zh-CN"/>
        </w:rPr>
        <w:t>具有省级及以上建设行政主管部门颁发的安全生产许可证</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并在人员、设备、资金等方面具备相应的施工能力。</w:t>
      </w:r>
    </w:p>
    <w:p>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（2）拟派项目经理须具备</w:t>
      </w:r>
      <w:r>
        <w:rPr>
          <w:rFonts w:hint="eastAsia" w:ascii="宋体" w:hAnsi="宋体" w:cs="宋体"/>
          <w:color w:val="auto"/>
          <w:szCs w:val="21"/>
          <w:highlight w:val="none"/>
          <w:lang w:eastAsia="zh-CN"/>
        </w:rPr>
        <w:t>水利水电工程专业贰级以上</w:t>
      </w:r>
      <w:r>
        <w:rPr>
          <w:rFonts w:hint="eastAsia" w:ascii="宋体" w:hAnsi="宋体" w:eastAsia="宋体" w:cs="宋体"/>
          <w:color w:val="auto"/>
          <w:szCs w:val="21"/>
          <w:highlight w:val="none"/>
        </w:rPr>
        <w:t>（含贰级）注册建造师执业资格，具备有效的安全生产考核合格证书（B类）。本项目不接受有在建、已中标未开工或其他项目中标候选人第一名的建造师作为项目经理。</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u w:val="none"/>
          <w:lang w:val="en-US" w:eastAsia="zh-CN"/>
        </w:rPr>
      </w:pPr>
      <w:r>
        <w:rPr>
          <w:rFonts w:hint="eastAsia" w:ascii="宋体" w:hAnsi="宋体" w:eastAsia="宋体" w:cs="宋体"/>
          <w:color w:val="auto"/>
          <w:spacing w:val="0"/>
          <w:w w:val="100"/>
          <w:position w:val="0"/>
          <w:sz w:val="21"/>
          <w:szCs w:val="21"/>
          <w:highlight w:val="none"/>
          <w:u w:val="none"/>
        </w:rPr>
        <w:t>4</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pacing w:val="0"/>
          <w:w w:val="100"/>
          <w:position w:val="0"/>
          <w:sz w:val="21"/>
          <w:szCs w:val="21"/>
          <w:highlight w:val="none"/>
          <w:u w:val="none"/>
        </w:rPr>
        <w:t>本项目的特定条件</w:t>
      </w:r>
      <w:r>
        <w:rPr>
          <w:rFonts w:hint="eastAsia" w:ascii="宋体" w:hAnsi="宋体" w:eastAsia="宋体" w:cs="宋体"/>
          <w:b w:val="0"/>
          <w:bCs w:val="0"/>
          <w:color w:val="auto"/>
          <w:spacing w:val="0"/>
          <w:w w:val="100"/>
          <w:position w:val="0"/>
          <w:sz w:val="21"/>
          <w:szCs w:val="21"/>
          <w:highlight w:val="none"/>
          <w:u w:val="none"/>
          <w:lang w:eastAsia="zh-CN"/>
        </w:rPr>
        <w:t>：</w:t>
      </w:r>
      <w:r>
        <w:rPr>
          <w:rFonts w:hint="eastAsia" w:ascii="宋体" w:hAnsi="宋体" w:eastAsia="宋体" w:cs="宋体"/>
          <w:b w:val="0"/>
          <w:bCs w:val="0"/>
          <w:color w:val="auto"/>
          <w:spacing w:val="0"/>
          <w:w w:val="100"/>
          <w:position w:val="0"/>
          <w:sz w:val="21"/>
          <w:szCs w:val="21"/>
          <w:highlight w:val="none"/>
          <w:lang w:eastAsia="zh-CN"/>
        </w:rPr>
        <w:t>无</w:t>
      </w:r>
    </w:p>
    <w:p>
      <w:pPr>
        <w:keepNext w:val="0"/>
        <w:keepLines w:val="0"/>
        <w:pageBreakBefore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6</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1"/>
      <w:bookmarkEnd w:id="12"/>
      <w:bookmarkEnd w:id="13"/>
      <w:bookmarkEnd w:id="14"/>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bookmarkStart w:id="20" w:name="_Toc35393793"/>
      <w:bookmarkStart w:id="21" w:name="_Toc28359082"/>
      <w:bookmarkStart w:id="22" w:name="_Toc35393624"/>
      <w:bookmarkStart w:id="23" w:name="_Toc28359005"/>
      <w:r>
        <w:rPr>
          <w:rFonts w:hint="eastAsia" w:ascii="宋体" w:hAnsi="宋体" w:eastAsia="宋体" w:cs="宋体"/>
          <w:color w:val="auto"/>
          <w:szCs w:val="21"/>
          <w:highlight w:val="none"/>
        </w:rPr>
        <w:t>时间：自公告发布之日起。</w:t>
      </w:r>
    </w:p>
    <w:p>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黑体" w:hAnsi="黑体" w:eastAsia="黑体"/>
          <w:b/>
          <w:bCs/>
          <w:color w:val="auto"/>
          <w:sz w:val="24"/>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Times New Roman"/>
          <w:color w:val="auto"/>
          <w:szCs w:val="21"/>
          <w:highlight w:val="none"/>
        </w:rPr>
        <w:t>网上下载。</w:t>
      </w:r>
      <w:r>
        <w:rPr>
          <w:rFonts w:hint="eastAsia" w:ascii="宋体" w:hAnsi="宋体"/>
          <w:color w:val="auto"/>
          <w:szCs w:val="21"/>
          <w:highlight w:val="none"/>
        </w:rPr>
        <w:t>本项目不发放纸质采购文件，供应商可自行在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）下载采购文件（操作路径：登录</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-项目采购-获取采购文件-找到本项目-点击“申请获取采购文件”），电子响应文件制作需要基于</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）获取的采购文件编制。</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0"/>
      <w:bookmarkEnd w:id="21"/>
      <w:bookmarkEnd w:id="22"/>
      <w:bookmarkEnd w:id="23"/>
      <w:r>
        <w:rPr>
          <w:rFonts w:hint="eastAsia" w:ascii="宋体" w:hAnsi="宋体" w:eastAsia="宋体" w:cs="宋体"/>
          <w:b/>
          <w:bCs/>
          <w:color w:val="auto"/>
          <w:sz w:val="24"/>
          <w:highlight w:val="none"/>
        </w:rPr>
        <w:t>响应文件提交</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24</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15时00分</w:t>
      </w:r>
      <w:r>
        <w:rPr>
          <w:rFonts w:hint="eastAsia" w:ascii="宋体" w:hAnsi="宋体" w:eastAsia="宋体" w:cs="宋体"/>
          <w:color w:val="auto"/>
          <w:szCs w:val="21"/>
          <w:highlight w:val="none"/>
        </w:rPr>
        <w:t>。</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本项目为南宁市全流程电子化项目，通过广西政府采购云平台（ https://www.gcy.zfcg.gxzf.gov.cn/）实行在线电子投标，供应商应先安装“新版客户端”【请自行前往广西政府采购网（访问地址</w:t>
      </w:r>
      <w:r>
        <w:rPr>
          <w:rFonts w:hint="eastAsia" w:ascii="宋体" w:hAnsi="宋体"/>
          <w:b/>
          <w:bCs/>
          <w:color w:val="auto"/>
          <w:szCs w:val="21"/>
          <w:highlight w:val="none"/>
        </w:rPr>
        <w:t>http://zfcg.gxzf.gov.cn/</w:t>
      </w:r>
      <w:r>
        <w:rPr>
          <w:rFonts w:hint="eastAsia" w:ascii="宋体" w:hAnsi="宋体"/>
          <w:color w:val="auto"/>
          <w:szCs w:val="21"/>
          <w:highlight w:val="none"/>
        </w:rPr>
        <w:t>）—办事服务—下载专区】，并按照本项目招标文件和广西政府采购云平台的要求编制、加密后在投标截止时间前通过网络上传至广西政府采购云平台，</w:t>
      </w:r>
      <w:r>
        <w:rPr>
          <w:rFonts w:hint="eastAsia" w:ascii="宋体" w:hAnsi="宋体"/>
          <w:b/>
          <w:color w:val="auto"/>
          <w:szCs w:val="21"/>
          <w:highlight w:val="none"/>
        </w:rPr>
        <w:t>供应商在</w:t>
      </w:r>
      <w:r>
        <w:rPr>
          <w:rFonts w:hint="eastAsia" w:ascii="宋体" w:hAnsi="宋体"/>
          <w:b/>
          <w:bCs/>
          <w:color w:val="auto"/>
          <w:szCs w:val="21"/>
          <w:highlight w:val="none"/>
        </w:rPr>
        <w:t>广西政府采购云平台提交电子版响应文件时，请填写参加远程开标活动经办人联系方式</w:t>
      </w:r>
      <w:r>
        <w:rPr>
          <w:rFonts w:hint="eastAsia" w:ascii="宋体" w:hAnsi="宋体" w:eastAsia="宋体" w:cs="宋体"/>
          <w:color w:val="auto"/>
          <w:szCs w:val="21"/>
          <w:highlight w:val="none"/>
        </w:rPr>
        <w:t>。</w:t>
      </w:r>
    </w:p>
    <w:p>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bCs/>
          <w:color w:val="auto"/>
          <w:szCs w:val="21"/>
          <w:highlight w:val="none"/>
          <w:lang w:val="en-US" w:eastAsia="zh-CN"/>
        </w:rPr>
        <w:t>供应商</w:t>
      </w:r>
      <w:r>
        <w:rPr>
          <w:rFonts w:hint="eastAsia" w:ascii="宋体" w:hAnsi="宋体" w:cs="宋体"/>
          <w:color w:val="auto"/>
          <w:szCs w:val="21"/>
          <w:highlight w:val="none"/>
        </w:rPr>
        <w:t>只需办理其中一家CA数字证书及签章，</w:t>
      </w:r>
      <w:r>
        <w:rPr>
          <w:rFonts w:hint="eastAsia" w:ascii="宋体" w:hAnsi="宋体"/>
          <w:color w:val="auto"/>
          <w:szCs w:val="21"/>
          <w:highlight w:val="none"/>
        </w:rPr>
        <w:t>建议各</w:t>
      </w:r>
      <w:r>
        <w:rPr>
          <w:rFonts w:hint="eastAsia" w:ascii="宋体" w:hAnsi="宋体"/>
          <w:bCs/>
          <w:color w:val="auto"/>
          <w:szCs w:val="21"/>
          <w:highlight w:val="none"/>
          <w:lang w:val="en-US" w:eastAsia="zh-CN"/>
        </w:rPr>
        <w:t>供应商</w:t>
      </w:r>
      <w:r>
        <w:rPr>
          <w:rFonts w:hint="eastAsia" w:ascii="宋体" w:hAnsi="宋体"/>
          <w:color w:val="auto"/>
          <w:szCs w:val="21"/>
          <w:highlight w:val="none"/>
        </w:rPr>
        <w:t>抓紧时间办理。</w:t>
      </w:r>
    </w:p>
    <w:p>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（3）为确保网上操作合法、有效和安全，请投标供应商确保在电子投标过程中能够对相关数据电文进行加密和使用电子签章，妥善保管CA数字证书并使用有效的CA数字证书参与整个招标活动。</w:t>
      </w:r>
    </w:p>
    <w:p>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bCs/>
          <w:color w:val="auto"/>
          <w:szCs w:val="21"/>
          <w:highlight w:val="none"/>
        </w:rPr>
        <w:t>注：</w:t>
      </w:r>
      <w:r>
        <w:rPr>
          <w:rFonts w:hint="eastAsia" w:ascii="宋体" w:hAnsi="宋体"/>
          <w:bCs/>
          <w:color w:val="auto"/>
          <w:szCs w:val="21"/>
          <w:highlight w:val="none"/>
          <w:lang w:val="en-US" w:eastAsia="zh-CN"/>
        </w:rPr>
        <w:t>供应商</w:t>
      </w:r>
      <w:r>
        <w:rPr>
          <w:rFonts w:hint="eastAsia" w:ascii="宋体" w:hAnsi="宋体"/>
          <w:bCs/>
          <w:color w:val="auto"/>
          <w:szCs w:val="21"/>
          <w:highlight w:val="none"/>
        </w:rPr>
        <w:t>应当在投标截止时间前完成电子</w:t>
      </w:r>
      <w:r>
        <w:rPr>
          <w:rFonts w:hint="eastAsia" w:ascii="宋体" w:hAnsi="宋体"/>
          <w:color w:val="auto"/>
          <w:szCs w:val="21"/>
          <w:highlight w:val="none"/>
        </w:rPr>
        <w:t>响应文件</w:t>
      </w:r>
      <w:r>
        <w:rPr>
          <w:rFonts w:hint="eastAsia" w:ascii="宋体" w:hAnsi="宋体"/>
          <w:bCs/>
          <w:color w:val="auto"/>
          <w:szCs w:val="21"/>
          <w:highlight w:val="none"/>
        </w:rPr>
        <w:t>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w:t>
      </w:r>
      <w:r>
        <w:rPr>
          <w:rFonts w:hint="eastAsia" w:ascii="宋体" w:hAnsi="宋体" w:eastAsia="宋体" w:cs="Times New Roman"/>
          <w:color w:val="auto"/>
          <w:szCs w:val="21"/>
          <w:highlight w:val="none"/>
        </w:rPr>
        <w:t>云平台将予以拒收。</w:t>
      </w:r>
    </w:p>
    <w:p>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（4）开标地点：本次</w:t>
      </w:r>
      <w:r>
        <w:rPr>
          <w:rFonts w:hint="eastAsia" w:ascii="宋体" w:hAnsi="宋体" w:eastAsia="宋体" w:cs="Times New Roman"/>
          <w:color w:val="auto"/>
          <w:szCs w:val="21"/>
          <w:highlight w:val="none"/>
          <w:lang w:val="en-US" w:eastAsia="zh-CN"/>
        </w:rPr>
        <w:t>采购</w:t>
      </w:r>
      <w:r>
        <w:rPr>
          <w:rFonts w:hint="eastAsia" w:ascii="宋体" w:hAnsi="宋体" w:eastAsia="宋体" w:cs="Times New Roman"/>
          <w:color w:val="auto"/>
          <w:szCs w:val="21"/>
          <w:highlight w:val="none"/>
        </w:rPr>
        <w:t>在广西政府采购云平台电子开标大厅开标。</w:t>
      </w:r>
    </w:p>
    <w:p>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（5）因未注册入库、未办理CA数字证书、CA证书故障、操作不当等原因造成无法参与或磋商失败等后果由供应商自行承担。</w:t>
      </w:r>
    </w:p>
    <w:p>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6</w:t>
      </w:r>
      <w:r>
        <w:rPr>
          <w:rFonts w:hint="eastAsia" w:ascii="宋体" w:hAnsi="宋体" w:eastAsia="宋体" w:cs="Times New Roman"/>
          <w:color w:val="auto"/>
          <w:szCs w:val="21"/>
          <w:highlight w:val="none"/>
        </w:rPr>
        <w:t>）CA证书在线解密：供应商投标时，需携带制作投标文件时用来加密的有效数字证书（CA认证）登录广西政府采购云平台电子开标大厅现场按规定时间对加密的投标文件进行解密，未能按要求进行解密的，由此产生的后果由</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自行承担。</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3</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24</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15时00分</w:t>
      </w:r>
      <w:r>
        <w:rPr>
          <w:rFonts w:hint="eastAsia" w:ascii="宋体" w:hAnsi="宋体" w:eastAsia="宋体" w:cs="宋体"/>
          <w:color w:val="auto"/>
          <w:szCs w:val="21"/>
          <w:highlight w:val="none"/>
        </w:rPr>
        <w:t>后</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2.地点：广西政府采购云平台开标大厅</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4" w:name="_Toc28359007"/>
      <w:bookmarkStart w:id="25" w:name="_Toc35393625"/>
      <w:bookmarkStart w:id="26" w:name="_Toc35393794"/>
      <w:bookmarkStart w:id="27" w:name="_Toc28359084"/>
      <w:r>
        <w:rPr>
          <w:rFonts w:hint="eastAsia" w:ascii="宋体" w:hAnsi="宋体" w:eastAsia="宋体" w:cs="宋体"/>
          <w:b/>
          <w:bCs/>
          <w:color w:val="auto"/>
          <w:sz w:val="24"/>
          <w:highlight w:val="none"/>
        </w:rPr>
        <w:t>六、公告期限</w:t>
      </w:r>
      <w:bookmarkEnd w:id="24"/>
      <w:bookmarkEnd w:id="25"/>
      <w:bookmarkEnd w:id="26"/>
      <w:bookmarkEnd w:id="27"/>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3</w:t>
      </w:r>
      <w:r>
        <w:rPr>
          <w:rFonts w:hint="eastAsia" w:ascii="宋体" w:hAnsi="宋体" w:eastAsia="宋体" w:cs="宋体"/>
          <w:color w:val="auto"/>
          <w:kern w:val="0"/>
          <w:szCs w:val="21"/>
          <w:highlight w:val="none"/>
        </w:rPr>
        <w:t>个工作日。</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8" w:name="_Toc35393795"/>
      <w:bookmarkStart w:id="29" w:name="_Toc35393626"/>
      <w:r>
        <w:rPr>
          <w:rFonts w:hint="eastAsia" w:ascii="宋体" w:hAnsi="宋体" w:eastAsia="宋体" w:cs="宋体"/>
          <w:b/>
          <w:bCs/>
          <w:color w:val="auto"/>
          <w:sz w:val="24"/>
          <w:highlight w:val="none"/>
        </w:rPr>
        <w:t>七、其他补充事宜</w:t>
      </w:r>
      <w:bookmarkEnd w:id="28"/>
      <w:bookmarkEnd w:id="29"/>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1.磋商保证金：本项目不收取磋商保证金</w:t>
      </w:r>
    </w:p>
    <w:p>
      <w:pPr>
        <w:keepNext w:val="0"/>
        <w:keepLines w:val="0"/>
        <w:pageBreakBefore w:val="0"/>
        <w:kinsoku/>
        <w:wordWrap/>
        <w:overflowPunct/>
        <w:topLinePunct w:val="0"/>
        <w:autoSpaceDE/>
        <w:autoSpaceDN/>
        <w:bidi w:val="0"/>
        <w:adjustRightInd/>
        <w:spacing w:line="440" w:lineRule="exact"/>
        <w:ind w:left="420" w:leftChars="200" w:firstLine="0" w:firstLineChars="0"/>
        <w:jc w:val="left"/>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2.采购意向公开链接：http://www.ccgp-guangxi.gov.cn/site/detail?categoryCode=reformColumn&amp;parentId=66601&amp;articleId=Vfd7yBC8hyNHt3NTC0ljEg==</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30" w:name="_Hlk37429585"/>
      <w:r>
        <w:rPr>
          <w:rFonts w:hint="eastAsia" w:ascii="宋体" w:hAnsi="宋体" w:eastAsia="宋体" w:cs="宋体"/>
          <w:color w:val="auto"/>
          <w:kern w:val="0"/>
          <w:szCs w:val="21"/>
          <w:highlight w:val="none"/>
        </w:rPr>
        <w:t>3.</w:t>
      </w:r>
      <w:bookmarkStart w:id="31" w:name="_Hlk37429595"/>
      <w:r>
        <w:rPr>
          <w:rFonts w:hint="eastAsia" w:ascii="宋体" w:hAnsi="宋体" w:eastAsia="宋体" w:cs="宋体"/>
          <w:color w:val="auto"/>
          <w:kern w:val="0"/>
          <w:szCs w:val="21"/>
          <w:highlight w:val="none"/>
        </w:rPr>
        <w:t>网上查询地址</w:t>
      </w:r>
    </w:p>
    <w:bookmarkEnd w:id="30"/>
    <w:bookmarkEnd w:id="31"/>
    <w:p>
      <w:pPr>
        <w:spacing w:line="440" w:lineRule="exact"/>
        <w:ind w:firstLine="420" w:firstLineChars="200"/>
        <w:rPr>
          <w:rFonts w:hint="eastAsia" w:ascii="宋体" w:eastAsia="宋体" w:cs="宋体"/>
          <w:color w:val="auto"/>
          <w:kern w:val="0"/>
          <w:szCs w:val="21"/>
          <w:highlight w:val="none"/>
          <w:lang w:eastAsia="zh-CN"/>
        </w:rPr>
      </w:pPr>
      <w:bookmarkStart w:id="32" w:name="_Hlk37429674"/>
      <w:r>
        <w:rPr>
          <w:rFonts w:ascii="宋体" w:hAnsi="宋体"/>
          <w:color w:val="auto"/>
          <w:szCs w:val="21"/>
          <w:highlight w:val="none"/>
        </w:rPr>
        <w:t>http://www.ccgp.gov.cn/</w:t>
      </w:r>
      <w:r>
        <w:rPr>
          <w:rFonts w:hint="eastAsia" w:ascii="宋体" w:hAnsi="宋体"/>
          <w:color w:val="auto"/>
          <w:szCs w:val="21"/>
          <w:highlight w:val="none"/>
        </w:rPr>
        <w:t>（中国政府采购网）、</w:t>
      </w:r>
      <w:r>
        <w:rPr>
          <w:rFonts w:ascii="宋体" w:hAnsi="宋体"/>
          <w:color w:val="auto"/>
          <w:szCs w:val="21"/>
          <w:highlight w:val="none"/>
        </w:rPr>
        <w:t>http://www.ccgp-guangxi.gov.cn/ (</w:t>
      </w:r>
      <w:r>
        <w:rPr>
          <w:rFonts w:hint="eastAsia" w:ascii="宋体" w:hAnsi="宋体"/>
          <w:color w:val="auto"/>
          <w:szCs w:val="21"/>
          <w:highlight w:val="none"/>
        </w:rPr>
        <w:t>广西壮族自治区政府采购网</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http://ggzy.jgswj.gxzf.gov.cn/nnggzy/</w:t>
      </w:r>
      <w:r>
        <w:rPr>
          <w:rFonts w:hint="eastAsia" w:ascii="宋体" w:hAnsi="宋体"/>
          <w:color w:val="auto"/>
          <w:szCs w:val="21"/>
          <w:highlight w:val="none"/>
        </w:rPr>
        <w:t>（全国公共资源交易平台（广西</w:t>
      </w:r>
      <w:r>
        <w:rPr>
          <w:rFonts w:ascii="宋体"/>
          <w:color w:val="auto"/>
          <w:szCs w:val="21"/>
          <w:highlight w:val="none"/>
        </w:rPr>
        <w:t>.</w:t>
      </w:r>
      <w:r>
        <w:rPr>
          <w:rFonts w:hint="eastAsia" w:ascii="宋体" w:hAnsi="宋体"/>
          <w:color w:val="auto"/>
          <w:szCs w:val="21"/>
          <w:highlight w:val="none"/>
        </w:rPr>
        <w:t>南宁））</w:t>
      </w:r>
      <w:r>
        <w:rPr>
          <w:rFonts w:hint="eastAsia" w:ascii="宋体" w:hAnsi="宋体"/>
          <w:color w:val="auto"/>
          <w:szCs w:val="21"/>
          <w:highlight w:val="none"/>
          <w:lang w:eastAsia="zh-CN"/>
        </w:rPr>
        <w:t>、</w:t>
      </w:r>
      <w:r>
        <w:rPr>
          <w:rFonts w:hint="eastAsia" w:ascii="宋体" w:hAnsi="宋体" w:cs="宋体"/>
          <w:color w:val="auto"/>
          <w:kern w:val="0"/>
          <w:szCs w:val="21"/>
          <w:highlight w:val="none"/>
          <w:lang w:val="en-US" w:eastAsia="zh-CN"/>
        </w:rPr>
        <w:t>广西佳鸿工程咨询有限公司网（http://www.gxjhgczx.com）。</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32"/>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”（https://www.zcygov.cn/），点击右侧咨询小采，获取采小蜜智能服务管家帮助，或拨打政采云服务热线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pPr>
        <w:keepNext w:val="0"/>
        <w:keepLines w:val="0"/>
        <w:pageBreakBefore w:val="0"/>
        <w:kinsoku/>
        <w:wordWrap/>
        <w:overflowPunct/>
        <w:topLinePunct w:val="0"/>
        <w:autoSpaceDE/>
        <w:autoSpaceDN/>
        <w:bidi w:val="0"/>
        <w:adjustRightInd/>
        <w:spacing w:line="440" w:lineRule="exact"/>
        <w:ind w:firstLine="735" w:firstLineChars="350"/>
        <w:jc w:val="left"/>
        <w:textAlignment w:val="auto"/>
        <w:rPr>
          <w:rFonts w:hint="eastAsia" w:ascii="宋体" w:hAnsi="宋体" w:eastAsia="宋体" w:cs="宋体"/>
          <w:color w:val="auto"/>
          <w:szCs w:val="21"/>
          <w:highlight w:val="none"/>
        </w:rPr>
      </w:pPr>
      <w:bookmarkStart w:id="33" w:name="_Toc15775"/>
      <w:bookmarkStart w:id="34" w:name="_Toc24059"/>
      <w:bookmarkStart w:id="35" w:name="_Toc20817"/>
      <w:r>
        <w:rPr>
          <w:rFonts w:hint="eastAsia" w:ascii="宋体" w:hAnsi="宋体" w:eastAsia="宋体" w:cs="宋体"/>
          <w:color w:val="auto"/>
          <w:szCs w:val="21"/>
          <w:highlight w:val="none"/>
        </w:rPr>
        <w:t>1.采购人信息</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名称：横州市水利局</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r>
        <w:rPr>
          <w:rFonts w:hint="eastAsia" w:ascii="宋体" w:hAnsi="宋体" w:cs="宋体"/>
          <w:bCs/>
          <w:color w:val="auto"/>
          <w:szCs w:val="21"/>
          <w:highlight w:val="none"/>
          <w:lang w:val="en-US" w:eastAsia="zh-CN"/>
        </w:rPr>
        <w:t>横州市横州镇茉莉花大道国泰综合楼2号楼1311室</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项目联系人：</w:t>
      </w:r>
      <w:r>
        <w:rPr>
          <w:rFonts w:hint="eastAsia" w:ascii="宋体" w:hAnsi="宋体" w:cs="宋体"/>
          <w:color w:val="auto"/>
          <w:highlight w:val="none"/>
          <w:lang w:val="en-US" w:eastAsia="zh-CN"/>
        </w:rPr>
        <w:t>苏工</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eastAsia="zh-CN"/>
        </w:rPr>
        <w:t>0771-</w:t>
      </w:r>
      <w:r>
        <w:rPr>
          <w:rFonts w:hint="eastAsia" w:ascii="宋体" w:hAnsi="宋体" w:eastAsia="宋体" w:cs="宋体"/>
          <w:color w:val="auto"/>
          <w:szCs w:val="21"/>
          <w:highlight w:val="none"/>
          <w:lang w:val="en-US" w:eastAsia="zh-CN"/>
        </w:rPr>
        <w:t>7081455</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cs="宋体"/>
          <w:color w:val="auto"/>
          <w:szCs w:val="21"/>
          <w:highlight w:val="none"/>
          <w:lang w:eastAsia="zh-CN"/>
        </w:rPr>
        <w:t>广西佳鸿工程咨询有限公司</w:t>
      </w:r>
    </w:p>
    <w:p>
      <w:pPr>
        <w:keepNext w:val="0"/>
        <w:keepLines w:val="0"/>
        <w:pageBreakBefore w:val="0"/>
        <w:kinsoku/>
        <w:wordWrap/>
        <w:overflowPunct/>
        <w:topLinePunct w:val="0"/>
        <w:autoSpaceDE/>
        <w:autoSpaceDN/>
        <w:bidi w:val="0"/>
        <w:adjustRightInd/>
        <w:spacing w:line="440" w:lineRule="exact"/>
        <w:ind w:left="1457" w:leftChars="370" w:hanging="680" w:hangingChars="324"/>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val="en-US" w:eastAsia="zh-CN"/>
        </w:rPr>
        <w:t>南宁市西乡塘区西宁路5号龙光·君悦华庭2号楼1单元十层1003号房</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eastAsia="zh-CN"/>
        </w:rPr>
        <w:t>马伏杰、黄春霞</w:t>
      </w:r>
      <w:r>
        <w:rPr>
          <w:rFonts w:hint="eastAsia" w:ascii="宋体" w:hAnsi="宋体" w:eastAsia="宋体" w:cs="宋体"/>
          <w:color w:val="auto"/>
          <w:szCs w:val="21"/>
          <w:highlight w:val="none"/>
        </w:rPr>
        <w:t>，</w:t>
      </w:r>
      <w:r>
        <w:rPr>
          <w:rFonts w:hint="eastAsia" w:ascii="宋体" w:hAnsi="宋体" w:cs="宋体"/>
          <w:color w:val="auto"/>
          <w:szCs w:val="21"/>
          <w:highlight w:val="none"/>
          <w:lang w:eastAsia="zh-CN"/>
        </w:rPr>
        <w:t>0771-6509080 </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项目联系人：</w:t>
      </w:r>
      <w:r>
        <w:rPr>
          <w:rFonts w:hint="eastAsia" w:ascii="宋体" w:hAnsi="宋体" w:cs="宋体"/>
          <w:color w:val="auto"/>
          <w:szCs w:val="21"/>
          <w:highlight w:val="none"/>
          <w:lang w:eastAsia="zh-CN"/>
        </w:rPr>
        <w:t>马伏杰、黄春霞</w:t>
      </w:r>
    </w:p>
    <w:p>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电话：</w:t>
      </w:r>
      <w:r>
        <w:rPr>
          <w:rFonts w:hint="eastAsia" w:ascii="宋体" w:hAnsi="宋体" w:cs="宋体"/>
          <w:color w:val="auto"/>
          <w:szCs w:val="21"/>
          <w:highlight w:val="none"/>
          <w:lang w:eastAsia="zh-CN"/>
        </w:rPr>
        <w:t>0771-6509080 </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p>
    <w:p>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1.CA证书申请方式及操作指南下载地址（登陆</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"http://nncz.nanning.gov.cn/"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http://nncz.nanning.gov.cn/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（南宁市财政局官网）-业务专题-政府采购监督管理-资料下载-“广西政采云西部CA办理方式”或“南宁市政采云CA证书办理操作指南”）</w:t>
      </w:r>
    </w:p>
    <w:p>
      <w:pPr>
        <w:pStyle w:val="10"/>
        <w:keepNext w:val="0"/>
        <w:keepLines w:val="0"/>
        <w:pageBreakBefore w:val="0"/>
        <w:kinsoku/>
        <w:wordWrap/>
        <w:overflowPunct/>
        <w:topLinePunct w:val="0"/>
        <w:autoSpaceDE/>
        <w:autoSpaceDN/>
        <w:bidi w:val="0"/>
        <w:adjustRightInd/>
        <w:spacing w:line="44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2.电子投标文件制作与投送教程（在此网址下载：</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HYPERLINK "http://nncz.nanning.gov.cn/"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http://nncz.nanning.gov.cn/</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（南宁市财政局官网）-业务专题-政府采购监督管理-资料下载-南宁市政府采购项目全流程电子化交易操作指南）</w:t>
      </w:r>
    </w:p>
    <w:p>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pPr>
        <w:pStyle w:val="10"/>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none"/>
          <w:lang w:eastAsia="zh-CN"/>
        </w:rPr>
        <w:t>广西佳鸿工程咨询有限公司</w:t>
      </w:r>
    </w:p>
    <w:p>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sectPr>
          <w:footerReference r:id="rId9"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start="1"/>
          <w:cols w:space="720" w:num="1"/>
        </w:sectPr>
      </w:pPr>
      <w:r>
        <w:rPr>
          <w:rFonts w:hint="eastAsia" w:ascii="宋体" w:hAnsi="宋体" w:eastAsia="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11</w:t>
      </w:r>
      <w:r>
        <w:rPr>
          <w:rFonts w:hint="eastAsia" w:ascii="宋体" w:hAnsi="宋体" w:eastAsia="宋体" w:cs="宋体"/>
          <w:color w:val="auto"/>
          <w:szCs w:val="21"/>
          <w:highlight w:val="none"/>
          <w:lang w:eastAsia="zh-CN"/>
        </w:rPr>
        <w:t>日</w:t>
      </w:r>
    </w:p>
    <w:p>
      <w:pPr>
        <w:pStyle w:val="2"/>
        <w:spacing w:line="360" w:lineRule="auto"/>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33"/>
      <w:bookmarkEnd w:id="34"/>
      <w:bookmarkEnd w:id="35"/>
    </w:p>
    <w:p>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olor w:val="auto"/>
          <w:highlight w:val="none"/>
        </w:rPr>
        <w:t>1. 为落实政府采购政策需满足的要求</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pPr>
        <w:keepNext w:val="0"/>
        <w:keepLines w:val="0"/>
        <w:pageBreakBefore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pPr>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r>
        <w:rPr>
          <w:rFonts w:hint="eastAsia" w:ascii="宋体" w:hAnsi="宋体" w:cs="宋体"/>
          <w:b/>
          <w:color w:val="auto"/>
          <w:szCs w:val="21"/>
          <w:highlight w:val="none"/>
        </w:rPr>
        <w:t>本项目凡标注“▲”的条款或要求不响应或不满足的，其响应文件即作无效竞标处理。</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auto"/>
          <w:highlight w:val="none"/>
        </w:rPr>
      </w:pPr>
      <w:r>
        <w:rPr>
          <w:rFonts w:hint="eastAsia" w:ascii="宋体" w:hAnsi="宋体" w:cs="宋体"/>
          <w:color w:val="auto"/>
          <w:szCs w:val="21"/>
          <w:highlight w:val="none"/>
        </w:rPr>
        <w:t xml:space="preserve">3. </w:t>
      </w:r>
      <w:r>
        <w:rPr>
          <w:rFonts w:hint="eastAsia" w:ascii="宋体" w:hAnsi="宋体"/>
          <w:color w:val="auto"/>
          <w:highlight w:val="none"/>
        </w:rPr>
        <w:t>如投标人投标</w:t>
      </w:r>
      <w:r>
        <w:rPr>
          <w:rFonts w:ascii="宋体" w:hAnsi="宋体"/>
          <w:color w:val="auto"/>
          <w:highlight w:val="none"/>
        </w:rPr>
        <w:t>产品</w:t>
      </w:r>
      <w:r>
        <w:rPr>
          <w:rFonts w:hint="eastAsia" w:ascii="宋体" w:hAnsi="宋体"/>
          <w:color w:val="auto"/>
          <w:highlight w:val="none"/>
        </w:rPr>
        <w:t>存在</w:t>
      </w:r>
      <w:r>
        <w:rPr>
          <w:rFonts w:ascii="宋体" w:hAnsi="宋体"/>
          <w:color w:val="auto"/>
          <w:highlight w:val="none"/>
        </w:rPr>
        <w:t>侵犯</w:t>
      </w:r>
      <w:r>
        <w:rPr>
          <w:rFonts w:hint="eastAsia" w:ascii="宋体" w:hAnsi="宋体"/>
          <w:color w:val="auto"/>
          <w:highlight w:val="none"/>
        </w:rPr>
        <w:t>他人的知识产权或者专利成果行为的，应</w:t>
      </w:r>
      <w:r>
        <w:rPr>
          <w:rFonts w:ascii="宋体" w:hAnsi="宋体"/>
          <w:color w:val="auto"/>
          <w:highlight w:val="none"/>
        </w:rPr>
        <w:t>承担相应法律责任</w:t>
      </w:r>
      <w:r>
        <w:rPr>
          <w:rFonts w:hint="eastAsia" w:ascii="宋体" w:hAnsi="宋体"/>
          <w:color w:val="auto"/>
          <w:highlight w:val="none"/>
        </w:rPr>
        <w:t>。</w:t>
      </w: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outlineLvl w:val="9"/>
        <w:rPr>
          <w:rFonts w:hint="eastAsia" w:ascii="宋体" w:hAnsi="宋体"/>
          <w:color w:val="auto"/>
          <w:highlight w:val="none"/>
        </w:rPr>
      </w:pPr>
    </w:p>
    <w:p>
      <w:pPr>
        <w:pStyle w:val="25"/>
        <w:rPr>
          <w:rFonts w:hint="eastAsia" w:ascii="宋体" w:hAnsi="宋体"/>
          <w:color w:val="auto"/>
          <w:highlight w:val="none"/>
        </w:rPr>
      </w:pPr>
    </w:p>
    <w:p>
      <w:pPr>
        <w:pStyle w:val="25"/>
        <w:rPr>
          <w:rFonts w:hint="eastAsia" w:ascii="宋体" w:hAnsi="宋体"/>
          <w:color w:val="auto"/>
          <w:highlight w:val="none"/>
        </w:rPr>
      </w:pPr>
    </w:p>
    <w:p>
      <w:pPr>
        <w:pStyle w:val="19"/>
        <w:rPr>
          <w:rFonts w:hint="eastAsia" w:ascii="宋体" w:hAnsi="宋体"/>
          <w:color w:val="auto"/>
          <w:highlight w:val="none"/>
        </w:rPr>
      </w:pPr>
    </w:p>
    <w:p>
      <w:pPr>
        <w:pStyle w:val="19"/>
        <w:rPr>
          <w:rFonts w:hint="eastAsia" w:ascii="宋体" w:hAnsi="宋体"/>
          <w:color w:val="auto"/>
          <w:highlight w:val="none"/>
        </w:rPr>
      </w:pPr>
    </w:p>
    <w:p>
      <w:pPr>
        <w:pStyle w:val="19"/>
        <w:rPr>
          <w:rFonts w:hint="eastAsia" w:ascii="宋体" w:hAnsi="宋体"/>
          <w:color w:val="auto"/>
          <w:highlight w:val="none"/>
        </w:rPr>
      </w:pPr>
    </w:p>
    <w:p>
      <w:pPr>
        <w:outlineLvl w:val="9"/>
        <w:rPr>
          <w:rFonts w:hint="eastAsia"/>
          <w:color w:val="auto"/>
          <w:highlight w:val="none"/>
        </w:rPr>
      </w:pPr>
    </w:p>
    <w:p>
      <w:pPr>
        <w:outlineLvl w:val="9"/>
        <w:rPr>
          <w:rFonts w:hint="eastAsia"/>
          <w:color w:val="auto"/>
          <w:highlight w:val="none"/>
        </w:rPr>
      </w:pPr>
    </w:p>
    <w:p>
      <w:pPr>
        <w:outlineLvl w:val="9"/>
        <w:rPr>
          <w:rFonts w:hint="eastAsia" w:ascii="宋体" w:hAnsi="宋体"/>
          <w:color w:val="auto"/>
          <w:highlight w:val="none"/>
        </w:rPr>
      </w:pPr>
    </w:p>
    <w:tbl>
      <w:tblPr>
        <w:tblStyle w:val="26"/>
        <w:tblW w:w="10113"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328"/>
        <w:gridCol w:w="915"/>
        <w:gridCol w:w="495"/>
        <w:gridCol w:w="555"/>
        <w:gridCol w:w="4530"/>
        <w:gridCol w:w="1379"/>
        <w:gridCol w:w="13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5" w:hRule="atLeast"/>
          <w:jc w:val="center"/>
        </w:trPr>
        <w:tc>
          <w:tcPr>
            <w:tcW w:w="10113" w:type="dxa"/>
            <w:gridSpan w:val="8"/>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color w:val="auto"/>
                <w:sz w:val="32"/>
                <w:szCs w:val="32"/>
                <w:highlight w:val="none"/>
              </w:rPr>
            </w:pPr>
            <w:r>
              <w:rPr>
                <w:rFonts w:hint="eastAsia" w:ascii="宋体" w:hAnsi="宋体" w:cs="Arial"/>
                <w:b/>
                <w:color w:val="auto"/>
                <w:sz w:val="32"/>
                <w:szCs w:val="32"/>
                <w:highlight w:val="none"/>
              </w:rPr>
              <w:t>采购需求一览表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采购清单及技术参数</w:t>
            </w:r>
          </w:p>
        </w:tc>
        <w:tc>
          <w:tcPr>
            <w:tcW w:w="32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标的的名称</w:t>
            </w:r>
          </w:p>
        </w:tc>
        <w:tc>
          <w:tcPr>
            <w:tcW w:w="4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5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技术需求</w:t>
            </w:r>
          </w:p>
        </w:tc>
        <w:tc>
          <w:tcPr>
            <w:tcW w:w="13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color w:val="auto"/>
                <w:szCs w:val="21"/>
                <w:highlight w:val="none"/>
              </w:rPr>
            </w:pPr>
            <w:r>
              <w:rPr>
                <w:rFonts w:hint="eastAsia" w:ascii="宋体" w:hAnsi="宋体" w:eastAsia="宋体" w:cs="Times New Roman"/>
                <w:b w:val="0"/>
                <w:bCs w:val="0"/>
                <w:color w:val="auto"/>
                <w:sz w:val="21"/>
                <w:szCs w:val="21"/>
                <w:highlight w:val="none"/>
              </w:rPr>
              <w:t>分项预算合计（万元）</w:t>
            </w:r>
          </w:p>
        </w:tc>
        <w:tc>
          <w:tcPr>
            <w:tcW w:w="13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cs="宋体"/>
                <w:color w:val="auto"/>
                <w:szCs w:val="21"/>
                <w:highlight w:val="none"/>
              </w:rPr>
            </w:pPr>
            <w:r>
              <w:rPr>
                <w:rFonts w:hint="eastAsia" w:ascii="宋体" w:hAnsi="宋体"/>
                <w:color w:val="auto"/>
                <w:sz w:val="21"/>
                <w:szCs w:val="21"/>
                <w:highlight w:val="none"/>
              </w:rPr>
              <w:t>中小企业划分标准所属行业名称（行业名称及划分见本章附件）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bCs/>
                <w:color w:val="auto"/>
                <w:szCs w:val="21"/>
                <w:highlight w:val="none"/>
              </w:rPr>
            </w:pPr>
          </w:p>
        </w:tc>
        <w:tc>
          <w:tcPr>
            <w:tcW w:w="3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1</w:t>
            </w:r>
          </w:p>
        </w:tc>
        <w:tc>
          <w:tcPr>
            <w:tcW w:w="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横州</w:t>
            </w:r>
            <w:r>
              <w:rPr>
                <w:rFonts w:hint="eastAsia" w:ascii="宋体" w:hAnsi="宋体"/>
                <w:color w:val="auto"/>
                <w:szCs w:val="21"/>
                <w:highlight w:val="none"/>
                <w:lang w:eastAsia="zh-CN"/>
              </w:rPr>
              <w:t>市</w:t>
            </w:r>
            <w:r>
              <w:rPr>
                <w:rFonts w:hint="eastAsia" w:ascii="宋体" w:hAnsi="宋体"/>
                <w:color w:val="auto"/>
                <w:szCs w:val="21"/>
                <w:highlight w:val="none"/>
                <w:lang w:val="en-US" w:eastAsia="zh-CN"/>
              </w:rPr>
              <w:t>横州</w:t>
            </w:r>
            <w:r>
              <w:rPr>
                <w:rFonts w:hint="eastAsia" w:ascii="宋体" w:hAnsi="宋体"/>
                <w:color w:val="auto"/>
                <w:szCs w:val="21"/>
                <w:highlight w:val="none"/>
                <w:lang w:eastAsia="zh-CN"/>
              </w:rPr>
              <w:t xml:space="preserve">镇西津二线船闸移民新村人饮工程 </w:t>
            </w:r>
          </w:p>
        </w:tc>
        <w:tc>
          <w:tcPr>
            <w:tcW w:w="4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项</w:t>
            </w:r>
          </w:p>
        </w:tc>
        <w:tc>
          <w:tcPr>
            <w:tcW w:w="555"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auto"/>
                <w:highlight w:val="none"/>
              </w:rPr>
            </w:pPr>
            <w:r>
              <w:rPr>
                <w:rFonts w:hint="eastAsia" w:ascii="宋体" w:hAnsi="宋体" w:eastAsia="宋体" w:cs="宋体"/>
                <w:b/>
                <w:bCs/>
                <w:color w:val="auto"/>
                <w:szCs w:val="21"/>
                <w:highlight w:val="none"/>
              </w:rPr>
              <w:t>1.</w:t>
            </w:r>
            <w:r>
              <w:rPr>
                <w:rFonts w:hint="eastAsia"/>
                <w:b/>
                <w:bCs/>
                <w:color w:val="auto"/>
                <w:highlight w:val="none"/>
              </w:rPr>
              <w:t>工程概况</w:t>
            </w:r>
            <w:r>
              <w:rPr>
                <w:rFonts w:hint="eastAsia" w:ascii="宋体" w:hAnsi="宋体" w:cs="宋体"/>
                <w:b/>
                <w:bCs/>
                <w:color w:val="auto"/>
                <w:szCs w:val="21"/>
                <w:highlight w:val="none"/>
                <w:lang w:eastAsia="zh-CN"/>
              </w:rPr>
              <w:t>：</w:t>
            </w:r>
            <w:r>
              <w:rPr>
                <w:rFonts w:hint="eastAsia" w:ascii="宋体" w:hAnsi="宋体" w:eastAsia="宋体" w:cs="宋体"/>
                <w:color w:val="auto"/>
                <w:highlight w:val="none"/>
                <w:lang w:val="en-US" w:eastAsia="zh-CN"/>
              </w:rPr>
              <w:t>建抽水泵房、输水管路、水塔，配水管网工程，抽水系统、净水系统及线路等。具体内容详见施工图纸及工程量清单所包含的内容。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b/>
                <w:bCs/>
                <w:color w:val="auto"/>
                <w:szCs w:val="21"/>
                <w:highlight w:val="none"/>
                <w:lang w:val="en-US" w:eastAsia="zh-CN"/>
              </w:rPr>
              <w:t>2.</w:t>
            </w:r>
            <w:r>
              <w:rPr>
                <w:rFonts w:hint="eastAsia" w:ascii="宋体" w:hAnsi="宋体" w:eastAsia="宋体" w:cs="宋体"/>
                <w:b/>
                <w:bCs/>
                <w:color w:val="auto"/>
                <w:szCs w:val="21"/>
                <w:highlight w:val="none"/>
              </w:rPr>
              <w:t>建设地点：</w:t>
            </w:r>
            <w:r>
              <w:rPr>
                <w:rFonts w:hint="eastAsia" w:ascii="宋体" w:hAnsi="宋体" w:eastAsia="宋体" w:cs="宋体"/>
                <w:color w:val="auto"/>
                <w:highlight w:val="none"/>
                <w:lang w:val="en-US" w:eastAsia="zh-CN"/>
              </w:rPr>
              <w:t>广西南宁市横州市。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Times New Roman"/>
                <w:color w:val="auto"/>
                <w:szCs w:val="21"/>
                <w:highlight w:val="none"/>
              </w:rPr>
            </w:pPr>
            <w:r>
              <w:rPr>
                <w:rFonts w:hint="eastAsia" w:ascii="宋体" w:hAnsi="宋体" w:cs="Times New Roman"/>
                <w:b/>
                <w:bCs/>
                <w:color w:val="auto"/>
                <w:szCs w:val="21"/>
                <w:highlight w:val="none"/>
                <w:lang w:val="en-US" w:eastAsia="zh-CN"/>
              </w:rPr>
              <w:t>3.</w:t>
            </w:r>
            <w:r>
              <w:rPr>
                <w:rFonts w:hint="eastAsia" w:ascii="宋体" w:hAnsi="宋体" w:eastAsia="宋体" w:cs="Times New Roman"/>
                <w:b/>
                <w:bCs/>
                <w:color w:val="auto"/>
                <w:szCs w:val="21"/>
                <w:highlight w:val="none"/>
                <w:lang w:val="en-US" w:eastAsia="zh-CN"/>
              </w:rPr>
              <w:t>发包方式：</w:t>
            </w:r>
            <w:r>
              <w:rPr>
                <w:rFonts w:hint="eastAsia" w:ascii="宋体" w:hAnsi="宋体" w:eastAsia="宋体" w:cs="Times New Roman"/>
                <w:color w:val="auto"/>
                <w:szCs w:val="21"/>
                <w:highlight w:val="none"/>
                <w:lang w:val="en-US" w:eastAsia="zh-CN"/>
              </w:rPr>
              <w:t>包工包料（固定单价合同）</w:t>
            </w:r>
            <w:r>
              <w:rPr>
                <w:rFonts w:hint="eastAsia" w:ascii="宋体" w:hAnsi="宋体" w:cs="Times New Roman"/>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Times New Roman"/>
                <w:b/>
                <w:bCs/>
                <w:color w:val="auto"/>
                <w:kern w:val="0"/>
                <w:szCs w:val="21"/>
                <w:highlight w:val="none"/>
              </w:rPr>
            </w:pPr>
            <w:r>
              <w:rPr>
                <w:rFonts w:hint="eastAsia" w:ascii="宋体" w:hAnsi="宋体" w:eastAsia="宋体" w:cs="Times New Roman"/>
                <w:b/>
                <w:bCs/>
                <w:color w:val="auto"/>
                <w:szCs w:val="21"/>
                <w:highlight w:val="none"/>
              </w:rPr>
              <w:t>▲</w:t>
            </w:r>
            <w:r>
              <w:rPr>
                <w:rFonts w:hint="eastAsia" w:ascii="宋体" w:hAnsi="宋体" w:cs="Times New Roman"/>
                <w:b/>
                <w:bCs/>
                <w:color w:val="auto"/>
                <w:szCs w:val="21"/>
                <w:highlight w:val="none"/>
                <w:lang w:val="en-US" w:eastAsia="zh-CN"/>
              </w:rPr>
              <w:t>4</w:t>
            </w:r>
            <w:r>
              <w:rPr>
                <w:rFonts w:hint="eastAsia" w:ascii="宋体" w:hAnsi="宋体" w:eastAsia="宋体" w:cs="宋体"/>
                <w:b/>
                <w:bCs/>
                <w:color w:val="auto"/>
                <w:szCs w:val="21"/>
                <w:highlight w:val="none"/>
                <w:lang w:val="en-US" w:eastAsia="zh-CN"/>
              </w:rPr>
              <w:t>.</w:t>
            </w:r>
            <w:r>
              <w:rPr>
                <w:rFonts w:hint="eastAsia" w:ascii="宋体" w:hAnsi="宋体" w:eastAsia="宋体" w:cs="Times New Roman"/>
                <w:b/>
                <w:bCs/>
                <w:color w:val="auto"/>
                <w:kern w:val="0"/>
                <w:szCs w:val="21"/>
                <w:highlight w:val="none"/>
              </w:rPr>
              <w:t>人员最低配备要求</w:t>
            </w:r>
          </w:p>
          <w:p>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拟投入本工程的人员必须是本单位的在岗人员，并持有相应的执业资格证书，对相关人员的具体条件要求如下：</w:t>
            </w:r>
          </w:p>
          <w:p>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1）项目经理：持有贰级或贰级以上建造师注册证书，专业是水利水电工程专业（以建造师注册证书中“专业类别”栏所填写的专业为准）；持有省级或省级以上水行政主管部门或其授权部门（机构）颁发的B类安全生产考核合格证书。项目经理不得在任何在建工程中担任任何管理职务。</w:t>
            </w:r>
          </w:p>
          <w:p>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（2）技术负责人：持有中级及以上技术职称，专业是水利水电工程类专业（专业以技术职称证书所填写专业为准）。</w:t>
            </w:r>
          </w:p>
          <w:p>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（3）质量管理员：持有省级或省级以上水行政主管部门或其授权部门（机构）颁发的质量检查员证书。</w:t>
            </w:r>
          </w:p>
          <w:p>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（4）安全管理员：持有省级或省级以上水行政主管部门或其授权部门（机构）颁发的C类安全生产考核合格证书。</w:t>
            </w:r>
          </w:p>
          <w:p>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（5）施工员：须持有工程施工员岗位证书。</w:t>
            </w:r>
          </w:p>
          <w:p>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（6）材料员：须持有工程材料员岗位证书。</w:t>
            </w:r>
          </w:p>
          <w:p>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color w:val="auto"/>
                <w:highlight w:val="none"/>
                <w:lang w:eastAsia="zh-CN"/>
              </w:rPr>
            </w:pPr>
            <w:r>
              <w:rPr>
                <w:rFonts w:hint="eastAsia" w:ascii="宋体" w:hAnsi="宋体"/>
                <w:color w:val="auto"/>
                <w:kern w:val="0"/>
                <w:szCs w:val="21"/>
                <w:highlight w:val="none"/>
                <w:lang w:val="en-US" w:eastAsia="zh-CN"/>
              </w:rPr>
              <w:t>上述（1）~（6）项人员应附相关证书的复印件，并提供上述人员[2024年09月至2025年02月]内任意连续三个月的依法缴纳社会保障资金的缴费凭证复印件。</w:t>
            </w:r>
          </w:p>
        </w:tc>
        <w:tc>
          <w:tcPr>
            <w:tcW w:w="13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olor w:val="auto"/>
                <w:kern w:val="0"/>
                <w:szCs w:val="21"/>
                <w:highlight w:val="none"/>
                <w:lang w:eastAsia="zh-CN"/>
              </w:rPr>
            </w:pPr>
            <w:r>
              <w:rPr>
                <w:rFonts w:hint="eastAsia" w:ascii="宋体" w:hAnsi="宋体" w:cs="宋体"/>
                <w:b w:val="0"/>
                <w:bCs w:val="0"/>
                <w:color w:val="auto"/>
                <w:szCs w:val="21"/>
                <w:highlight w:val="none"/>
                <w:lang w:val="en-US" w:eastAsia="zh-CN"/>
              </w:rPr>
              <w:t>168.162106</w:t>
            </w:r>
          </w:p>
        </w:tc>
        <w:tc>
          <w:tcPr>
            <w:tcW w:w="13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建筑业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商务条款</w:t>
            </w:r>
          </w:p>
        </w:tc>
        <w:tc>
          <w:tcPr>
            <w:tcW w:w="9568" w:type="dxa"/>
            <w:gridSpan w:val="7"/>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一、合同签订期：自成交通知书发出之日起25日内</w:t>
            </w:r>
            <w:r>
              <w:rPr>
                <w:rFonts w:hint="eastAsia" w:ascii="宋体" w:hAnsi="宋体" w:cs="Times New Roman"/>
                <w:color w:val="auto"/>
                <w:szCs w:val="21"/>
                <w:highlight w:val="none"/>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w:t>
            </w:r>
            <w:r>
              <w:rPr>
                <w:rFonts w:hint="eastAsia" w:ascii="宋体" w:hAnsi="宋体" w:eastAsia="宋体" w:cs="宋体"/>
                <w:color w:val="auto"/>
                <w:szCs w:val="21"/>
                <w:highlight w:val="none"/>
              </w:rPr>
              <w:t>合同履行期限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工期</w:t>
            </w:r>
            <w:r>
              <w:rPr>
                <w:rFonts w:hint="eastAsia" w:ascii="宋体" w:hAnsi="宋体" w:eastAsia="宋体" w:cs="宋体"/>
                <w:color w:val="auto"/>
                <w:szCs w:val="21"/>
                <w:highlight w:val="none"/>
                <w:lang w:eastAsia="zh-CN"/>
              </w:rPr>
              <w:t>）</w:t>
            </w: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lang w:val="en-US" w:eastAsia="zh-CN"/>
              </w:rPr>
              <w:t>180日历天</w:t>
            </w:r>
            <w:r>
              <w:rPr>
                <w:rFonts w:hint="eastAsia" w:ascii="宋体" w:hAnsi="宋体" w:eastAsia="宋体" w:cs="宋体"/>
                <w:color w:val="auto"/>
                <w:szCs w:val="21"/>
                <w:highlight w:val="none"/>
              </w:rPr>
              <w:t>。</w:t>
            </w:r>
          </w:p>
          <w:p>
            <w:pPr>
              <w:spacing w:line="360" w:lineRule="auto"/>
              <w:rPr>
                <w:rFonts w:hint="eastAsia" w:ascii="宋体" w:hAnsi="宋体"/>
                <w:color w:val="auto"/>
                <w:szCs w:val="21"/>
                <w:highlight w:val="none"/>
              </w:rPr>
            </w:pPr>
            <w:r>
              <w:rPr>
                <w:rFonts w:hint="eastAsia" w:ascii="宋体" w:hAnsi="宋体"/>
                <w:color w:val="auto"/>
                <w:szCs w:val="21"/>
                <w:highlight w:val="none"/>
                <w:lang w:eastAsia="zh-CN"/>
              </w:rPr>
              <w:t>三</w:t>
            </w:r>
            <w:r>
              <w:rPr>
                <w:rFonts w:hint="eastAsia" w:ascii="宋体" w:hAnsi="宋体"/>
                <w:color w:val="auto"/>
                <w:szCs w:val="21"/>
                <w:highlight w:val="none"/>
              </w:rPr>
              <w:t>、开工时间：具体以采购人（监理）开工令为准。</w:t>
            </w:r>
          </w:p>
          <w:p>
            <w:pPr>
              <w:spacing w:line="360" w:lineRule="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四、</w:t>
            </w:r>
            <w:r>
              <w:rPr>
                <w:rFonts w:hint="eastAsia" w:ascii="宋体" w:hAnsi="宋体" w:eastAsia="宋体" w:cs="Times New Roman"/>
                <w:color w:val="auto"/>
                <w:szCs w:val="21"/>
                <w:highlight w:val="none"/>
              </w:rPr>
              <w:t>建设地点：</w:t>
            </w:r>
            <w:r>
              <w:rPr>
                <w:rFonts w:hint="eastAsia" w:ascii="宋体" w:hAnsi="宋体" w:eastAsia="宋体" w:cs="Times New Roman"/>
                <w:color w:val="auto"/>
                <w:szCs w:val="21"/>
                <w:highlight w:val="none"/>
                <w:lang w:val="en-US" w:eastAsia="zh-CN"/>
              </w:rPr>
              <w:t>广西南宁市横州市。</w:t>
            </w:r>
          </w:p>
          <w:p>
            <w:pP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五</w:t>
            </w:r>
            <w:r>
              <w:rPr>
                <w:rFonts w:hint="eastAsia" w:ascii="宋体" w:hAnsi="宋体"/>
                <w:color w:val="auto"/>
                <w:szCs w:val="21"/>
                <w:highlight w:val="none"/>
              </w:rPr>
              <w:t>、工程质量要求：达到国家施工验收规范合格标准。</w:t>
            </w:r>
          </w:p>
          <w:p>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六</w:t>
            </w:r>
            <w:r>
              <w:rPr>
                <w:rFonts w:hint="eastAsia" w:ascii="宋体" w:hAnsi="宋体" w:eastAsia="宋体" w:cs="Times New Roman"/>
                <w:color w:val="auto"/>
                <w:szCs w:val="21"/>
                <w:highlight w:val="none"/>
              </w:rPr>
              <w:t>、项目实施要求：</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1.处理问题响应时间：接到采购人处理问题通知后2小时内到达采购人指定现场。</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2.成交人如需更换项目管理人员，需向采购人书面申请，经采购人审批许可，替换的人员所具备的资质不得低于原人员的资质。</w:t>
            </w:r>
          </w:p>
          <w:p>
            <w:pPr>
              <w:spacing w:line="360" w:lineRule="auto"/>
              <w:ind w:firstLine="420" w:firstLineChars="200"/>
              <w:rPr>
                <w:rFonts w:hint="eastAsia" w:ascii="宋体" w:hAnsi="宋体"/>
                <w:color w:val="auto"/>
                <w:highlight w:val="none"/>
              </w:rPr>
            </w:pPr>
            <w:r>
              <w:rPr>
                <w:rFonts w:hint="eastAsia" w:ascii="宋体" w:hAnsi="宋体" w:eastAsia="宋体" w:cs="Times New Roman"/>
                <w:color w:val="auto"/>
                <w:szCs w:val="21"/>
                <w:highlight w:val="none"/>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r>
              <w:rPr>
                <w:rFonts w:hint="eastAsia" w:ascii="宋体" w:hAnsi="宋体"/>
                <w:color w:val="auto"/>
                <w:highlight w:val="none"/>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七</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付款方式</w:t>
            </w:r>
            <w:r>
              <w:rPr>
                <w:rFonts w:hint="eastAsia" w:ascii="宋体" w:hAnsi="宋体" w:eastAsia="宋体" w:cs="Times New Roman"/>
                <w:color w:val="auto"/>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Times New Roman"/>
                <w:color w:val="auto"/>
                <w:szCs w:val="21"/>
                <w:highlight w:val="none"/>
                <w:lang w:val="en-US" w:eastAsia="zh-CN"/>
              </w:rPr>
            </w:pPr>
            <w:r>
              <w:rPr>
                <w:rFonts w:hint="eastAsia" w:ascii="宋体" w:hAnsi="宋体" w:eastAsia="宋体" w:cs="宋体"/>
                <w:color w:val="auto"/>
                <w:highlight w:val="none"/>
                <w:lang w:val="en-US" w:eastAsia="zh-CN"/>
              </w:rPr>
              <w:t>本工程进场后向成交供应商支付合同金额的30%（不含安全文明施工费、规费、增值税、材料（工程设备）暂估价、专业工程暂估价、暂列金额），在项目竣工验收前，建设单位支付施工单位合同内进度款支付限额为：不得超出经审核认定的已完成工程量的80%</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工程变更部分进度款(合同外工程进度款)支付限额为：不得超过经审核认定的已完成工程量的60%</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工程变更部分金额不能超过合同总价的10%，工程完工验收达到质量要求，经第三方结算审核，并提交完整合格的竣工备案资料给发包人后，工程款支付至结算总价的97%，剩余合同金额的3%作为工程质量保修金，待缺陷责任期满后无息返还。</w:t>
            </w:r>
          </w:p>
          <w:p>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八</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rPr>
              <w:t>发包方式：固定</w:t>
            </w:r>
            <w:r>
              <w:rPr>
                <w:rFonts w:hint="eastAsia" w:ascii="宋体" w:hAnsi="宋体" w:eastAsia="宋体" w:cs="Times New Roman"/>
                <w:color w:val="auto"/>
                <w:szCs w:val="21"/>
                <w:highlight w:val="none"/>
                <w:lang w:val="en-US" w:eastAsia="zh-CN"/>
              </w:rPr>
              <w:t>综合</w:t>
            </w:r>
            <w:r>
              <w:rPr>
                <w:rFonts w:hint="eastAsia" w:ascii="宋体" w:hAnsi="宋体" w:eastAsia="宋体" w:cs="Times New Roman"/>
                <w:color w:val="auto"/>
                <w:szCs w:val="21"/>
                <w:highlight w:val="none"/>
                <w:lang w:eastAsia="zh-CN"/>
              </w:rPr>
              <w:t>单</w:t>
            </w:r>
            <w:r>
              <w:rPr>
                <w:rFonts w:hint="eastAsia" w:ascii="宋体" w:hAnsi="宋体" w:eastAsia="宋体" w:cs="Times New Roman"/>
                <w:color w:val="auto"/>
                <w:szCs w:val="21"/>
                <w:highlight w:val="none"/>
              </w:rPr>
              <w:t>价</w:t>
            </w:r>
            <w:r>
              <w:rPr>
                <w:rFonts w:hint="eastAsia" w:ascii="宋体" w:hAnsi="宋体" w:eastAsia="宋体" w:cs="Times New Roman"/>
                <w:color w:val="auto"/>
                <w:szCs w:val="21"/>
                <w:highlight w:val="none"/>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九</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报价要求</w:t>
            </w:r>
            <w:r>
              <w:rPr>
                <w:rFonts w:hint="eastAsia" w:ascii="宋体" w:hAnsi="宋体" w:eastAsia="宋体" w:cs="Times New Roman"/>
                <w:color w:val="auto"/>
                <w:szCs w:val="21"/>
                <w:highlight w:val="none"/>
              </w:rPr>
              <w:t>：</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Cs w:val="21"/>
                <w:highlight w:val="none"/>
              </w:rPr>
            </w:pPr>
            <w:r>
              <w:rPr>
                <w:rFonts w:hint="eastAsia" w:ascii="宋体" w:hAnsi="宋体" w:cs="宋体"/>
                <w:b/>
                <w:bCs/>
                <w:color w:val="auto"/>
                <w:szCs w:val="21"/>
                <w:highlight w:val="none"/>
                <w:lang w:val="en-US" w:eastAsia="zh-CN"/>
              </w:rPr>
              <w:t>1.</w:t>
            </w:r>
            <w:r>
              <w:rPr>
                <w:rFonts w:hint="eastAsia" w:ascii="宋体" w:hAnsi="宋体" w:eastAsia="宋体" w:cs="宋体"/>
                <w:b/>
                <w:bCs/>
                <w:color w:val="auto"/>
                <w:szCs w:val="21"/>
                <w:highlight w:val="none"/>
              </w:rPr>
              <w:t>本项目采用工程量清单报价方式。</w:t>
            </w:r>
            <w:r>
              <w:rPr>
                <w:rFonts w:hint="eastAsia" w:ascii="宋体" w:hAnsi="宋体" w:cs="宋体"/>
                <w:b/>
                <w:bCs/>
                <w:color w:val="auto"/>
                <w:szCs w:val="21"/>
                <w:highlight w:val="none"/>
                <w:lang w:val="en-US" w:eastAsia="zh-CN"/>
              </w:rPr>
              <w:t>竞标</w:t>
            </w:r>
            <w:r>
              <w:rPr>
                <w:rFonts w:hint="eastAsia" w:ascii="宋体" w:hAnsi="宋体" w:eastAsia="宋体" w:cs="宋体"/>
                <w:b/>
                <w:bCs/>
                <w:color w:val="auto"/>
                <w:szCs w:val="21"/>
                <w:highlight w:val="none"/>
              </w:rPr>
              <w:t>报价不得高于最高限价，否则竞标无效；本项目采用二次报价方式，</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的最终报价如有变动，则必须以工程量清单报价表的格式编制提交，</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须提前做好相关准备并按时递交最终报价文件，否则报价无效。</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rPr>
              <w:t>报价必须包含以下部分，包括：</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①满足本项目全部采购需求，包含投标服务、货物、工程的成本、运输（含保险）、安装（如有）、调试、检验、技术服务、培训等所有费用。</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ascii="宋体" w:hAnsi="宋体" w:eastAsia="宋体" w:cs="Times New Roman"/>
                <w:color w:val="auto"/>
                <w:szCs w:val="21"/>
                <w:highlight w:val="none"/>
              </w:rPr>
              <w:t>②必要的保险费和各项税金。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其他说明</w:t>
            </w:r>
          </w:p>
        </w:tc>
        <w:tc>
          <w:tcPr>
            <w:tcW w:w="9568" w:type="dxa"/>
            <w:gridSpan w:val="7"/>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color w:val="auto"/>
                <w:szCs w:val="21"/>
                <w:highlight w:val="none"/>
              </w:rPr>
            </w:pPr>
            <w:r>
              <w:rPr>
                <w:rFonts w:hint="eastAsia" w:ascii="宋体" w:hAnsi="宋体"/>
                <w:color w:val="auto"/>
                <w:szCs w:val="21"/>
                <w:highlight w:val="none"/>
              </w:rPr>
              <w:t>一、与本项目有关的施工图纸、清单等</w:t>
            </w:r>
            <w:r>
              <w:rPr>
                <w:rFonts w:hint="eastAsia" w:ascii="宋体" w:hAnsi="宋体" w:eastAsia="宋体" w:cs="宋体"/>
                <w:color w:val="auto"/>
                <w:spacing w:val="0"/>
                <w:w w:val="100"/>
                <w:kern w:val="0"/>
                <w:position w:val="0"/>
                <w:sz w:val="21"/>
                <w:szCs w:val="21"/>
                <w:highlight w:val="none"/>
                <w:lang w:val="en-US" w:eastAsia="zh-CN" w:bidi="ar-SA"/>
              </w:rPr>
              <w:t>附件资料获取方式：网上下载。供应商可自行在“</w:t>
            </w:r>
            <w:r>
              <w:rPr>
                <w:rFonts w:hint="eastAsia" w:ascii="宋体" w:hAnsi="宋体" w:cs="宋体"/>
                <w:color w:val="auto"/>
                <w:spacing w:val="0"/>
                <w:w w:val="100"/>
                <w:kern w:val="0"/>
                <w:position w:val="0"/>
                <w:sz w:val="21"/>
                <w:szCs w:val="21"/>
                <w:highlight w:val="none"/>
                <w:lang w:val="en-US" w:eastAsia="zh-CN" w:bidi="ar-SA"/>
              </w:rPr>
              <w:t>广西</w:t>
            </w:r>
            <w:r>
              <w:rPr>
                <w:rFonts w:hint="eastAsia" w:ascii="宋体" w:hAnsi="宋体" w:eastAsia="宋体" w:cs="宋体"/>
                <w:color w:val="auto"/>
                <w:spacing w:val="0"/>
                <w:w w:val="100"/>
                <w:kern w:val="0"/>
                <w:position w:val="0"/>
                <w:sz w:val="21"/>
                <w:szCs w:val="21"/>
                <w:highlight w:val="none"/>
                <w:lang w:val="en-US" w:eastAsia="zh-CN" w:bidi="ar-SA"/>
              </w:rPr>
              <w:t>政采云平台”自行下载。</w:t>
            </w:r>
          </w:p>
          <w:p>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ascii="宋体" w:hAnsi="宋体"/>
                <w:color w:val="auto"/>
                <w:szCs w:val="21"/>
                <w:highlight w:val="none"/>
              </w:rPr>
            </w:pPr>
            <w:r>
              <w:rPr>
                <w:rFonts w:hint="eastAsia" w:ascii="宋体" w:hAnsi="宋体"/>
                <w:color w:val="auto"/>
                <w:szCs w:val="21"/>
                <w:highlight w:val="none"/>
              </w:rPr>
              <w:t>二、现场踏勘：</w:t>
            </w:r>
            <w:r>
              <w:rPr>
                <w:rFonts w:hint="eastAsia" w:ascii="Tahoma" w:hAnsi="Tahoma" w:eastAsia="宋体" w:cs="Times New Roman"/>
                <w:b w:val="0"/>
                <w:bCs w:val="0"/>
                <w:color w:val="auto"/>
                <w:kern w:val="2"/>
                <w:sz w:val="21"/>
                <w:szCs w:val="21"/>
                <w:highlight w:val="none"/>
                <w:lang w:val="en-US" w:eastAsia="zh-CN"/>
              </w:rPr>
              <w:t>不组织。</w:t>
            </w:r>
          </w:p>
        </w:tc>
      </w:tr>
    </w:tbl>
    <w:p>
      <w:pPr>
        <w:spacing w:line="360" w:lineRule="auto"/>
        <w:rPr>
          <w:rFonts w:hint="eastAsia" w:ascii="宋体" w:hAnsi="宋体" w:eastAsia="宋体" w:cs="宋体"/>
          <w:color w:val="auto"/>
          <w:sz w:val="32"/>
          <w:szCs w:val="32"/>
          <w:highlight w:val="none"/>
        </w:rPr>
        <w:sectPr>
          <w:footerReference r:id="rId10" w:type="default"/>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p>
    <w:p>
      <w:pPr>
        <w:spacing w:line="428" w:lineRule="exact"/>
        <w:rPr>
          <w:rFonts w:ascii="Arial Unicode MS" w:hAnsi="Arial Unicode MS" w:eastAsia="Times New Roman" w:cs="Arial Unicode MS"/>
          <w:color w:val="auto"/>
          <w:sz w:val="17"/>
          <w:szCs w:val="17"/>
          <w:highlight w:val="none"/>
        </w:rPr>
      </w:pPr>
      <w:bookmarkStart w:id="36" w:name="_Toc23956"/>
      <w:bookmarkStart w:id="37" w:name="_Toc17962"/>
      <w:bookmarkStart w:id="38" w:name="_Toc30087"/>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6"/>
        <w:tblW w:w="9469" w:type="dxa"/>
        <w:tblInd w:w="93" w:type="dxa"/>
        <w:tblLayout w:type="fixed"/>
        <w:tblCellMar>
          <w:top w:w="0" w:type="dxa"/>
          <w:left w:w="108" w:type="dxa"/>
          <w:bottom w:w="0" w:type="dxa"/>
          <w:right w:w="108" w:type="dxa"/>
        </w:tblCellMar>
      </w:tblPr>
      <w:tblGrid>
        <w:gridCol w:w="641"/>
        <w:gridCol w:w="1116"/>
        <w:gridCol w:w="1516"/>
        <w:gridCol w:w="1612"/>
        <w:gridCol w:w="4584"/>
      </w:tblGrid>
      <w:tr>
        <w:tblPrEx>
          <w:tblLayout w:type="fixed"/>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noWrap w:val="0"/>
            <w:vAlign w:val="top"/>
          </w:tcPr>
          <w:p>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品目序号</w:t>
            </w:r>
          </w:p>
        </w:tc>
        <w:tc>
          <w:tcPr>
            <w:tcW w:w="4244" w:type="dxa"/>
            <w:gridSpan w:val="3"/>
            <w:tcBorders>
              <w:top w:val="single" w:color="000000" w:sz="8" w:space="0"/>
              <w:left w:val="nil"/>
              <w:bottom w:val="single" w:color="000000" w:sz="8" w:space="0"/>
              <w:right w:val="single" w:color="000000" w:sz="8" w:space="0"/>
            </w:tcBorders>
            <w:noWrap w:val="0"/>
            <w:vAlign w:val="center"/>
          </w:tcPr>
          <w:p>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名称</w:t>
            </w:r>
          </w:p>
        </w:tc>
        <w:tc>
          <w:tcPr>
            <w:tcW w:w="4584" w:type="dxa"/>
            <w:tcBorders>
              <w:top w:val="single" w:color="000000" w:sz="8" w:space="0"/>
              <w:left w:val="nil"/>
              <w:bottom w:val="single" w:color="000000" w:sz="8" w:space="0"/>
              <w:right w:val="single" w:color="000000" w:sz="8" w:space="0"/>
            </w:tcBorders>
            <w:noWrap w:val="0"/>
            <w:vAlign w:val="center"/>
          </w:tcPr>
          <w:p>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依据的标准</w:t>
            </w:r>
          </w:p>
        </w:tc>
      </w:tr>
      <w:tr>
        <w:tblPrEx>
          <w:tblLayout w:type="fixed"/>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tblPrEx>
          <w:tblLayout w:type="fixed"/>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A0201060101喷墨打印机</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A0201060102激光打印机</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A0201060104针式打印机</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A0201060401液晶显示器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《计算机显示器能效限定值及能效等级》（</w:t>
            </w:r>
            <w:r>
              <w:rPr>
                <w:rFonts w:ascii="宋体" w:hAnsi="宋体" w:eastAsia="Times New Roman" w:cs="宋体"/>
                <w:color w:val="auto"/>
                <w:kern w:val="0"/>
                <w:sz w:val="20"/>
                <w:szCs w:val="20"/>
                <w:highlight w:val="none"/>
              </w:rPr>
              <w:t>GB21520）</w:t>
            </w:r>
          </w:p>
        </w:tc>
      </w:tr>
      <w:tr>
        <w:tblPrEx>
          <w:tblLayout w:type="fixed"/>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A0201060901扫描仪</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参照《复印机、打印机和传真机能效限定值及能效等级》（</w:t>
            </w:r>
            <w:r>
              <w:rPr>
                <w:rFonts w:ascii="宋体" w:hAnsi="宋体" w:eastAsia="Times New Roman" w:cs="宋体"/>
                <w:color w:val="auto"/>
                <w:kern w:val="0"/>
                <w:sz w:val="20"/>
                <w:szCs w:val="20"/>
                <w:highlight w:val="none"/>
              </w:rPr>
              <w:t>GB21521中打印速度为15页/分的针式打印机相关要求中打印速度为15页/分的针式打印机相关要求</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《投影机能效限定值及能效等级》（</w:t>
            </w:r>
            <w:r>
              <w:rPr>
                <w:rFonts w:ascii="宋体" w:hAnsi="宋体" w:eastAsia="Times New Roman" w:cs="宋体"/>
                <w:color w:val="auto"/>
                <w:kern w:val="0"/>
                <w:sz w:val="20"/>
                <w:szCs w:val="20"/>
                <w:highlight w:val="none"/>
              </w:rPr>
              <w:t>GB32028）</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A02051901离心泵</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《清水离心泵能效限定值及节能评价值》（</w:t>
            </w:r>
            <w:r>
              <w:rPr>
                <w:rFonts w:ascii="宋体" w:hAnsi="宋体" w:eastAsia="Times New Roman" w:cs="宋体"/>
                <w:color w:val="auto"/>
                <w:kern w:val="0"/>
                <w:sz w:val="20"/>
                <w:szCs w:val="20"/>
                <w:highlight w:val="none"/>
              </w:rPr>
              <w:t>GB19762）</w:t>
            </w:r>
          </w:p>
        </w:tc>
      </w:tr>
      <w:tr>
        <w:tblPrEx>
          <w:tblLayout w:type="fixed"/>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A02052301制冷压缩机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冷水机组</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《冷水机组能效限定值及能效等级》（</w:t>
            </w:r>
            <w:r>
              <w:rPr>
                <w:rFonts w:ascii="宋体" w:hAnsi="宋体" w:eastAsia="Times New Roman" w:cs="宋体"/>
                <w:color w:val="auto"/>
                <w:kern w:val="0"/>
                <w:sz w:val="20"/>
                <w:szCs w:val="20"/>
                <w:highlight w:val="none"/>
              </w:rPr>
              <w:t>GB19577），《低环境温度空气源热泵（冷水）机组能效限定值及能效等级》（GB37480）</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水源热泵机组</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《水（地）源热泵机组能效限定值及能效等级》（</w:t>
            </w:r>
            <w:r>
              <w:rPr>
                <w:rFonts w:ascii="宋体" w:hAnsi="宋体" w:eastAsia="Times New Roman" w:cs="宋体"/>
                <w:color w:val="auto"/>
                <w:kern w:val="0"/>
                <w:sz w:val="20"/>
                <w:szCs w:val="20"/>
                <w:highlight w:val="none"/>
              </w:rPr>
              <w:t>GB30721）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《溴化锂吸收式冷水机组能效限定值及能效等级》（</w:t>
            </w:r>
            <w:r>
              <w:rPr>
                <w:rFonts w:ascii="宋体" w:hAnsi="宋体" w:eastAsia="Times New Roman" w:cs="宋体"/>
                <w:color w:val="auto"/>
                <w:kern w:val="0"/>
                <w:sz w:val="20"/>
                <w:szCs w:val="20"/>
                <w:highlight w:val="none"/>
              </w:rPr>
              <w:t>GB29540）</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A02052305空调机组</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GB19576）《风管送风式空调机组能效限定值及能效等级》（GB37479）</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A02052309专用制冷、空调设备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机房空调</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A02052399其他制冷空调设备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冷却塔</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《机械通风冷却塔第</w:t>
            </w:r>
            <w:r>
              <w:rPr>
                <w:rFonts w:ascii="宋体" w:hAnsi="宋体" w:eastAsia="Times New Roman" w:cs="宋体"/>
                <w:color w:val="auto"/>
                <w:kern w:val="0"/>
                <w:sz w:val="20"/>
                <w:szCs w:val="20"/>
                <w:highlight w:val="none"/>
              </w:rPr>
              <w:t>1部分：中小型开式冷却塔》（GB/T7190.1）；《机械通风冷却塔第2部分：大型开式冷却塔》（GB/T7190.2）</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《中小型三相异步电动机能效限定值及能效等级》（</w:t>
            </w:r>
            <w:r>
              <w:rPr>
                <w:rFonts w:ascii="宋体" w:hAnsi="宋体" w:eastAsia="Times New Roman" w:cs="宋体"/>
                <w:color w:val="auto"/>
                <w:kern w:val="0"/>
                <w:sz w:val="20"/>
                <w:szCs w:val="20"/>
                <w:highlight w:val="none"/>
              </w:rPr>
              <w:t>GB18613）</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配电变压器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《三相配电变压器能效限定值及能效等级》（</w:t>
            </w:r>
            <w:r>
              <w:rPr>
                <w:rFonts w:ascii="宋体" w:hAnsi="宋体" w:eastAsia="Times New Roman" w:cs="宋体"/>
                <w:color w:val="auto"/>
                <w:kern w:val="0"/>
                <w:sz w:val="20"/>
                <w:szCs w:val="20"/>
                <w:highlight w:val="none"/>
              </w:rPr>
              <w:t>GB20052）</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管型荧光灯镇流器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《管形荧光灯镇流器能效限定值及能效等级》（</w:t>
            </w:r>
            <w:r>
              <w:rPr>
                <w:rFonts w:ascii="宋体" w:hAnsi="宋体" w:eastAsia="Times New Roman" w:cs="宋体"/>
                <w:color w:val="auto"/>
                <w:kern w:val="0"/>
                <w:sz w:val="20"/>
                <w:szCs w:val="20"/>
                <w:highlight w:val="none"/>
              </w:rPr>
              <w:t>GB17896）</w:t>
            </w:r>
          </w:p>
        </w:tc>
      </w:tr>
      <w:tr>
        <w:tblPrEx>
          <w:tblLayout w:type="fixed"/>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A0206180101电冰箱</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《家用电冰箱耗电量限定值及能效等级》（</w:t>
            </w:r>
            <w:r>
              <w:rPr>
                <w:rFonts w:ascii="宋体" w:hAnsi="宋体" w:eastAsia="Times New Roman" w:cs="宋体"/>
                <w:color w:val="auto"/>
                <w:kern w:val="0"/>
                <w:sz w:val="20"/>
                <w:szCs w:val="20"/>
                <w:highlight w:val="none"/>
              </w:rPr>
              <w:t>GB 12021.2）</w:t>
            </w:r>
          </w:p>
        </w:tc>
      </w:tr>
      <w:tr>
        <w:tblPrEx>
          <w:tblLayout w:type="fixed"/>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A0206180203空调机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房间空气调节器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《转速可控型房间空气调节器能效限定值及能效等级》（</w:t>
            </w:r>
            <w:r>
              <w:rPr>
                <w:rFonts w:ascii="宋体" w:hAnsi="宋体" w:eastAsia="Times New Roman" w:cs="宋体"/>
                <w:color w:val="auto"/>
                <w:kern w:val="0"/>
                <w:sz w:val="20"/>
                <w:szCs w:val="20"/>
                <w:highlight w:val="none"/>
              </w:rPr>
              <w:t>GB21455-2013），待2019年修订发布后，按《房间空气调节器能效限定值及能效等级》（GB21455-2019实施。</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多联式空调（热泵）机组（制冷量≤</w:t>
            </w:r>
            <w:r>
              <w:rPr>
                <w:rFonts w:ascii="宋体" w:hAnsi="宋体" w:eastAsia="Times New Roman" w:cs="宋体"/>
                <w:color w:val="auto"/>
                <w:kern w:val="0"/>
                <w:sz w:val="20"/>
                <w:szCs w:val="20"/>
                <w:highlight w:val="none"/>
              </w:rPr>
              <w:t xml:space="preserve"> 14000W）</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(制冷量≤14000W)</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《单元式空气调节机能效限定值及能源效率等级》（</w:t>
            </w:r>
            <w:r>
              <w:rPr>
                <w:rFonts w:ascii="宋体" w:hAnsi="宋体" w:eastAsia="Times New Roman" w:cs="宋体"/>
                <w:color w:val="auto"/>
                <w:kern w:val="0"/>
                <w:sz w:val="20"/>
                <w:szCs w:val="20"/>
                <w:highlight w:val="none"/>
              </w:rPr>
              <w:t>GB19576）《风管送风式空调机组能效限定值及能效等级》（GB37479）</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A0206180301洗衣机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《电动洗衣机能效水效限定值及等级》（</w:t>
            </w:r>
            <w:r>
              <w:rPr>
                <w:rFonts w:ascii="宋体" w:hAnsi="宋体" w:eastAsia="Times New Roman" w:cs="宋体"/>
                <w:color w:val="auto"/>
                <w:kern w:val="0"/>
                <w:sz w:val="20"/>
                <w:szCs w:val="20"/>
                <w:highlight w:val="none"/>
              </w:rPr>
              <w:t>GB12021.4）</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A02061808热水器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★电热水器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《储水式电热水器能效限定值及能效等级》（</w:t>
            </w:r>
            <w:r>
              <w:rPr>
                <w:rFonts w:ascii="宋体" w:hAnsi="宋体" w:eastAsia="Times New Roman" w:cs="宋体"/>
                <w:color w:val="auto"/>
                <w:kern w:val="0"/>
                <w:sz w:val="20"/>
                <w:szCs w:val="20"/>
                <w:highlight w:val="none"/>
              </w:rPr>
              <w:t>GB21519）</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燃气热水器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《家用燃气快速热水器和燃气采暖热水炉能效限定值及能效等级》（</w:t>
            </w:r>
            <w:r>
              <w:rPr>
                <w:rFonts w:ascii="宋体" w:hAnsi="宋体" w:eastAsia="Times New Roman" w:cs="宋体"/>
                <w:color w:val="auto"/>
                <w:kern w:val="0"/>
                <w:sz w:val="20"/>
                <w:szCs w:val="20"/>
                <w:highlight w:val="none"/>
              </w:rPr>
              <w:t>GB20665）</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热泵热水器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《热泵热水机（器）能效限定值及能效等级》（</w:t>
            </w:r>
            <w:r>
              <w:rPr>
                <w:rFonts w:ascii="宋体" w:hAnsi="宋体" w:eastAsia="Times New Roman" w:cs="宋体"/>
                <w:color w:val="auto"/>
                <w:kern w:val="0"/>
                <w:sz w:val="20"/>
                <w:szCs w:val="20"/>
                <w:highlight w:val="none"/>
              </w:rPr>
              <w:t>GB29541）</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太阳能热水系统</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《家用太阳能热水系统能效限定值及能效等级》（</w:t>
            </w:r>
            <w:r>
              <w:rPr>
                <w:rFonts w:ascii="宋体" w:hAnsi="宋体" w:eastAsia="Times New Roman" w:cs="宋体"/>
                <w:color w:val="auto"/>
                <w:kern w:val="0"/>
                <w:sz w:val="20"/>
                <w:szCs w:val="20"/>
                <w:highlight w:val="none"/>
              </w:rPr>
              <w:t>GB26969）</w:t>
            </w:r>
          </w:p>
        </w:tc>
      </w:tr>
      <w:tr>
        <w:tblPrEx>
          <w:tblLayout w:type="fixed"/>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11</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A020619照明设备</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《普通照明用双端荧光灯能效限定值及能效等级》（</w:t>
            </w:r>
            <w:r>
              <w:rPr>
                <w:rFonts w:ascii="宋体" w:hAnsi="宋体" w:eastAsia="Times New Roman" w:cs="宋体"/>
                <w:color w:val="auto"/>
                <w:kern w:val="0"/>
                <w:sz w:val="20"/>
                <w:szCs w:val="20"/>
                <w:highlight w:val="none"/>
              </w:rPr>
              <w:t>GB19043）</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LED道路/隧道照明产品</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《道路和隧道照明用</w:t>
            </w:r>
            <w:r>
              <w:rPr>
                <w:rFonts w:ascii="宋体" w:hAnsi="宋体" w:eastAsia="Times New Roman" w:cs="宋体"/>
                <w:color w:val="auto"/>
                <w:kern w:val="0"/>
                <w:sz w:val="20"/>
                <w:szCs w:val="20"/>
                <w:highlight w:val="none"/>
              </w:rPr>
              <w:t>LED灯具能效限定值及能效等级》（GB37478）</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LED筒灯</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tblPrEx>
          <w:tblLayout w:type="fixed"/>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普通照明用非定向自镇流</w:t>
            </w:r>
            <w:r>
              <w:rPr>
                <w:rFonts w:ascii="宋体" w:hAnsi="宋体" w:eastAsia="Times New Roman" w:cs="宋体"/>
                <w:color w:val="auto"/>
                <w:kern w:val="0"/>
                <w:sz w:val="20"/>
                <w:szCs w:val="20"/>
                <w:highlight w:val="none"/>
              </w:rPr>
              <w:t>LED灯</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tblPrEx>
          <w:tblLayout w:type="fixed"/>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12</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A020910电视设备</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A02091001普通电视设备（电视机）</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《平板电视能效限定值及能效等级》（</w:t>
            </w:r>
            <w:r>
              <w:rPr>
                <w:rFonts w:ascii="宋体" w:hAnsi="宋体" w:eastAsia="Times New Roman" w:cs="宋体"/>
                <w:color w:val="auto"/>
                <w:kern w:val="0"/>
                <w:sz w:val="20"/>
                <w:szCs w:val="20"/>
                <w:highlight w:val="none"/>
              </w:rPr>
              <w:t>GB24850）</w:t>
            </w:r>
          </w:p>
        </w:tc>
      </w:tr>
      <w:tr>
        <w:tblPrEx>
          <w:tblLayout w:type="fixed"/>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13</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A020911视频设备</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A02091107视频监控设备</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监视器</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以射频信号为主要信号输入的监视器应符合《平板电视能效限定值及能效等级》（</w:t>
            </w:r>
            <w:r>
              <w:rPr>
                <w:rFonts w:ascii="宋体" w:hAnsi="宋体" w:eastAsia="Times New Roman" w:cs="宋体"/>
                <w:color w:val="auto"/>
                <w:kern w:val="0"/>
                <w:sz w:val="20"/>
                <w:szCs w:val="20"/>
                <w:highlight w:val="none"/>
              </w:rPr>
              <w:t>GB24850），以数字信号为主要信号输入的监视器应符合《计算机显示器能效限定值及能效等级》（GB21520）</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14</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A031210饮食炊事机械</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商用燃气灶具</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《商用燃气灶具能效限定值及能效等级》（</w:t>
            </w:r>
            <w:r>
              <w:rPr>
                <w:rFonts w:ascii="宋体" w:hAnsi="宋体" w:eastAsia="Times New Roman" w:cs="宋体"/>
                <w:color w:val="auto"/>
                <w:kern w:val="0"/>
                <w:sz w:val="20"/>
                <w:szCs w:val="20"/>
                <w:highlight w:val="none"/>
              </w:rPr>
              <w:t>GB30531）</w:t>
            </w:r>
          </w:p>
        </w:tc>
      </w:tr>
      <w:tr>
        <w:tblPrEx>
          <w:tblLayout w:type="fixed"/>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15</w:t>
            </w:r>
          </w:p>
        </w:tc>
        <w:tc>
          <w:tcPr>
            <w:tcW w:w="1116" w:type="dxa"/>
            <w:vMerge w:val="restart"/>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《坐便器水效限定值及水效等级》（</w:t>
            </w:r>
            <w:r>
              <w:rPr>
                <w:rFonts w:ascii="宋体" w:hAnsi="宋体" w:eastAsia="Times New Roman" w:cs="宋体"/>
                <w:color w:val="auto"/>
                <w:kern w:val="0"/>
                <w:sz w:val="20"/>
                <w:szCs w:val="20"/>
                <w:highlight w:val="none"/>
              </w:rPr>
              <w:t>GB25502）</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《蹲便器用水效率限定值及用水效率等级》（</w:t>
            </w:r>
            <w:r>
              <w:rPr>
                <w:rFonts w:ascii="宋体" w:hAnsi="宋体" w:eastAsia="Times New Roman" w:cs="宋体"/>
                <w:color w:val="auto"/>
                <w:kern w:val="0"/>
                <w:sz w:val="20"/>
                <w:szCs w:val="20"/>
                <w:highlight w:val="none"/>
              </w:rPr>
              <w:t>GB30717）</w:t>
            </w:r>
          </w:p>
        </w:tc>
      </w:tr>
      <w:tr>
        <w:tblPrEx>
          <w:tblLayout w:type="fixed"/>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《小便器用水效率限定值及用水效率等级》（</w:t>
            </w:r>
            <w:r>
              <w:rPr>
                <w:rFonts w:ascii="宋体" w:hAnsi="宋体" w:eastAsia="Times New Roman" w:cs="宋体"/>
                <w:color w:val="auto"/>
                <w:kern w:val="0"/>
                <w:sz w:val="20"/>
                <w:szCs w:val="20"/>
                <w:highlight w:val="none"/>
              </w:rPr>
              <w:t>GB28377）</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《水嘴用水效率限定值及用水效率等级》（</w:t>
            </w:r>
            <w:r>
              <w:rPr>
                <w:rFonts w:ascii="宋体" w:hAnsi="宋体" w:eastAsia="Times New Roman" w:cs="宋体"/>
                <w:color w:val="auto"/>
                <w:kern w:val="0"/>
                <w:sz w:val="20"/>
                <w:szCs w:val="20"/>
                <w:highlight w:val="none"/>
              </w:rPr>
              <w:t>GB 25501）</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《便器冲洗阀用水效率限定值及用水效率等级》（</w:t>
            </w:r>
            <w:r>
              <w:rPr>
                <w:rFonts w:ascii="宋体" w:hAnsi="宋体" w:eastAsia="Times New Roman" w:cs="宋体"/>
                <w:color w:val="auto"/>
                <w:kern w:val="0"/>
                <w:sz w:val="20"/>
                <w:szCs w:val="20"/>
                <w:highlight w:val="none"/>
              </w:rPr>
              <w:t>GB28379）</w:t>
            </w:r>
          </w:p>
        </w:tc>
      </w:tr>
      <w:tr>
        <w:tblPrEx>
          <w:tblLayout w:type="fixed"/>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《淋浴器用水效率限定值及用水效率等级》（</w:t>
            </w:r>
            <w:r>
              <w:rPr>
                <w:rFonts w:ascii="宋体" w:hAnsi="宋体" w:eastAsia="Times New Roman" w:cs="宋体"/>
                <w:color w:val="auto"/>
                <w:kern w:val="0"/>
                <w:sz w:val="20"/>
                <w:szCs w:val="20"/>
                <w:highlight w:val="none"/>
              </w:rPr>
              <w:t>GB28378）</w:t>
            </w:r>
          </w:p>
        </w:tc>
      </w:tr>
    </w:tbl>
    <w:p>
      <w:pPr>
        <w:pStyle w:val="12"/>
        <w:spacing w:line="360" w:lineRule="auto"/>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pPr>
        <w:pStyle w:val="15"/>
        <w:jc w:val="left"/>
        <w:rPr>
          <w:rFonts w:ascii="Arial Unicode MS" w:hAnsi="Arial Unicode MS" w:eastAsia="Times New Roman" w:cs="Arial Unicode MS"/>
          <w:color w:val="auto"/>
          <w:sz w:val="32"/>
          <w:szCs w:val="32"/>
          <w:highlight w:val="none"/>
        </w:rPr>
      </w:pPr>
      <w:r>
        <w:rPr>
          <w:rFonts w:hint="eastAsia" w:ascii="宋体" w:hAnsi="宋体" w:eastAsia="宋体" w:cs="宋体"/>
          <w:color w:val="auto"/>
          <w:highlight w:val="none"/>
        </w:rPr>
        <w:t xml:space="preserve">    2.以“★”标注的为政府强制采购产品。</w:t>
      </w:r>
      <w:r>
        <w:rPr>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Times New Roman"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6"/>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tblPrEx>
          <w:tblLayout w:type="fixed"/>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微型</w:t>
            </w:r>
          </w:p>
        </w:tc>
      </w:tr>
      <w:tr>
        <w:tblPrEx>
          <w:tblLayout w:type="fixed"/>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2000≤Y＜40000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6000≤Y＜80000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5000≤Z＜80000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Z＜300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20≤X＜200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X＜5</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5000≤Y＜40000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50≤X＜300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3000≤Y＜30000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1000≤Y＜30000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2000≤Y＜30000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1000≤Y＜200000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5000≤Z＜10000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Y＜500</w:t>
            </w:r>
          </w:p>
        </w:tc>
      </w:tr>
      <w:tr>
        <w:tblPrEx>
          <w:tblLayout w:type="fixed"/>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tblPrEx>
          <w:tblLayout w:type="fixed"/>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8000≤Z＜120000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tblPrEx>
          <w:tblLayout w:type="fixed"/>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bl>
    <w:p>
      <w:pPr>
        <w:spacing w:line="560" w:lineRule="exact"/>
        <w:ind w:firstLine="525" w:firstLineChars="250"/>
        <w:rPr>
          <w:rFonts w:hint="eastAsia" w:ascii="仿宋" w:hAnsi="仿宋" w:eastAsia="仿宋" w:cs="仿宋"/>
          <w:color w:val="auto"/>
          <w:kern w:val="0"/>
          <w:sz w:val="20"/>
          <w:szCs w:val="21"/>
          <w:highlight w:val="none"/>
        </w:rPr>
        <w:sectPr>
          <w:footerReference r:id="rId11" w:type="default"/>
          <w:pgSz w:w="11906" w:h="16838"/>
          <w:pgMar w:top="1134" w:right="1134" w:bottom="1134" w:left="1134" w:header="720" w:footer="720" w:gutter="0"/>
          <w:pgNumType w:fmt="decimal"/>
          <w:cols w:space="720" w:num="1"/>
          <w:docGrid w:type="lines" w:linePitch="331" w:charSpace="0"/>
        </w:sectPr>
      </w:pPr>
      <w:r>
        <w:rPr>
          <w:rFonts w:hint="eastAsia" w:ascii="仿宋" w:hAnsi="仿宋" w:eastAsia="仿宋" w:cs="仿宋"/>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pStyle w:val="2"/>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第三章 供应商须知</w:t>
      </w:r>
      <w:bookmarkEnd w:id="36"/>
      <w:bookmarkEnd w:id="37"/>
      <w:bookmarkEnd w:id="38"/>
    </w:p>
    <w:p>
      <w:pPr>
        <w:pStyle w:val="3"/>
        <w:spacing w:line="360" w:lineRule="auto"/>
        <w:jc w:val="center"/>
        <w:rPr>
          <w:rFonts w:hint="eastAsia" w:ascii="宋体" w:hAnsi="宋体" w:eastAsia="宋体" w:cs="宋体"/>
          <w:b w:val="0"/>
          <w:color w:val="auto"/>
          <w:highlight w:val="none"/>
        </w:rPr>
      </w:pPr>
      <w:bookmarkStart w:id="39" w:name="_Toc28335"/>
      <w:bookmarkStart w:id="40" w:name="_Toc23940"/>
      <w:bookmarkStart w:id="41" w:name="_Toc24946"/>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39"/>
      <w:bookmarkEnd w:id="40"/>
      <w:bookmarkEnd w:id="41"/>
    </w:p>
    <w:tbl>
      <w:tblPr>
        <w:tblStyle w:val="26"/>
        <w:tblW w:w="99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3" w:hRule="atLeast"/>
          <w:jc w:val="center"/>
        </w:trPr>
        <w:tc>
          <w:tcPr>
            <w:tcW w:w="903" w:type="dxa"/>
            <w:noWrap w:val="0"/>
            <w:vAlign w:val="center"/>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60" w:type="dxa"/>
            <w:noWrap w:val="0"/>
            <w:vAlign w:val="center"/>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60" w:type="dxa"/>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60" w:type="dxa"/>
            <w:noWrap w:val="0"/>
            <w:vAlign w:val="center"/>
          </w:tcPr>
          <w:p>
            <w:pP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60" w:type="dxa"/>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60" w:type="dxa"/>
            <w:noWrap w:val="0"/>
            <w:vAlign w:val="center"/>
          </w:tcPr>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pPr>
              <w:pStyle w:val="10"/>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资格证明文件组成</w:t>
            </w:r>
          </w:p>
        </w:tc>
        <w:tc>
          <w:tcPr>
            <w:tcW w:w="6760" w:type="dxa"/>
            <w:noWrap w:val="0"/>
            <w:vAlign w:val="center"/>
          </w:tcPr>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color w:val="auto"/>
                <w:szCs w:val="21"/>
                <w:highlight w:val="none"/>
                <w:lang w:val="en-US" w:eastAsia="zh-CN"/>
              </w:rPr>
              <w:t>必须提供，否则响应文件按无效响应处理</w:t>
            </w:r>
            <w:r>
              <w:rPr>
                <w:rFonts w:hint="eastAsia" w:ascii="宋体" w:hAnsi="宋体" w:eastAsia="宋体" w:cs="宋体"/>
                <w:color w:val="auto"/>
                <w:szCs w:val="21"/>
                <w:highlight w:val="none"/>
                <w:lang w:val="en-US" w:eastAsia="zh-CN"/>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供应商依法缴纳税收的相关材料[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09</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02</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个月的依法缴纳税收的凭据复印件；</w:t>
            </w:r>
            <w:r>
              <w:rPr>
                <w:rFonts w:hint="eastAsia" w:ascii="宋体" w:hAnsi="宋体" w:cs="宋体"/>
                <w:color w:val="auto"/>
                <w:szCs w:val="21"/>
                <w:highlight w:val="none"/>
              </w:rPr>
              <w:t>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09</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02</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供应商财务状况报告</w:t>
            </w:r>
            <w:r>
              <w:rPr>
                <w:rFonts w:hint="eastAsia"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u w:val="single"/>
                <w:lang w:val="en-US" w:eastAsia="zh-CN"/>
              </w:rPr>
              <w:t>2023年</w:t>
            </w:r>
            <w:r>
              <w:rPr>
                <w:rFonts w:hint="eastAsia" w:asciiTheme="minorEastAsia" w:hAnsiTheme="minorEastAsia" w:eastAsiaTheme="minorEastAsia"/>
                <w:color w:val="auto"/>
                <w:szCs w:val="21"/>
                <w:highlight w:val="none"/>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b/>
                <w:color w:val="auto"/>
                <w:szCs w:val="21"/>
                <w:highlight w:val="none"/>
              </w:rPr>
              <w:t>必须提供，否则响应文件按无效响应处理</w:t>
            </w:r>
            <w:r>
              <w:rPr>
                <w:rFonts w:hint="eastAsia" w:cs="宋体" w:asciiTheme="minorEastAsia" w:hAnsiTheme="minorEastAsia" w:eastAsiaTheme="minorEastAsia"/>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r>
              <w:rPr>
                <w:rFonts w:hint="eastAsia" w:ascii="宋体" w:hAnsi="宋体"/>
                <w:color w:val="auto"/>
                <w:szCs w:val="21"/>
                <w:highlight w:val="none"/>
                <w:lang w:eastAsia="zh-CN"/>
              </w:rPr>
              <w:t>中小</w:t>
            </w:r>
            <w:r>
              <w:rPr>
                <w:rFonts w:hint="eastAsia" w:ascii="宋体" w:hAnsi="宋体"/>
                <w:color w:val="auto"/>
                <w:szCs w:val="21"/>
                <w:highlight w:val="none"/>
              </w:rPr>
              <w:t>企业声明函或残疾人福利性单位声明函或供应商属于监狱企业的证明材料</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bCs/>
                <w:color w:val="auto"/>
                <w:szCs w:val="21"/>
                <w:highlight w:val="none"/>
              </w:rPr>
              <w:t>本项目专门面向</w:t>
            </w:r>
            <w:r>
              <w:rPr>
                <w:rFonts w:hint="eastAsia" w:ascii="宋体" w:hAnsi="宋体"/>
                <w:b/>
                <w:bCs/>
                <w:color w:val="auto"/>
                <w:szCs w:val="21"/>
                <w:highlight w:val="none"/>
                <w:lang w:val="en-US" w:eastAsia="zh-CN"/>
              </w:rPr>
              <w:t>小微</w:t>
            </w:r>
            <w:r>
              <w:rPr>
                <w:rFonts w:hint="eastAsia" w:ascii="宋体" w:hAnsi="宋体"/>
                <w:b/>
                <w:bCs/>
                <w:color w:val="auto"/>
                <w:szCs w:val="21"/>
                <w:highlight w:val="none"/>
              </w:rPr>
              <w:t>企业采购</w:t>
            </w:r>
            <w:r>
              <w:rPr>
                <w:rFonts w:hint="eastAsia" w:ascii="宋体" w:hAnsi="宋体"/>
                <w:b/>
                <w:bCs/>
                <w:color w:val="auto"/>
                <w:szCs w:val="21"/>
                <w:highlight w:val="none"/>
                <w:lang w:eastAsia="zh-CN"/>
              </w:rPr>
              <w:t>，</w:t>
            </w:r>
            <w:r>
              <w:rPr>
                <w:rFonts w:hint="eastAsia" w:ascii="宋体" w:hAnsi="宋体" w:eastAsia="宋体" w:cs="宋体"/>
                <w:b/>
                <w:bCs/>
                <w:color w:val="auto"/>
                <w:szCs w:val="21"/>
                <w:highlight w:val="none"/>
              </w:rPr>
              <w:t>必</w:t>
            </w:r>
            <w:r>
              <w:rPr>
                <w:rFonts w:hint="eastAsia" w:ascii="宋体" w:hAnsi="宋体" w:eastAsia="宋体" w:cs="宋体"/>
                <w:b/>
                <w:color w:val="auto"/>
                <w:szCs w:val="21"/>
                <w:highlight w:val="none"/>
              </w:rPr>
              <w:t>须提供，否则响应文件按无效响应处理</w:t>
            </w:r>
            <w:r>
              <w:rPr>
                <w:rFonts w:hint="eastAsia" w:ascii="宋体" w:hAnsi="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本项目的</w:t>
            </w:r>
            <w:r>
              <w:rPr>
                <w:rFonts w:hint="eastAsia" w:ascii="宋体" w:hAnsi="宋体" w:eastAsia="宋体" w:cs="宋体"/>
                <w:color w:val="auto"/>
                <w:szCs w:val="21"/>
                <w:highlight w:val="none"/>
              </w:rPr>
              <w:t>特定资格要求；</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b/>
                <w:color w:val="auto"/>
                <w:spacing w:val="0"/>
                <w:w w:val="100"/>
                <w:position w:val="0"/>
                <w:sz w:val="21"/>
                <w:szCs w:val="21"/>
                <w:highlight w:val="none"/>
              </w:rPr>
              <w:t>必须提供，否则响应文件按无效响应处理</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p>
          <w:p>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pPr>
              <w:snapToGrid w:val="0"/>
              <w:spacing w:line="360" w:lineRule="auto"/>
              <w:ind w:firstLine="413" w:firstLineChars="196"/>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商务文件组成</w:t>
            </w:r>
          </w:p>
        </w:tc>
        <w:tc>
          <w:tcPr>
            <w:tcW w:w="6760" w:type="dxa"/>
            <w:noWrap w:val="0"/>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5.竞标人情况介绍；</w:t>
            </w:r>
          </w:p>
          <w:p>
            <w:pPr>
              <w:spacing w:line="360" w:lineRule="auto"/>
              <w:jc w:val="left"/>
              <w:rPr>
                <w:rFonts w:hint="eastAsia" w:ascii="宋体" w:hAnsi="宋体" w:eastAsia="宋体" w:cs="宋体"/>
                <w:color w:val="auto"/>
                <w:szCs w:val="21"/>
                <w:highlight w:val="none"/>
              </w:rPr>
            </w:pPr>
            <w:bookmarkStart w:id="42" w:name="_Hlk106537541"/>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供应商类似业绩的证明文件；</w:t>
            </w:r>
            <w:r>
              <w:rPr>
                <w:rFonts w:hint="eastAsia" w:ascii="宋体" w:hAnsi="宋体" w:cs="宋体"/>
                <w:b/>
                <w:bCs/>
                <w:color w:val="auto"/>
                <w:szCs w:val="21"/>
                <w:highlight w:val="none"/>
              </w:rPr>
              <w:t>（如有）</w:t>
            </w:r>
          </w:p>
          <w:p>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w:t>
            </w:r>
            <w:bookmarkEnd w:id="42"/>
            <w:r>
              <w:rPr>
                <w:rFonts w:hint="eastAsia" w:ascii="宋体" w:hAnsi="宋体" w:eastAsia="宋体" w:cs="宋体"/>
                <w:color w:val="auto"/>
                <w:szCs w:val="21"/>
                <w:highlight w:val="none"/>
              </w:rPr>
              <w:t>供应商认为需要提供的其他有关资料。</w:t>
            </w:r>
          </w:p>
          <w:p>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pP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技术文件组成</w:t>
            </w:r>
          </w:p>
        </w:tc>
        <w:tc>
          <w:tcPr>
            <w:tcW w:w="6760" w:type="dxa"/>
            <w:noWrap w:val="0"/>
            <w:vAlign w:val="center"/>
          </w:tcPr>
          <w:p>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采购需求内容响应</w:t>
            </w:r>
            <w:r>
              <w:rPr>
                <w:rFonts w:hint="eastAsia" w:ascii="宋体" w:hAnsi="宋体" w:eastAsia="宋体" w:cs="宋体"/>
                <w:color w:val="auto"/>
                <w:szCs w:val="21"/>
                <w:highlight w:val="none"/>
              </w:rPr>
              <w:t>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.企业概况表；（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项目经理（或建造师）简历表；（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ascii="宋体" w:hAnsi="宋体" w:cs="宋体"/>
                <w:color w:val="auto"/>
                <w:szCs w:val="21"/>
                <w:highlight w:val="none"/>
              </w:rPr>
              <w:t>.</w:t>
            </w:r>
            <w:r>
              <w:rPr>
                <w:rFonts w:hint="eastAsia" w:ascii="宋体" w:hAnsi="宋体" w:cs="宋体"/>
                <w:color w:val="auto"/>
                <w:szCs w:val="21"/>
                <w:highlight w:val="none"/>
              </w:rPr>
              <w:t>施工组织设计；（</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pPr>
              <w:numPr>
                <w:ilvl w:val="0"/>
                <w:numId w:val="0"/>
              </w:numPr>
              <w:spacing w:line="360" w:lineRule="auto"/>
              <w:ind w:left="0" w:leftChars="0" w:firstLine="0"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6.建设工程项目管理承诺书（格式后附）；</w:t>
            </w:r>
            <w:r>
              <w:rPr>
                <w:rFonts w:hint="eastAsia" w:ascii="宋体" w:hAnsi="宋体" w:cs="宋体"/>
                <w:b/>
                <w:bCs/>
                <w:color w:val="auto"/>
                <w:szCs w:val="21"/>
                <w:highlight w:val="none"/>
                <w:lang w:val="en-US" w:eastAsia="zh-CN"/>
              </w:rPr>
              <w:t>（必须提供，否则响应文件按无效响应处理）</w:t>
            </w:r>
          </w:p>
          <w:p>
            <w:pPr>
              <w:numPr>
                <w:ilvl w:val="0"/>
                <w:numId w:val="0"/>
              </w:numPr>
              <w:spacing w:line="360" w:lineRule="auto"/>
              <w:ind w:left="0" w:leftChars="0" w:firstLine="0" w:firstLineChars="0"/>
              <w:jc w:val="left"/>
              <w:rPr>
                <w:rFonts w:hint="eastAsia" w:ascii="宋体" w:hAnsi="宋体" w:cs="宋体"/>
                <w:b/>
                <w:bCs/>
                <w:color w:val="auto"/>
                <w:szCs w:val="21"/>
                <w:highlight w:val="none"/>
                <w:lang w:val="en-US" w:eastAsia="zh-CN"/>
              </w:rPr>
            </w:pPr>
            <w:r>
              <w:rPr>
                <w:rFonts w:hint="eastAsia" w:ascii="宋体" w:hAnsi="宋体" w:cs="宋体"/>
                <w:color w:val="auto"/>
                <w:szCs w:val="21"/>
                <w:highlight w:val="none"/>
                <w:lang w:val="en-US" w:eastAsia="zh-CN"/>
              </w:rPr>
              <w:t>7.农民工工资保证金承诺书（格式后附）；</w:t>
            </w:r>
            <w:r>
              <w:rPr>
                <w:rFonts w:hint="eastAsia" w:ascii="宋体" w:hAnsi="宋体" w:cs="宋体"/>
                <w:b/>
                <w:bCs/>
                <w:color w:val="auto"/>
                <w:szCs w:val="21"/>
                <w:highlight w:val="none"/>
                <w:lang w:val="en-US" w:eastAsia="zh-CN"/>
              </w:rPr>
              <w:t>（必须提供，否则响应文件按无效响应处理）</w:t>
            </w:r>
          </w:p>
          <w:p>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p>
          <w:p>
            <w:pPr>
              <w:numPr>
                <w:ilvl w:val="0"/>
                <w:numId w:val="0"/>
              </w:numP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12.1.</w:t>
            </w:r>
            <w:r>
              <w:rPr>
                <w:rFonts w:hint="eastAsia" w:ascii="宋体" w:hAnsi="宋体" w:cs="宋体"/>
                <w:color w:val="auto"/>
                <w:szCs w:val="21"/>
                <w:highlight w:val="none"/>
                <w:lang w:val="en-US" w:eastAsia="zh-CN"/>
              </w:rPr>
              <w:t>3</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val="0"/>
                <w:color w:val="auto"/>
                <w:szCs w:val="21"/>
                <w:highlight w:val="none"/>
              </w:rPr>
              <w:t>报价文件组成</w:t>
            </w:r>
          </w:p>
        </w:tc>
        <w:tc>
          <w:tcPr>
            <w:tcW w:w="6760" w:type="dxa"/>
            <w:noWrap w:val="0"/>
            <w:vAlign w:val="center"/>
          </w:tcPr>
          <w:p>
            <w:pP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b/>
                <w:color w:val="auto"/>
                <w:szCs w:val="21"/>
                <w:highlight w:val="none"/>
              </w:rPr>
              <w:t>（必须提供，否则作无效响应处理）</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pPr>
              <w:spacing w:line="360" w:lineRule="auto"/>
              <w:jc w:val="left"/>
              <w:rPr>
                <w:rFonts w:hint="default" w:ascii="宋体" w:hAnsi="宋体" w:eastAsia="宋体" w:cs="宋体"/>
                <w:color w:val="auto"/>
                <w:szCs w:val="21"/>
                <w:highlight w:val="none"/>
                <w:lang w:val="en-US"/>
              </w:rPr>
            </w:pPr>
            <w:bookmarkStart w:id="1330" w:name="_GoBack"/>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已标价工程量清单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bookmarkEnd w:id="1330"/>
          <w:p>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.供应商认为需要提供的其他有关资料。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w:t>
            </w:r>
            <w:r>
              <w:rPr>
                <w:rFonts w:hint="eastAsia" w:ascii="宋体" w:hAnsi="宋体" w:cs="宋体"/>
                <w:color w:val="auto"/>
                <w:szCs w:val="21"/>
                <w:highlight w:val="none"/>
                <w:lang w:val="en-US" w:eastAsia="zh-CN"/>
              </w:rPr>
              <w:t>广西</w:t>
            </w:r>
            <w:r>
              <w:rPr>
                <w:rFonts w:hint="eastAsia" w:ascii="宋体" w:hAnsi="宋体" w:eastAsia="宋体" w:cs="宋体"/>
                <w:color w:val="auto"/>
                <w:szCs w:val="21"/>
                <w:highlight w:val="none"/>
              </w:rPr>
              <w:t>政采云平台”投送。（操作方式见公告附件“电子响应文件制作与投送教程”）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报价必须包含：</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①满足本项目全部采购需求，包含投标服务、货物、工程的成本、运输（含保险）、安装（如有）、调试、检验、技术服务、培训等所有费用。</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②必要的保险费和各项税金。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60" w:type="dxa"/>
            <w:noWrap w:val="0"/>
            <w:vAlign w:val="center"/>
          </w:tcPr>
          <w:p>
            <w:pPr>
              <w:pStyle w:val="9"/>
              <w:widowControl w:val="0"/>
              <w:numPr>
                <w:ilvl w:val="0"/>
                <w:numId w:val="0"/>
              </w:numP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lang w:eastAsia="zh-CN"/>
              </w:rPr>
              <w:t>首</w:t>
            </w:r>
            <w:r>
              <w:rPr>
                <w:rFonts w:hint="eastAsia" w:ascii="宋体" w:hAnsi="宋体" w:eastAsia="宋体" w:cs="宋体"/>
                <w:color w:val="auto"/>
                <w:kern w:val="2"/>
                <w:sz w:val="21"/>
                <w:szCs w:val="21"/>
                <w:highlight w:val="none"/>
              </w:rPr>
              <w:t>次响应文件提交截止之日起</w:t>
            </w:r>
            <w:r>
              <w:rPr>
                <w:rFonts w:hint="eastAsia" w:ascii="宋体" w:hAnsi="宋体" w:eastAsia="宋体" w:cs="宋体"/>
                <w:color w:val="auto"/>
                <w:kern w:val="2"/>
                <w:sz w:val="21"/>
                <w:szCs w:val="21"/>
                <w:highlight w:val="none"/>
                <w:u w:val="single"/>
              </w:rPr>
              <w:t xml:space="preserve"> 60 </w:t>
            </w:r>
            <w:r>
              <w:rPr>
                <w:rFonts w:hint="eastAsia" w:ascii="宋体" w:hAnsi="宋体" w:eastAsia="宋体" w:cs="宋体"/>
                <w:color w:val="auto"/>
                <w:kern w:val="2"/>
                <w:sz w:val="21"/>
                <w:szCs w:val="21"/>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760" w:type="dxa"/>
            <w:noWrap w:val="0"/>
            <w:vAlign w:val="center"/>
          </w:tcPr>
          <w:p>
            <w:pP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8" w:hRule="atLeast"/>
          <w:jc w:val="center"/>
        </w:trPr>
        <w:tc>
          <w:tcPr>
            <w:tcW w:w="903"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4" w:hRule="atLeast"/>
          <w:jc w:val="center"/>
        </w:trPr>
        <w:tc>
          <w:tcPr>
            <w:tcW w:w="903"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760" w:type="dxa"/>
            <w:noWrap w:val="0"/>
            <w:vAlign w:val="center"/>
          </w:tcPr>
          <w:p>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随机排序。</w:t>
            </w:r>
          </w:p>
          <w:p>
            <w:pPr>
              <w:pStyle w:val="10"/>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3" w:hRule="atLeast"/>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本项目不收取履约保证金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restart"/>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（1）</w:t>
            </w:r>
            <w:r>
              <w:rPr>
                <w:rFonts w:hint="eastAsia" w:ascii="宋体" w:hAnsi="宋体" w:cs="宋体"/>
                <w:color w:val="auto"/>
                <w:szCs w:val="21"/>
                <w:highlight w:val="none"/>
                <w:u w:val="single"/>
                <w:lang w:eastAsia="zh-CN"/>
              </w:rPr>
              <w:t>广西佳鸿工程咨询有限公司</w:t>
            </w:r>
            <w:r>
              <w:rPr>
                <w:rFonts w:hint="eastAsia" w:ascii="宋体" w:hAnsi="宋体" w:eastAsia="宋体" w:cs="宋体"/>
                <w:color w:val="auto"/>
                <w:szCs w:val="21"/>
                <w:highlight w:val="none"/>
              </w:rPr>
              <w:t>；</w:t>
            </w:r>
          </w:p>
          <w:p>
            <w:pPr>
              <w:snapToGrid w:val="0"/>
              <w:spacing w:line="360" w:lineRule="auto"/>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val="en-US" w:eastAsia="zh-CN"/>
              </w:rPr>
              <w:t>0771-6509080 </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r>
              <w:rPr>
                <w:rFonts w:hint="eastAsia" w:ascii="宋体" w:hAnsi="宋体" w:cs="宋体"/>
                <w:color w:val="auto"/>
                <w:szCs w:val="21"/>
                <w:highlight w:val="none"/>
                <w:lang w:val="en-US" w:eastAsia="zh-CN"/>
              </w:rPr>
              <w:t>南宁市西乡塘区西宁路5号龙光·君悦华庭2号楼1单元十层1003号房</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（2）</w:t>
            </w:r>
            <w:r>
              <w:rPr>
                <w:rFonts w:hint="eastAsia" w:ascii="宋体" w:hAnsi="宋体" w:cs="宋体"/>
                <w:color w:val="auto"/>
                <w:szCs w:val="21"/>
                <w:highlight w:val="none"/>
                <w:u w:val="single"/>
                <w:lang w:eastAsia="zh-CN"/>
              </w:rPr>
              <w:t>横州市水利局</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eastAsia="zh-CN"/>
              </w:rPr>
              <w:t>0771-</w:t>
            </w:r>
            <w:r>
              <w:rPr>
                <w:rFonts w:hint="eastAsia" w:ascii="宋体" w:hAnsi="宋体" w:eastAsia="宋体" w:cs="宋体"/>
                <w:color w:val="auto"/>
                <w:szCs w:val="21"/>
                <w:highlight w:val="none"/>
                <w:lang w:val="en-US" w:eastAsia="zh-CN"/>
              </w:rPr>
              <w:t>7081455</w:t>
            </w:r>
          </w:p>
          <w:p>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r>
              <w:rPr>
                <w:rFonts w:hint="eastAsia" w:ascii="宋体" w:hAnsi="宋体" w:eastAsia="宋体" w:cs="宋体"/>
                <w:color w:val="auto"/>
                <w:szCs w:val="21"/>
                <w:highlight w:val="none"/>
                <w:lang w:val="en-US" w:eastAsia="zh-CN"/>
              </w:rPr>
              <w:t>横州市横州镇茉莉花大道国泰综合楼2号楼1311室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vMerge w:val="continue"/>
            <w:noWrap w:val="0"/>
            <w:vAlign w:val="center"/>
          </w:tcPr>
          <w:p>
            <w:pPr>
              <w:spacing w:line="360" w:lineRule="auto"/>
              <w:jc w:val="center"/>
              <w:rPr>
                <w:rFonts w:hint="eastAsia" w:ascii="宋体" w:hAnsi="宋体" w:eastAsia="宋体" w:cs="宋体"/>
                <w:color w:val="auto"/>
                <w:szCs w:val="21"/>
                <w:highlight w:val="none"/>
              </w:rPr>
            </w:pP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760" w:type="dxa"/>
            <w:noWrap w:val="0"/>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60" w:type="dxa"/>
            <w:noWrap w:val="0"/>
            <w:vAlign w:val="center"/>
          </w:tcPr>
          <w:p>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lang w:eastAsia="zh-CN"/>
              </w:rPr>
              <w:t>横州市财政局政府采购监督管理办公室</w:t>
            </w:r>
          </w:p>
          <w:p>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eastAsia="zh-CN"/>
              </w:rPr>
              <w:t xml:space="preserve">横县横州镇柳明路22号 </w:t>
            </w:r>
            <w:r>
              <w:rPr>
                <w:rFonts w:hint="eastAsia" w:ascii="宋体" w:hAnsi="宋体" w:eastAsia="宋体" w:cs="宋体"/>
                <w:color w:val="auto"/>
                <w:szCs w:val="21"/>
                <w:highlight w:val="none"/>
              </w:rPr>
              <w:t xml:space="preserve"> </w:t>
            </w:r>
          </w:p>
          <w:p>
            <w:pP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联系电话：0771-7233567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60" w:type="dxa"/>
            <w:noWrap w:val="0"/>
            <w:vAlign w:val="center"/>
          </w:tcPr>
          <w:p>
            <w:pPr>
              <w:pStyle w:val="15"/>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1. 是否收取采购代理费：</w:t>
            </w:r>
          </w:p>
          <w:p>
            <w:pPr>
              <w:pStyle w:val="15"/>
              <w:snapToGrid w:val="0"/>
              <w:spacing w:line="360" w:lineRule="auto"/>
              <w:rPr>
                <w:rFonts w:hAnsi="宋体" w:eastAsia="Times New Roman" w:cs="宋体"/>
                <w:color w:val="auto"/>
                <w:sz w:val="21"/>
                <w:szCs w:val="21"/>
                <w:highlight w:val="none"/>
              </w:rPr>
            </w:pPr>
            <w:r>
              <w:rPr>
                <w:rFonts w:hint="eastAsia" w:ascii="MS Mincho" w:hAnsi="MS Mincho" w:eastAsia="MS Mincho" w:cs="MS Mincho"/>
                <w:color w:val="auto"/>
                <w:sz w:val="21"/>
                <w:szCs w:val="21"/>
                <w:highlight w:val="none"/>
              </w:rPr>
              <w:t>☑</w:t>
            </w:r>
            <w:r>
              <w:rPr>
                <w:rFonts w:hAnsi="宋体" w:eastAsia="Times New Roman" w:cs="宋体"/>
                <w:color w:val="auto"/>
                <w:sz w:val="21"/>
                <w:szCs w:val="21"/>
                <w:highlight w:val="none"/>
              </w:rPr>
              <w:t>是    □ 否</w:t>
            </w:r>
          </w:p>
          <w:p>
            <w:pPr>
              <w:pStyle w:val="15"/>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2.采购代理费支付方式：</w:t>
            </w:r>
          </w:p>
          <w:p>
            <w:pPr>
              <w:pStyle w:val="15"/>
              <w:snapToGrid w:val="0"/>
              <w:spacing w:line="360" w:lineRule="auto"/>
              <w:rPr>
                <w:rFonts w:hAnsi="宋体" w:eastAsia="Times New Roman" w:cs="宋体"/>
                <w:color w:val="auto"/>
                <w:sz w:val="21"/>
                <w:szCs w:val="21"/>
                <w:highlight w:val="none"/>
              </w:rPr>
            </w:pPr>
            <w:r>
              <w:rPr>
                <w:rFonts w:hint="eastAsia" w:ascii="MS Mincho" w:hAnsi="MS Mincho" w:cs="MS Mincho"/>
                <w:color w:val="auto"/>
                <w:sz w:val="21"/>
                <w:szCs w:val="21"/>
                <w:highlight w:val="none"/>
                <w:lang w:eastAsia="zh-CN"/>
              </w:rPr>
              <w:t>☑</w:t>
            </w:r>
            <w:r>
              <w:rPr>
                <w:rFonts w:hAnsi="宋体" w:eastAsia="Times New Roman" w:cs="宋体"/>
                <w:color w:val="auto"/>
                <w:sz w:val="21"/>
                <w:szCs w:val="21"/>
                <w:highlight w:val="none"/>
              </w:rPr>
              <w:t>本项目代理服务费由</w:t>
            </w:r>
            <w:r>
              <w:rPr>
                <w:rFonts w:hAnsi="宋体" w:eastAsia="Times New Roman" w:cs="宋体"/>
                <w:color w:val="auto"/>
                <w:sz w:val="21"/>
                <w:szCs w:val="21"/>
                <w:highlight w:val="none"/>
                <w:u w:val="single"/>
              </w:rPr>
              <w:t>成交供应商</w:t>
            </w:r>
            <w:r>
              <w:rPr>
                <w:rFonts w:hAnsi="宋体" w:eastAsia="Times New Roman" w:cs="宋体"/>
                <w:color w:val="auto"/>
                <w:sz w:val="21"/>
                <w:szCs w:val="21"/>
                <w:highlight w:val="none"/>
              </w:rPr>
              <w:t>领取成交通知书前，一次性向采购代理机构支付。</w:t>
            </w:r>
          </w:p>
          <w:p>
            <w:pPr>
              <w:pStyle w:val="15"/>
              <w:snapToGrid w:val="0"/>
              <w:spacing w:line="360" w:lineRule="auto"/>
              <w:rPr>
                <w:rFonts w:hAnsi="宋体" w:eastAsia="Times New Roman" w:cs="宋体"/>
                <w:color w:val="auto"/>
                <w:sz w:val="21"/>
                <w:szCs w:val="21"/>
                <w:highlight w:val="none"/>
              </w:rPr>
            </w:pPr>
            <w:r>
              <w:rPr>
                <w:rFonts w:hint="eastAsia" w:hAnsi="宋体" w:cs="宋体"/>
                <w:color w:val="auto"/>
                <w:sz w:val="21"/>
                <w:szCs w:val="21"/>
                <w:highlight w:val="none"/>
                <w:lang w:eastAsia="zh-CN"/>
              </w:rPr>
              <w:t>□</w:t>
            </w:r>
            <w:r>
              <w:rPr>
                <w:rFonts w:hAnsi="宋体" w:eastAsia="Times New Roman" w:cs="宋体"/>
                <w:color w:val="auto"/>
                <w:sz w:val="21"/>
                <w:szCs w:val="21"/>
                <w:highlight w:val="none"/>
              </w:rPr>
              <w:t>采购人支付。</w:t>
            </w:r>
          </w:p>
          <w:p>
            <w:pPr>
              <w:pStyle w:val="15"/>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3.采购代理费收取标准</w:t>
            </w:r>
            <w:r>
              <w:rPr>
                <w:rFonts w:hint="eastAsia"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按国家发展计划委员会文件计价格（2002）1980号《国家计委关于印发&lt;招标代理服务收费管理暂行办法&gt;的通知》及</w:t>
            </w:r>
            <w:r>
              <w:rPr>
                <w:rFonts w:hint="eastAsia" w:ascii="宋体" w:hAnsi="宋体" w:eastAsia="宋体" w:cs="宋体"/>
                <w:color w:val="auto"/>
                <w:sz w:val="21"/>
                <w:szCs w:val="21"/>
                <w:highlight w:val="none"/>
                <w:lang w:val="en-US" w:eastAsia="zh-CN"/>
              </w:rPr>
              <w:t>《国家发展改革委关于降低部分建设项目收费标准规范收费行为等有关问题的通知》（发改价格【2011】534号）规定按“工程类”收费标准计取</w:t>
            </w:r>
            <w:r>
              <w:rPr>
                <w:rFonts w:hint="eastAsia" w:hAnsi="宋体" w:cs="宋体"/>
                <w:color w:val="auto"/>
                <w:sz w:val="21"/>
                <w:szCs w:val="21"/>
                <w:highlight w:val="none"/>
                <w:lang w:val="en-US" w:eastAsia="zh-CN"/>
              </w:rPr>
              <w:t>。</w:t>
            </w:r>
          </w:p>
          <w:p>
            <w:pPr>
              <w:pStyle w:val="15"/>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4.采购代理费收取银行账户</w:t>
            </w:r>
          </w:p>
          <w:p>
            <w:pPr>
              <w:pStyle w:val="15"/>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 xml:space="preserve">开户名称：广西佳鸿工程咨询有限公司南宁分公司 </w:t>
            </w:r>
          </w:p>
          <w:p>
            <w:pPr>
              <w:pStyle w:val="15"/>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 xml:space="preserve">开户银行：中国建设银行股份有限公司南宁锦春路支行 </w:t>
            </w:r>
          </w:p>
          <w:p>
            <w:pPr>
              <w:pStyle w:val="15"/>
              <w:snapToGrid w:val="0"/>
              <w:spacing w:line="360" w:lineRule="auto"/>
              <w:rPr>
                <w:rFonts w:hint="eastAsia" w:hAnsi="宋体" w:cs="宋体"/>
                <w:color w:val="auto"/>
                <w:sz w:val="21"/>
                <w:highlight w:val="none"/>
                <w:lang w:val="en-US" w:eastAsia="zh-CN"/>
              </w:rPr>
            </w:pPr>
            <w:r>
              <w:rPr>
                <w:rFonts w:hint="eastAsia" w:ascii="宋体" w:hAnsi="宋体" w:eastAsia="Times New Roman" w:cs="宋体"/>
                <w:color w:val="auto"/>
                <w:sz w:val="21"/>
                <w:szCs w:val="21"/>
                <w:highlight w:val="none"/>
                <w:lang w:val="en-US" w:eastAsia="zh-CN"/>
              </w:rPr>
              <w:t>银行账号：45050160478300000597</w:t>
            </w:r>
          </w:p>
          <w:p>
            <w:pPr>
              <w:pStyle w:val="15"/>
              <w:snapToGrid w:val="0"/>
              <w:spacing w:line="360" w:lineRule="auto"/>
              <w:rPr>
                <w:rFonts w:hint="eastAsia" w:ascii="宋体" w:hAnsi="宋体" w:eastAsia="宋体" w:cs="宋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bidi="ar-SA"/>
              </w:rPr>
              <w:t>备注信息：某项目编号或项目名称采购代理服务费。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760" w:type="dxa"/>
            <w:noWrap w:val="0"/>
            <w:vAlign w:val="center"/>
          </w:tcPr>
          <w:p>
            <w:pPr>
              <w:pStyle w:val="15"/>
              <w:snapToGrid w:val="0"/>
              <w:spacing w:line="360" w:lineRule="auto"/>
              <w:jc w:val="left"/>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pPr>
              <w:pStyle w:val="15"/>
              <w:snapToGrid w:val="0"/>
              <w:spacing w:line="360" w:lineRule="auto"/>
              <w:jc w:val="left"/>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平台项目采购全流程电子化电子开评标规程执行项目采购活动，代理机构在“广西政府采购云平台”平台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03"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60" w:type="dxa"/>
            <w:noWrap w:val="0"/>
            <w:vAlign w:val="center"/>
          </w:tcPr>
          <w:p>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4.自然人竞标的，磋商文件规定盖公章处由自然人摁手指指印。</w:t>
            </w:r>
          </w:p>
          <w:p>
            <w:pPr>
              <w:pStyle w:val="15"/>
              <w:snapToGrid w:val="0"/>
              <w:spacing w:line="360" w:lineRule="auto"/>
              <w:jc w:val="left"/>
              <w:rPr>
                <w:rFonts w:hint="eastAsia"/>
                <w:color w:val="auto"/>
                <w:highlight w:val="none"/>
                <w:lang w:val="en-US" w:eastAsia="zh-CN"/>
              </w:rPr>
            </w:pPr>
            <w:r>
              <w:rPr>
                <w:rFonts w:hint="eastAsia" w:ascii="宋体" w:hAnsi="宋体" w:eastAsia="宋体" w:cs="宋体"/>
                <w:color w:val="auto"/>
                <w:sz w:val="21"/>
                <w:highlight w:val="none"/>
                <w:lang w:val="en-US" w:eastAsia="zh-CN"/>
              </w:rPr>
              <w:t>5.本磋商文件所称的“以上”“以下”“以内”“届满”，包括本数；所称的“不满”“超过”“以外”，不包括本数。</w:t>
            </w:r>
          </w:p>
        </w:tc>
      </w:tr>
    </w:tbl>
    <w:p>
      <w:pPr>
        <w:pStyle w:val="3"/>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43" w:name="_Toc18606"/>
      <w:bookmarkStart w:id="44" w:name="_Toc3460"/>
      <w:bookmarkStart w:id="45" w:name="_Toc28698"/>
      <w:r>
        <w:rPr>
          <w:rFonts w:hint="eastAsia" w:ascii="宋体" w:hAnsi="宋体" w:eastAsia="宋体" w:cs="宋体"/>
          <w:b w:val="0"/>
          <w:color w:val="auto"/>
          <w:highlight w:val="none"/>
        </w:rPr>
        <w:t>第二节 供应商须知正文</w:t>
      </w:r>
      <w:bookmarkEnd w:id="43"/>
      <w:bookmarkEnd w:id="44"/>
      <w:bookmarkEnd w:id="45"/>
    </w:p>
    <w:p>
      <w:pPr>
        <w:pStyle w:val="4"/>
        <w:spacing w:before="0" w:after="0" w:line="360" w:lineRule="auto"/>
        <w:rPr>
          <w:rFonts w:hint="eastAsia" w:ascii="宋体" w:hAnsi="宋体" w:eastAsia="宋体" w:cs="宋体"/>
          <w:b/>
          <w:bCs w:val="0"/>
          <w:color w:val="auto"/>
          <w:highlight w:val="none"/>
        </w:rPr>
      </w:pPr>
      <w:bookmarkStart w:id="46" w:name="_Toc6602"/>
      <w:bookmarkStart w:id="47" w:name="_Toc5632"/>
      <w:bookmarkStart w:id="48" w:name="_Toc4039"/>
      <w:r>
        <w:rPr>
          <w:rFonts w:hint="eastAsia" w:ascii="宋体" w:hAnsi="宋体" w:eastAsia="宋体" w:cs="宋体"/>
          <w:b/>
          <w:bCs w:val="0"/>
          <w:color w:val="auto"/>
          <w:highlight w:val="none"/>
        </w:rPr>
        <w:t>一、总则</w:t>
      </w:r>
      <w:bookmarkEnd w:id="46"/>
      <w:bookmarkEnd w:id="47"/>
      <w:bookmarkEnd w:id="48"/>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r>
        <w:rPr>
          <w:rFonts w:hint="eastAsia" w:ascii="宋体" w:hAnsi="宋体"/>
          <w:color w:val="auto"/>
          <w:szCs w:val="21"/>
          <w:highlight w:val="none"/>
        </w:rPr>
        <w:t>“工程”是指除货物和服务以外的其他政府采购对象</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现场、编制和提交响应文件、参加磋商与应答、签订合同等，不论竞标结果如何，均应自行承担。</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1%—2%的扣除，用扣除后的价格参加评审。组成联合体的小微企业与联合体内其他企业、分包企业之间存在直接控股、管理关系的，不享受价格扣除优惠政策。</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ascii="仿宋_GB2312" w:hAnsi="Calibri" w:eastAsia="仿宋_GB2312"/>
          <w:color w:val="auto"/>
          <w:sz w:val="24"/>
          <w:highlight w:val="none"/>
        </w:rPr>
        <w:t>）</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1%-2%的扣除，用扣除后的价格参加评审。接受分包的小微企业与分包企业之间存在直接控股、管理关系的，不享受价格扣除优惠政策</w:t>
      </w:r>
      <w:r>
        <w:rPr>
          <w:rFonts w:hint="eastAsia" w:ascii="宋体" w:hAnsi="宋体" w:eastAsia="宋体" w:cs="宋体"/>
          <w:bCs/>
          <w:color w:val="auto"/>
          <w:szCs w:val="21"/>
          <w:highlight w:val="none"/>
        </w:rPr>
        <w:t>。</w:t>
      </w:r>
    </w:p>
    <w:p>
      <w:pPr>
        <w:spacing w:line="360" w:lineRule="auto"/>
        <w:ind w:firstLine="482" w:firstLineChars="200"/>
        <w:rPr>
          <w:rFonts w:hint="eastAsia" w:ascii="宋体" w:hAnsi="宋体" w:eastAsia="宋体" w:cs="宋体"/>
          <w:b/>
          <w:bCs/>
          <w:color w:val="auto"/>
          <w:sz w:val="24"/>
          <w:highlight w:val="none"/>
        </w:rPr>
      </w:pPr>
      <w:bookmarkStart w:id="49" w:name="_Toc254970532"/>
      <w:bookmarkStart w:id="50" w:name="_Toc254970673"/>
      <w:r>
        <w:rPr>
          <w:rFonts w:hint="eastAsia" w:ascii="宋体" w:hAnsi="宋体" w:eastAsia="宋体" w:cs="宋体"/>
          <w:b/>
          <w:bCs/>
          <w:color w:val="auto"/>
          <w:sz w:val="24"/>
          <w:highlight w:val="none"/>
        </w:rPr>
        <w:t>7.特别说明</w:t>
      </w:r>
      <w:bookmarkEnd w:id="49"/>
      <w:bookmarkEnd w:id="50"/>
    </w:p>
    <w:p>
      <w:pPr>
        <w:spacing w:line="360" w:lineRule="auto"/>
        <w:ind w:firstLine="420" w:firstLineChars="200"/>
        <w:rPr>
          <w:rFonts w:hint="eastAsia" w:ascii="宋体" w:hAnsi="宋体" w:eastAsia="宋体" w:cs="宋体"/>
          <w:color w:val="auto"/>
          <w:szCs w:val="21"/>
          <w:highlight w:val="none"/>
        </w:rPr>
      </w:pPr>
      <w:bookmarkStart w:id="51" w:name="_8.1提供相同品牌产品且通过资格审查、符合性审查的不同投标人参加同一合"/>
      <w:bookmarkEnd w:id="51"/>
      <w:r>
        <w:rPr>
          <w:rFonts w:hint="eastAsia" w:ascii="宋体" w:hAnsi="宋体" w:eastAsia="宋体" w:cs="宋体"/>
          <w:color w:val="auto"/>
          <w:szCs w:val="21"/>
          <w:highlight w:val="none"/>
        </w:rPr>
        <w:t>7.1</w:t>
      </w:r>
      <w:bookmarkStart w:id="52"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52"/>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pPr>
        <w:bidi w:val="0"/>
        <w:spacing w:line="360" w:lineRule="auto"/>
        <w:rPr>
          <w:rFonts w:hint="eastAsia" w:ascii="宋体" w:hAnsi="宋体" w:eastAsia="宋体" w:cs="宋体"/>
          <w:color w:val="auto"/>
          <w:highlight w:val="none"/>
        </w:rPr>
      </w:pPr>
      <w:bookmarkStart w:id="53" w:name="_Toc254970675"/>
      <w:bookmarkStart w:id="54" w:name="_Toc254970534"/>
    </w:p>
    <w:p>
      <w:pPr>
        <w:pStyle w:val="4"/>
        <w:spacing w:before="0" w:after="0" w:line="360" w:lineRule="auto"/>
        <w:rPr>
          <w:rFonts w:hint="eastAsia" w:ascii="宋体" w:hAnsi="宋体" w:eastAsia="宋体" w:cs="宋体"/>
          <w:b/>
          <w:bCs w:val="0"/>
          <w:color w:val="auto"/>
          <w:highlight w:val="none"/>
        </w:rPr>
      </w:pPr>
      <w:bookmarkStart w:id="55" w:name="_Toc22797"/>
      <w:bookmarkStart w:id="56" w:name="_Toc16003"/>
      <w:bookmarkStart w:id="57" w:name="_Toc25818"/>
      <w:r>
        <w:rPr>
          <w:rFonts w:hint="eastAsia" w:ascii="宋体" w:hAnsi="宋体" w:eastAsia="宋体" w:cs="宋体"/>
          <w:b/>
          <w:bCs w:val="0"/>
          <w:color w:val="auto"/>
          <w:highlight w:val="none"/>
        </w:rPr>
        <w:t>二、磋商文件</w:t>
      </w:r>
      <w:bookmarkEnd w:id="53"/>
      <w:bookmarkEnd w:id="54"/>
      <w:bookmarkEnd w:id="55"/>
      <w:bookmarkEnd w:id="56"/>
      <w:bookmarkEnd w:id="57"/>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58" w:name="_Toc30069"/>
      <w:bookmarkStart w:id="59" w:name="_Toc18572"/>
      <w:bookmarkStart w:id="60" w:name="_Toc30454"/>
      <w:r>
        <w:rPr>
          <w:rFonts w:hint="eastAsia" w:ascii="宋体" w:hAnsi="宋体" w:eastAsia="宋体" w:cs="宋体"/>
          <w:b/>
          <w:bCs w:val="0"/>
          <w:color w:val="auto"/>
          <w:highlight w:val="none"/>
        </w:rPr>
        <w:t>三、响应文件的编制</w:t>
      </w:r>
      <w:bookmarkEnd w:id="58"/>
      <w:bookmarkEnd w:id="59"/>
      <w:bookmarkEnd w:id="60"/>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61"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p>
      <w:pPr>
        <w:spacing w:line="360" w:lineRule="auto"/>
        <w:ind w:firstLine="420" w:firstLineChars="200"/>
        <w:rPr>
          <w:rFonts w:hint="eastAsia"/>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.4本工程报价按工程量清单报价，具体信息价等详见工程量清单说明。</w:t>
      </w:r>
    </w:p>
    <w:bookmarkEnd w:id="61"/>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62"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62"/>
      <w:r>
        <w:rPr>
          <w:rFonts w:hint="eastAsia" w:ascii="宋体" w:hAnsi="宋体" w:eastAsia="宋体" w:cs="宋体"/>
          <w:color w:val="auto"/>
          <w:szCs w:val="21"/>
          <w:highlight w:val="none"/>
        </w:rPr>
        <w:t>，否则其响应文件按无效响应处理。骑缝盖公章不视为在规定位置盖章。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w:t>
      </w:r>
      <w:r>
        <w:rPr>
          <w:rFonts w:hint="eastAsia" w:ascii="宋体" w:hAnsi="宋体" w:cs="宋体"/>
          <w:color w:val="auto"/>
          <w:kern w:val="0"/>
          <w:szCs w:val="21"/>
          <w:highlight w:val="none"/>
          <w:lang w:val="en-US" w:eastAsia="zh-CN"/>
        </w:rPr>
        <w:t>广西政府采购云平台</w:t>
      </w:r>
      <w:r>
        <w:rPr>
          <w:rFonts w:hint="eastAsia" w:ascii="宋体" w:hAnsi="宋体" w:eastAsia="宋体" w:cs="宋体"/>
          <w:color w:val="auto"/>
          <w:kern w:val="0"/>
          <w:szCs w:val="21"/>
          <w:highlight w:val="none"/>
          <w:lang w:val="zh-CN"/>
        </w:rPr>
        <w:t>电子交易客户端”，并按照磋商文件和电子交易平台的要求编制并加密响应文件。供应商未按规定加密的响应文件，电子交易平台将拒收并提示。</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w:t>
      </w:r>
      <w:r>
        <w:rPr>
          <w:rFonts w:hint="eastAsia" w:ascii="宋体" w:hAnsi="宋体" w:eastAsia="宋体" w:cs="宋体"/>
          <w:color w:val="auto"/>
          <w:kern w:val="0"/>
          <w:szCs w:val="21"/>
          <w:highlight w:val="none"/>
          <w:lang w:val="zh-CN" w:eastAsia="zh-CN"/>
        </w:rPr>
        <w:t>广西政府采购云平台</w:t>
      </w:r>
      <w:r>
        <w:rPr>
          <w:rFonts w:hint="eastAsia" w:ascii="宋体" w:hAnsi="宋体" w:eastAsia="宋体" w:cs="宋体"/>
          <w:color w:val="auto"/>
          <w:kern w:val="0"/>
          <w:szCs w:val="21"/>
          <w:highlight w:val="none"/>
          <w:lang w:val="zh-CN"/>
        </w:rPr>
        <w:t>电子交易客户端”需要提前申领CA数字证书，申领流程见该项目采购公告附件。</w:t>
      </w:r>
    </w:p>
    <w:p>
      <w:pPr>
        <w:pStyle w:val="15"/>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pPr>
        <w:spacing w:line="360" w:lineRule="auto"/>
        <w:ind w:firstLine="482" w:firstLineChars="200"/>
        <w:rPr>
          <w:rFonts w:hint="eastAsia" w:ascii="宋体" w:hAnsi="宋体" w:eastAsia="宋体" w:cs="宋体"/>
          <w:b/>
          <w:bCs/>
          <w:color w:val="auto"/>
          <w:sz w:val="24"/>
          <w:highlight w:val="none"/>
        </w:rPr>
      </w:pPr>
      <w:bookmarkStart w:id="63" w:name="_Hlk45702405"/>
      <w:r>
        <w:rPr>
          <w:rFonts w:hint="eastAsia" w:ascii="宋体" w:hAnsi="宋体" w:eastAsia="宋体" w:cs="宋体"/>
          <w:b/>
          <w:bCs/>
          <w:color w:val="auto"/>
          <w:sz w:val="24"/>
          <w:highlight w:val="none"/>
        </w:rPr>
        <w:t>22. 首次响应文件的退回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”平台操作退回，除此之外采购人和采购代理机构对已提交的电子响应文件概不退回。</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63"/>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64" w:name="_Toc30168"/>
      <w:bookmarkStart w:id="65" w:name="_Toc27120"/>
      <w:bookmarkStart w:id="66" w:name="_Toc25351"/>
      <w:r>
        <w:rPr>
          <w:rFonts w:hint="eastAsia" w:ascii="宋体" w:hAnsi="宋体" w:eastAsia="宋体" w:cs="宋体"/>
          <w:b/>
          <w:bCs w:val="0"/>
          <w:color w:val="auto"/>
          <w:highlight w:val="none"/>
        </w:rPr>
        <w:t>四、评审及磋商</w:t>
      </w:r>
      <w:bookmarkEnd w:id="64"/>
      <w:bookmarkEnd w:id="65"/>
      <w:bookmarkEnd w:id="66"/>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pPr>
        <w:pStyle w:val="15"/>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pPr>
        <w:pStyle w:val="15"/>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w:t>
      </w:r>
      <w:r>
        <w:rPr>
          <w:rFonts w:hint="eastAsia" w:ascii="宋体" w:hAnsi="宋体" w:eastAsia="宋体" w:cs="宋体"/>
          <w:b/>
          <w:color w:val="auto"/>
          <w:sz w:val="21"/>
          <w:highlight w:val="none"/>
          <w:lang w:val="en-US" w:eastAsia="zh-CN"/>
        </w:rPr>
        <w:t>广西政府采购云平台</w:t>
      </w:r>
      <w:r>
        <w:rPr>
          <w:rFonts w:hint="eastAsia" w:ascii="宋体" w:hAnsi="宋体" w:eastAsia="宋体" w:cs="宋体"/>
          <w:b/>
          <w:color w:val="auto"/>
          <w:sz w:val="21"/>
          <w:highlight w:val="none"/>
        </w:rPr>
        <w:t>”平台电子开标大厅签到并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pPr>
        <w:pStyle w:val="15"/>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w:t>
      </w:r>
      <w:r>
        <w:rPr>
          <w:rFonts w:hint="eastAsia" w:ascii="宋体" w:hAnsi="宋体" w:eastAsia="宋体" w:cs="宋体"/>
          <w:bCs/>
          <w:color w:val="auto"/>
          <w:sz w:val="21"/>
          <w:highlight w:val="none"/>
          <w:lang w:val="en-US" w:eastAsia="zh-CN"/>
        </w:rPr>
        <w:t>广西政府采购云平台</w:t>
      </w:r>
      <w:r>
        <w:rPr>
          <w:rFonts w:hint="eastAsia" w:ascii="宋体" w:hAnsi="宋体" w:eastAsia="宋体" w:cs="宋体"/>
          <w:bCs/>
          <w:color w:val="auto"/>
          <w:sz w:val="21"/>
          <w:highlight w:val="none"/>
        </w:rPr>
        <w:t>”电子开标大厅参加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67" w:name="_Toc24541"/>
      <w:bookmarkStart w:id="68" w:name="_Toc24055"/>
      <w:bookmarkStart w:id="69" w:name="_Toc26245"/>
      <w:r>
        <w:rPr>
          <w:rFonts w:hint="eastAsia" w:ascii="宋体" w:hAnsi="宋体" w:eastAsia="宋体" w:cs="宋体"/>
          <w:b/>
          <w:bCs w:val="0"/>
          <w:color w:val="auto"/>
          <w:highlight w:val="none"/>
        </w:rPr>
        <w:t>五、成交及合同</w:t>
      </w:r>
      <w:bookmarkEnd w:id="67"/>
      <w:bookmarkEnd w:id="68"/>
      <w:bookmarkEnd w:id="69"/>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pPr>
        <w:pStyle w:val="30"/>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pPr>
        <w:pStyle w:val="30"/>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70" w:name="_Toc80205930"/>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71" w:name="_Toc12020"/>
      <w:bookmarkStart w:id="72" w:name="_Toc15338"/>
      <w:bookmarkStart w:id="73" w:name="_Toc7926"/>
      <w:r>
        <w:rPr>
          <w:rFonts w:hint="eastAsia" w:ascii="宋体" w:hAnsi="宋体" w:eastAsia="宋体" w:cs="宋体"/>
          <w:b/>
          <w:bCs w:val="0"/>
          <w:color w:val="auto"/>
          <w:highlight w:val="none"/>
        </w:rPr>
        <w:t>六、验收</w:t>
      </w:r>
      <w:bookmarkEnd w:id="70"/>
      <w:bookmarkEnd w:id="71"/>
      <w:bookmarkEnd w:id="72"/>
      <w:bookmarkEnd w:id="73"/>
    </w:p>
    <w:p>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12"/>
        <w:spacing w:line="360" w:lineRule="auto"/>
        <w:rPr>
          <w:rFonts w:hint="eastAsia" w:ascii="宋体" w:hAnsi="宋体" w:eastAsia="宋体" w:cs="宋体"/>
          <w:color w:val="auto"/>
          <w:highlight w:val="none"/>
        </w:rPr>
      </w:pPr>
    </w:p>
    <w:p>
      <w:pPr>
        <w:pStyle w:val="4"/>
        <w:spacing w:before="0" w:after="0" w:line="360" w:lineRule="auto"/>
        <w:rPr>
          <w:rFonts w:hint="eastAsia" w:ascii="宋体" w:hAnsi="宋体" w:eastAsia="宋体" w:cs="宋体"/>
          <w:b/>
          <w:bCs w:val="0"/>
          <w:color w:val="auto"/>
          <w:highlight w:val="none"/>
        </w:rPr>
      </w:pPr>
      <w:bookmarkStart w:id="74" w:name="_Toc14544"/>
      <w:bookmarkStart w:id="75" w:name="_Toc12694"/>
      <w:bookmarkStart w:id="76" w:name="_Toc3779"/>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74"/>
      <w:bookmarkEnd w:id="75"/>
      <w:bookmarkEnd w:id="76"/>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pPr>
        <w:ind w:firstLine="632" w:firstLineChars="300"/>
        <w:rPr>
          <w:rFonts w:hint="eastAsia"/>
          <w:b/>
          <w:bCs/>
          <w:color w:val="auto"/>
          <w:highlight w:val="none"/>
        </w:rPr>
      </w:pPr>
      <w:r>
        <w:rPr>
          <w:rFonts w:hint="eastAsia"/>
          <w:b/>
          <w:bCs/>
          <w:color w:val="auto"/>
          <w:highlight w:val="none"/>
        </w:rPr>
        <w:t>附件：</w:t>
      </w:r>
    </w:p>
    <w:tbl>
      <w:tblPr>
        <w:tblStyle w:val="26"/>
        <w:tblpPr w:leftFromText="180" w:rightFromText="180" w:vertAnchor="text" w:horzAnchor="page" w:tblpX="1854" w:tblpY="367"/>
        <w:tblOverlap w:val="never"/>
        <w:tblW w:w="8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1599"/>
        <w:gridCol w:w="1704"/>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trPr>
        <w:tc>
          <w:tcPr>
            <w:tcW w:w="3425" w:type="dxa"/>
            <w:tcBorders>
              <w:tl2br w:val="single" w:color="auto" w:sz="4" w:space="0"/>
            </w:tcBorders>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p>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w:t>
            </w:r>
          </w:p>
        </w:tc>
        <w:tc>
          <w:tcPr>
            <w:tcW w:w="1599" w:type="dxa"/>
            <w:noWrap w:val="0"/>
            <w:vAlign w:val="center"/>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货物招标</w:t>
            </w:r>
          </w:p>
        </w:tc>
        <w:tc>
          <w:tcPr>
            <w:tcW w:w="1704" w:type="dxa"/>
            <w:noWrap w:val="0"/>
            <w:vAlign w:val="center"/>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服务招标</w:t>
            </w:r>
          </w:p>
        </w:tc>
        <w:tc>
          <w:tcPr>
            <w:tcW w:w="1537" w:type="dxa"/>
            <w:noWrap w:val="0"/>
            <w:vAlign w:val="center"/>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425"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599"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704"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537"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425"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599"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704"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537"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425"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599"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704"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0.45%</w:t>
            </w:r>
          </w:p>
        </w:tc>
        <w:tc>
          <w:tcPr>
            <w:tcW w:w="1537"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425"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599"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w:t>
            </w:r>
          </w:p>
        </w:tc>
        <w:tc>
          <w:tcPr>
            <w:tcW w:w="1704"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537"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425"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599"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704"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0.1%</w:t>
            </w:r>
          </w:p>
        </w:tc>
        <w:tc>
          <w:tcPr>
            <w:tcW w:w="1537"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425"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599"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704"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537"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425"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599"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704"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537"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425"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599"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704"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37"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425"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599"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704"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537"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3425"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1599"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704"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537" w:type="dxa"/>
            <w:noWrap w:val="0"/>
            <w:vAlign w:val="top"/>
          </w:tcPr>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r>
    </w:tbl>
    <w:p>
      <w:pPr>
        <w:spacing w:line="360" w:lineRule="auto"/>
        <w:ind w:firstLine="482" w:firstLineChars="200"/>
        <w:rPr>
          <w:rFonts w:hint="eastAsia" w:ascii="宋体" w:hAnsi="宋体" w:eastAsia="宋体" w:cs="宋体"/>
          <w:b/>
          <w:bCs/>
          <w:color w:val="auto"/>
          <w:sz w:val="24"/>
          <w:highlight w:val="none"/>
        </w:rPr>
      </w:pP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服务由中小企业承接，即提供服务的人员为中小企业依照《中华人民共和国民法典》订立劳动合同的从业人员，不对其中涉及的货物的制造商和工程承建商作出要求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pPr>
        <w:pStyle w:val="15"/>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为优化政府采购营商环境，缓解供应商资金难题，南宁市政府采购试行政府采购信用融资制度，中标供应商如有融资需求，可凭政府采购合同通过以下方式申请政府采购信用融资贷款：</w:t>
      </w:r>
    </w:p>
    <w:p>
      <w:pPr>
        <w:pStyle w:val="15"/>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lang w:val="en-US" w:eastAsia="zh-CN"/>
        </w:rPr>
        <w:t>1</w:t>
      </w:r>
      <w:r>
        <w:rPr>
          <w:rFonts w:hint="eastAsia" w:hAnsi="宋体"/>
          <w:color w:val="auto"/>
          <w:sz w:val="21"/>
          <w:szCs w:val="21"/>
          <w:highlight w:val="none"/>
          <w:lang w:eastAsia="zh-CN"/>
        </w:rPr>
        <w:t>）</w:t>
      </w:r>
      <w:r>
        <w:rPr>
          <w:rFonts w:hint="eastAsia" w:hAnsi="宋体"/>
          <w:color w:val="auto"/>
          <w:sz w:val="21"/>
          <w:szCs w:val="21"/>
          <w:highlight w:val="none"/>
        </w:rPr>
        <w:t>线下渠道：在“南宁市公共资源交易中心”官网（网址：</w:t>
      </w:r>
      <w:r>
        <w:rPr>
          <w:color w:val="auto"/>
          <w:sz w:val="21"/>
          <w:szCs w:val="21"/>
          <w:highlight w:val="none"/>
        </w:rPr>
        <w:fldChar w:fldCharType="begin"/>
      </w:r>
      <w:r>
        <w:rPr>
          <w:color w:val="auto"/>
          <w:sz w:val="21"/>
          <w:szCs w:val="21"/>
          <w:highlight w:val="none"/>
        </w:rPr>
        <w:instrText xml:space="preserve"> HYPERLINK "http://www.nnggzy.org.cn）" </w:instrText>
      </w:r>
      <w:r>
        <w:rPr>
          <w:color w:val="auto"/>
          <w:sz w:val="21"/>
          <w:szCs w:val="21"/>
          <w:highlight w:val="none"/>
        </w:rPr>
        <w:fldChar w:fldCharType="separate"/>
      </w:r>
      <w:r>
        <w:rPr>
          <w:rStyle w:val="29"/>
          <w:rFonts w:hint="eastAsia" w:hAnsi="宋体"/>
          <w:color w:val="auto"/>
          <w:sz w:val="21"/>
          <w:szCs w:val="21"/>
          <w:highlight w:val="none"/>
        </w:rPr>
        <w:t>http://www.nnggzy.org.cn）“交易信息-政府采购-政府采购信用融资”中融资银行和南宁市企业融资货物中心专栏信息申请政府采购信用融资。</w:t>
      </w:r>
      <w:r>
        <w:rPr>
          <w:rStyle w:val="29"/>
          <w:rFonts w:hint="eastAsia" w:hAnsi="宋体"/>
          <w:color w:val="auto"/>
          <w:sz w:val="21"/>
          <w:szCs w:val="21"/>
          <w:highlight w:val="none"/>
        </w:rPr>
        <w:fldChar w:fldCharType="end"/>
      </w:r>
    </w:p>
    <w:p>
      <w:pPr>
        <w:pStyle w:val="15"/>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hAnsi="宋体"/>
          <w:b/>
          <w:color w:val="auto"/>
          <w:sz w:val="21"/>
          <w:szCs w:val="21"/>
          <w:highlight w:val="none"/>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auto"/>
          <w:kern w:val="0"/>
          <w:sz w:val="21"/>
          <w:szCs w:val="21"/>
          <w:highlight w:val="none"/>
          <w:lang w:val="en-US" w:eastAsia="zh-CN" w:bidi="ar-SA"/>
        </w:rPr>
        <w:t>。</w:t>
      </w:r>
    </w:p>
    <w:p>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pPr>
        <w:pStyle w:val="15"/>
        <w:numPr>
          <w:ilvl w:val="0"/>
          <w:numId w:val="0"/>
        </w:numPr>
        <w:spacing w:line="360" w:lineRule="auto"/>
        <w:ind w:firstLine="0" w:firstLineChars="0"/>
        <w:textAlignment w:val="center"/>
        <w:rPr>
          <w:rFonts w:hint="eastAsia" w:ascii="宋体" w:hAnsi="宋体" w:eastAsia="宋体" w:cs="宋体"/>
          <w:color w:val="auto"/>
          <w:highlight w:val="none"/>
        </w:rPr>
      </w:pPr>
    </w:p>
    <w:p>
      <w:pPr>
        <w:pStyle w:val="2"/>
        <w:spacing w:line="360" w:lineRule="auto"/>
        <w:jc w:val="center"/>
        <w:rPr>
          <w:rFonts w:hint="eastAsia" w:ascii="宋体" w:hAnsi="宋体" w:eastAsia="宋体" w:cs="宋体"/>
          <w:b/>
          <w:bCs/>
          <w:color w:val="auto"/>
          <w:highlight w:val="none"/>
        </w:rPr>
        <w:sectPr>
          <w:footerReference r:id="rId12"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2"/>
        <w:spacing w:line="360" w:lineRule="auto"/>
        <w:jc w:val="center"/>
        <w:rPr>
          <w:rFonts w:hint="eastAsia" w:ascii="宋体" w:hAnsi="宋体" w:eastAsia="宋体" w:cs="宋体"/>
          <w:b/>
          <w:bCs/>
          <w:color w:val="auto"/>
          <w:highlight w:val="none"/>
        </w:rPr>
      </w:pPr>
      <w:bookmarkStart w:id="77" w:name="_Toc14829"/>
      <w:bookmarkStart w:id="78" w:name="_Toc16334"/>
      <w:bookmarkStart w:id="79" w:name="_Toc22508"/>
      <w:r>
        <w:rPr>
          <w:rFonts w:hint="eastAsia" w:ascii="宋体" w:hAnsi="宋体" w:eastAsia="宋体" w:cs="宋体"/>
          <w:b/>
          <w:bCs/>
          <w:color w:val="auto"/>
          <w:highlight w:val="none"/>
        </w:rPr>
        <w:t>第四章  评审程序、评审方法和评审标准</w:t>
      </w:r>
      <w:bookmarkEnd w:id="77"/>
      <w:bookmarkEnd w:id="78"/>
      <w:bookmarkEnd w:id="79"/>
    </w:p>
    <w:p>
      <w:pPr>
        <w:pStyle w:val="3"/>
        <w:spacing w:line="360" w:lineRule="auto"/>
        <w:jc w:val="center"/>
        <w:rPr>
          <w:rFonts w:hint="eastAsia" w:ascii="宋体" w:hAnsi="宋体" w:eastAsia="宋体" w:cs="宋体"/>
          <w:b w:val="0"/>
          <w:color w:val="auto"/>
          <w:highlight w:val="none"/>
        </w:rPr>
      </w:pPr>
      <w:bookmarkStart w:id="80" w:name="_Toc2012"/>
      <w:bookmarkStart w:id="81" w:name="_Toc23306"/>
      <w:bookmarkStart w:id="82" w:name="_Toc8295"/>
      <w:r>
        <w:rPr>
          <w:rFonts w:hint="eastAsia" w:ascii="宋体" w:hAnsi="宋体" w:eastAsia="宋体" w:cs="宋体"/>
          <w:b w:val="0"/>
          <w:color w:val="auto"/>
          <w:highlight w:val="none"/>
        </w:rPr>
        <w:t>第一节 评审程序和评审方法</w:t>
      </w:r>
      <w:bookmarkEnd w:id="80"/>
      <w:bookmarkEnd w:id="81"/>
      <w:bookmarkEnd w:id="82"/>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29"/>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9"/>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pPr>
        <w:spacing w:line="360" w:lineRule="auto"/>
        <w:ind w:firstLine="420" w:firstLineChars="200"/>
        <w:rPr>
          <w:rFonts w:hint="eastAsia" w:ascii="宋体" w:hAnsi="宋体" w:eastAsia="宋体" w:cs="宋体"/>
          <w:color w:val="auto"/>
          <w:szCs w:val="21"/>
          <w:highlight w:val="none"/>
        </w:rPr>
      </w:pPr>
      <w:bookmarkStart w:id="83"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83"/>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cs="宋体"/>
          <w:color w:val="auto"/>
          <w:szCs w:val="21"/>
          <w:highlight w:val="none"/>
        </w:rPr>
        <w:t>技术需求</w:t>
      </w:r>
      <w:r>
        <w:rPr>
          <w:rFonts w:hint="eastAsia" w:ascii="宋体" w:hAnsi="宋体" w:eastAsia="宋体" w:cs="宋体"/>
          <w:color w:val="auto"/>
          <w:szCs w:val="21"/>
          <w:highlight w:val="none"/>
        </w:rPr>
        <w:t>允许负偏离的条款数超过“供应商须知前附表”规定项数；</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pPr>
        <w:pStyle w:val="30"/>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pPr>
        <w:pStyle w:val="30"/>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pPr>
        <w:pStyle w:val="30"/>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pPr>
        <w:spacing w:line="360" w:lineRule="auto"/>
        <w:ind w:firstLine="470" w:firstLineChars="195"/>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pPr>
        <w:spacing w:line="360" w:lineRule="auto"/>
        <w:ind w:firstLine="470" w:firstLineChars="195"/>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ind w:firstLine="482" w:firstLineChars="200"/>
        <w:rPr>
          <w:rFonts w:hint="eastAsia" w:ascii="宋体" w:hAnsi="宋体" w:eastAsia="宋体" w:cs="Times New Roman"/>
          <w:color w:val="auto"/>
          <w:szCs w:val="21"/>
          <w:highlight w:val="none"/>
        </w:rPr>
      </w:pPr>
      <w:r>
        <w:rPr>
          <w:rFonts w:hint="eastAsia" w:ascii="宋体" w:hAnsi="宋体" w:eastAsia="宋体" w:cs="宋体"/>
          <w:b/>
          <w:bCs/>
          <w:color w:val="auto"/>
          <w:sz w:val="24"/>
          <w:highlight w:val="none"/>
        </w:rPr>
        <w:t>7.评审复核</w:t>
      </w:r>
    </w:p>
    <w:p>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pP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pPr>
        <w:spacing w:line="360" w:lineRule="auto"/>
        <w:ind w:firstLine="470" w:firstLineChars="195"/>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p>
      <w:pPr>
        <w:spacing w:line="360" w:lineRule="auto"/>
        <w:ind w:firstLine="420" w:firstLineChars="200"/>
        <w:rPr>
          <w:rFonts w:hint="eastAsia" w:ascii="宋体" w:hAnsi="宋体" w:eastAsia="宋体" w:cs="Times New Roman"/>
          <w:color w:val="auto"/>
          <w:szCs w:val="21"/>
          <w:highlight w:val="none"/>
        </w:rPr>
      </w:pPr>
    </w:p>
    <w:p>
      <w:pPr>
        <w:spacing w:line="360" w:lineRule="auto"/>
        <w:ind w:firstLine="420" w:firstLineChars="200"/>
        <w:rPr>
          <w:rFonts w:hint="eastAsia" w:ascii="宋体" w:hAnsi="宋体" w:eastAsia="宋体" w:cs="Times New Roman"/>
          <w:color w:val="auto"/>
          <w:szCs w:val="21"/>
          <w:highlight w:val="none"/>
        </w:rPr>
      </w:pPr>
    </w:p>
    <w:p>
      <w:pPr>
        <w:spacing w:line="360" w:lineRule="auto"/>
        <w:ind w:firstLine="420" w:firstLineChars="200"/>
        <w:rPr>
          <w:rFonts w:hint="eastAsia" w:ascii="宋体" w:hAnsi="宋体" w:eastAsia="宋体" w:cs="Times New Roman"/>
          <w:color w:val="auto"/>
          <w:szCs w:val="21"/>
          <w:highlight w:val="none"/>
        </w:rPr>
      </w:pPr>
    </w:p>
    <w:p>
      <w:pPr>
        <w:spacing w:line="360" w:lineRule="auto"/>
        <w:ind w:firstLine="420" w:firstLineChars="200"/>
        <w:rPr>
          <w:rFonts w:hint="eastAsia" w:ascii="宋体" w:hAnsi="宋体" w:eastAsia="宋体" w:cs="Times New Roman"/>
          <w:color w:val="auto"/>
          <w:szCs w:val="21"/>
          <w:highlight w:val="none"/>
        </w:rPr>
      </w:pPr>
    </w:p>
    <w:tbl>
      <w:tblPr>
        <w:tblStyle w:val="26"/>
        <w:tblpPr w:leftFromText="180" w:rightFromText="180" w:vertAnchor="text" w:horzAnchor="page" w:tblpX="1232" w:tblpY="227"/>
        <w:tblOverlap w:val="never"/>
        <w:tblW w:w="9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63"/>
        <w:gridCol w:w="673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blHeader/>
        </w:trPr>
        <w:tc>
          <w:tcPr>
            <w:tcW w:w="69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16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w:t>
            </w:r>
          </w:p>
        </w:tc>
        <w:tc>
          <w:tcPr>
            <w:tcW w:w="6730"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评审因素具体内容</w:t>
            </w:r>
          </w:p>
        </w:tc>
        <w:tc>
          <w:tcPr>
            <w:tcW w:w="840"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16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价格分</w:t>
            </w:r>
          </w:p>
        </w:tc>
        <w:tc>
          <w:tcPr>
            <w:tcW w:w="6730" w:type="dxa"/>
            <w:noWrap w:val="0"/>
            <w:vAlign w:val="center"/>
          </w:tcPr>
          <w:p>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（1）本项目为专门面向</w:t>
            </w:r>
            <w:r>
              <w:rPr>
                <w:rFonts w:hint="eastAsia" w:ascii="宋体" w:hAnsi="宋体"/>
                <w:bCs/>
                <w:color w:val="auto"/>
                <w:szCs w:val="21"/>
                <w:highlight w:val="none"/>
                <w:lang w:val="en-US" w:eastAsia="zh-CN"/>
              </w:rPr>
              <w:t>小微</w:t>
            </w:r>
            <w:r>
              <w:rPr>
                <w:rFonts w:hint="eastAsia" w:ascii="宋体" w:hAnsi="宋体"/>
                <w:bCs/>
                <w:color w:val="auto"/>
                <w:szCs w:val="21"/>
                <w:highlight w:val="none"/>
              </w:rPr>
              <w:t>企业采购项目，不执行价格扣除优惠政策，评审报价＝最后报价；</w:t>
            </w:r>
          </w:p>
          <w:p>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（2）竞标服务/产品提供企业按《关于政府采购支持监狱企业发展有关问题的通知》（财库[2014]68 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（3）竞标服务/产品提供企业按《关于促进残疾人就业政府采购政策的通知》（财库〔2017〕141 号）认定为残疾人福利性单位的，在政府采购活动中，残疾人福利性单位视同小型、微型企业，享受预留份额。残疾人福利性单位参加政府采购活动时，应当提供该《残疾人福利性单位声明函》为证明文件。</w:t>
            </w:r>
          </w:p>
          <w:p>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（4）以进入比较与评价环节的最低的评审报价为基准价，基准价得分</w:t>
            </w:r>
            <w:r>
              <w:rPr>
                <w:rFonts w:hint="eastAsia" w:ascii="宋体" w:hAnsi="宋体"/>
                <w:bCs/>
                <w:color w:val="auto"/>
                <w:szCs w:val="21"/>
                <w:highlight w:val="none"/>
                <w:lang w:val="en-US" w:eastAsia="zh-CN"/>
              </w:rPr>
              <w:t>满</w:t>
            </w:r>
            <w:r>
              <w:rPr>
                <w:rFonts w:hint="eastAsia" w:ascii="宋体" w:hAnsi="宋体"/>
                <w:bCs/>
                <w:color w:val="auto"/>
                <w:szCs w:val="21"/>
                <w:highlight w:val="none"/>
              </w:rPr>
              <w:t>分。</w:t>
            </w:r>
          </w:p>
          <w:p>
            <w:pPr>
              <w:spacing w:line="360" w:lineRule="auto"/>
              <w:ind w:firstLine="420" w:firstLineChars="200"/>
              <w:rPr>
                <w:rFonts w:hint="eastAsia" w:ascii="宋体" w:hAnsi="宋体" w:cs="宋体"/>
                <w:b w:val="0"/>
                <w:bCs/>
                <w:color w:val="auto"/>
                <w:szCs w:val="21"/>
                <w:highlight w:val="none"/>
              </w:rPr>
            </w:pPr>
            <w:r>
              <w:rPr>
                <w:rFonts w:hint="eastAsia" w:ascii="宋体" w:hAnsi="宋体"/>
                <w:bCs/>
                <w:color w:val="auto"/>
                <w:szCs w:val="21"/>
                <w:highlight w:val="none"/>
              </w:rPr>
              <w:t>（5）价格分计算公式：某供应商价格分=</w:t>
            </w:r>
            <w:r>
              <w:rPr>
                <w:rFonts w:hint="eastAsia" w:ascii="宋体" w:hAnsi="宋体"/>
                <w:bCs/>
                <w:color w:val="auto"/>
                <w:szCs w:val="21"/>
                <w:highlight w:val="none"/>
                <w:lang w:eastAsia="zh-CN"/>
              </w:rPr>
              <w:t>（</w:t>
            </w:r>
            <w:r>
              <w:rPr>
                <w:rFonts w:hint="eastAsia" w:ascii="宋体" w:hAnsi="宋体"/>
                <w:bCs/>
                <w:color w:val="auto"/>
                <w:szCs w:val="21"/>
                <w:highlight w:val="none"/>
              </w:rPr>
              <w:t>基准价/</w:t>
            </w:r>
            <w:r>
              <w:rPr>
                <w:rFonts w:hint="eastAsia" w:ascii="宋体" w:hAnsi="宋体"/>
                <w:bCs/>
                <w:color w:val="auto"/>
                <w:szCs w:val="21"/>
                <w:highlight w:val="none"/>
                <w:lang w:val="en-US" w:eastAsia="zh-CN"/>
              </w:rPr>
              <w:t>最后报价）</w:t>
            </w:r>
            <w:r>
              <w:rPr>
                <w:rFonts w:hint="eastAsia" w:ascii="宋体" w:hAnsi="宋体"/>
                <w:bCs/>
                <w:color w:val="auto"/>
                <w:szCs w:val="21"/>
                <w:highlight w:val="none"/>
              </w:rPr>
              <w:t>×10分</w:t>
            </w:r>
          </w:p>
        </w:tc>
        <w:tc>
          <w:tcPr>
            <w:tcW w:w="840"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lang w:val="en-US" w:eastAsia="zh-CN"/>
              </w:rPr>
              <w:t>10</w:t>
            </w:r>
            <w:r>
              <w:rPr>
                <w:rFonts w:hint="eastAsia" w:ascii="宋体" w:hAnsi="宋体" w:eastAsia="宋体" w:cs="宋体"/>
                <w:b w:val="0"/>
                <w:bCs/>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69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2</w:t>
            </w:r>
          </w:p>
        </w:tc>
        <w:tc>
          <w:tcPr>
            <w:tcW w:w="116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技术分</w:t>
            </w:r>
          </w:p>
        </w:tc>
        <w:tc>
          <w:tcPr>
            <w:tcW w:w="6730" w:type="dxa"/>
            <w:noWrap w:val="0"/>
            <w:vAlign w:val="center"/>
          </w:tcPr>
          <w:p>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评审因素</w:t>
            </w:r>
          </w:p>
        </w:tc>
        <w:tc>
          <w:tcPr>
            <w:tcW w:w="840" w:type="dxa"/>
            <w:noWrap w:val="0"/>
            <w:vAlign w:val="top"/>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lang w:val="en-US" w:eastAsia="zh-CN"/>
              </w:rPr>
              <w:t>80</w:t>
            </w:r>
            <w:r>
              <w:rPr>
                <w:rFonts w:hint="eastAsia" w:ascii="宋体" w:hAnsi="宋体" w:cs="宋体"/>
                <w:b/>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69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2.1</w:t>
            </w:r>
          </w:p>
        </w:tc>
        <w:tc>
          <w:tcPr>
            <w:tcW w:w="1163" w:type="dxa"/>
            <w:noWrap w:val="0"/>
            <w:vAlign w:val="center"/>
          </w:tcPr>
          <w:p>
            <w:pPr>
              <w:adjustRightInd w:val="0"/>
              <w:spacing w:line="400" w:lineRule="exact"/>
              <w:jc w:val="center"/>
              <w:textAlignment w:val="baseline"/>
              <w:rPr>
                <w:rFonts w:hint="eastAsia" w:ascii="宋体" w:hAnsi="宋体" w:cs="宋体"/>
                <w:b w:val="0"/>
                <w:bCs/>
                <w:color w:val="auto"/>
                <w:kern w:val="0"/>
                <w:szCs w:val="21"/>
                <w:highlight w:val="none"/>
              </w:rPr>
            </w:pPr>
            <w:r>
              <w:rPr>
                <w:rFonts w:hint="eastAsia" w:ascii="宋体" w:hAnsi="宋体" w:cs="宋体"/>
                <w:bCs/>
                <w:color w:val="auto"/>
                <w:kern w:val="0"/>
                <w:szCs w:val="21"/>
                <w:highlight w:val="none"/>
              </w:rPr>
              <w:t>施工方案与技术措施</w:t>
            </w:r>
          </w:p>
        </w:tc>
        <w:tc>
          <w:tcPr>
            <w:tcW w:w="6730" w:type="dxa"/>
            <w:noWrap w:val="0"/>
            <w:vAlign w:val="center"/>
          </w:tcPr>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：对项目的施工总体条件有全面认识，施工段划分呼应总体表述，划分清晰、合理、切合本工程实际，施工方法合理，技术措施具体、先进、有效。</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二档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10分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：对项目的施工总体条件有认识，施工段划分可行、切合实际可行，施工方法简单合理，施工技术措施具体，但不详细、不清晰。</w:t>
            </w:r>
          </w:p>
          <w:p>
            <w:pPr>
              <w:spacing w:line="360" w:lineRule="auto"/>
              <w:ind w:firstLine="420" w:firstLineChars="200"/>
              <w:rPr>
                <w:rFonts w:hint="eastAsia" w:ascii="宋体" w:hAnsi="宋体" w:eastAsia="宋体" w:cs="Courier New"/>
                <w:bCs/>
                <w:color w:val="auto"/>
                <w:kern w:val="2"/>
                <w:sz w:val="21"/>
                <w:szCs w:val="21"/>
                <w:highlight w:val="none"/>
              </w:rPr>
            </w:pPr>
            <w:r>
              <w:rPr>
                <w:rFonts w:hint="eastAsia" w:ascii="宋体" w:hAnsi="宋体" w:cs="宋体"/>
                <w:bCs/>
                <w:color w:val="auto"/>
                <w:highlight w:val="none"/>
                <w:lang w:val="en-US" w:eastAsia="zh-CN"/>
              </w:rPr>
              <w:t>一档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：对项目的施工总体条件简单的认识，施工段划分一般、基本切合实际，施工方法一般，施工技术措施不够具体。</w:t>
            </w:r>
          </w:p>
        </w:tc>
        <w:tc>
          <w:tcPr>
            <w:tcW w:w="840"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default" w:ascii="宋体" w:hAnsi="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trPr>
        <w:tc>
          <w:tcPr>
            <w:tcW w:w="69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2</w:t>
            </w:r>
          </w:p>
        </w:tc>
        <w:tc>
          <w:tcPr>
            <w:tcW w:w="1163" w:type="dxa"/>
            <w:noWrap w:val="0"/>
            <w:vAlign w:val="center"/>
          </w:tcPr>
          <w:p>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质量管理体系与措施</w:t>
            </w:r>
          </w:p>
        </w:tc>
        <w:tc>
          <w:tcPr>
            <w:tcW w:w="6730" w:type="dxa"/>
            <w:noWrap w:val="0"/>
            <w:vAlign w:val="center"/>
          </w:tcPr>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三档（15分）：质量目标明确，质量管控体系健全（包括组织结构、人员分工、施工现场质量控制的措施和手段、原材料质量检测、单元工程验收和质量评定、质量控制奖罚机制等）质量事件（缺陷、事故）应急措施得当、可行。 </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质量目标较明确，质量管控体系基本健全（包括组织结构、人员分工、施工现场质量控制的措施和手段、原材料质量检测、单元工程验收和质量评定、质量控制奖罚机制等）质量事件（缺陷、事故）应急措施基本得当、可行。 </w:t>
            </w:r>
          </w:p>
          <w:p>
            <w:pPr>
              <w:spacing w:line="360" w:lineRule="auto"/>
              <w:ind w:firstLine="420" w:firstLineChars="200"/>
              <w:rPr>
                <w:color w:val="auto"/>
                <w:sz w:val="21"/>
                <w:szCs w:val="21"/>
                <w:highlight w:val="none"/>
              </w:rPr>
            </w:pPr>
            <w:r>
              <w:rPr>
                <w:rFonts w:hint="eastAsia" w:ascii="宋体" w:hAnsi="宋体" w:cs="宋体"/>
                <w:bCs/>
                <w:color w:val="auto"/>
                <w:highlight w:val="none"/>
                <w:lang w:val="en-US" w:eastAsia="zh-CN"/>
              </w:rPr>
              <w:t xml:space="preserve">一档（5分）：质量目标不明确，质量管控体系基本或不健全（包括组织结构、人员分工、施工现场质量控制的措施和手段、原材料质量检测、单元工程验收和质量评定、质量控制奖罚机制等）质量事件（缺陷、事故）应急措施一般。 </w:t>
            </w:r>
          </w:p>
        </w:tc>
        <w:tc>
          <w:tcPr>
            <w:tcW w:w="840" w:type="dxa"/>
            <w:noWrap w:val="0"/>
            <w:vAlign w:val="center"/>
          </w:tcPr>
          <w:p>
            <w:pPr>
              <w:pStyle w:val="15"/>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p>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6" w:hRule="atLeast"/>
        </w:trPr>
        <w:tc>
          <w:tcPr>
            <w:tcW w:w="69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3</w:t>
            </w:r>
          </w:p>
        </w:tc>
        <w:tc>
          <w:tcPr>
            <w:tcW w:w="1163" w:type="dxa"/>
            <w:noWrap w:val="0"/>
            <w:vAlign w:val="center"/>
          </w:tcPr>
          <w:p>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安全管理体系与措施</w:t>
            </w:r>
          </w:p>
        </w:tc>
        <w:tc>
          <w:tcPr>
            <w:tcW w:w="6730" w:type="dxa"/>
            <w:noWrap w:val="0"/>
            <w:vAlign w:val="center"/>
          </w:tcPr>
          <w:p>
            <w:pPr>
              <w:spacing w:line="360" w:lineRule="auto"/>
              <w:ind w:firstLine="420" w:firstLineChars="200"/>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三档（15分）：有专门的安全管理人员和制度，且人员配备合理，制度健全，各道工序安全技术措施针对性强，确保工程质量的技术组织措施符合实际且满足有关安全技术标准要求。现场防火、应急救援、社会治安安全措施得力。</w:t>
            </w:r>
          </w:p>
          <w:p>
            <w:pPr>
              <w:spacing w:line="360" w:lineRule="auto"/>
              <w:ind w:firstLine="420" w:firstLineChars="200"/>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二档（10分）：有专门的安全管理人员和制度，且人员配备合理，制度健全，各道工序安全技术措施针对性一般，确保工程质量的技术组织措施符合实际且基本满足有关安全技术标准要求。现场防火、应急救援、社会治安安全措施一般。 </w:t>
            </w:r>
          </w:p>
          <w:p>
            <w:pPr>
              <w:spacing w:line="360" w:lineRule="auto"/>
              <w:ind w:firstLine="420" w:firstLineChars="200"/>
              <w:rPr>
                <w:rFonts w:hint="eastAsia" w:ascii="宋体" w:hAnsi="宋体" w:cs="宋体"/>
                <w:bCs/>
                <w:color w:val="auto"/>
                <w:kern w:val="0"/>
                <w:sz w:val="21"/>
                <w:szCs w:val="21"/>
                <w:highlight w:val="none"/>
              </w:rPr>
            </w:pPr>
            <w:r>
              <w:rPr>
                <w:rFonts w:hint="eastAsia" w:ascii="宋体" w:hAnsi="宋体" w:cs="宋体"/>
                <w:bCs/>
                <w:color w:val="auto"/>
                <w:highlight w:val="none"/>
                <w:lang w:val="en-US" w:eastAsia="zh-CN"/>
              </w:rPr>
              <w:t xml:space="preserve">一档（5分）：有专门的安全管理人员和制度，人员配备不合理，制度不健全，各道工序安全技术措施针无对性，不满足有关安全技术标准要求。现场防火、应急救援、社会治安安全措施不得力。 </w:t>
            </w:r>
          </w:p>
        </w:tc>
        <w:tc>
          <w:tcPr>
            <w:tcW w:w="840" w:type="dxa"/>
            <w:noWrap w:val="0"/>
            <w:vAlign w:val="center"/>
          </w:tcPr>
          <w:p>
            <w:pPr>
              <w:keepNext w:val="0"/>
              <w:keepLines w:val="0"/>
              <w:pageBreakBefore w:val="0"/>
              <w:kinsoku/>
              <w:wordWrap/>
              <w:overflowPunct/>
              <w:topLinePunct w:val="0"/>
              <w:bidi w:val="0"/>
              <w:spacing w:line="400" w:lineRule="exact"/>
              <w:jc w:val="center"/>
              <w:textAlignment w:val="auto"/>
              <w:rPr>
                <w:rFonts w:hint="eastAsia" w:ascii="宋体" w:hAnsi="宋体" w:cs="宋体"/>
                <w:b/>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69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4</w:t>
            </w:r>
          </w:p>
        </w:tc>
        <w:tc>
          <w:tcPr>
            <w:tcW w:w="1163" w:type="dxa"/>
            <w:noWrap w:val="0"/>
            <w:vAlign w:val="center"/>
          </w:tcPr>
          <w:p>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环境保护管理体系与措施</w:t>
            </w:r>
          </w:p>
        </w:tc>
        <w:tc>
          <w:tcPr>
            <w:tcW w:w="6730" w:type="dxa"/>
            <w:noWrap w:val="0"/>
            <w:vAlign w:val="center"/>
          </w:tcPr>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（10分）：环境保护目标明确，环境保护管理体系健全，预防和控制（包括大气、水、噪声、固体废物、人群等环保工程）具有针对性、内容全面、可行。 </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二档（6分）：环境保护目标较明确，环境保护管理体系较健全，预防和控制（包括大气、水、噪声、固体废物、人群等环保工程）具较有针对性，内容较全面、可行。 </w:t>
            </w:r>
          </w:p>
          <w:p>
            <w:pPr>
              <w:spacing w:line="360" w:lineRule="auto"/>
              <w:ind w:firstLine="420" w:firstLineChars="200"/>
              <w:rPr>
                <w:rFonts w:hint="eastAsia" w:ascii="宋体" w:hAnsi="宋体" w:cs="宋体"/>
                <w:bCs/>
                <w:color w:val="auto"/>
                <w:kern w:val="0"/>
                <w:sz w:val="21"/>
                <w:szCs w:val="21"/>
                <w:highlight w:val="none"/>
              </w:rPr>
            </w:pPr>
            <w:r>
              <w:rPr>
                <w:rFonts w:hint="eastAsia" w:ascii="宋体" w:hAnsi="宋体" w:cs="宋体"/>
                <w:bCs/>
                <w:color w:val="auto"/>
                <w:highlight w:val="none"/>
                <w:lang w:val="en-US" w:eastAsia="zh-CN"/>
              </w:rPr>
              <w:t xml:space="preserve">一档（3分）：环境保护目标基本或不明确，环境保护管理体系基本健全，预防和控制（包括大气、水、噪声、固体废物、人群等环保工程）针对性一般，内容一般。 </w:t>
            </w:r>
          </w:p>
        </w:tc>
        <w:tc>
          <w:tcPr>
            <w:tcW w:w="840" w:type="dxa"/>
            <w:noWrap w:val="0"/>
            <w:vAlign w:val="center"/>
          </w:tcPr>
          <w:p>
            <w:pPr>
              <w:pStyle w:val="15"/>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hAnsi="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p>
            <w:pPr>
              <w:pStyle w:val="39"/>
              <w:keepNext w:val="0"/>
              <w:keepLines w:val="0"/>
              <w:pageBreakBefore w:val="0"/>
              <w:kinsoku/>
              <w:wordWrap/>
              <w:overflowPunct/>
              <w:topLinePunct w:val="0"/>
              <w:bidi w:val="0"/>
              <w:spacing w:line="400" w:lineRule="exact"/>
              <w:ind w:firstLine="720" w:firstLineChars="0"/>
              <w:textAlignment w:val="auto"/>
              <w:rPr>
                <w:rFonts w:ascii="宋体" w:hAnsi="宋体" w:cs="宋体"/>
                <w:bCs/>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69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5</w:t>
            </w:r>
          </w:p>
        </w:tc>
        <w:tc>
          <w:tcPr>
            <w:tcW w:w="1163" w:type="dxa"/>
            <w:noWrap w:val="0"/>
            <w:vAlign w:val="center"/>
          </w:tcPr>
          <w:p>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工程进度计划与措施</w:t>
            </w:r>
          </w:p>
        </w:tc>
        <w:tc>
          <w:tcPr>
            <w:tcW w:w="6730" w:type="dxa"/>
            <w:noWrap w:val="0"/>
            <w:vAlign w:val="center"/>
          </w:tcPr>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15分）：施工总体进度计划得当，进度计划网络图清晰合理，完全满足招标文件要求，施工强度分析可靠，各关键节点的工期切实可行，控制性项目安排得当，保证工期的措施科学，工程进度补救措施可行，完全能保证在项目要求的总工期内完成。 </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施工总体进度计划较得当，进度计划网络图较清晰合理，较满足招标文件要求，施工强度分析较可靠，各关键节点的工期较切实可行，控制性项目安排较得当，保证工期的措施较科学，工程进度补救措施基本可行，基本能保证在项目要求的总工期内完成。 </w:t>
            </w:r>
          </w:p>
          <w:p>
            <w:pPr>
              <w:spacing w:line="360" w:lineRule="auto"/>
              <w:ind w:firstLine="420" w:firstLineChars="200"/>
              <w:rPr>
                <w:rFonts w:hint="eastAsia" w:ascii="宋体" w:hAnsi="宋体" w:cs="宋体"/>
                <w:bCs/>
                <w:color w:val="auto"/>
                <w:sz w:val="21"/>
                <w:szCs w:val="21"/>
                <w:highlight w:val="none"/>
              </w:rPr>
            </w:pPr>
            <w:r>
              <w:rPr>
                <w:rFonts w:hint="eastAsia" w:ascii="宋体" w:hAnsi="宋体" w:cs="宋体"/>
                <w:bCs/>
                <w:color w:val="auto"/>
                <w:highlight w:val="none"/>
                <w:lang w:val="en-US" w:eastAsia="zh-CN"/>
              </w:rPr>
              <w:t xml:space="preserve">一档（5分）：施工总体进度计划基本得当，进度计划网络图基本清晰合理，基本满足招标文件要求，施工强度分析一般，各关键点的工期基本切实可行，控制性项目安排基本得当，保证工期的措施一般，工程进度补救措施一般，基本能保证在项目要求的总工期内完成。 </w:t>
            </w:r>
          </w:p>
        </w:tc>
        <w:tc>
          <w:tcPr>
            <w:tcW w:w="840" w:type="dxa"/>
            <w:noWrap w:val="0"/>
            <w:vAlign w:val="center"/>
          </w:tcPr>
          <w:p>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69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6</w:t>
            </w:r>
          </w:p>
        </w:tc>
        <w:tc>
          <w:tcPr>
            <w:tcW w:w="1163" w:type="dxa"/>
            <w:noWrap w:val="0"/>
            <w:vAlign w:val="center"/>
          </w:tcPr>
          <w:p>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资源配置计划</w:t>
            </w:r>
          </w:p>
        </w:tc>
        <w:tc>
          <w:tcPr>
            <w:tcW w:w="6730" w:type="dxa"/>
            <w:noWrap w:val="0"/>
            <w:vAlign w:val="center"/>
          </w:tcPr>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（10分）：</w:t>
            </w:r>
            <w:r>
              <w:rPr>
                <w:rFonts w:hint="eastAsia" w:ascii="宋体" w:hAnsi="宋体" w:cs="宋体"/>
                <w:bCs/>
                <w:color w:val="auto"/>
                <w:highlight w:val="none"/>
              </w:rPr>
              <w:t>各类施工及试验设备的配备类型、进场时间与施工组织设计完美相符，设备数量有效合理、类型完整齐全，有保证设备良好运行工况的措施，合理的满足施工需要。各类人员配备专业、进场时间与施工组织设计完全相符，人员数量、专业技能满足施工要求，有保证施工人员相对稳定的措施；</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二档（6分）</w:t>
            </w:r>
            <w:r>
              <w:rPr>
                <w:rFonts w:hint="eastAsia" w:ascii="宋体" w:hAnsi="宋体" w:cs="宋体"/>
                <w:bCs/>
                <w:color w:val="auto"/>
                <w:highlight w:val="none"/>
              </w:rPr>
              <w:t>：各类施工及试验设备的配备类型、进场时间与施工组织设计相符，设备数量合理、类型齐全，满足施工需要。各类人员配备专业、进场时间与施工组织设计相符，人员数量、专业技能满足施工要求；</w:t>
            </w:r>
          </w:p>
          <w:p>
            <w:pPr>
              <w:spacing w:line="360" w:lineRule="auto"/>
              <w:ind w:firstLine="420" w:firstLineChars="200"/>
              <w:rPr>
                <w:rFonts w:hint="eastAsia" w:ascii="宋体" w:hAnsi="宋体" w:cs="宋体"/>
                <w:bCs/>
                <w:color w:val="auto"/>
                <w:sz w:val="21"/>
                <w:szCs w:val="21"/>
                <w:highlight w:val="none"/>
              </w:rPr>
            </w:pPr>
            <w:r>
              <w:rPr>
                <w:rFonts w:hint="eastAsia" w:ascii="宋体" w:hAnsi="宋体" w:cs="宋体"/>
                <w:bCs/>
                <w:color w:val="auto"/>
                <w:highlight w:val="none"/>
                <w:lang w:val="en-US" w:eastAsia="zh-CN"/>
              </w:rPr>
              <w:t>一档（3分）</w:t>
            </w:r>
            <w:r>
              <w:rPr>
                <w:rFonts w:hint="eastAsia" w:ascii="宋体" w:hAnsi="宋体" w:cs="宋体"/>
                <w:bCs/>
                <w:color w:val="auto"/>
                <w:highlight w:val="none"/>
              </w:rPr>
              <w:t>：各类施工及试验设备的配备类型、进场时间与施工组织设计基本相符，设备数量基本合理、但类型基不齐全，基本满足施工需要。各类人员的配备基本专业、进场时间与施工组织设计基本相符，人员数量、专业技能基本满足施工要求；</w:t>
            </w:r>
          </w:p>
        </w:tc>
        <w:tc>
          <w:tcPr>
            <w:tcW w:w="840" w:type="dxa"/>
            <w:noWrap w:val="0"/>
            <w:vAlign w:val="center"/>
          </w:tcPr>
          <w:p>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69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3</w:t>
            </w:r>
          </w:p>
        </w:tc>
        <w:tc>
          <w:tcPr>
            <w:tcW w:w="1163"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rPr>
              <w:t>商务分</w:t>
            </w:r>
          </w:p>
        </w:tc>
        <w:tc>
          <w:tcPr>
            <w:tcW w:w="6730" w:type="dxa"/>
            <w:noWrap w:val="0"/>
            <w:vAlign w:val="center"/>
          </w:tcPr>
          <w:p>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bCs/>
                <w:color w:val="auto"/>
                <w:szCs w:val="21"/>
                <w:highlight w:val="none"/>
              </w:rPr>
            </w:pPr>
            <w:r>
              <w:rPr>
                <w:rFonts w:hint="eastAsia" w:ascii="宋体" w:hAnsi="宋体" w:eastAsia="宋体" w:cs="Tahoma"/>
                <w:b/>
                <w:bCs/>
                <w:color w:val="auto"/>
                <w:kern w:val="0"/>
                <w:szCs w:val="21"/>
                <w:highlight w:val="none"/>
              </w:rPr>
              <w:t>评审因素</w:t>
            </w:r>
          </w:p>
        </w:tc>
        <w:tc>
          <w:tcPr>
            <w:tcW w:w="840"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lang w:val="en-US" w:eastAsia="zh-CN"/>
              </w:rPr>
              <w:t>10</w:t>
            </w:r>
            <w:r>
              <w:rPr>
                <w:rFonts w:hint="eastAsia" w:ascii="宋体" w:hAnsi="宋体" w:cs="宋体"/>
                <w:b/>
                <w:bCs/>
                <w:color w:val="auto"/>
                <w:kern w:val="0"/>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6" w:hRule="atLeast"/>
        </w:trPr>
        <w:tc>
          <w:tcPr>
            <w:tcW w:w="693" w:type="dxa"/>
            <w:noWrap w:val="0"/>
            <w:vAlign w:val="center"/>
          </w:tcPr>
          <w:p>
            <w:pPr>
              <w:keepNext w:val="0"/>
              <w:keepLines w:val="0"/>
              <w:pageBreakBefore w:val="0"/>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3.1</w:t>
            </w:r>
          </w:p>
        </w:tc>
        <w:tc>
          <w:tcPr>
            <w:tcW w:w="1163" w:type="dxa"/>
            <w:noWrap w:val="0"/>
            <w:vAlign w:val="center"/>
          </w:tcPr>
          <w:p>
            <w:pPr>
              <w:keepNext w:val="0"/>
              <w:keepLines w:val="0"/>
              <w:pageBreakBefore w:val="0"/>
              <w:kinsoku/>
              <w:wordWrap/>
              <w:overflowPunct/>
              <w:topLinePunct w:val="0"/>
              <w:bidi w:val="0"/>
              <w:snapToGrid w:val="0"/>
              <w:spacing w:line="400" w:lineRule="exact"/>
              <w:jc w:val="center"/>
              <w:textAlignment w:val="auto"/>
              <w:rPr>
                <w:rFonts w:hint="eastAsia" w:ascii="宋体" w:hAnsi="宋体" w:cs="宋体"/>
                <w:color w:val="auto"/>
                <w:kern w:val="0"/>
                <w:szCs w:val="21"/>
                <w:highlight w:val="none"/>
              </w:rPr>
            </w:pPr>
            <w:r>
              <w:rPr>
                <w:rFonts w:hint="eastAsia" w:ascii="宋体" w:hAnsi="宋体" w:eastAsia="宋体" w:cs="宋体"/>
                <w:bCs/>
                <w:color w:val="auto"/>
                <w:szCs w:val="21"/>
                <w:highlight w:val="none"/>
                <w:lang w:val="en-US" w:eastAsia="zh-CN"/>
              </w:rPr>
              <w:t>业绩分</w:t>
            </w:r>
          </w:p>
        </w:tc>
        <w:tc>
          <w:tcPr>
            <w:tcW w:w="6730" w:type="dxa"/>
            <w:noWrap w:val="0"/>
            <w:vAlign w:val="center"/>
          </w:tcPr>
          <w:p>
            <w:pPr>
              <w:keepNext w:val="0"/>
              <w:keepLines w:val="0"/>
              <w:pageBreakBefore w:val="0"/>
              <w:kinsoku/>
              <w:wordWrap/>
              <w:overflowPunct/>
              <w:topLinePunct w:val="0"/>
              <w:bidi w:val="0"/>
              <w:snapToGrid w:val="0"/>
              <w:spacing w:line="400" w:lineRule="exact"/>
              <w:ind w:firstLine="420" w:firstLineChars="200"/>
              <w:jc w:val="both"/>
              <w:textAlignment w:val="auto"/>
              <w:rPr>
                <w:rFonts w:ascii="宋体" w:hAnsi="宋体" w:eastAsia="宋体" w:cs="Tahoma"/>
                <w:color w:val="auto"/>
                <w:kern w:val="0"/>
                <w:szCs w:val="21"/>
                <w:highlight w:val="none"/>
              </w:rPr>
            </w:pPr>
            <w:r>
              <w:rPr>
                <w:rFonts w:hint="eastAsia" w:ascii="宋体" w:hAnsi="宋体" w:eastAsia="宋体" w:cs="Tahoma"/>
                <w:color w:val="auto"/>
                <w:kern w:val="0"/>
                <w:szCs w:val="21"/>
                <w:highlight w:val="none"/>
              </w:rPr>
              <w:t>202</w:t>
            </w:r>
            <w:r>
              <w:rPr>
                <w:rFonts w:hint="eastAsia" w:ascii="宋体" w:hAnsi="宋体" w:cs="Tahoma"/>
                <w:color w:val="auto"/>
                <w:kern w:val="0"/>
                <w:szCs w:val="21"/>
                <w:highlight w:val="none"/>
                <w:lang w:val="en-US" w:eastAsia="zh-CN"/>
              </w:rPr>
              <w:t>2</w:t>
            </w:r>
            <w:r>
              <w:rPr>
                <w:rFonts w:ascii="宋体" w:hAnsi="宋体" w:eastAsia="宋体" w:cs="Tahoma"/>
                <w:color w:val="auto"/>
                <w:kern w:val="0"/>
                <w:szCs w:val="21"/>
                <w:highlight w:val="none"/>
              </w:rPr>
              <w:t>年1月1日</w:t>
            </w:r>
            <w:r>
              <w:rPr>
                <w:rFonts w:hint="eastAsia" w:ascii="宋体" w:hAnsi="宋体" w:eastAsia="宋体" w:cs="Tahoma"/>
                <w:color w:val="auto"/>
                <w:kern w:val="0"/>
                <w:szCs w:val="21"/>
                <w:highlight w:val="none"/>
              </w:rPr>
              <w:t>至提交首次响应文件截止之日前，供应商具有类似项目业绩的，每提供</w:t>
            </w:r>
            <w:r>
              <w:rPr>
                <w:rFonts w:ascii="宋体" w:hAnsi="宋体" w:eastAsia="宋体" w:cs="Tahoma"/>
                <w:color w:val="auto"/>
                <w:kern w:val="0"/>
                <w:szCs w:val="21"/>
                <w:highlight w:val="none"/>
              </w:rPr>
              <w:t>1份符合要求的业绩得</w:t>
            </w:r>
            <w:r>
              <w:rPr>
                <w:rFonts w:hint="eastAsia" w:ascii="宋体" w:hAnsi="宋体" w:cs="Tahoma"/>
                <w:color w:val="auto"/>
                <w:kern w:val="0"/>
                <w:szCs w:val="21"/>
                <w:highlight w:val="none"/>
                <w:lang w:val="en-US" w:eastAsia="zh-CN"/>
              </w:rPr>
              <w:t>1</w:t>
            </w:r>
            <w:r>
              <w:rPr>
                <w:rFonts w:ascii="宋体" w:hAnsi="宋体" w:eastAsia="宋体" w:cs="Tahoma"/>
                <w:color w:val="auto"/>
                <w:kern w:val="0"/>
                <w:szCs w:val="21"/>
                <w:highlight w:val="none"/>
              </w:rPr>
              <w:t>分，满分</w:t>
            </w:r>
            <w:r>
              <w:rPr>
                <w:rFonts w:hint="eastAsia" w:ascii="宋体" w:hAnsi="宋体" w:cs="Tahoma"/>
                <w:color w:val="auto"/>
                <w:kern w:val="0"/>
                <w:szCs w:val="21"/>
                <w:highlight w:val="none"/>
                <w:lang w:val="en-US" w:eastAsia="zh-CN"/>
              </w:rPr>
              <w:t>4</w:t>
            </w:r>
            <w:r>
              <w:rPr>
                <w:rFonts w:ascii="宋体" w:hAnsi="宋体" w:eastAsia="宋体" w:cs="Tahoma"/>
                <w:color w:val="auto"/>
                <w:kern w:val="0"/>
                <w:szCs w:val="21"/>
                <w:highlight w:val="none"/>
              </w:rPr>
              <w:t>分。</w:t>
            </w:r>
          </w:p>
          <w:p>
            <w:pPr>
              <w:keepNext w:val="0"/>
              <w:keepLines w:val="0"/>
              <w:pageBreakBefore w:val="0"/>
              <w:kinsoku/>
              <w:wordWrap/>
              <w:overflowPunct/>
              <w:topLinePunct w:val="0"/>
              <w:bidi w:val="0"/>
              <w:snapToGrid w:val="0"/>
              <w:spacing w:line="400" w:lineRule="exact"/>
              <w:jc w:val="both"/>
              <w:textAlignment w:val="auto"/>
              <w:rPr>
                <w:rFonts w:ascii="宋体" w:hAnsi="宋体" w:cs="宋体"/>
                <w:bCs/>
                <w:color w:val="auto"/>
                <w:kern w:val="0"/>
                <w:szCs w:val="21"/>
                <w:highlight w:val="none"/>
              </w:rPr>
            </w:pPr>
            <w:r>
              <w:rPr>
                <w:rFonts w:hint="eastAsia" w:ascii="宋体" w:hAnsi="宋体" w:eastAsia="宋体" w:cs="Tahoma"/>
                <w:color w:val="auto"/>
                <w:kern w:val="0"/>
                <w:szCs w:val="21"/>
                <w:highlight w:val="none"/>
              </w:rPr>
              <w:t>（以合同或者中标（成交）通知书复印件为准，并加盖供应商单位公章）</w:t>
            </w:r>
          </w:p>
        </w:tc>
        <w:tc>
          <w:tcPr>
            <w:tcW w:w="840"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4</w:t>
            </w:r>
            <w:r>
              <w:rPr>
                <w:rFonts w:hint="eastAsia" w:ascii="宋体" w:hAnsi="宋体" w:eastAsia="宋体" w:cs="宋体"/>
                <w:color w:val="auto"/>
                <w:kern w:val="0"/>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4" w:hRule="atLeast"/>
        </w:trPr>
        <w:tc>
          <w:tcPr>
            <w:tcW w:w="693" w:type="dxa"/>
            <w:noWrap w:val="0"/>
            <w:vAlign w:val="center"/>
          </w:tcPr>
          <w:p>
            <w:pPr>
              <w:keepNext w:val="0"/>
              <w:keepLines w:val="0"/>
              <w:pageBreakBefore w:val="0"/>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3.2</w:t>
            </w:r>
          </w:p>
        </w:tc>
        <w:tc>
          <w:tcPr>
            <w:tcW w:w="1163" w:type="dxa"/>
            <w:noWrap w:val="0"/>
            <w:vAlign w:val="center"/>
          </w:tcPr>
          <w:p>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信誉分</w:t>
            </w:r>
          </w:p>
        </w:tc>
        <w:tc>
          <w:tcPr>
            <w:tcW w:w="6730" w:type="dxa"/>
            <w:noWrap w:val="0"/>
            <w:vAlign w:val="center"/>
          </w:tcPr>
          <w:p>
            <w:pPr>
              <w:keepNext w:val="0"/>
              <w:keepLines w:val="0"/>
              <w:pageBreakBefore w:val="0"/>
              <w:kinsoku/>
              <w:wordWrap/>
              <w:overflowPunct/>
              <w:topLinePunct w:val="0"/>
              <w:bidi w:val="0"/>
              <w:snapToGrid w:val="0"/>
              <w:spacing w:line="360" w:lineRule="auto"/>
              <w:ind w:firstLine="420" w:firstLineChars="200"/>
              <w:jc w:val="both"/>
              <w:textAlignment w:val="auto"/>
              <w:rPr>
                <w:rFonts w:hint="eastAsia" w:ascii="宋体" w:hAnsi="宋体" w:eastAsia="宋体" w:cs="Tahoma"/>
                <w:color w:val="auto"/>
                <w:kern w:val="0"/>
                <w:szCs w:val="21"/>
                <w:highlight w:val="none"/>
              </w:rPr>
            </w:pPr>
            <w:r>
              <w:rPr>
                <w:rFonts w:hint="eastAsia" w:ascii="宋体" w:hAnsi="宋体" w:eastAsia="宋体" w:cs="Tahoma"/>
                <w:color w:val="auto"/>
                <w:kern w:val="0"/>
                <w:szCs w:val="21"/>
                <w:highlight w:val="none"/>
                <w:lang w:eastAsia="zh-CN"/>
              </w:rPr>
              <w:t>供应商获得质量管理体系认证证书、环境管理体系认证证书、职业健康安全管理体系认证证书的</w:t>
            </w:r>
            <w:r>
              <w:rPr>
                <w:rFonts w:hint="eastAsia" w:ascii="宋体" w:hAnsi="宋体" w:cs="Tahoma"/>
                <w:color w:val="auto"/>
                <w:kern w:val="0"/>
                <w:szCs w:val="21"/>
                <w:highlight w:val="none"/>
                <w:lang w:eastAsia="zh-CN"/>
              </w:rPr>
              <w:t>，</w:t>
            </w:r>
            <w:r>
              <w:rPr>
                <w:rFonts w:hint="eastAsia" w:ascii="宋体" w:hAnsi="宋体" w:cs="Tahoma"/>
                <w:color w:val="auto"/>
                <w:kern w:val="0"/>
                <w:szCs w:val="21"/>
                <w:highlight w:val="none"/>
                <w:lang w:val="en-US" w:eastAsia="zh-CN"/>
              </w:rPr>
              <w:t>每提供1个</w:t>
            </w:r>
            <w:r>
              <w:rPr>
                <w:rFonts w:hint="eastAsia" w:ascii="宋体" w:hAnsi="宋体" w:eastAsia="宋体" w:cs="Tahoma"/>
                <w:color w:val="auto"/>
                <w:kern w:val="0"/>
                <w:szCs w:val="21"/>
                <w:highlight w:val="none"/>
                <w:lang w:eastAsia="zh-CN"/>
              </w:rPr>
              <w:t>得</w:t>
            </w:r>
            <w:r>
              <w:rPr>
                <w:rFonts w:hint="eastAsia" w:ascii="宋体" w:hAnsi="宋体" w:cs="Tahoma"/>
                <w:color w:val="auto"/>
                <w:kern w:val="0"/>
                <w:szCs w:val="21"/>
                <w:highlight w:val="none"/>
                <w:lang w:val="en-US" w:eastAsia="zh-CN"/>
              </w:rPr>
              <w:t>2</w:t>
            </w:r>
            <w:r>
              <w:rPr>
                <w:rFonts w:hint="eastAsia" w:ascii="宋体" w:hAnsi="宋体" w:eastAsia="宋体" w:cs="Tahoma"/>
                <w:color w:val="auto"/>
                <w:kern w:val="0"/>
                <w:szCs w:val="21"/>
                <w:highlight w:val="none"/>
                <w:lang w:eastAsia="zh-CN"/>
              </w:rPr>
              <w:t>分，本项满分为</w:t>
            </w:r>
            <w:r>
              <w:rPr>
                <w:rFonts w:hint="eastAsia" w:ascii="宋体" w:hAnsi="宋体" w:cs="Tahoma"/>
                <w:color w:val="auto"/>
                <w:kern w:val="0"/>
                <w:szCs w:val="21"/>
                <w:highlight w:val="none"/>
                <w:lang w:val="en-US" w:eastAsia="zh-CN"/>
              </w:rPr>
              <w:t>6</w:t>
            </w:r>
            <w:r>
              <w:rPr>
                <w:rFonts w:hint="eastAsia" w:ascii="宋体" w:hAnsi="宋体" w:eastAsia="宋体" w:cs="Tahoma"/>
                <w:color w:val="auto"/>
                <w:kern w:val="0"/>
                <w:szCs w:val="21"/>
                <w:highlight w:val="none"/>
                <w:lang w:eastAsia="zh-CN"/>
              </w:rPr>
              <w:t>分。（</w:t>
            </w:r>
            <w:r>
              <w:rPr>
                <w:rFonts w:hint="eastAsia" w:ascii="宋体" w:hAnsi="宋体" w:cs="Tahoma"/>
                <w:color w:val="auto"/>
                <w:kern w:val="0"/>
                <w:szCs w:val="21"/>
                <w:highlight w:val="none"/>
                <w:lang w:val="en-US" w:eastAsia="zh-CN"/>
              </w:rPr>
              <w:t>证书需</w:t>
            </w:r>
            <w:r>
              <w:rPr>
                <w:rFonts w:hint="eastAsia" w:ascii="宋体" w:hAnsi="宋体" w:eastAsia="宋体" w:cs="Tahoma"/>
                <w:color w:val="auto"/>
                <w:kern w:val="0"/>
                <w:szCs w:val="21"/>
                <w:highlight w:val="none"/>
                <w:lang w:eastAsia="zh-CN"/>
              </w:rPr>
              <w:t>在有效期内，提供相关认证证书扫描件，并加盖供应商签章（电子签章），否则不得分。）</w:t>
            </w:r>
          </w:p>
        </w:tc>
        <w:tc>
          <w:tcPr>
            <w:tcW w:w="840" w:type="dxa"/>
            <w:noWrap w:val="0"/>
            <w:vAlign w:val="center"/>
          </w:tcPr>
          <w:p>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trPr>
        <w:tc>
          <w:tcPr>
            <w:tcW w:w="9426" w:type="dxa"/>
            <w:gridSpan w:val="4"/>
            <w:noWrap w:val="0"/>
            <w:vAlign w:val="center"/>
          </w:tcPr>
          <w:p>
            <w:pPr>
              <w:keepNext w:val="0"/>
              <w:keepLines w:val="0"/>
              <w:pageBreakBefore w:val="0"/>
              <w:widowControl/>
              <w:kinsoku/>
              <w:wordWrap/>
              <w:overflowPunct/>
              <w:topLinePunct w:val="0"/>
              <w:bidi w:val="0"/>
              <w:spacing w:line="400" w:lineRule="exact"/>
              <w:jc w:val="left"/>
              <w:textAlignment w:val="auto"/>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总得分：1+2+3</w:t>
            </w:r>
          </w:p>
        </w:tc>
      </w:tr>
    </w:tbl>
    <w:p>
      <w:pPr>
        <w:spacing w:line="360" w:lineRule="auto"/>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pPr>
        <w:spacing w:line="360" w:lineRule="auto"/>
        <w:ind w:firstLine="420" w:firstLineChars="200"/>
        <w:rPr>
          <w:rFonts w:hint="eastAsia" w:ascii="宋体" w:hAnsi="宋体" w:eastAsia="宋体" w:cs="宋体"/>
          <w:color w:val="auto"/>
          <w:highlight w:val="none"/>
        </w:rPr>
      </w:pPr>
      <w:bookmarkStart w:id="84"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pPr>
        <w:pStyle w:val="3"/>
        <w:spacing w:before="0" w:after="0" w:line="360" w:lineRule="auto"/>
        <w:jc w:val="both"/>
        <w:rPr>
          <w:rFonts w:hint="eastAsia" w:ascii="宋体" w:hAnsi="宋体" w:eastAsia="宋体" w:cs="宋体"/>
          <w:b w:val="0"/>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3"/>
        <w:spacing w:before="0" w:after="0" w:line="360" w:lineRule="auto"/>
        <w:ind w:firstLine="640" w:firstLineChars="200"/>
        <w:jc w:val="center"/>
        <w:rPr>
          <w:rFonts w:hint="eastAsia" w:ascii="宋体" w:hAnsi="宋体" w:eastAsia="宋体" w:cs="宋体"/>
          <w:b w:val="0"/>
          <w:color w:val="auto"/>
          <w:highlight w:val="none"/>
          <w:lang w:eastAsia="zh-CN"/>
        </w:rPr>
      </w:pPr>
      <w:bookmarkStart w:id="85" w:name="_Toc22098"/>
      <w:bookmarkStart w:id="86" w:name="_Toc6406"/>
      <w:bookmarkStart w:id="87" w:name="_Toc498"/>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84"/>
      <w:bookmarkEnd w:id="85"/>
      <w:bookmarkEnd w:id="86"/>
      <w:bookmarkEnd w:id="87"/>
    </w:p>
    <w:p>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pPr>
        <w:pStyle w:val="30"/>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pPr>
        <w:pStyle w:val="3"/>
        <w:spacing w:before="0" w:after="0" w:line="360" w:lineRule="auto"/>
        <w:ind w:firstLine="640" w:firstLineChars="200"/>
        <w:jc w:val="center"/>
        <w:rPr>
          <w:rFonts w:hint="eastAsia" w:ascii="宋体" w:hAnsi="宋体" w:eastAsia="宋体" w:cs="宋体"/>
          <w:b w:val="0"/>
          <w:color w:val="auto"/>
          <w:highlight w:val="none"/>
        </w:rPr>
      </w:pPr>
      <w:bookmarkStart w:id="88" w:name="_Toc9233"/>
      <w:bookmarkStart w:id="89" w:name="_Toc3713"/>
      <w:bookmarkStart w:id="90" w:name="_Toc3846"/>
      <w:bookmarkStart w:id="91" w:name="_Toc80205936"/>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88"/>
      <w:bookmarkEnd w:id="89"/>
      <w:bookmarkEnd w:id="90"/>
      <w:bookmarkEnd w:id="91"/>
    </w:p>
    <w:p>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12"/>
        <w:spacing w:line="360" w:lineRule="auto"/>
        <w:rPr>
          <w:rFonts w:hint="eastAsia" w:ascii="宋体" w:hAnsi="宋体" w:eastAsia="宋体" w:cs="宋体"/>
          <w:color w:val="auto"/>
          <w:highlight w:val="none"/>
        </w:rPr>
      </w:pPr>
    </w:p>
    <w:p>
      <w:pPr>
        <w:pStyle w:val="2"/>
        <w:spacing w:line="360" w:lineRule="auto"/>
        <w:jc w:val="center"/>
        <w:rPr>
          <w:rFonts w:hint="eastAsia" w:ascii="宋体" w:hAnsi="宋体" w:eastAsia="宋体" w:cs="宋体"/>
          <w:b/>
          <w:bCs/>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92" w:name="_Toc16991"/>
      <w:bookmarkStart w:id="93" w:name="_Toc29932"/>
      <w:bookmarkStart w:id="94" w:name="_Toc8541"/>
      <w:r>
        <w:rPr>
          <w:rFonts w:hint="eastAsia" w:ascii="宋体" w:hAnsi="宋体" w:eastAsia="宋体" w:cs="宋体"/>
          <w:b/>
          <w:bCs/>
          <w:color w:val="auto"/>
          <w:highlight w:val="none"/>
        </w:rPr>
        <w:t>第五章 响应文件格式</w:t>
      </w:r>
      <w:bookmarkEnd w:id="92"/>
      <w:bookmarkEnd w:id="93"/>
      <w:bookmarkEnd w:id="94"/>
    </w:p>
    <w:p>
      <w:pPr>
        <w:pStyle w:val="3"/>
        <w:spacing w:line="360" w:lineRule="auto"/>
        <w:jc w:val="center"/>
        <w:rPr>
          <w:rFonts w:hint="eastAsia" w:ascii="宋体" w:hAnsi="宋体" w:eastAsia="宋体" w:cs="宋体"/>
          <w:b w:val="0"/>
          <w:color w:val="auto"/>
          <w:highlight w:val="none"/>
          <w:lang w:val="en-US" w:eastAsia="zh-CN"/>
        </w:rPr>
      </w:pPr>
      <w:bookmarkStart w:id="95" w:name="_Toc80205938"/>
      <w:bookmarkStart w:id="96" w:name="_Toc26547"/>
      <w:bookmarkStart w:id="97" w:name="_Toc16580"/>
      <w:bookmarkStart w:id="98" w:name="_Toc3747"/>
      <w:r>
        <w:rPr>
          <w:rFonts w:hint="eastAsia" w:ascii="宋体" w:hAnsi="宋体" w:eastAsia="宋体" w:cs="宋体"/>
          <w:b w:val="0"/>
          <w:color w:val="auto"/>
          <w:highlight w:val="none"/>
          <w:lang w:val="en-US" w:eastAsia="zh-CN"/>
        </w:rPr>
        <w:t>第一节 封面格式</w:t>
      </w:r>
      <w:bookmarkEnd w:id="95"/>
      <w:bookmarkEnd w:id="96"/>
      <w:bookmarkEnd w:id="97"/>
      <w:bookmarkEnd w:id="98"/>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jc w:val="center"/>
        <w:rPr>
          <w:rFonts w:hint="eastAsia" w:ascii="宋体" w:hAnsi="宋体" w:eastAsia="宋体" w:cs="宋体"/>
          <w:bCs/>
          <w:color w:val="auto"/>
          <w:sz w:val="24"/>
          <w:szCs w:val="20"/>
          <w:highlight w:val="none"/>
        </w:rPr>
      </w:pPr>
    </w:p>
    <w:p>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line="360" w:lineRule="auto"/>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snapToGrid w:val="0"/>
        <w:spacing w:before="120" w:beforeLines="50" w:after="50" w:line="360" w:lineRule="auto"/>
        <w:rPr>
          <w:rFonts w:hint="eastAsia" w:ascii="宋体" w:hAnsi="宋体" w:eastAsia="宋体" w:cs="宋体"/>
          <w:bCs/>
          <w:color w:val="auto"/>
          <w:sz w:val="32"/>
          <w:szCs w:val="32"/>
          <w:highlight w:val="none"/>
        </w:rPr>
      </w:pPr>
    </w:p>
    <w:p>
      <w:pP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pP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pP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pPr>
        <w:spacing w:line="360" w:lineRule="auto"/>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3"/>
        <w:spacing w:line="360" w:lineRule="auto"/>
        <w:jc w:val="center"/>
        <w:rPr>
          <w:rFonts w:hint="eastAsia" w:ascii="宋体" w:hAnsi="宋体" w:eastAsia="宋体" w:cs="宋体"/>
          <w:bCs w:val="0"/>
          <w:color w:val="auto"/>
          <w:highlight w:val="none"/>
        </w:rPr>
      </w:pPr>
      <w:bookmarkStart w:id="99" w:name="_Toc21695"/>
      <w:bookmarkStart w:id="100" w:name="_Toc25717"/>
      <w:bookmarkStart w:id="101" w:name="_Toc80205939"/>
      <w:bookmarkStart w:id="102" w:name="_Toc1270"/>
      <w:r>
        <w:rPr>
          <w:rFonts w:hint="eastAsia" w:ascii="宋体" w:hAnsi="宋体" w:eastAsia="宋体" w:cs="宋体"/>
          <w:bCs w:val="0"/>
          <w:color w:val="auto"/>
          <w:highlight w:val="none"/>
        </w:rPr>
        <w:t>第二节 资格证明文件格式</w:t>
      </w:r>
      <w:bookmarkEnd w:id="99"/>
      <w:bookmarkEnd w:id="100"/>
      <w:bookmarkEnd w:id="101"/>
      <w:bookmarkEnd w:id="102"/>
    </w:p>
    <w:p>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件（封面）</w:t>
      </w: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7"/>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pPr>
        <w:snapToGrid w:val="0"/>
        <w:spacing w:line="360" w:lineRule="auto"/>
        <w:rPr>
          <w:rFonts w:hint="eastAsia" w:ascii="宋体" w:hAnsi="宋体" w:eastAsia="宋体" w:cs="宋体"/>
          <w:color w:val="auto"/>
          <w:kern w:val="0"/>
          <w:sz w:val="24"/>
          <w:highlight w:val="none"/>
        </w:rPr>
      </w:pP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或事业法人登记证或其他工商等登记证明材料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二、符合参与政府采购活动的资格条件依法缴纳税收、社会保障资金等方面的材料………………………………………………………………………………</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三、财务状况报告方面的材料…………………………………………………（页码）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四、供应商直接控股股东信息</w:t>
      </w:r>
      <w:r>
        <w:rPr>
          <w:rFonts w:hint="eastAsia" w:ascii="宋体" w:hAnsi="宋体" w:eastAsia="宋体" w:cs="宋体"/>
          <w:color w:val="auto"/>
          <w:kern w:val="0"/>
          <w:sz w:val="24"/>
          <w:highlight w:val="none"/>
        </w:rPr>
        <w:t>…………………………………………………（页码）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五、供应商直接关联关系信息表</w:t>
      </w:r>
      <w:r>
        <w:rPr>
          <w:rFonts w:hint="eastAsia" w:ascii="宋体" w:hAnsi="宋体" w:eastAsia="宋体" w:cs="宋体"/>
          <w:color w:val="auto"/>
          <w:kern w:val="0"/>
          <w:sz w:val="24"/>
          <w:highlight w:val="none"/>
        </w:rPr>
        <w:t>………………………………………………（页码）</w:t>
      </w:r>
    </w:p>
    <w:p>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六、资格声明函…………………………………………………………………（页码）</w:t>
      </w:r>
    </w:p>
    <w:p>
      <w:pPr>
        <w:snapToGrid w:val="0"/>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七</w:t>
      </w:r>
      <w:r>
        <w:rPr>
          <w:rFonts w:hint="eastAsia" w:ascii="宋体" w:hAnsi="宋体" w:eastAsia="宋体" w:cs="宋体"/>
          <w:color w:val="auto"/>
          <w:sz w:val="24"/>
          <w:highlight w:val="none"/>
        </w:rPr>
        <w:t>、</w:t>
      </w:r>
      <w:r>
        <w:rPr>
          <w:rFonts w:hint="eastAsia" w:ascii="宋体" w:hAnsi="宋体" w:eastAsia="宋体"/>
          <w:color w:val="auto"/>
          <w:sz w:val="24"/>
          <w:szCs w:val="24"/>
          <w:highlight w:val="none"/>
          <w:lang w:eastAsia="zh-CN"/>
        </w:rPr>
        <w:t>中小</w:t>
      </w:r>
      <w:r>
        <w:rPr>
          <w:rFonts w:hint="eastAsia" w:ascii="宋体" w:hAnsi="宋体"/>
          <w:color w:val="auto"/>
          <w:sz w:val="24"/>
          <w:szCs w:val="24"/>
          <w:highlight w:val="none"/>
        </w:rPr>
        <w:t>企业声明函或残疾人福利性单位声明函或供应商属于监狱企业的证明材料</w:t>
      </w:r>
      <w:r>
        <w:rPr>
          <w:rFonts w:hint="eastAsia" w:ascii="宋体" w:hAnsi="宋体" w:eastAsia="宋体" w:cs="宋体"/>
          <w:color w:val="auto"/>
          <w:kern w:val="0"/>
          <w:sz w:val="24"/>
          <w:highlight w:val="none"/>
        </w:rPr>
        <w:t>………………………………………………（页码）</w:t>
      </w:r>
    </w:p>
    <w:p>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八</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本项目的</w:t>
      </w:r>
      <w:r>
        <w:rPr>
          <w:rFonts w:hint="eastAsia" w:ascii="宋体" w:hAnsi="宋体" w:eastAsia="宋体" w:cs="宋体"/>
          <w:color w:val="auto"/>
          <w:sz w:val="24"/>
          <w:highlight w:val="none"/>
        </w:rPr>
        <w:t>特定资格要求</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九</w:t>
      </w:r>
      <w:r>
        <w:rPr>
          <w:rFonts w:hint="eastAsia" w:ascii="宋体" w:hAnsi="宋体" w:eastAsia="宋体" w:cs="宋体"/>
          <w:color w:val="auto"/>
          <w:sz w:val="24"/>
          <w:highlight w:val="none"/>
        </w:rPr>
        <w:t>、除磋商文件规定必须提供以外，供应商认为需要提供的其他证明材料。</w:t>
      </w:r>
      <w:r>
        <w:rPr>
          <w:rFonts w:hint="eastAsia" w:ascii="宋体" w:hAnsi="宋体" w:eastAsia="宋体" w:cs="宋体"/>
          <w:color w:val="auto"/>
          <w:kern w:val="0"/>
          <w:sz w:val="24"/>
          <w:highlight w:val="none"/>
        </w:rPr>
        <w:t>…</w:t>
      </w:r>
    </w:p>
    <w:p>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……………………………………………………………………………………（页码）</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lang w:val="en-US" w:eastAsia="zh-CN"/>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spacing w:line="360" w:lineRule="auto"/>
        <w:rPr>
          <w:rFonts w:hint="eastAsia" w:ascii="宋体" w:hAnsi="宋体" w:eastAsia="宋体" w:cs="宋体"/>
          <w:color w:val="auto"/>
          <w:szCs w:val="21"/>
          <w:highlight w:val="none"/>
        </w:rPr>
      </w:pPr>
    </w:p>
    <w:p>
      <w:pPr>
        <w:pStyle w:val="15"/>
        <w:spacing w:line="360" w:lineRule="auto"/>
        <w:ind w:firstLine="400" w:firstLineChars="200"/>
        <w:rPr>
          <w:rFonts w:hint="eastAsia" w:ascii="宋体" w:hAnsi="宋体" w:eastAsia="宋体" w:cs="宋体"/>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宋体" w:hAnsi="宋体" w:eastAsia="宋体" w:cs="宋体"/>
          <w:b/>
          <w:color w:val="auto"/>
          <w:sz w:val="30"/>
          <w:szCs w:val="30"/>
          <w:highlight w:val="none"/>
        </w:rPr>
        <w:t>一、营业执照</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或事业法人登记证或其他工商等登记证明材料</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复印件（</w:t>
      </w: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为自然人的，提供自然人的身份证明）</w:t>
      </w:r>
    </w:p>
    <w:p>
      <w:pPr>
        <w:pStyle w:val="15"/>
        <w:spacing w:line="360" w:lineRule="auto"/>
        <w:ind w:firstLine="602" w:firstLineChars="200"/>
        <w:rPr>
          <w:rFonts w:hint="eastAsia" w:ascii="宋体" w:hAnsi="宋体" w:eastAsia="宋体" w:cs="宋体"/>
          <w:b/>
          <w:color w:val="auto"/>
          <w:sz w:val="30"/>
          <w:szCs w:val="30"/>
          <w:highlight w:val="none"/>
        </w:rPr>
      </w:pPr>
    </w:p>
    <w:p>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snapToGrid w:val="0"/>
        <w:spacing w:before="120" w:beforeLines="50" w:after="50" w:line="360" w:lineRule="auto"/>
        <w:rPr>
          <w:rFonts w:hint="eastAsia" w:ascii="宋体" w:hAnsi="宋体" w:eastAsia="宋体" w:cs="宋体"/>
          <w:color w:val="auto"/>
          <w:sz w:val="24"/>
          <w:szCs w:val="20"/>
          <w:highlight w:val="none"/>
        </w:rPr>
      </w:pPr>
    </w:p>
    <w:p>
      <w:pPr>
        <w:pStyle w:val="15"/>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符合参与政府采购活动的资格条件依法缴纳税收、社会保障资金等方面的材料</w:t>
      </w:r>
    </w:p>
    <w:p>
      <w:pPr>
        <w:spacing w:line="360" w:lineRule="auto"/>
        <w:rPr>
          <w:rFonts w:hint="eastAsia" w:ascii="宋体" w:hAnsi="宋体" w:eastAsia="宋体" w:cs="宋体"/>
          <w:color w:val="auto"/>
          <w:szCs w:val="21"/>
          <w:highlight w:val="none"/>
        </w:rPr>
      </w:pPr>
    </w:p>
    <w:p>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spacing w:line="360" w:lineRule="auto"/>
        <w:rPr>
          <w:rFonts w:hint="eastAsia" w:ascii="宋体" w:hAnsi="宋体" w:eastAsia="宋体" w:cs="宋体"/>
          <w:color w:val="auto"/>
          <w:szCs w:val="21"/>
          <w:highlight w:val="none"/>
        </w:rPr>
      </w:pPr>
    </w:p>
    <w:p>
      <w:pPr>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三、财务状况报告方面的材料</w:t>
      </w:r>
    </w:p>
    <w:p>
      <w:pPr>
        <w:spacing w:line="360" w:lineRule="auto"/>
        <w:rPr>
          <w:rFonts w:hint="eastAsia" w:ascii="宋体" w:hAnsi="宋体" w:eastAsia="宋体" w:cs="宋体"/>
          <w:color w:val="auto"/>
          <w:szCs w:val="21"/>
          <w:highlight w:val="none"/>
        </w:rPr>
      </w:pPr>
    </w:p>
    <w:p>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napToGrid w:val="0"/>
        <w:spacing w:before="120" w:beforeLines="50" w:after="50" w:line="360" w:lineRule="auto"/>
        <w:jc w:val="center"/>
        <w:rPr>
          <w:rFonts w:hint="eastAsia" w:ascii="宋体" w:hAnsi="宋体" w:eastAsia="宋体" w:cs="宋体"/>
          <w:b/>
          <w:color w:val="auto"/>
          <w:sz w:val="24"/>
          <w:highlight w:val="none"/>
        </w:rPr>
      </w:pPr>
    </w:p>
    <w:p>
      <w:pPr>
        <w:spacing w:line="360" w:lineRule="auto"/>
        <w:ind w:firstLine="596" w:firstLineChars="198"/>
        <w:contextualSpacing/>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pacing w:line="360" w:lineRule="auto"/>
        <w:ind w:firstLine="596" w:firstLineChars="198"/>
        <w:contextualSpacing/>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四、供应商直接控股股东信息</w:t>
      </w:r>
    </w:p>
    <w:p>
      <w:pPr>
        <w:spacing w:line="360" w:lineRule="auto"/>
        <w:contextualSpacing/>
        <w:jc w:val="center"/>
        <w:rPr>
          <w:rFonts w:hint="eastAsia" w:ascii="宋体" w:hAnsi="宋体" w:eastAsia="宋体" w:cs="宋体"/>
          <w:b/>
          <w:color w:val="auto"/>
          <w:sz w:val="24"/>
          <w:highlight w:val="none"/>
        </w:rPr>
      </w:pPr>
    </w:p>
    <w:tbl>
      <w:tblPr>
        <w:tblStyle w:val="26"/>
        <w:tblW w:w="10147" w:type="dxa"/>
        <w:jc w:val="center"/>
        <w:tblInd w:w="0" w:type="dxa"/>
        <w:shd w:val="clear" w:color="auto" w:fill="FBFBFB"/>
        <w:tblLayout w:type="fixed"/>
        <w:tblCellMar>
          <w:top w:w="0" w:type="dxa"/>
          <w:left w:w="0" w:type="dxa"/>
          <w:bottom w:w="0" w:type="dxa"/>
          <w:right w:w="0" w:type="dxa"/>
        </w:tblCellMar>
      </w:tblPr>
      <w:tblGrid>
        <w:gridCol w:w="880"/>
        <w:gridCol w:w="2655"/>
        <w:gridCol w:w="1455"/>
        <w:gridCol w:w="4287"/>
        <w:gridCol w:w="870"/>
      </w:tblGrid>
      <w:tr>
        <w:tblPrEx>
          <w:shd w:val="clear" w:color="auto" w:fill="FBFBFB"/>
          <w:tblLayout w:type="fixed"/>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bl>
    <w:p>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2.本表所指的控股关系仅限于直接控股关系，不包括间接的控股关系。公司实际控制人与公司之间的关系不属于本表所指的直接控股关系。</w:t>
      </w:r>
    </w:p>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3.供应商不存在直接控股股东的，则填“无”。</w:t>
      </w:r>
    </w:p>
    <w:p>
      <w:pPr>
        <w:snapToGrid w:val="0"/>
        <w:spacing w:line="360" w:lineRule="auto"/>
        <w:jc w:val="left"/>
        <w:rPr>
          <w:rFonts w:hint="eastAsia" w:ascii="宋体" w:hAnsi="宋体" w:eastAsia="宋体" w:cs="宋体"/>
          <w:color w:val="auto"/>
          <w:sz w:val="24"/>
          <w:highlight w:val="none"/>
        </w:rPr>
      </w:pPr>
    </w:p>
    <w:p>
      <w:pPr>
        <w:snapToGrid w:val="0"/>
        <w:spacing w:line="360" w:lineRule="auto"/>
        <w:jc w:val="left"/>
        <w:rPr>
          <w:rFonts w:hint="eastAsia" w:ascii="宋体" w:hAnsi="宋体" w:eastAsia="宋体" w:cs="宋体"/>
          <w:color w:val="auto"/>
          <w:sz w:val="24"/>
          <w:highlight w:val="none"/>
        </w:rPr>
      </w:pPr>
    </w:p>
    <w:p>
      <w:pPr>
        <w:snapToGrid w:val="0"/>
        <w:spacing w:line="360" w:lineRule="auto"/>
        <w:jc w:val="left"/>
        <w:rPr>
          <w:rFonts w:hint="eastAsia" w:ascii="宋体" w:hAnsi="宋体" w:eastAsia="宋体" w:cs="宋体"/>
          <w:color w:val="auto"/>
          <w:sz w:val="24"/>
          <w:highlight w:val="none"/>
        </w:rPr>
      </w:pPr>
    </w:p>
    <w:p>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snapToGrid w:val="0"/>
        <w:spacing w:line="360" w:lineRule="auto"/>
        <w:rPr>
          <w:rFonts w:hint="eastAsia" w:ascii="宋体" w:hAnsi="宋体" w:eastAsia="宋体" w:cs="宋体"/>
          <w:b/>
          <w:color w:val="auto"/>
          <w:kern w:val="0"/>
          <w:sz w:val="30"/>
          <w:szCs w:val="30"/>
          <w:highlight w:val="none"/>
        </w:rPr>
      </w:pPr>
    </w:p>
    <w:p>
      <w:pPr>
        <w:snapToGrid w:val="0"/>
        <w:spacing w:line="360" w:lineRule="auto"/>
        <w:ind w:firstLine="596" w:firstLineChars="198"/>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napToGrid w:val="0"/>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五、供应商直接管理关系信息表</w:t>
      </w:r>
    </w:p>
    <w:p>
      <w:pPr>
        <w:snapToGrid w:val="0"/>
        <w:spacing w:line="360" w:lineRule="auto"/>
        <w:jc w:val="center"/>
        <w:rPr>
          <w:rFonts w:hint="eastAsia" w:ascii="宋体" w:hAnsi="宋体" w:eastAsia="宋体" w:cs="宋体"/>
          <w:b/>
          <w:color w:val="auto"/>
          <w:sz w:val="24"/>
          <w:highlight w:val="none"/>
        </w:rPr>
      </w:pPr>
    </w:p>
    <w:tbl>
      <w:tblPr>
        <w:tblStyle w:val="26"/>
        <w:tblW w:w="9652" w:type="dxa"/>
        <w:jc w:val="center"/>
        <w:tblInd w:w="0" w:type="dxa"/>
        <w:shd w:val="clear" w:color="auto" w:fill="FBFBFB"/>
        <w:tblLayout w:type="fixed"/>
        <w:tblCellMar>
          <w:top w:w="0" w:type="dxa"/>
          <w:left w:w="0" w:type="dxa"/>
          <w:bottom w:w="0" w:type="dxa"/>
          <w:right w:w="0" w:type="dxa"/>
        </w:tblCellMar>
      </w:tblPr>
      <w:tblGrid>
        <w:gridCol w:w="808"/>
        <w:gridCol w:w="3600"/>
        <w:gridCol w:w="3555"/>
        <w:gridCol w:w="1689"/>
      </w:tblGrid>
      <w:tr>
        <w:tblPrEx>
          <w:shd w:val="clear" w:color="auto" w:fill="FBFBFB"/>
          <w:tblLayout w:type="fixed"/>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r>
        <w:tblPrEx>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pPr>
              <w:widowControl/>
              <w:spacing w:line="360" w:lineRule="auto"/>
              <w:contextualSpacing/>
              <w:jc w:val="center"/>
              <w:rPr>
                <w:rFonts w:hint="eastAsia" w:ascii="宋体" w:hAnsi="宋体" w:eastAsia="宋体" w:cs="宋体"/>
                <w:color w:val="auto"/>
                <w:kern w:val="0"/>
                <w:sz w:val="24"/>
                <w:highlight w:val="none"/>
              </w:rPr>
            </w:pPr>
          </w:p>
        </w:tc>
      </w:tr>
    </w:tbl>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1.管理关系：是指不具有出资持股关系的其他单位之间存在的管理与被管理关系，如一些上下级关系的事业单位和团体组织。</w:t>
      </w:r>
    </w:p>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2.本表所指的管理关系仅限于直接管理关系，不包括间接的管理关系。</w:t>
      </w:r>
    </w:p>
    <w:p>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3.供应商不存在直接管理关系的，则填“无”。</w:t>
      </w:r>
    </w:p>
    <w:p>
      <w:pPr>
        <w:spacing w:line="360" w:lineRule="auto"/>
        <w:contextualSpacing/>
        <w:jc w:val="left"/>
        <w:rPr>
          <w:rFonts w:hint="eastAsia" w:ascii="宋体" w:hAnsi="宋体" w:eastAsia="宋体" w:cs="宋体"/>
          <w:color w:val="auto"/>
          <w:sz w:val="24"/>
          <w:highlight w:val="none"/>
        </w:rPr>
      </w:pPr>
    </w:p>
    <w:p>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spacing w:line="360" w:lineRule="auto"/>
        <w:ind w:right="480" w:firstLine="240" w:firstLineChars="100"/>
        <w:contextualSpacing/>
        <w:jc w:val="center"/>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 xml:space="preserve">                                  </w:t>
      </w:r>
    </w:p>
    <w:p>
      <w:pP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0"/>
          <w:sz w:val="30"/>
          <w:szCs w:val="30"/>
          <w:highlight w:val="none"/>
        </w:rPr>
        <w:t>六、资格声明函</w:t>
      </w:r>
    </w:p>
    <w:p>
      <w:pPr>
        <w:spacing w:line="360" w:lineRule="auto"/>
        <w:jc w:val="center"/>
        <w:rPr>
          <w:rFonts w:hint="eastAsia" w:ascii="宋体" w:hAnsi="宋体" w:eastAsia="宋体" w:cs="宋体"/>
          <w:b/>
          <w:color w:val="auto"/>
          <w:sz w:val="32"/>
          <w:szCs w:val="32"/>
          <w:highlight w:val="none"/>
        </w:rPr>
      </w:pPr>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pPr>
        <w:spacing w:line="360" w:lineRule="auto"/>
        <w:jc w:val="center"/>
        <w:rPr>
          <w:rFonts w:hint="eastAsia" w:ascii="宋体" w:hAnsi="宋体" w:eastAsia="宋体" w:cs="宋体"/>
          <w:color w:val="auto"/>
          <w:sz w:val="24"/>
          <w:szCs w:val="20"/>
          <w:highlight w:val="none"/>
        </w:rPr>
      </w:pPr>
    </w:p>
    <w:p>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（采购代理机构名称）</w:t>
      </w:r>
      <w:r>
        <w:rPr>
          <w:rFonts w:hint="eastAsia" w:ascii="宋体" w:hAnsi="宋体" w:eastAsia="宋体" w:cs="宋体"/>
          <w:color w:val="auto"/>
          <w:sz w:val="24"/>
          <w:highlight w:val="none"/>
        </w:rPr>
        <w:t>：</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cs="宋体"/>
          <w:color w:val="auto"/>
          <w:sz w:val="24"/>
          <w:highlight w:val="none"/>
          <w:u w:val="single"/>
          <w:lang w:val="en-US" w:eastAsia="zh-CN"/>
        </w:rPr>
        <w:t xml:space="preserve">        （项目名称） </w:t>
      </w:r>
      <w:r>
        <w:rPr>
          <w:rFonts w:hint="eastAsia" w:ascii="宋体" w:hAnsi="宋体" w:eastAsia="宋体" w:cs="宋体"/>
          <w:color w:val="auto"/>
          <w:sz w:val="24"/>
          <w:highlight w:val="none"/>
        </w:rPr>
        <w:t>项目的竞标，为便于贵方公正、择优</w:t>
      </w:r>
      <w:r>
        <w:rPr>
          <w:rFonts w:hint="eastAsia" w:ascii="宋体" w:hAnsi="宋体" w:cs="宋体"/>
          <w:color w:val="auto"/>
          <w:sz w:val="24"/>
          <w:highlight w:val="none"/>
          <w:lang w:val="en-US" w:eastAsia="zh-CN"/>
        </w:rPr>
        <w:t>的</w:t>
      </w:r>
      <w:r>
        <w:rPr>
          <w:rFonts w:hint="eastAsia" w:ascii="宋体" w:hAnsi="宋体" w:eastAsia="宋体" w:cs="宋体"/>
          <w:color w:val="auto"/>
          <w:sz w:val="24"/>
          <w:highlight w:val="none"/>
        </w:rPr>
        <w:t>确定成交供应商及其竞标产品和服务，我方就本次竞标有关事项郑重声明如下：</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（4）响应磋商文件规定的竞标有效期。</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pPr>
        <w:pStyle w:val="15"/>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7.与本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有关的一切正式往来信函请寄：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pPr>
        <w:pStyle w:val="15"/>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14"/>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帐号：</w:t>
      </w:r>
      <w:r>
        <w:rPr>
          <w:rFonts w:hint="eastAsia" w:ascii="宋体" w:hAnsi="宋体" w:eastAsia="宋体" w:cs="宋体"/>
          <w:color w:val="auto"/>
          <w:sz w:val="24"/>
          <w:highlight w:val="none"/>
          <w:u w:val="single"/>
        </w:rPr>
        <w:t xml:space="preserve">                               </w:t>
      </w:r>
    </w:p>
    <w:p>
      <w:pPr>
        <w:pStyle w:val="14"/>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pPr>
        <w:pStyle w:val="14"/>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pPr>
        <w:pStyle w:val="14"/>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注：如为联合体竞标，盖章处须加盖联合体各方公章并由联合体各方法定代表人签署，否则其响应文件按无效响应处理。</w:t>
      </w:r>
    </w:p>
    <w:p>
      <w:pPr>
        <w:pStyle w:val="14"/>
        <w:tabs>
          <w:tab w:val="left" w:pos="939"/>
        </w:tabs>
        <w:spacing w:line="360" w:lineRule="auto"/>
        <w:ind w:left="0" w:leftChars="0" w:firstLine="480" w:firstLineChars="200"/>
        <w:rPr>
          <w:rFonts w:hint="eastAsia" w:ascii="宋体" w:hAnsi="宋体" w:eastAsia="宋体" w:cs="宋体"/>
          <w:color w:val="auto"/>
          <w:sz w:val="24"/>
          <w:highlight w:val="none"/>
        </w:rPr>
      </w:pPr>
    </w:p>
    <w:p>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120" w:firstLineChars="2550"/>
        <w:rPr>
          <w:rFonts w:hint="eastAsia" w:ascii="宋体" w:hAnsi="宋体" w:eastAsia="宋体" w:cs="宋体"/>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kern w:val="0"/>
          <w:sz w:val="24"/>
          <w:highlight w:val="none"/>
          <w:lang w:val="zh-CN"/>
        </w:rPr>
        <w:t>日期：  年  月   日</w:t>
      </w:r>
    </w:p>
    <w:p>
      <w:pPr>
        <w:pStyle w:val="15"/>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hAnsi="宋体" w:cs="宋体"/>
          <w:b/>
          <w:color w:val="auto"/>
          <w:kern w:val="2"/>
          <w:sz w:val="30"/>
          <w:szCs w:val="30"/>
          <w:highlight w:val="none"/>
          <w:lang w:val="en-US" w:eastAsia="zh-CN"/>
        </w:rPr>
        <w:t>七</w:t>
      </w:r>
      <w:r>
        <w:rPr>
          <w:rFonts w:hint="eastAsia" w:ascii="宋体" w:hAnsi="宋体" w:eastAsia="宋体" w:cs="宋体"/>
          <w:b/>
          <w:color w:val="auto"/>
          <w:kern w:val="2"/>
          <w:sz w:val="30"/>
          <w:szCs w:val="30"/>
          <w:highlight w:val="none"/>
          <w:lang w:val="en-US" w:eastAsia="zh-CN"/>
        </w:rPr>
        <w:t>、中小企业声明函或残疾人福利性单位声明函或供应商属于监狱企业的证明材料</w:t>
      </w:r>
    </w:p>
    <w:p>
      <w:pP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（采购人名称）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（项目名称）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2.</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，从业人员_____人，营业收入为_____万元，资产总额为_____万元，属于（中型企业、小型企业、微型企业）；</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pStyle w:val="15"/>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pPr>
        <w:pStyle w:val="12"/>
        <w:spacing w:after="0" w:line="360" w:lineRule="auto"/>
        <w:ind w:left="3960" w:right="1808"/>
        <w:contextualSpacing/>
        <w:rPr>
          <w:rFonts w:hint="eastAsia" w:ascii="宋体" w:hAnsi="宋体" w:eastAsia="宋体" w:cs="宋体"/>
          <w:color w:val="auto"/>
          <w:highlight w:val="none"/>
        </w:rPr>
      </w:pPr>
    </w:p>
    <w:p>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pacing w:line="360" w:lineRule="auto"/>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pPr>
        <w:spacing w:line="360" w:lineRule="auto"/>
        <w:rPr>
          <w:rFonts w:hint="eastAsia" w:ascii="宋体" w:hAnsi="宋体" w:eastAsia="宋体" w:cs="宋体"/>
          <w:color w:val="auto"/>
          <w:sz w:val="32"/>
          <w:szCs w:val="32"/>
          <w:highlight w:val="none"/>
        </w:rPr>
      </w:pP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pPr>
        <w:spacing w:line="360" w:lineRule="auto"/>
        <w:contextualSpacing/>
        <w:rPr>
          <w:rFonts w:hint="eastAsia" w:ascii="宋体" w:hAnsi="宋体" w:eastAsia="宋体" w:cs="宋体"/>
          <w:color w:val="auto"/>
          <w:sz w:val="24"/>
          <w:highlight w:val="none"/>
        </w:rPr>
      </w:pPr>
    </w:p>
    <w:p>
      <w:pPr>
        <w:spacing w:line="360" w:lineRule="auto"/>
        <w:contextualSpacing/>
        <w:rPr>
          <w:rFonts w:hint="eastAsia" w:ascii="宋体" w:hAnsi="宋体" w:eastAsia="宋体" w:cs="宋体"/>
          <w:color w:val="auto"/>
          <w:sz w:val="24"/>
          <w:highlight w:val="none"/>
        </w:rPr>
      </w:pPr>
    </w:p>
    <w:p>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pPr>
        <w:spacing w:line="360" w:lineRule="auto"/>
        <w:contextualSpacing/>
        <w:rPr>
          <w:rFonts w:hint="eastAsia" w:ascii="宋体" w:hAnsi="宋体" w:eastAsia="宋体" w:cs="宋体"/>
          <w:color w:val="auto"/>
          <w:sz w:val="24"/>
          <w:highlight w:val="none"/>
        </w:rPr>
      </w:pPr>
    </w:p>
    <w:p>
      <w:pPr>
        <w:spacing w:line="360" w:lineRule="auto"/>
        <w:contextualSpacing/>
        <w:rPr>
          <w:rFonts w:hint="eastAsia" w:ascii="宋体" w:hAnsi="宋体" w:eastAsia="宋体" w:cs="宋体"/>
          <w:color w:val="auto"/>
          <w:sz w:val="24"/>
          <w:highlight w:val="none"/>
        </w:rPr>
      </w:pPr>
    </w:p>
    <w:p>
      <w:pPr>
        <w:spacing w:line="360" w:lineRule="auto"/>
        <w:contextualSpacing/>
        <w:rPr>
          <w:rFonts w:hint="eastAsia" w:ascii="宋体" w:hAnsi="宋体" w:eastAsia="宋体" w:cs="宋体"/>
          <w:color w:val="auto"/>
          <w:sz w:val="24"/>
          <w:highlight w:val="none"/>
        </w:rPr>
      </w:pPr>
    </w:p>
    <w:p>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pPr>
        <w:pStyle w:val="7"/>
        <w:overflowPunct w:val="0"/>
        <w:spacing w:line="360" w:lineRule="auto"/>
        <w:ind w:firstLine="0"/>
        <w:jc w:val="left"/>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val="en-US" w:eastAsia="zh-CN"/>
        </w:rPr>
        <w:t>本项目的</w:t>
      </w:r>
      <w:r>
        <w:rPr>
          <w:rFonts w:hint="eastAsia" w:ascii="宋体" w:hAnsi="宋体" w:eastAsia="宋体" w:cs="宋体"/>
          <w:b/>
          <w:color w:val="auto"/>
          <w:sz w:val="30"/>
          <w:szCs w:val="30"/>
          <w:highlight w:val="none"/>
        </w:rPr>
        <w:t>特定资格要求</w:t>
      </w:r>
    </w:p>
    <w:p>
      <w:pPr>
        <w:snapToGrid w:val="0"/>
        <w:spacing w:line="360" w:lineRule="auto"/>
        <w:ind w:firstLine="602" w:firstLineChars="200"/>
        <w:rPr>
          <w:rFonts w:hint="eastAsia" w:ascii="宋体" w:hAnsi="宋体" w:eastAsia="宋体" w:cs="宋体"/>
          <w:b/>
          <w:color w:val="auto"/>
          <w:sz w:val="30"/>
          <w:szCs w:val="30"/>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pStyle w:val="12"/>
        <w:rPr>
          <w:rFonts w:hint="eastAsia" w:ascii="宋体" w:hAnsi="宋体" w:eastAsia="宋体" w:cs="宋体"/>
          <w:color w:val="auto"/>
          <w:kern w:val="0"/>
          <w:sz w:val="24"/>
          <w:highlight w:val="none"/>
          <w:lang w:val="zh-CN"/>
        </w:rPr>
      </w:pPr>
    </w:p>
    <w:p>
      <w:pPr>
        <w:rPr>
          <w:rFonts w:hint="eastAsia" w:ascii="宋体" w:hAnsi="宋体" w:eastAsia="宋体" w:cs="宋体"/>
          <w:color w:val="auto"/>
          <w:kern w:val="0"/>
          <w:sz w:val="24"/>
          <w:highlight w:val="none"/>
          <w:lang w:val="zh-CN"/>
        </w:rPr>
      </w:pPr>
    </w:p>
    <w:p>
      <w:pPr>
        <w:pStyle w:val="12"/>
        <w:rPr>
          <w:rFonts w:hint="eastAsia" w:ascii="宋体" w:hAnsi="宋体" w:eastAsia="宋体" w:cs="宋体"/>
          <w:color w:val="auto"/>
          <w:kern w:val="0"/>
          <w:sz w:val="24"/>
          <w:highlight w:val="none"/>
          <w:lang w:val="zh-CN"/>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rPr>
        <w:t>、除磋商文件规定必须提供以外，供应商认为需要提供的其他证明材料。</w:t>
      </w:r>
    </w:p>
    <w:p>
      <w:pPr>
        <w:rPr>
          <w:rFonts w:hint="eastAsia" w:ascii="宋体" w:hAnsi="宋体" w:eastAsia="宋体" w:cs="宋体"/>
          <w:color w:val="auto"/>
          <w:kern w:val="0"/>
          <w:sz w:val="24"/>
          <w:highlight w:val="none"/>
          <w:lang w:val="zh-CN"/>
        </w:rPr>
      </w:pPr>
    </w:p>
    <w:p>
      <w:pPr>
        <w:pStyle w:val="12"/>
        <w:rPr>
          <w:rFonts w:hint="eastAsia"/>
          <w:color w:val="auto"/>
          <w:highlight w:val="none"/>
          <w:lang w:val="zh-CN"/>
        </w:rPr>
      </w:pPr>
    </w:p>
    <w:p>
      <w:pPr>
        <w:rPr>
          <w:rFonts w:hint="eastAsia"/>
          <w:color w:val="auto"/>
          <w:highlight w:val="none"/>
          <w:lang w:val="zh-CN"/>
        </w:rPr>
      </w:pPr>
    </w:p>
    <w:p>
      <w:pPr>
        <w:pStyle w:val="12"/>
        <w:rPr>
          <w:rFonts w:hint="eastAsia"/>
          <w:color w:val="auto"/>
          <w:highlight w:val="none"/>
          <w:lang w:val="zh-CN"/>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rPr>
          <w:rFonts w:hint="eastAsia"/>
          <w:color w:val="auto"/>
          <w:highlight w:val="none"/>
          <w:lang w:val="zh-CN"/>
        </w:rPr>
      </w:pPr>
    </w:p>
    <w:p>
      <w:pPr>
        <w:pStyle w:val="12"/>
        <w:rPr>
          <w:rFonts w:hint="eastAsia"/>
          <w:color w:val="auto"/>
          <w:highlight w:val="none"/>
          <w:lang w:val="zh-CN"/>
        </w:rPr>
      </w:pPr>
    </w:p>
    <w:p>
      <w:pPr>
        <w:rPr>
          <w:rFonts w:hint="eastAsia"/>
          <w:color w:val="auto"/>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3"/>
        <w:spacing w:line="360" w:lineRule="auto"/>
        <w:jc w:val="center"/>
        <w:rPr>
          <w:rFonts w:hint="eastAsia" w:ascii="宋体" w:hAnsi="宋体" w:eastAsia="宋体" w:cs="宋体"/>
          <w:b w:val="0"/>
          <w:color w:val="auto"/>
          <w:highlight w:val="none"/>
        </w:rPr>
      </w:pPr>
      <w:bookmarkStart w:id="103" w:name="_Toc24675"/>
      <w:bookmarkStart w:id="104" w:name="_Toc22872"/>
      <w:bookmarkStart w:id="105" w:name="_Toc80205940"/>
      <w:bookmarkStart w:id="106" w:name="_Toc8220"/>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03"/>
      <w:bookmarkEnd w:id="104"/>
      <w:bookmarkEnd w:id="105"/>
      <w:bookmarkEnd w:id="106"/>
    </w:p>
    <w:p>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件（封面）</w:t>
      </w: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商务技术文件目录</w:t>
      </w:r>
    </w:p>
    <w:p>
      <w:pPr>
        <w:spacing w:line="360" w:lineRule="auto"/>
        <w:jc w:val="center"/>
        <w:rPr>
          <w:rFonts w:hint="eastAsia" w:ascii="宋体" w:hAnsi="宋体" w:eastAsia="宋体" w:cs="宋体"/>
          <w:b/>
          <w:color w:val="auto"/>
          <w:kern w:val="0"/>
          <w:sz w:val="28"/>
          <w:szCs w:val="28"/>
          <w:highlight w:val="none"/>
        </w:rPr>
      </w:pPr>
    </w:p>
    <w:p>
      <w:pPr>
        <w:pStyle w:val="31"/>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一、无串通竞标行为的承诺函……………………………………………………（页码）</w:t>
      </w:r>
    </w:p>
    <w:p>
      <w:pPr>
        <w:pStyle w:val="31"/>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二、法定代表人身份证明书及法定代表人有效身份证正反面复印件…………（页码）</w:t>
      </w:r>
    </w:p>
    <w:p>
      <w:pPr>
        <w:pStyle w:val="31"/>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三、法定代表人授权委托书及委托代理人有效身份证正反面复印件（如有委托时）……………………………（页码）</w:t>
      </w:r>
    </w:p>
    <w:p>
      <w:pPr>
        <w:pStyle w:val="31"/>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pPr>
        <w:pStyle w:val="31"/>
        <w:spacing w:line="360" w:lineRule="auto"/>
        <w:rPr>
          <w:rFonts w:hint="eastAsia" w:ascii="宋体" w:hAnsi="宋体" w:eastAsia="宋体" w:cs="宋体"/>
          <w:color w:val="auto"/>
          <w:highlight w:val="none"/>
        </w:rPr>
      </w:pPr>
      <w:bookmarkStart w:id="107" w:name="OLE_LINK7"/>
      <w:bookmarkStart w:id="108" w:name="OLE_LINK6"/>
      <w:bookmarkStart w:id="109" w:name="OLE_LINK5"/>
      <w:r>
        <w:rPr>
          <w:rFonts w:hint="eastAsia" w:ascii="宋体" w:hAnsi="宋体" w:eastAsia="宋体" w:cs="宋体"/>
          <w:color w:val="auto"/>
          <w:highlight w:val="none"/>
        </w:rPr>
        <w:t>五、竞标人情况介绍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pPr>
        <w:pStyle w:val="31"/>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供应商类似业绩的证明文件</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pPr>
        <w:pStyle w:val="31"/>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七、供应商认为需要提供的其他有关资料</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val="en-US" w:eastAsia="zh-CN"/>
        </w:rPr>
        <w:t>（页码）</w:t>
      </w:r>
      <w:bookmarkEnd w:id="107"/>
      <w:bookmarkEnd w:id="108"/>
    </w:p>
    <w:bookmarkEnd w:id="109"/>
    <w:p>
      <w:pPr>
        <w:pStyle w:val="31"/>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八、采购需求内容响应偏离表</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pPr>
        <w:pStyle w:val="31"/>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九、企业概况表…………………………………………………………</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pPr>
        <w:pStyle w:val="31"/>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十、项目经理（或建造师）简历表……………………………………………（页码）</w:t>
      </w:r>
    </w:p>
    <w:p>
      <w:pPr>
        <w:pStyle w:val="31"/>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十一、项目管理机构配备情况表…………………………………………………（页码）</w:t>
      </w:r>
    </w:p>
    <w:p>
      <w:pPr>
        <w:pStyle w:val="31"/>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十二、施工组织设计………………………………………………………………（页码）</w:t>
      </w:r>
    </w:p>
    <w:p>
      <w:pPr>
        <w:pStyle w:val="31"/>
        <w:spacing w:line="360" w:lineRule="auto"/>
        <w:ind w:left="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十三、建设工程项目管理承诺书…………………………………………………（页码）</w:t>
      </w:r>
    </w:p>
    <w:p>
      <w:pPr>
        <w:pStyle w:val="31"/>
        <w:spacing w:line="360" w:lineRule="auto"/>
        <w:ind w:left="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十四、农民工工资保证金承诺书…………………………………………………（页码）</w:t>
      </w:r>
    </w:p>
    <w:p>
      <w:pPr>
        <w:pStyle w:val="31"/>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十五、供应商认为需要提供的其他有关资料……………………………………（页码）</w:t>
      </w:r>
    </w:p>
    <w:p>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pP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一、无串通竞标行为的承诺函</w:t>
      </w: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szCs w:val="44"/>
          <w:highlight w:val="none"/>
        </w:rPr>
        <w:t>无串通竞标行为的承诺函</w:t>
      </w: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pPr>
        <w:spacing w:line="360" w:lineRule="auto"/>
        <w:ind w:firstLine="480" w:firstLineChars="200"/>
        <w:contextualSpacing/>
        <w:rPr>
          <w:rFonts w:hint="eastAsia" w:ascii="宋体" w:hAnsi="宋体" w:eastAsia="宋体" w:cs="宋体"/>
          <w:color w:val="auto"/>
          <w:sz w:val="24"/>
          <w:highlight w:val="none"/>
        </w:rPr>
      </w:pPr>
    </w:p>
    <w:p>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spacing w:line="360" w:lineRule="auto"/>
        <w:ind w:left="237" w:leftChars="113" w:firstLine="5860" w:firstLineChars="2442"/>
        <w:jc w:val="left"/>
        <w:rPr>
          <w:rFonts w:hint="eastAsia" w:ascii="宋体" w:hAnsi="宋体" w:eastAsia="宋体" w:cs="宋体"/>
          <w:bCs/>
          <w:color w:val="auto"/>
          <w:sz w:val="44"/>
          <w:szCs w:val="44"/>
          <w:highlight w:val="none"/>
        </w:rPr>
      </w:pPr>
      <w:r>
        <w:rPr>
          <w:rFonts w:hint="eastAsia" w:ascii="宋体" w:hAnsi="宋体" w:eastAsia="宋体" w:cs="宋体"/>
          <w:color w:val="auto"/>
          <w:kern w:val="0"/>
          <w:sz w:val="24"/>
          <w:highlight w:val="none"/>
          <w:lang w:val="zh-CN"/>
        </w:rPr>
        <w:t xml:space="preserve">日期：  年  月   日   </w:t>
      </w: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0"/>
          <w:szCs w:val="30"/>
          <w:highlight w:val="none"/>
        </w:rPr>
        <w:t>二、法定代表人身份证明及法定代表人有效身份证正反面复印件</w:t>
      </w:r>
    </w:p>
    <w:p>
      <w:pP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44"/>
          <w:szCs w:val="44"/>
          <w:highlight w:val="none"/>
        </w:rPr>
        <w:t>法定代表人证明书</w:t>
      </w:r>
    </w:p>
    <w:p>
      <w:pPr>
        <w:spacing w:line="360" w:lineRule="auto"/>
        <w:ind w:left="540"/>
        <w:contextualSpacing/>
        <w:rPr>
          <w:rFonts w:hint="eastAsia" w:ascii="宋体" w:hAnsi="宋体" w:eastAsia="宋体" w:cs="宋体"/>
          <w:color w:val="auto"/>
          <w:sz w:val="32"/>
          <w:szCs w:val="32"/>
          <w:highlight w:val="none"/>
        </w:rPr>
      </w:pP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pPr>
        <w:spacing w:line="360" w:lineRule="auto"/>
        <w:ind w:left="540"/>
        <w:contextualSpacing/>
        <w:rPr>
          <w:rFonts w:hint="eastAsia" w:ascii="宋体" w:hAnsi="宋体" w:eastAsia="宋体" w:cs="宋体"/>
          <w:color w:val="auto"/>
          <w:sz w:val="24"/>
          <w:highlight w:val="none"/>
        </w:rPr>
      </w:pPr>
    </w:p>
    <w:p>
      <w:pPr>
        <w:spacing w:line="360" w:lineRule="auto"/>
        <w:ind w:left="540"/>
        <w:contextualSpacing/>
        <w:rPr>
          <w:rFonts w:hint="eastAsia" w:ascii="宋体" w:hAnsi="宋体" w:eastAsia="宋体" w:cs="宋体"/>
          <w:color w:val="auto"/>
          <w:sz w:val="24"/>
          <w:highlight w:val="none"/>
        </w:rPr>
      </w:pPr>
    </w:p>
    <w:p>
      <w:pPr>
        <w:spacing w:line="360" w:lineRule="auto"/>
        <w:ind w:left="540"/>
        <w:contextualSpacing/>
        <w:rPr>
          <w:rFonts w:hint="eastAsia" w:ascii="宋体" w:hAnsi="宋体" w:eastAsia="宋体" w:cs="宋体"/>
          <w:color w:val="auto"/>
          <w:sz w:val="24"/>
          <w:highlight w:val="none"/>
        </w:rPr>
      </w:pPr>
    </w:p>
    <w:p>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pPr>
        <w:spacing w:line="360" w:lineRule="auto"/>
        <w:ind w:left="540"/>
        <w:contextualSpacing/>
        <w:rPr>
          <w:rFonts w:hint="eastAsia" w:ascii="宋体" w:hAnsi="宋体" w:eastAsia="宋体" w:cs="宋体"/>
          <w:color w:val="auto"/>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pPr>
        <w:spacing w:line="360" w:lineRule="auto"/>
        <w:contextualSpacing/>
        <w:jc w:val="left"/>
        <w:rPr>
          <w:rFonts w:hint="eastAsia" w:ascii="宋体" w:hAnsi="宋体" w:eastAsia="宋体" w:cs="宋体"/>
          <w:color w:val="auto"/>
          <w:sz w:val="24"/>
          <w:highlight w:val="none"/>
        </w:rPr>
      </w:pPr>
    </w:p>
    <w:p>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pPr>
        <w:spacing w:line="360" w:lineRule="auto"/>
        <w:ind w:firstLine="480" w:firstLineChars="200"/>
        <w:contextualSpacing/>
        <w:jc w:val="left"/>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6"/>
        <w:tblpPr w:leftFromText="180" w:rightFromText="180" w:vertAnchor="text" w:horzAnchor="margin" w:tblpY="1169"/>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0" w:hRule="atLeast"/>
        </w:trPr>
        <w:tc>
          <w:tcPr>
            <w:tcW w:w="9400" w:type="dxa"/>
            <w:noWrap w:val="0"/>
            <w:vAlign w:val="top"/>
          </w:tcPr>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pP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pPr>
        <w:adjustRightInd w:val="0"/>
        <w:snapToGrid w:val="0"/>
        <w:spacing w:line="360" w:lineRule="auto"/>
        <w:jc w:val="left"/>
        <w:rPr>
          <w:rFonts w:hint="eastAsia" w:ascii="宋体" w:hAnsi="宋体" w:eastAsia="宋体" w:cs="宋体"/>
          <w:b/>
          <w:color w:val="auto"/>
          <w:szCs w:val="21"/>
          <w:highlight w:val="none"/>
        </w:rPr>
      </w:pPr>
    </w:p>
    <w:p>
      <w:pPr>
        <w:spacing w:line="360" w:lineRule="auto"/>
        <w:ind w:firstLine="880"/>
        <w:jc w:val="left"/>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三、法定代表人授权委托书及委托代理人有效身份证正反面复印件</w:t>
      </w:r>
    </w:p>
    <w:p>
      <w:pPr>
        <w:spacing w:line="360" w:lineRule="auto"/>
        <w:jc w:val="center"/>
        <w:rPr>
          <w:rFonts w:hint="eastAsia" w:ascii="宋体" w:hAnsi="宋体" w:eastAsia="宋体" w:cs="宋体"/>
          <w:color w:val="auto"/>
          <w:sz w:val="44"/>
          <w:szCs w:val="44"/>
          <w:highlight w:val="none"/>
        </w:rPr>
      </w:pPr>
    </w:p>
    <w:p>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授权委托书（非联合体竞标格式）</w:t>
      </w:r>
    </w:p>
    <w:p>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kern w:val="0"/>
          <w:sz w:val="24"/>
          <w:highlight w:val="none"/>
        </w:rPr>
        <w:t>供应商名称（电子签章）：</w:t>
      </w:r>
    </w:p>
    <w:p>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法定代表人必须在授权委托书上亲笔签字，委托代理人必须在授权委托书上亲笔签字，</w:t>
      </w:r>
      <w:r>
        <w:rPr>
          <w:rFonts w:hint="eastAsia" w:ascii="宋体" w:hAnsi="宋体" w:eastAsia="宋体" w:cs="宋体"/>
          <w:b/>
          <w:color w:val="auto"/>
          <w:sz w:val="24"/>
          <w:highlight w:val="none"/>
        </w:rPr>
        <w:t>否则其响应文件按无效响应处理。</w:t>
      </w:r>
    </w:p>
    <w:p>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pPr>
        <w:spacing w:line="360" w:lineRule="auto"/>
        <w:ind w:firstLine="42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 w:val="30"/>
          <w:szCs w:val="30"/>
          <w:highlight w:val="none"/>
        </w:rPr>
        <w:t>四、商务条款偏离表</w:t>
      </w:r>
    </w:p>
    <w:p>
      <w:pP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
          <w:bCs w:val="0"/>
          <w:color w:val="auto"/>
          <w:sz w:val="44"/>
          <w:szCs w:val="44"/>
          <w:highlight w:val="none"/>
        </w:rPr>
        <w:t>商务条款偏离表</w:t>
      </w:r>
    </w:p>
    <w:p>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p>
    <w:p>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6"/>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248"/>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2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4"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pPr>
        <w:pStyle w:val="13"/>
        <w:keepNext w:val="0"/>
        <w:keepLines w:val="0"/>
        <w:pageBreakBefore w:val="0"/>
        <w:widowControl w:val="0"/>
        <w:kinsoku/>
        <w:wordWrap/>
        <w:overflowPunct/>
        <w:topLinePunct w:val="0"/>
        <w:autoSpaceDE/>
        <w:autoSpaceDN/>
        <w:bidi w:val="0"/>
        <w:adjustRightInd/>
        <w:snapToGrid/>
        <w:spacing w:line="400" w:lineRule="exact"/>
        <w:ind w:firstLine="0" w:firstLineChars="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1.说明：应对照磋商文件“第二章 采购需求”中的商务条款逐条作出明确响应，并</w:t>
      </w:r>
      <w:r>
        <w:rPr>
          <w:rFonts w:hint="eastAsia" w:hAnsi="宋体" w:eastAsia="宋体" w:cs="宋体"/>
          <w:color w:val="auto"/>
          <w:sz w:val="24"/>
          <w:szCs w:val="24"/>
          <w:highlight w:val="none"/>
          <w:lang w:eastAsia="zh-CN"/>
        </w:rPr>
        <w:t>做出</w:t>
      </w:r>
      <w:r>
        <w:rPr>
          <w:rFonts w:hint="eastAsia" w:ascii="宋体" w:hAnsi="宋体" w:eastAsia="宋体" w:cs="宋体"/>
          <w:color w:val="auto"/>
          <w:sz w:val="24"/>
          <w:szCs w:val="24"/>
          <w:highlight w:val="none"/>
          <w:lang w:eastAsia="zh-CN"/>
        </w:rPr>
        <w:t>偏离说明。</w:t>
      </w:r>
    </w:p>
    <w:p>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2.供应商应根据自身的承诺，对照磋商文件要求，在“偏离说明”中注明“正偏离”、“负偏离”或者“无偏离”。既不属于“正偏离”也不属于“负偏离”即为“无偏离”。</w:t>
      </w:r>
      <w:r>
        <w:rPr>
          <w:rFonts w:hint="eastAsia" w:ascii="宋体" w:hAnsi="宋体" w:eastAsia="宋体" w:cs="宋体"/>
          <w:b/>
          <w:bCs/>
          <w:color w:val="auto"/>
          <w:sz w:val="24"/>
          <w:szCs w:val="24"/>
          <w:highlight w:val="none"/>
          <w:lang w:eastAsia="zh-CN"/>
        </w:rPr>
        <w:t>当响应文件的</w:t>
      </w:r>
      <w:r>
        <w:rPr>
          <w:rFonts w:hint="eastAsia" w:ascii="宋体" w:hAnsi="宋体" w:eastAsia="宋体" w:cs="宋体"/>
          <w:color w:val="auto"/>
          <w:sz w:val="24"/>
          <w:szCs w:val="24"/>
          <w:highlight w:val="none"/>
          <w:lang w:eastAsia="zh-CN"/>
        </w:rPr>
        <w:t>商务内容低于竞争性磋商文件要求时，竞标人应当如实写明“负偏离”，否则视为虚假应标</w:t>
      </w:r>
    </w:p>
    <w:p>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3.表格内容均需按要求填写，不得留空，否则按竞标无效处理。</w:t>
      </w:r>
    </w:p>
    <w:p>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pPr>
        <w:pStyle w:val="15"/>
        <w:spacing w:line="360" w:lineRule="auto"/>
        <w:contextualSpacing/>
        <w:rPr>
          <w:rFonts w:hint="eastAsia" w:ascii="宋体" w:hAnsi="宋体" w:eastAsia="宋体" w:cs="宋体"/>
          <w:color w:val="auto"/>
          <w:sz w:val="24"/>
          <w:highlight w:val="none"/>
          <w:lang w:eastAsia="zh-CN"/>
        </w:rPr>
      </w:pPr>
    </w:p>
    <w:p>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供应商名称（电子签章）：</w:t>
      </w:r>
    </w:p>
    <w:p>
      <w:pPr>
        <w:spacing w:line="360" w:lineRule="auto"/>
        <w:contextualSpacing/>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五、竞标人情况介绍</w:t>
      </w:r>
    </w:p>
    <w:p>
      <w:pPr>
        <w:snapToGrid w:val="0"/>
        <w:spacing w:line="360" w:lineRule="auto"/>
        <w:ind w:firstLine="602" w:firstLineChars="200"/>
        <w:rPr>
          <w:rFonts w:hint="eastAsia" w:ascii="宋体" w:hAnsi="宋体" w:eastAsia="宋体" w:cs="宋体"/>
          <w:b/>
          <w:color w:val="auto"/>
          <w:sz w:val="30"/>
          <w:szCs w:val="30"/>
          <w:highlight w:val="none"/>
        </w:rPr>
      </w:pPr>
    </w:p>
    <w:p>
      <w:pPr>
        <w:pStyle w:val="12"/>
        <w:spacing w:line="360" w:lineRule="auto"/>
        <w:rPr>
          <w:rFonts w:hint="eastAsia" w:ascii="宋体" w:hAnsi="宋体" w:eastAsia="宋体" w:cs="宋体"/>
          <w:b/>
          <w:color w:val="auto"/>
          <w:sz w:val="30"/>
          <w:szCs w:val="30"/>
          <w:highlight w:val="none"/>
        </w:rPr>
      </w:pPr>
    </w:p>
    <w:p>
      <w:pPr>
        <w:pStyle w:val="12"/>
        <w:spacing w:line="360" w:lineRule="auto"/>
        <w:rPr>
          <w:rFonts w:hint="eastAsia" w:ascii="宋体" w:hAnsi="宋体" w:eastAsia="宋体" w:cs="宋体"/>
          <w:b/>
          <w:color w:val="auto"/>
          <w:sz w:val="30"/>
          <w:szCs w:val="30"/>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spacing w:line="360" w:lineRule="auto"/>
        <w:ind w:left="0" w:leftChars="0" w:firstLine="6098" w:firstLineChars="2541"/>
        <w:contextualSpacing/>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pPr>
        <w:snapToGrid w:val="0"/>
        <w:spacing w:before="120" w:beforeLines="50" w:after="50" w:line="360" w:lineRule="auto"/>
        <w:ind w:firstLine="602" w:firstLineChars="200"/>
        <w:rPr>
          <w:rFonts w:hint="eastAsia" w:ascii="宋体" w:hAnsi="宋体" w:eastAsia="宋体" w:cs="宋体"/>
          <w:b/>
          <w:color w:val="auto"/>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tabs>
          <w:tab w:val="left" w:pos="826"/>
        </w:tabs>
        <w:snapToGrid w:val="0"/>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六</w:t>
      </w:r>
      <w:r>
        <w:rPr>
          <w:rFonts w:hint="eastAsia" w:ascii="宋体" w:hAnsi="宋体" w:eastAsia="宋体" w:cs="宋体"/>
          <w:b/>
          <w:color w:val="auto"/>
          <w:sz w:val="30"/>
          <w:szCs w:val="30"/>
          <w:highlight w:val="none"/>
        </w:rPr>
        <w:t>、供应商类似业绩的证明文件</w:t>
      </w:r>
    </w:p>
    <w:p>
      <w:pPr>
        <w:tabs>
          <w:tab w:val="left" w:pos="826"/>
        </w:tabs>
        <w:snapToGrid w:val="0"/>
        <w:ind w:firstLine="602" w:firstLineChars="20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类似</w:t>
      </w:r>
      <w:r>
        <w:rPr>
          <w:rFonts w:hint="eastAsia" w:ascii="宋体" w:hAnsi="宋体" w:cs="宋体"/>
          <w:b/>
          <w:color w:val="auto"/>
          <w:sz w:val="30"/>
          <w:szCs w:val="30"/>
          <w:highlight w:val="none"/>
          <w:lang w:val="en-US" w:eastAsia="zh-CN"/>
        </w:rPr>
        <w:t>业绩</w:t>
      </w:r>
      <w:r>
        <w:rPr>
          <w:rFonts w:hint="eastAsia" w:ascii="宋体" w:hAnsi="宋体" w:cs="宋体"/>
          <w:b/>
          <w:color w:val="auto"/>
          <w:sz w:val="30"/>
          <w:szCs w:val="30"/>
          <w:highlight w:val="none"/>
        </w:rPr>
        <w:t>一览表</w:t>
      </w:r>
    </w:p>
    <w:p>
      <w:pPr>
        <w:pStyle w:val="12"/>
        <w:rPr>
          <w:color w:val="auto"/>
          <w:highlight w:val="none"/>
        </w:rPr>
      </w:pPr>
    </w:p>
    <w:tbl>
      <w:tblPr>
        <w:tblStyle w:val="26"/>
        <w:tblW w:w="93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60"/>
        <w:gridCol w:w="2573"/>
        <w:gridCol w:w="2355"/>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发包人名称</w:t>
            </w:r>
          </w:p>
        </w:tc>
        <w:tc>
          <w:tcPr>
            <w:tcW w:w="257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工程名称</w:t>
            </w:r>
          </w:p>
          <w:p>
            <w:pPr>
              <w:jc w:val="center"/>
              <w:rPr>
                <w:rFonts w:ascii="宋体" w:hAnsi="宋体"/>
                <w:color w:val="auto"/>
                <w:sz w:val="24"/>
                <w:szCs w:val="24"/>
                <w:highlight w:val="none"/>
              </w:rPr>
            </w:pPr>
            <w:r>
              <w:rPr>
                <w:rFonts w:hint="eastAsia" w:ascii="宋体" w:hAnsi="宋体" w:cs="宋体"/>
                <w:color w:val="auto"/>
                <w:sz w:val="24"/>
                <w:szCs w:val="24"/>
                <w:highlight w:val="none"/>
              </w:rPr>
              <w:t>及建设地点</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建设规模</w:t>
            </w:r>
          </w:p>
        </w:tc>
        <w:tc>
          <w:tcPr>
            <w:tcW w:w="191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r>
              <w:rPr>
                <w:rFonts w:hint="eastAsia" w:ascii="宋体" w:hAnsi="宋体" w:cs="宋体"/>
                <w:color w:val="auto"/>
                <w:sz w:val="24"/>
                <w:szCs w:val="24"/>
                <w:highlight w:val="none"/>
              </w:rPr>
              <w:t>合同金额</w:t>
            </w:r>
          </w:p>
          <w:p>
            <w:pPr>
              <w:jc w:val="center"/>
              <w:rPr>
                <w:rFonts w:ascii="宋体" w:hAnsi="宋体"/>
                <w:color w:val="auto"/>
                <w:sz w:val="24"/>
                <w:szCs w:val="24"/>
                <w:highlight w:val="none"/>
              </w:rPr>
            </w:pPr>
            <w:r>
              <w:rPr>
                <w:rFonts w:hint="eastAsia" w:ascii="宋体" w:hAnsi="宋体" w:cs="宋体"/>
                <w:color w:val="auto"/>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91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91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91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91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91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91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235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c>
          <w:tcPr>
            <w:tcW w:w="191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4"/>
                <w:szCs w:val="24"/>
                <w:highlight w:val="none"/>
              </w:rPr>
            </w:pPr>
          </w:p>
        </w:tc>
      </w:tr>
    </w:tbl>
    <w:p>
      <w:pPr>
        <w:ind w:firstLine="480" w:firstLineChars="200"/>
        <w:rPr>
          <w:rFonts w:ascii="宋体" w:hAnsi="宋体"/>
          <w:color w:val="auto"/>
          <w:sz w:val="24"/>
          <w:szCs w:val="24"/>
          <w:highlight w:val="none"/>
        </w:rPr>
      </w:pPr>
      <w:bookmarkStart w:id="110" w:name="OLE_LINK26"/>
    </w:p>
    <w:bookmarkEnd w:id="110"/>
    <w:p>
      <w:pPr>
        <w:jc w:val="center"/>
        <w:rPr>
          <w:rFonts w:ascii="宋体" w:hAnsi="宋体"/>
          <w:color w:val="auto"/>
          <w:sz w:val="24"/>
          <w:szCs w:val="24"/>
          <w:highlight w:val="none"/>
        </w:rPr>
      </w:pPr>
    </w:p>
    <w:p>
      <w:pPr>
        <w:widowControl/>
        <w:tabs>
          <w:tab w:val="center" w:pos="4153"/>
          <w:tab w:val="right" w:pos="8306"/>
        </w:tabs>
        <w:snapToGrid w:val="0"/>
        <w:jc w:val="left"/>
        <w:rPr>
          <w:rFonts w:ascii="宋体" w:hAnsi="宋体"/>
          <w:color w:val="auto"/>
          <w:kern w:val="0"/>
          <w:sz w:val="24"/>
          <w:szCs w:val="24"/>
          <w:highlight w:val="none"/>
        </w:rPr>
      </w:pPr>
    </w:p>
    <w:p>
      <w:pPr>
        <w:widowControl/>
        <w:tabs>
          <w:tab w:val="center" w:pos="4153"/>
          <w:tab w:val="right" w:pos="8306"/>
        </w:tabs>
        <w:snapToGrid w:val="0"/>
        <w:jc w:val="left"/>
        <w:rPr>
          <w:rFonts w:ascii="宋体" w:hAnsi="宋体"/>
          <w:color w:val="auto"/>
          <w:kern w:val="0"/>
          <w:sz w:val="24"/>
          <w:szCs w:val="24"/>
          <w:highlight w:val="none"/>
        </w:rPr>
      </w:pPr>
    </w:p>
    <w:p>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pPr>
        <w:snapToGrid w:val="0"/>
        <w:spacing w:before="120" w:beforeLines="50" w:after="50" w:line="360" w:lineRule="auto"/>
        <w:rPr>
          <w:rFonts w:hint="eastAsia" w:ascii="宋体" w:hAnsi="宋体" w:cs="仿宋_GB2312"/>
          <w:color w:val="auto"/>
          <w:kern w:val="0"/>
          <w:sz w:val="24"/>
          <w:szCs w:val="24"/>
          <w:highlight w:val="none"/>
          <w:lang w:val="zh-CN"/>
        </w:rPr>
      </w:pP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eastAsia="zh-CN"/>
        </w:rPr>
      </w:pPr>
    </w:p>
    <w:p>
      <w:pPr>
        <w:pStyle w:val="22"/>
        <w:snapToGrid w:val="0"/>
        <w:spacing w:line="360" w:lineRule="auto"/>
        <w:ind w:left="480" w:hanging="480"/>
        <w:rPr>
          <w:rFonts w:hint="eastAsia" w:ascii="宋体" w:hAnsi="宋体" w:eastAsia="宋体" w:cs="宋体"/>
          <w:color w:val="auto"/>
          <w:sz w:val="24"/>
          <w:highlight w:val="none"/>
        </w:rPr>
      </w:pPr>
    </w:p>
    <w:p>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cs="宋体"/>
          <w:b/>
          <w:color w:val="auto"/>
          <w:sz w:val="30"/>
          <w:szCs w:val="30"/>
          <w:highlight w:val="none"/>
        </w:rPr>
        <w:t>、供应商认为需要提供的其他有关资料</w:t>
      </w: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rPr>
      </w:pPr>
    </w:p>
    <w:p>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八</w:t>
      </w:r>
      <w:r>
        <w:rPr>
          <w:rFonts w:hint="eastAsia" w:ascii="宋体" w:hAnsi="宋体" w:cs="宋体"/>
          <w:b/>
          <w:color w:val="auto"/>
          <w:sz w:val="30"/>
          <w:szCs w:val="30"/>
          <w:highlight w:val="none"/>
          <w:lang w:eastAsia="zh-CN"/>
        </w:rPr>
        <w:t>、采购需求内容响应偏离表</w:t>
      </w:r>
    </w:p>
    <w:p>
      <w:pPr>
        <w:jc w:val="center"/>
        <w:rPr>
          <w:rFonts w:hint="eastAsia" w:ascii="宋体" w:hAnsi="宋体" w:cs="宋体"/>
          <w:b/>
          <w:color w:val="auto"/>
          <w:sz w:val="30"/>
          <w:szCs w:val="30"/>
          <w:highlight w:val="none"/>
          <w:lang w:eastAsia="zh-CN"/>
        </w:rPr>
      </w:pPr>
    </w:p>
    <w:p>
      <w:pPr>
        <w:spacing w:line="360" w:lineRule="auto"/>
        <w:jc w:val="center"/>
        <w:rPr>
          <w:rFonts w:hint="eastAsia" w:ascii="宋体" w:hAnsi="宋体" w:eastAsia="宋体" w:cs="宋体"/>
          <w:bCs/>
          <w:color w:val="auto"/>
          <w:sz w:val="36"/>
          <w:szCs w:val="36"/>
          <w:highlight w:val="none"/>
        </w:rPr>
      </w:pPr>
      <w:r>
        <w:rPr>
          <w:rFonts w:hint="eastAsia" w:ascii="宋体" w:hAnsi="宋体" w:eastAsia="宋体" w:cs="宋体"/>
          <w:b/>
          <w:bCs w:val="0"/>
          <w:color w:val="auto"/>
          <w:sz w:val="44"/>
          <w:szCs w:val="44"/>
          <w:highlight w:val="none"/>
          <w:lang w:val="en-US" w:eastAsia="zh-CN"/>
        </w:rPr>
        <w:t>采购</w:t>
      </w:r>
      <w:r>
        <w:rPr>
          <w:rFonts w:hint="eastAsia" w:ascii="宋体" w:hAnsi="宋体" w:eastAsia="宋体" w:cs="宋体"/>
          <w:b/>
          <w:bCs w:val="0"/>
          <w:color w:val="auto"/>
          <w:sz w:val="44"/>
          <w:szCs w:val="44"/>
          <w:highlight w:val="none"/>
        </w:rPr>
        <w:t>需求</w:t>
      </w:r>
      <w:r>
        <w:rPr>
          <w:rFonts w:hint="eastAsia" w:ascii="宋体" w:hAnsi="宋体" w:eastAsia="宋体" w:cs="宋体"/>
          <w:b/>
          <w:bCs w:val="0"/>
          <w:color w:val="auto"/>
          <w:sz w:val="44"/>
          <w:szCs w:val="44"/>
          <w:highlight w:val="none"/>
          <w:lang w:val="en-US" w:eastAsia="zh-CN"/>
        </w:rPr>
        <w:t>内容响应</w:t>
      </w:r>
      <w:r>
        <w:rPr>
          <w:rFonts w:hint="eastAsia" w:ascii="宋体" w:hAnsi="宋体" w:eastAsia="宋体" w:cs="宋体"/>
          <w:b/>
          <w:bCs w:val="0"/>
          <w:color w:val="auto"/>
          <w:sz w:val="44"/>
          <w:szCs w:val="44"/>
          <w:highlight w:val="none"/>
        </w:rPr>
        <w:t>偏离表</w:t>
      </w:r>
    </w:p>
    <w:p>
      <w:pPr>
        <w:pStyle w:val="11"/>
        <w:pageBreakBefore w:val="0"/>
        <w:kinsoku/>
        <w:overflowPunct/>
        <w:topLinePunct w:val="0"/>
        <w:bidi w:val="0"/>
        <w:spacing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kern w:val="0"/>
          <w:sz w:val="21"/>
          <w:szCs w:val="21"/>
          <w:highlight w:val="none"/>
        </w:rPr>
        <w:t>分标号（此处有分标时填写具体分标号，无分标时填写“无”）：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4"/>
          <w:highlight w:val="none"/>
          <w:u w:val="single"/>
        </w:rPr>
        <w:t xml:space="preserve"> </w:t>
      </w:r>
    </w:p>
    <w:tbl>
      <w:tblPr>
        <w:tblStyle w:val="26"/>
        <w:tblW w:w="93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02"/>
        <w:gridCol w:w="790"/>
        <w:gridCol w:w="1692"/>
        <w:gridCol w:w="1318"/>
        <w:gridCol w:w="763"/>
        <w:gridCol w:w="1400"/>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3" w:hRule="atLeast"/>
          <w:jc w:val="center"/>
        </w:trPr>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84"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3481"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225"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8" w:hRule="atLeast"/>
          <w:jc w:val="center"/>
        </w:trPr>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技术</w:t>
            </w:r>
            <w:r>
              <w:rPr>
                <w:rFonts w:hint="eastAsia" w:ascii="宋体" w:hAnsi="宋体" w:cs="宋体"/>
                <w:color w:val="auto"/>
                <w:szCs w:val="21"/>
                <w:highlight w:val="none"/>
                <w:lang w:val="en-US" w:eastAsia="zh-CN"/>
              </w:rPr>
              <w:t>需求</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技术</w:t>
            </w:r>
            <w:r>
              <w:rPr>
                <w:rFonts w:hint="eastAsia" w:ascii="宋体" w:hAnsi="宋体" w:cs="宋体"/>
                <w:color w:val="auto"/>
                <w:szCs w:val="21"/>
                <w:highlight w:val="none"/>
                <w:lang w:val="en-US" w:eastAsia="zh-CN"/>
              </w:rPr>
              <w:t>需求</w:t>
            </w:r>
          </w:p>
        </w:tc>
        <w:tc>
          <w:tcPr>
            <w:tcW w:w="122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9"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31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6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bidi w:val="0"/>
              <w:spacing w:line="360" w:lineRule="auto"/>
              <w:rPr>
                <w:rFonts w:hint="eastAsia" w:ascii="宋体" w:hAnsi="宋体" w:eastAsia="宋体" w:cs="宋体"/>
                <w:color w:val="auto"/>
                <w:szCs w:val="21"/>
                <w:highlight w:val="none"/>
              </w:rPr>
            </w:pPr>
          </w:p>
        </w:tc>
      </w:tr>
    </w:tbl>
    <w:p>
      <w:pPr>
        <w:pStyle w:val="11"/>
        <w:pageBreakBefore w:val="0"/>
        <w:kinsoku/>
        <w:overflowPunct/>
        <w:topLinePunct w:val="0"/>
        <w:bidi w:val="0"/>
        <w:spacing w:after="0" w:line="360" w:lineRule="auto"/>
        <w:contextualSpacing/>
        <w:rPr>
          <w:rFonts w:hint="eastAsia" w:ascii="宋体" w:hAnsi="宋体" w:eastAsia="宋体" w:cs="宋体"/>
          <w:color w:val="auto"/>
          <w:kern w:val="0"/>
          <w:sz w:val="24"/>
          <w:szCs w:val="24"/>
          <w:highlight w:val="none"/>
        </w:rPr>
      </w:pPr>
    </w:p>
    <w:p>
      <w:pPr>
        <w:pStyle w:val="11"/>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pPr>
        <w:pStyle w:val="11"/>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1.说明：应对照磋商文件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第二章</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的工程概况及采购范围逐条作出明确响应，并作出偏离说明。</w:t>
      </w:r>
    </w:p>
    <w:p>
      <w:pPr>
        <w:pStyle w:val="13"/>
        <w:pageBreakBefore w:val="0"/>
        <w:kinsoku/>
        <w:overflowPunct/>
        <w:topLinePunct w:val="0"/>
        <w:bidi w:val="0"/>
        <w:spacing w:line="360" w:lineRule="auto"/>
        <w:ind w:firstLine="0" w:firstLineChars="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2.供应商应根据自身的承诺，对照磋商文件要求，在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偏离说明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中注明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。既不属于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也不属于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即为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当响应文件的商务内容低于竞争性磋商采购文件要求时，竞标人应当如实写明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，否则视为虚假应标</w:t>
      </w:r>
      <w:r>
        <w:rPr>
          <w:rFonts w:hint="eastAsia" w:ascii="宋体" w:hAnsi="宋体" w:eastAsia="宋体" w:cs="宋体"/>
          <w:color w:val="auto"/>
          <w:sz w:val="21"/>
          <w:szCs w:val="21"/>
          <w:highlight w:val="none"/>
          <w:lang w:eastAsia="zh-CN"/>
        </w:rPr>
        <w:t>。</w:t>
      </w:r>
    </w:p>
    <w:p>
      <w:pPr>
        <w:pageBreakBefore w:val="0"/>
        <w:kinsoku/>
        <w:overflowPunct/>
        <w:topLinePunct w:val="0"/>
        <w:bidi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3.表格内容均需按要求填写并盖章，不得留空，否则按竞标无效处理。</w:t>
      </w:r>
    </w:p>
    <w:p>
      <w:pPr>
        <w:pageBreakBefore w:val="0"/>
        <w:kinsoku/>
        <w:overflowPunct/>
        <w:topLinePunct w:val="0"/>
        <w:bidi w:val="0"/>
        <w:spacing w:line="360" w:lineRule="auto"/>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pPr>
        <w:pageBreakBefore w:val="0"/>
        <w:kinsoku/>
        <w:overflowPunct/>
        <w:topLinePunct w:val="0"/>
        <w:bidi w:val="0"/>
        <w:spacing w:line="360" w:lineRule="auto"/>
        <w:contextualSpacing/>
        <w:rPr>
          <w:rFonts w:hint="eastAsia" w:ascii="宋体" w:hAnsi="宋体" w:eastAsia="宋体" w:cs="宋体"/>
          <w:b/>
          <w:color w:val="auto"/>
          <w:sz w:val="30"/>
          <w:szCs w:val="30"/>
          <w:highlight w:val="none"/>
        </w:rPr>
      </w:pPr>
      <w:r>
        <w:rPr>
          <w:rFonts w:hint="eastAsia" w:ascii="宋体" w:hAnsi="宋体" w:eastAsia="宋体" w:cs="宋体"/>
          <w:color w:val="auto"/>
          <w:kern w:val="0"/>
          <w:szCs w:val="21"/>
          <w:highlight w:val="none"/>
        </w:rPr>
        <w:t>5. 如技术偏离表中的竞标响应与佐证材料不一致的，以佐证材料为准。</w:t>
      </w:r>
    </w:p>
    <w:p>
      <w:pPr>
        <w:pageBreakBefore w:val="0"/>
        <w:kinsoku/>
        <w:overflowPunct/>
        <w:topLinePunct w:val="0"/>
        <w:autoSpaceDE w:val="0"/>
        <w:autoSpaceDN w:val="0"/>
        <w:bidi w:val="0"/>
        <w:spacing w:line="360" w:lineRule="auto"/>
        <w:ind w:left="4334" w:leftChars="2064" w:firstLine="720" w:firstLineChars="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pageBreakBefore w:val="0"/>
        <w:kinsoku/>
        <w:overflowPunct/>
        <w:topLinePunct w:val="0"/>
        <w:autoSpaceDE w:val="0"/>
        <w:autoSpaceDN w:val="0"/>
        <w:bidi w:val="0"/>
        <w:spacing w:line="360" w:lineRule="auto"/>
        <w:ind w:firstLine="7440" w:firstLineChars="31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九</w:t>
      </w:r>
      <w:r>
        <w:rPr>
          <w:rFonts w:hint="eastAsia" w:ascii="宋体" w:hAnsi="宋体" w:cs="宋体"/>
          <w:b/>
          <w:color w:val="auto"/>
          <w:sz w:val="30"/>
          <w:szCs w:val="30"/>
          <w:highlight w:val="none"/>
          <w:lang w:eastAsia="zh-CN"/>
        </w:rPr>
        <w:t>、企业概况表</w:t>
      </w:r>
    </w:p>
    <w:tbl>
      <w:tblPr>
        <w:tblStyle w:val="26"/>
        <w:tblW w:w="9431" w:type="dxa"/>
        <w:jc w:val="center"/>
        <w:tblInd w:w="0" w:type="dxa"/>
        <w:tblLayout w:type="fixed"/>
        <w:tblCellMar>
          <w:top w:w="0" w:type="dxa"/>
          <w:left w:w="0" w:type="dxa"/>
          <w:bottom w:w="0" w:type="dxa"/>
          <w:right w:w="0" w:type="dxa"/>
        </w:tblCellMar>
      </w:tblPr>
      <w:tblGrid>
        <w:gridCol w:w="2008"/>
        <w:gridCol w:w="1318"/>
        <w:gridCol w:w="1382"/>
        <w:gridCol w:w="1400"/>
        <w:gridCol w:w="1513"/>
        <w:gridCol w:w="1810"/>
      </w:tblGrid>
      <w:tr>
        <w:tblPrEx>
          <w:tblLayout w:type="fixed"/>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企业注册名称</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建立日期</w:t>
            </w:r>
          </w:p>
        </w:tc>
        <w:tc>
          <w:tcPr>
            <w:tcW w:w="18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p>
        </w:tc>
      </w:tr>
      <w:tr>
        <w:tblPrEx>
          <w:tblLayout w:type="fixed"/>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企业法人代表</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职    称</w:t>
            </w:r>
          </w:p>
        </w:tc>
        <w:tc>
          <w:tcPr>
            <w:tcW w:w="14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企业性质</w:t>
            </w:r>
          </w:p>
        </w:tc>
        <w:tc>
          <w:tcPr>
            <w:tcW w:w="18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p>
        </w:tc>
      </w:tr>
      <w:tr>
        <w:tblPrEx>
          <w:tblLayout w:type="fixed"/>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企业资质等级</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经营方式</w:t>
            </w:r>
          </w:p>
        </w:tc>
        <w:tc>
          <w:tcPr>
            <w:tcW w:w="4723"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p>
        </w:tc>
      </w:tr>
      <w:tr>
        <w:tblPrEx>
          <w:tblLayout w:type="fixed"/>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上级主管部门</w:t>
            </w:r>
          </w:p>
        </w:tc>
        <w:tc>
          <w:tcPr>
            <w:tcW w:w="7423"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p>
        </w:tc>
      </w:tr>
      <w:tr>
        <w:tblPrEx>
          <w:tblLayout w:type="fixed"/>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批准成立机构</w:t>
            </w:r>
          </w:p>
        </w:tc>
        <w:tc>
          <w:tcPr>
            <w:tcW w:w="7423"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pacing w:line="500" w:lineRule="exact"/>
              <w:rPr>
                <w:rFonts w:ascii="新宋体" w:hAnsi="新宋体" w:eastAsia="新宋体"/>
                <w:color w:val="auto"/>
                <w:highlight w:val="none"/>
              </w:rPr>
            </w:pPr>
          </w:p>
        </w:tc>
      </w:tr>
      <w:tr>
        <w:tblPrEx>
          <w:tblLayout w:type="fixed"/>
          <w:tblCellMar>
            <w:top w:w="0" w:type="dxa"/>
            <w:left w:w="0" w:type="dxa"/>
            <w:bottom w:w="0" w:type="dxa"/>
            <w:right w:w="0" w:type="dxa"/>
          </w:tblCellMar>
        </w:tblPrEx>
        <w:trPr>
          <w:trHeight w:val="1334"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经营范围</w:t>
            </w:r>
          </w:p>
        </w:tc>
        <w:tc>
          <w:tcPr>
            <w:tcW w:w="7423"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pacing w:line="500" w:lineRule="exact"/>
              <w:rPr>
                <w:rFonts w:ascii="新宋体" w:hAnsi="新宋体" w:eastAsia="新宋体"/>
                <w:color w:val="auto"/>
                <w:highlight w:val="none"/>
              </w:rPr>
            </w:pPr>
            <w:r>
              <w:rPr>
                <w:rFonts w:hint="eastAsia" w:ascii="新宋体" w:hAnsi="新宋体" w:eastAsia="新宋体"/>
                <w:color w:val="auto"/>
                <w:highlight w:val="none"/>
              </w:rPr>
              <w:t xml:space="preserve">                                                                  </w:t>
            </w:r>
          </w:p>
        </w:tc>
      </w:tr>
      <w:tr>
        <w:tblPrEx>
          <w:tblLayout w:type="fixed"/>
          <w:tblCellMar>
            <w:top w:w="0" w:type="dxa"/>
            <w:left w:w="0" w:type="dxa"/>
            <w:bottom w:w="0" w:type="dxa"/>
            <w:right w:w="0" w:type="dxa"/>
          </w:tblCellMar>
        </w:tblPrEx>
        <w:trPr>
          <w:trHeight w:val="5620"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企业简介</w:t>
            </w:r>
          </w:p>
        </w:tc>
        <w:tc>
          <w:tcPr>
            <w:tcW w:w="7423"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spacing w:line="500" w:lineRule="exact"/>
              <w:rPr>
                <w:rFonts w:ascii="新宋体" w:hAnsi="新宋体" w:eastAsia="新宋体"/>
                <w:color w:val="auto"/>
                <w:highlight w:val="none"/>
              </w:rPr>
            </w:pPr>
          </w:p>
        </w:tc>
      </w:tr>
    </w:tbl>
    <w:p>
      <w:pPr>
        <w:snapToGrid w:val="0"/>
        <w:spacing w:line="360" w:lineRule="auto"/>
        <w:ind w:firstLine="602" w:firstLineChars="200"/>
        <w:rPr>
          <w:rFonts w:ascii="仿宋" w:hAnsi="仿宋" w:eastAsia="仿宋" w:cs="仿宋_GB2312"/>
          <w:b/>
          <w:color w:val="auto"/>
          <w:sz w:val="30"/>
          <w:szCs w:val="30"/>
          <w:highlight w:val="none"/>
        </w:rPr>
      </w:pPr>
    </w:p>
    <w:p>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pPr>
        <w:jc w:val="center"/>
        <w:rPr>
          <w:rFonts w:hint="eastAsia" w:ascii="宋体" w:hAnsi="宋体" w:cs="宋体"/>
          <w:b/>
          <w:color w:val="auto"/>
          <w:sz w:val="30"/>
          <w:szCs w:val="30"/>
          <w:highlight w:val="none"/>
          <w:lang w:eastAsia="zh-CN"/>
        </w:rPr>
      </w:pPr>
    </w:p>
    <w:p>
      <w:pPr>
        <w:jc w:val="center"/>
        <w:rPr>
          <w:rFonts w:hint="eastAsia" w:ascii="宋体" w:hAnsi="宋体" w:cs="宋体"/>
          <w:b/>
          <w:color w:val="auto"/>
          <w:sz w:val="30"/>
          <w:szCs w:val="30"/>
          <w:highlight w:val="none"/>
          <w:lang w:eastAsia="zh-CN"/>
        </w:rPr>
      </w:pPr>
    </w:p>
    <w:p>
      <w:pPr>
        <w:jc w:val="center"/>
        <w:rPr>
          <w:rFonts w:hint="eastAsia" w:ascii="宋体" w:hAnsi="宋体" w:cs="宋体"/>
          <w:b/>
          <w:color w:val="auto"/>
          <w:sz w:val="30"/>
          <w:szCs w:val="30"/>
          <w:highlight w:val="none"/>
          <w:lang w:eastAsia="zh-CN"/>
        </w:rPr>
      </w:pPr>
    </w:p>
    <w:p>
      <w:pPr>
        <w:jc w:val="center"/>
        <w:rPr>
          <w:rFonts w:hint="eastAsia" w:ascii="宋体" w:hAnsi="宋体" w:cs="宋体"/>
          <w:b/>
          <w:color w:val="auto"/>
          <w:sz w:val="30"/>
          <w:szCs w:val="30"/>
          <w:highlight w:val="none"/>
          <w:lang w:eastAsia="zh-CN"/>
        </w:rPr>
      </w:pPr>
    </w:p>
    <w:p>
      <w:pPr>
        <w:jc w:val="center"/>
        <w:rPr>
          <w:rFonts w:hint="eastAsia" w:ascii="宋体" w:hAnsi="宋体" w:cs="宋体"/>
          <w:b/>
          <w:color w:val="auto"/>
          <w:sz w:val="30"/>
          <w:szCs w:val="30"/>
          <w:highlight w:val="none"/>
          <w:lang w:eastAsia="zh-CN"/>
        </w:rPr>
      </w:pPr>
    </w:p>
    <w:p>
      <w:pPr>
        <w:jc w:val="center"/>
        <w:rPr>
          <w:rFonts w:hint="eastAsia" w:ascii="宋体" w:hAnsi="宋体" w:cs="宋体"/>
          <w:b/>
          <w:color w:val="auto"/>
          <w:sz w:val="30"/>
          <w:szCs w:val="30"/>
          <w:highlight w:val="none"/>
          <w:lang w:eastAsia="zh-CN"/>
        </w:rPr>
      </w:pPr>
    </w:p>
    <w:p>
      <w:pPr>
        <w:jc w:val="center"/>
        <w:rPr>
          <w:rFonts w:ascii="宋体" w:hAnsi="宋体"/>
          <w:b/>
          <w:color w:val="auto"/>
          <w:sz w:val="30"/>
          <w:szCs w:val="30"/>
          <w:highlight w:val="none"/>
        </w:rPr>
      </w:pPr>
      <w:r>
        <w:rPr>
          <w:rFonts w:hint="eastAsia" w:ascii="宋体" w:hAnsi="宋体" w:cs="宋体"/>
          <w:b/>
          <w:color w:val="auto"/>
          <w:sz w:val="30"/>
          <w:szCs w:val="30"/>
          <w:highlight w:val="none"/>
          <w:lang w:eastAsia="zh-CN"/>
        </w:rPr>
        <w:t>十、</w:t>
      </w:r>
      <w:r>
        <w:rPr>
          <w:rFonts w:hint="eastAsia" w:ascii="宋体" w:hAnsi="宋体" w:cs="宋体"/>
          <w:b/>
          <w:color w:val="auto"/>
          <w:sz w:val="30"/>
          <w:szCs w:val="30"/>
          <w:highlight w:val="none"/>
        </w:rPr>
        <w:t>项目经理（或建造师）简历表</w:t>
      </w:r>
    </w:p>
    <w:p>
      <w:pPr>
        <w:jc w:val="center"/>
        <w:rPr>
          <w:rFonts w:ascii="宋体" w:hAnsi="宋体"/>
          <w:color w:val="auto"/>
          <w:highlight w:val="none"/>
        </w:rPr>
      </w:pPr>
    </w:p>
    <w:tbl>
      <w:tblPr>
        <w:tblStyle w:val="26"/>
        <w:tblW w:w="9168" w:type="dxa"/>
        <w:jc w:val="center"/>
        <w:tblInd w:w="0" w:type="dxa"/>
        <w:tblLayout w:type="fixed"/>
        <w:tblCellMar>
          <w:top w:w="0" w:type="dxa"/>
          <w:left w:w="0" w:type="dxa"/>
          <w:bottom w:w="0" w:type="dxa"/>
          <w:right w:w="0" w:type="dxa"/>
        </w:tblCellMar>
      </w:tblPr>
      <w:tblGrid>
        <w:gridCol w:w="1158"/>
        <w:gridCol w:w="2005"/>
        <w:gridCol w:w="1155"/>
        <w:gridCol w:w="1565"/>
        <w:gridCol w:w="1060"/>
        <w:gridCol w:w="2225"/>
      </w:tblGrid>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年龄</w:t>
            </w: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学历</w:t>
            </w: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资质等级</w:t>
            </w: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拟在本工程中担任的工作和职务</w:t>
            </w:r>
          </w:p>
        </w:tc>
        <w:tc>
          <w:tcPr>
            <w:tcW w:w="4850"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atLeast"/>
          <w:jc w:val="center"/>
        </w:trPr>
        <w:tc>
          <w:tcPr>
            <w:tcW w:w="9168"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已完工程项目情况</w:t>
            </w: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开竣工日期</w:t>
            </w: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r>
              <w:rPr>
                <w:rFonts w:hint="eastAsia" w:ascii="宋体" w:hAnsi="宋体" w:cs="宋体"/>
                <w:color w:val="auto"/>
                <w:szCs w:val="21"/>
                <w:highlight w:val="none"/>
              </w:rPr>
              <w:t>质量等级</w:t>
            </w: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r>
        <w:tblPrEx>
          <w:tblLayout w:type="fixed"/>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c>
          <w:tcPr>
            <w:tcW w:w="222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ind w:firstLine="422" w:firstLineChars="200"/>
        <w:rPr>
          <w:rFonts w:ascii="宋体" w:hAnsi="宋体"/>
          <w:b/>
          <w:color w:val="auto"/>
          <w:szCs w:val="21"/>
          <w:highlight w:val="none"/>
        </w:rPr>
      </w:pPr>
      <w:r>
        <w:rPr>
          <w:rFonts w:hint="eastAsia" w:ascii="宋体" w:hAnsi="宋体" w:cs="宋体"/>
          <w:b/>
          <w:color w:val="auto"/>
          <w:szCs w:val="21"/>
          <w:highlight w:val="none"/>
        </w:rPr>
        <w:t>附：项目经理（或建造师）或注册建造师资质等级证书扫描件及资质等级年检情况。</w:t>
      </w:r>
    </w:p>
    <w:p>
      <w:pPr>
        <w:rPr>
          <w:rFonts w:ascii="宋体" w:hAnsi="宋体"/>
          <w:b/>
          <w:color w:val="auto"/>
          <w:szCs w:val="21"/>
          <w:highlight w:val="none"/>
        </w:rPr>
      </w:pPr>
    </w:p>
    <w:p>
      <w:pPr>
        <w:rPr>
          <w:rFonts w:ascii="宋体" w:hAnsi="宋体"/>
          <w:b/>
          <w:color w:val="auto"/>
          <w:szCs w:val="21"/>
          <w:highlight w:val="none"/>
        </w:rPr>
      </w:pPr>
    </w:p>
    <w:p>
      <w:pPr>
        <w:rPr>
          <w:rFonts w:ascii="宋体" w:hAnsi="宋体"/>
          <w:b/>
          <w:color w:val="auto"/>
          <w:szCs w:val="21"/>
          <w:highlight w:val="none"/>
        </w:rPr>
      </w:pPr>
    </w:p>
    <w:p>
      <w:pPr>
        <w:rPr>
          <w:rFonts w:ascii="宋体" w:hAnsi="宋体"/>
          <w:b/>
          <w:color w:val="auto"/>
          <w:szCs w:val="21"/>
          <w:highlight w:val="none"/>
        </w:rPr>
      </w:pPr>
    </w:p>
    <w:p>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pPr>
        <w:pStyle w:val="22"/>
        <w:snapToGrid w:val="0"/>
        <w:spacing w:line="360" w:lineRule="auto"/>
        <w:ind w:left="409" w:leftChars="195" w:firstLine="6240" w:firstLineChars="2600"/>
        <w:rPr>
          <w:rFonts w:hint="eastAsia" w:ascii="宋体" w:hAnsi="宋体" w:eastAsia="宋体" w:cs="宋体"/>
          <w:color w:val="auto"/>
          <w:sz w:val="24"/>
          <w:szCs w:val="24"/>
          <w:highlight w:val="none"/>
        </w:rPr>
      </w:pPr>
      <w:r>
        <w:rPr>
          <w:rFonts w:hint="eastAsia" w:ascii="宋体" w:hAnsi="宋体" w:cs="仿宋_GB2312"/>
          <w:color w:val="auto"/>
          <w:kern w:val="0"/>
          <w:sz w:val="24"/>
          <w:szCs w:val="24"/>
          <w:highlight w:val="none"/>
          <w:lang w:val="zh-CN"/>
        </w:rPr>
        <w:t>日期：  年  月   日</w:t>
      </w:r>
    </w:p>
    <w:p>
      <w:pPr>
        <w:pStyle w:val="22"/>
        <w:snapToGrid w:val="0"/>
        <w:spacing w:line="360" w:lineRule="auto"/>
        <w:ind w:left="480" w:hanging="480"/>
        <w:rPr>
          <w:rFonts w:hint="eastAsia" w:ascii="宋体" w:hAnsi="宋体" w:eastAsia="宋体" w:cs="宋体"/>
          <w:color w:val="auto"/>
          <w:sz w:val="24"/>
          <w:highlight w:val="none"/>
        </w:rPr>
      </w:pPr>
    </w:p>
    <w:p>
      <w:pPr>
        <w:pStyle w:val="22"/>
        <w:snapToGrid w:val="0"/>
        <w:spacing w:line="360" w:lineRule="auto"/>
        <w:ind w:left="480" w:hanging="480"/>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napToGrid w:val="0"/>
        <w:spacing w:line="360" w:lineRule="auto"/>
        <w:ind w:left="480" w:firstLine="0" w:firstLineChars="0"/>
        <w:jc w:val="center"/>
        <w:rPr>
          <w:rFonts w:hint="eastAsia" w:ascii="宋体" w:hAnsi="宋体" w:eastAsia="宋体" w:cs="宋体"/>
          <w:b/>
          <w:color w:val="auto"/>
          <w:sz w:val="30"/>
          <w:szCs w:val="30"/>
          <w:highlight w:val="none"/>
          <w:lang w:val="en-US"/>
        </w:rPr>
      </w:pPr>
      <w:bookmarkStart w:id="111" w:name="_Toc2647"/>
      <w:r>
        <w:rPr>
          <w:rFonts w:hint="eastAsia" w:ascii="宋体" w:hAnsi="宋体" w:cs="宋体"/>
          <w:b/>
          <w:color w:val="auto"/>
          <w:sz w:val="28"/>
          <w:szCs w:val="28"/>
          <w:highlight w:val="none"/>
          <w:lang w:val="en-US" w:eastAsia="zh-CN"/>
        </w:rPr>
        <w:t>十一</w:t>
      </w:r>
      <w:r>
        <w:rPr>
          <w:rFonts w:hint="eastAsia" w:ascii="宋体" w:hAnsi="宋体" w:cs="宋体"/>
          <w:b/>
          <w:color w:val="auto"/>
          <w:sz w:val="28"/>
          <w:szCs w:val="28"/>
          <w:highlight w:val="none"/>
        </w:rPr>
        <w:t>、项目管理机构配备情况表</w:t>
      </w:r>
      <w:bookmarkEnd w:id="111"/>
    </w:p>
    <w:p>
      <w:pPr>
        <w:widowControl/>
        <w:rPr>
          <w:rFonts w:hint="eastAsia" w:ascii="宋体" w:hAnsi="宋体" w:cs="宋体"/>
          <w:color w:val="auto"/>
          <w:szCs w:val="21"/>
          <w:highlight w:val="none"/>
          <w:u w:val="single"/>
        </w:rPr>
      </w:pPr>
      <w:bookmarkStart w:id="112" w:name="_Toc251052185"/>
    </w:p>
    <w:p>
      <w:pPr>
        <w:widowControl/>
        <w:ind w:firstLine="210" w:firstLineChars="100"/>
        <w:rPr>
          <w:rFonts w:hint="default" w:ascii="宋体" w:hAnsi="宋体" w:cs="宋体"/>
          <w:color w:val="auto"/>
          <w:szCs w:val="21"/>
          <w:highlight w:val="none"/>
          <w:u w:val="single"/>
          <w:lang w:val="en-US" w:eastAsia="zh-CN"/>
        </w:rPr>
      </w:pPr>
      <w:r>
        <w:rPr>
          <w:rFonts w:hint="eastAsia" w:ascii="宋体" w:hAnsi="宋体" w:cs="宋体"/>
          <w:color w:val="auto"/>
          <w:szCs w:val="21"/>
          <w:highlight w:val="none"/>
          <w:u w:val="none"/>
        </w:rPr>
        <w:t>项目名称</w:t>
      </w:r>
      <w:bookmarkEnd w:id="112"/>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single"/>
          <w:lang w:val="en-US" w:eastAsia="zh-CN"/>
        </w:rPr>
        <w:t xml:space="preserve">                    </w:t>
      </w:r>
    </w:p>
    <w:p>
      <w:pPr>
        <w:widowControl/>
        <w:ind w:firstLine="210" w:firstLineChars="100"/>
        <w:rPr>
          <w:rFonts w:hint="eastAsia" w:ascii="宋体" w:hAnsi="宋体" w:cs="宋体"/>
          <w:color w:val="auto"/>
          <w:szCs w:val="21"/>
          <w:highlight w:val="none"/>
          <w:u w:val="single"/>
          <w:lang w:val="en-US" w:eastAsia="zh-CN"/>
        </w:rPr>
      </w:pPr>
    </w:p>
    <w:p>
      <w:pPr>
        <w:widowControl/>
        <w:ind w:firstLine="210" w:firstLineChars="10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none"/>
          <w:lang w:val="en-US" w:eastAsia="zh-CN"/>
        </w:rPr>
        <w:t>项目编号：</w:t>
      </w:r>
      <w:r>
        <w:rPr>
          <w:rFonts w:hint="eastAsia" w:ascii="宋体" w:hAnsi="宋体" w:cs="宋体"/>
          <w:color w:val="auto"/>
          <w:szCs w:val="21"/>
          <w:highlight w:val="none"/>
          <w:u w:val="single"/>
          <w:lang w:val="en-US" w:eastAsia="zh-CN"/>
        </w:rPr>
        <w:t xml:space="preserve">                     </w:t>
      </w:r>
    </w:p>
    <w:p>
      <w:pPr>
        <w:widowControl/>
        <w:ind w:firstLine="210" w:firstLineChars="100"/>
        <w:rPr>
          <w:rFonts w:hint="default" w:ascii="宋体" w:hAnsi="宋体" w:cs="宋体"/>
          <w:color w:val="auto"/>
          <w:szCs w:val="21"/>
          <w:highlight w:val="none"/>
          <w:u w:val="single"/>
          <w:lang w:val="en-US" w:eastAsia="zh-CN"/>
        </w:rPr>
      </w:pPr>
    </w:p>
    <w:tbl>
      <w:tblPr>
        <w:tblStyle w:val="26"/>
        <w:tblW w:w="93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30"/>
        <w:gridCol w:w="817"/>
        <w:gridCol w:w="1148"/>
        <w:gridCol w:w="1148"/>
        <w:gridCol w:w="1148"/>
        <w:gridCol w:w="1148"/>
        <w:gridCol w:w="850"/>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994" w:type="dxa"/>
            <w:vMerge w:val="restart"/>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岗位</w:t>
            </w:r>
          </w:p>
        </w:tc>
        <w:tc>
          <w:tcPr>
            <w:tcW w:w="830" w:type="dxa"/>
            <w:vMerge w:val="restart"/>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bookmarkStart w:id="113" w:name="_Toc251052187"/>
            <w:r>
              <w:rPr>
                <w:rFonts w:hint="eastAsia" w:ascii="宋体" w:hAnsi="宋体" w:cs="宋体"/>
                <w:color w:val="auto"/>
                <w:szCs w:val="21"/>
                <w:highlight w:val="none"/>
              </w:rPr>
              <w:t>姓名</w:t>
            </w:r>
            <w:bookmarkEnd w:id="113"/>
          </w:p>
        </w:tc>
        <w:tc>
          <w:tcPr>
            <w:tcW w:w="817" w:type="dxa"/>
            <w:vMerge w:val="restart"/>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bookmarkStart w:id="114" w:name="_Toc251052188"/>
            <w:r>
              <w:rPr>
                <w:rFonts w:hint="eastAsia" w:ascii="宋体" w:hAnsi="宋体" w:cs="宋体"/>
                <w:color w:val="auto"/>
                <w:szCs w:val="21"/>
                <w:highlight w:val="none"/>
              </w:rPr>
              <w:t>职称</w:t>
            </w:r>
            <w:bookmarkEnd w:id="114"/>
          </w:p>
        </w:tc>
        <w:tc>
          <w:tcPr>
            <w:tcW w:w="4592" w:type="dxa"/>
            <w:gridSpan w:val="4"/>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bookmarkStart w:id="115" w:name="_Toc251052189"/>
            <w:r>
              <w:rPr>
                <w:rFonts w:hint="eastAsia" w:ascii="宋体" w:hAnsi="宋体" w:cs="宋体"/>
                <w:color w:val="auto"/>
                <w:szCs w:val="21"/>
                <w:highlight w:val="none"/>
              </w:rPr>
              <w:t>执业或职业资格证明</w:t>
            </w:r>
            <w:bookmarkEnd w:id="115"/>
          </w:p>
        </w:tc>
        <w:tc>
          <w:tcPr>
            <w:tcW w:w="2127" w:type="dxa"/>
            <w:gridSpan w:val="2"/>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bookmarkStart w:id="116" w:name="_Toc251052190"/>
            <w:r>
              <w:rPr>
                <w:rFonts w:hint="eastAsia" w:ascii="宋体" w:hAnsi="宋体" w:cs="宋体"/>
                <w:color w:val="auto"/>
                <w:szCs w:val="21"/>
                <w:highlight w:val="none"/>
              </w:rPr>
              <w:t>承担完工</w:t>
            </w:r>
            <w:bookmarkEnd w:id="116"/>
            <w:bookmarkStart w:id="117" w:name="_Toc251052191"/>
            <w:r>
              <w:rPr>
                <w:rFonts w:hint="eastAsia" w:ascii="宋体" w:hAnsi="宋体" w:cs="宋体"/>
                <w:color w:val="auto"/>
                <w:szCs w:val="21"/>
                <w:highlight w:val="none"/>
              </w:rPr>
              <w:t>工程情况</w:t>
            </w:r>
            <w:bookmarkEnd w:id="1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830"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bookmarkStart w:id="118" w:name="_Toc251052192"/>
            <w:r>
              <w:rPr>
                <w:rFonts w:hint="eastAsia" w:ascii="宋体" w:hAnsi="宋体" w:cs="宋体"/>
                <w:color w:val="auto"/>
                <w:szCs w:val="21"/>
                <w:highlight w:val="none"/>
              </w:rPr>
              <w:t>证书名称</w:t>
            </w:r>
            <w:bookmarkEnd w:id="118"/>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bookmarkStart w:id="119" w:name="_Toc251052193"/>
            <w:r>
              <w:rPr>
                <w:rFonts w:hint="eastAsia" w:ascii="宋体" w:hAnsi="宋体" w:cs="宋体"/>
                <w:color w:val="auto"/>
                <w:szCs w:val="21"/>
                <w:highlight w:val="none"/>
              </w:rPr>
              <w:t>级别</w:t>
            </w:r>
            <w:bookmarkEnd w:id="119"/>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bookmarkStart w:id="120" w:name="_Toc251052194"/>
            <w:r>
              <w:rPr>
                <w:rFonts w:hint="eastAsia" w:ascii="宋体" w:hAnsi="宋体" w:cs="宋体"/>
                <w:color w:val="auto"/>
                <w:szCs w:val="21"/>
                <w:highlight w:val="none"/>
              </w:rPr>
              <w:t>证号</w:t>
            </w:r>
            <w:bookmarkEnd w:id="120"/>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bookmarkStart w:id="121" w:name="_Toc251052195"/>
            <w:r>
              <w:rPr>
                <w:rFonts w:hint="eastAsia" w:ascii="宋体" w:hAnsi="宋体" w:cs="宋体"/>
                <w:color w:val="auto"/>
                <w:szCs w:val="21"/>
                <w:highlight w:val="none"/>
              </w:rPr>
              <w:t>专业</w:t>
            </w:r>
            <w:bookmarkEnd w:id="121"/>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bookmarkStart w:id="122" w:name="_Toc251052197"/>
            <w:r>
              <w:rPr>
                <w:rFonts w:hint="eastAsia" w:ascii="宋体" w:hAnsi="宋体" w:cs="宋体"/>
                <w:color w:val="auto"/>
                <w:szCs w:val="21"/>
                <w:highlight w:val="none"/>
              </w:rPr>
              <w:t>项目数</w:t>
            </w:r>
            <w:bookmarkEnd w:id="122"/>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bookmarkStart w:id="123" w:name="_Toc251052198"/>
            <w:r>
              <w:rPr>
                <w:rFonts w:hint="eastAsia" w:ascii="宋体" w:hAnsi="宋体" w:cs="宋体"/>
                <w:color w:val="auto"/>
                <w:szCs w:val="21"/>
                <w:highlight w:val="none"/>
              </w:rPr>
              <w:t>主要项目</w:t>
            </w:r>
          </w:p>
          <w:p>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名称</w:t>
            </w:r>
            <w:bookmarkEnd w:id="1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pPr>
              <w:ind w:left="223" w:hanging="222" w:hangingChars="106"/>
              <w:jc w:val="center"/>
              <w:rPr>
                <w:rFonts w:ascii="宋体" w:hAnsi="宋体"/>
                <w:color w:val="auto"/>
                <w:szCs w:val="21"/>
                <w:highlight w:val="none"/>
              </w:rPr>
            </w:pPr>
          </w:p>
        </w:tc>
      </w:tr>
    </w:tbl>
    <w:p>
      <w:pPr>
        <w:jc w:val="center"/>
        <w:rPr>
          <w:rFonts w:ascii="宋体" w:hAnsi="宋体"/>
          <w:b/>
          <w:color w:val="auto"/>
          <w:szCs w:val="21"/>
          <w:highlight w:val="none"/>
        </w:rPr>
      </w:pPr>
    </w:p>
    <w:p>
      <w:pPr>
        <w:tabs>
          <w:tab w:val="left" w:pos="0"/>
        </w:tabs>
        <w:spacing w:line="360" w:lineRule="auto"/>
        <w:ind w:right="-210"/>
        <w:rPr>
          <w:rFonts w:ascii="宋体" w:hAnsi="宋体"/>
          <w:color w:val="auto"/>
          <w:szCs w:val="21"/>
          <w:highlight w:val="none"/>
        </w:rPr>
      </w:pPr>
      <w:r>
        <w:rPr>
          <w:rFonts w:hint="eastAsia" w:ascii="宋体" w:hAnsi="宋体" w:cs="楷体_GB2312"/>
          <w:color w:val="auto"/>
          <w:szCs w:val="21"/>
          <w:highlight w:val="none"/>
        </w:rPr>
        <w:t>【备注：附各岗位人员资格证件（如有）扫描件。以上扫描件均为原件的扫描件】</w:t>
      </w:r>
    </w:p>
    <w:p>
      <w:pPr>
        <w:spacing w:line="440" w:lineRule="exact"/>
        <w:jc w:val="center"/>
        <w:rPr>
          <w:rFonts w:ascii="宋体" w:hAnsi="宋体"/>
          <w:b/>
          <w:color w:val="auto"/>
          <w:szCs w:val="21"/>
          <w:highlight w:val="none"/>
        </w:rPr>
      </w:pPr>
    </w:p>
    <w:p>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pPr>
        <w:pStyle w:val="12"/>
        <w:snapToGrid w:val="0"/>
        <w:spacing w:line="360" w:lineRule="auto"/>
        <w:ind w:left="480" w:firstLine="6960" w:firstLineChars="2900"/>
        <w:rPr>
          <w:rFonts w:hint="eastAsia" w:ascii="宋体" w:hAnsi="宋体" w:eastAsia="宋体" w:cs="宋体"/>
          <w:b/>
          <w:color w:val="auto"/>
          <w:sz w:val="24"/>
          <w:szCs w:val="24"/>
          <w:highlight w:val="none"/>
          <w:lang w:val="en-US"/>
        </w:rPr>
      </w:pPr>
      <w:r>
        <w:rPr>
          <w:rFonts w:hint="eastAsia" w:ascii="宋体" w:hAnsi="宋体" w:cs="仿宋_GB2312"/>
          <w:color w:val="auto"/>
          <w:kern w:val="0"/>
          <w:sz w:val="24"/>
          <w:szCs w:val="24"/>
          <w:highlight w:val="none"/>
          <w:lang w:val="zh-CN"/>
        </w:rPr>
        <w:t>日期：  年  月   日</w:t>
      </w:r>
    </w:p>
    <w:p>
      <w:pPr>
        <w:snapToGrid w:val="0"/>
        <w:spacing w:line="360" w:lineRule="auto"/>
        <w:ind w:left="480" w:hanging="480"/>
        <w:rPr>
          <w:rFonts w:hint="eastAsia"/>
          <w:color w:val="auto"/>
          <w:sz w:val="24"/>
          <w:szCs w:val="24"/>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numPr>
          <w:ilvl w:val="0"/>
          <w:numId w:val="0"/>
        </w:numPr>
        <w:snapToGrid w:val="0"/>
        <w:spacing w:line="360" w:lineRule="auto"/>
        <w:ind w:left="480" w:leftChars="0"/>
        <w:jc w:val="center"/>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十二、施工组织设计</w:t>
      </w:r>
    </w:p>
    <w:p>
      <w:pPr>
        <w:numPr>
          <w:ilvl w:val="0"/>
          <w:numId w:val="0"/>
        </w:numPr>
        <w:ind w:firstLine="630" w:firstLineChars="300"/>
        <w:jc w:val="center"/>
        <w:outlineLvl w:val="9"/>
        <w:rPr>
          <w:rFonts w:hint="eastAsia"/>
          <w:color w:val="auto"/>
          <w:highlight w:val="none"/>
          <w:lang w:val="en-US" w:eastAsia="zh-CN"/>
        </w:rPr>
      </w:pPr>
      <w:r>
        <w:rPr>
          <w:rFonts w:hint="eastAsia" w:hAnsi="宋体"/>
          <w:color w:val="auto"/>
          <w:highlight w:val="none"/>
        </w:rPr>
        <w:t>由供应商</w:t>
      </w:r>
      <w:r>
        <w:rPr>
          <w:rFonts w:hint="eastAsia" w:hAnsi="宋体"/>
          <w:color w:val="auto"/>
          <w:highlight w:val="none"/>
          <w:lang w:eastAsia="zh-CN"/>
        </w:rPr>
        <w:t>根据</w:t>
      </w:r>
      <w:r>
        <w:rPr>
          <w:rFonts w:hint="eastAsia" w:hAnsi="宋体"/>
          <w:color w:val="auto"/>
          <w:highlight w:val="none"/>
        </w:rPr>
        <w:t>本项目“采购需求”</w:t>
      </w:r>
      <w:r>
        <w:rPr>
          <w:rFonts w:hint="eastAsia" w:hAnsi="宋体"/>
          <w:color w:val="auto"/>
          <w:highlight w:val="none"/>
          <w:lang w:eastAsia="zh-CN"/>
        </w:rPr>
        <w:t>及评审内容</w:t>
      </w:r>
      <w:r>
        <w:rPr>
          <w:rFonts w:hint="eastAsia" w:hAnsi="宋体"/>
          <w:color w:val="auto"/>
          <w:highlight w:val="none"/>
        </w:rPr>
        <w:t>自行</w:t>
      </w:r>
      <w:r>
        <w:rPr>
          <w:rFonts w:hint="eastAsia" w:hAnsi="宋体"/>
          <w:color w:val="auto"/>
          <w:highlight w:val="none"/>
          <w:lang w:eastAsia="zh-CN"/>
        </w:rPr>
        <w:t>编</w:t>
      </w:r>
      <w:r>
        <w:rPr>
          <w:rFonts w:hint="eastAsia" w:hAnsi="宋体"/>
          <w:color w:val="auto"/>
          <w:highlight w:val="none"/>
        </w:rPr>
        <w:t>写。</w:t>
      </w:r>
    </w:p>
    <w:p>
      <w:pPr>
        <w:outlineLvl w:val="9"/>
        <w:rPr>
          <w:rFonts w:hint="eastAsia"/>
          <w:color w:val="auto"/>
          <w:highlight w:val="none"/>
          <w:lang w:val="en-US" w:eastAsia="zh-CN"/>
        </w:rPr>
      </w:pPr>
    </w:p>
    <w:p>
      <w:pPr>
        <w:outlineLvl w:val="9"/>
        <w:rPr>
          <w:rFonts w:hint="eastAsia"/>
          <w:color w:val="auto"/>
          <w:highlight w:val="none"/>
          <w:lang w:val="en-US" w:eastAsia="zh-CN"/>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spacing w:line="360" w:lineRule="auto"/>
        <w:ind w:left="0" w:leftChars="0" w:firstLine="6098" w:firstLineChars="2541"/>
        <w:contextualSpacing/>
        <w:jc w:val="both"/>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numPr>
          <w:ilvl w:val="0"/>
          <w:numId w:val="0"/>
        </w:numPr>
        <w:snapToGrid w:val="0"/>
        <w:spacing w:line="360" w:lineRule="auto"/>
        <w:ind w:left="480" w:leftChars="0"/>
        <w:jc w:val="left"/>
        <w:rPr>
          <w:rFonts w:hint="eastAsia" w:ascii="宋体" w:hAnsi="宋体" w:cs="宋体"/>
          <w:b/>
          <w:color w:val="auto"/>
          <w:sz w:val="28"/>
          <w:szCs w:val="28"/>
          <w:highlight w:val="none"/>
          <w:lang w:val="en-US" w:eastAsia="zh-CN"/>
        </w:rPr>
      </w:pPr>
    </w:p>
    <w:p>
      <w:pP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br w:type="page"/>
      </w:r>
    </w:p>
    <w:p>
      <w:pPr>
        <w:numPr>
          <w:ilvl w:val="0"/>
          <w:numId w:val="0"/>
        </w:numPr>
        <w:snapToGrid w:val="0"/>
        <w:spacing w:line="360" w:lineRule="auto"/>
        <w:ind w:left="480" w:leftChars="0"/>
        <w:jc w:val="center"/>
        <w:rPr>
          <w:rFonts w:hint="default"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十三、建设工程项目管理承诺书</w:t>
      </w:r>
    </w:p>
    <w:p>
      <w:pPr>
        <w:keepNext w:val="0"/>
        <w:keepLines w:val="0"/>
        <w:pageBreakBefore w:val="0"/>
        <w:kinsoku/>
        <w:wordWrap/>
        <w:overflowPunct/>
        <w:topLinePunct w:val="0"/>
        <w:autoSpaceDE/>
        <w:autoSpaceDN/>
        <w:bidi w:val="0"/>
        <w:spacing w:line="440" w:lineRule="exact"/>
        <w:ind w:firstLine="420" w:firstLineChars="200"/>
        <w:jc w:val="both"/>
        <w:textAlignment w:val="auto"/>
        <w:rPr>
          <w:rFonts w:hint="eastAsia" w:ascii="宋体" w:hAnsi="宋体" w:eastAsia="宋体" w:cs="宋体"/>
          <w:color w:val="auto"/>
          <w:kern w:val="2"/>
          <w:sz w:val="21"/>
          <w:szCs w:val="21"/>
          <w:highlight w:val="none"/>
          <w:lang w:val="en-US" w:bidi="ar-SA"/>
        </w:rPr>
      </w:pPr>
    </w:p>
    <w:p>
      <w:pPr>
        <w:keepNext w:val="0"/>
        <w:keepLines w:val="0"/>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致</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lang w:val="en-US" w:bidi="ar-SA"/>
        </w:rPr>
        <w:t>（采购单位名称）：</w:t>
      </w:r>
    </w:p>
    <w:p>
      <w:pPr>
        <w:keepNext w:val="0"/>
        <w:keepLines w:val="0"/>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bidi="ar-SA"/>
        </w:rPr>
        <w:t>如我公司在贵单位的</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lang w:val="en-US" w:bidi="ar-SA"/>
        </w:rPr>
        <w:t>成交，我方在此向采购人承诺</w:t>
      </w:r>
      <w:r>
        <w:rPr>
          <w:rFonts w:hint="eastAsia" w:ascii="宋体" w:hAnsi="宋体" w:cs="宋体"/>
          <w:color w:val="auto"/>
          <w:kern w:val="2"/>
          <w:sz w:val="24"/>
          <w:szCs w:val="24"/>
          <w:highlight w:val="none"/>
          <w:lang w:val="en-US" w:eastAsia="zh-CN" w:bidi="ar-SA"/>
        </w:rPr>
        <w:t>：</w:t>
      </w:r>
    </w:p>
    <w:p>
      <w:pPr>
        <w:keepNext w:val="0"/>
        <w:keepLines w:val="0"/>
        <w:pageBreakBefore w:val="0"/>
        <w:kinsoku/>
        <w:wordWrap/>
        <w:overflowPunct/>
        <w:topLinePunct w:val="0"/>
        <w:autoSpaceDE/>
        <w:autoSpaceDN/>
        <w:bidi w:val="0"/>
        <w:spacing w:line="440" w:lineRule="exact"/>
        <w:ind w:left="-10" w:firstLine="480" w:firstLineChars="200"/>
        <w:textAlignment w:val="auto"/>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1、一旦成交，我方保证在施工过程中，严格执行《广西壮族自治区建筑工程安全文明施工费使用管理细则》（桂建质〔2015〕16号）的有关规定，确保建设工程各项安全防护、文明施工措施落实到位。如我方在该项目的承包中出现未按桂建质〔2015〕16号文附件一规定执行的情形，我方愿意按照相关规定接受建设单位及有关主管部门的处罚。</w:t>
      </w:r>
    </w:p>
    <w:p>
      <w:pPr>
        <w:keepNext w:val="0"/>
        <w:keepLines w:val="0"/>
        <w:pageBreakBefore w:val="0"/>
        <w:kinsoku/>
        <w:wordWrap/>
        <w:overflowPunct/>
        <w:topLinePunct w:val="0"/>
        <w:autoSpaceDE/>
        <w:autoSpaceDN/>
        <w:bidi w:val="0"/>
        <w:spacing w:line="440" w:lineRule="exact"/>
        <w:ind w:left="-2" w:leftChars="-1" w:firstLine="480" w:firstLineChars="200"/>
        <w:textAlignment w:val="auto"/>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2、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pPr>
        <w:keepNext w:val="0"/>
        <w:keepLines w:val="0"/>
        <w:pageBreakBefore w:val="0"/>
        <w:kinsoku/>
        <w:wordWrap/>
        <w:overflowPunct/>
        <w:topLinePunct w:val="0"/>
        <w:autoSpaceDE/>
        <w:autoSpaceDN/>
        <w:bidi w:val="0"/>
        <w:spacing w:line="440" w:lineRule="exact"/>
        <w:ind w:left="-10" w:firstLine="480" w:firstLineChars="200"/>
        <w:textAlignment w:val="auto"/>
        <w:rPr>
          <w:rFonts w:hint="eastAsia" w:ascii="宋体" w:hAnsi="宋体" w:eastAsia="宋体" w:cs="宋体"/>
          <w:color w:val="auto"/>
          <w:kern w:val="2"/>
          <w:sz w:val="24"/>
          <w:szCs w:val="24"/>
          <w:highlight w:val="none"/>
          <w:lang w:val="en-US" w:bidi="ar-SA"/>
        </w:rPr>
      </w:pPr>
      <w:r>
        <w:rPr>
          <w:rFonts w:hint="eastAsia" w:ascii="宋体" w:hAnsi="宋体" w:eastAsia="宋体" w:cs="宋体"/>
          <w:color w:val="auto"/>
          <w:kern w:val="2"/>
          <w:sz w:val="24"/>
          <w:szCs w:val="24"/>
          <w:highlight w:val="none"/>
          <w:lang w:val="en-US" w:bidi="ar-SA"/>
        </w:rPr>
        <w:t>3、一旦成交，我方保证严格执行</w:t>
      </w:r>
      <w:bookmarkStart w:id="124" w:name="_Hlk16014343"/>
      <w:r>
        <w:rPr>
          <w:rFonts w:hint="eastAsia" w:ascii="宋体" w:hAnsi="宋体" w:eastAsia="宋体" w:cs="宋体"/>
          <w:color w:val="auto"/>
          <w:kern w:val="2"/>
          <w:sz w:val="24"/>
          <w:szCs w:val="24"/>
          <w:highlight w:val="none"/>
          <w:lang w:val="en-US" w:bidi="ar-SA"/>
        </w:rPr>
        <w:t>《危险性较大的分部分项工程安全管理规定》（建办质〔2018〕31号）</w:t>
      </w:r>
      <w:bookmarkEnd w:id="124"/>
      <w:r>
        <w:rPr>
          <w:rFonts w:hint="eastAsia" w:ascii="宋体" w:hAnsi="宋体" w:eastAsia="宋体" w:cs="宋体"/>
          <w:color w:val="auto"/>
          <w:kern w:val="2"/>
          <w:sz w:val="24"/>
          <w:szCs w:val="24"/>
          <w:highlight w:val="none"/>
          <w:lang w:val="en-US" w:bidi="ar-SA"/>
        </w:rPr>
        <w:t>的规定，强化对深基坑、高切坡、高大模板、人工挖孔桩、起重吊装、临时活动板房等重大危险源的专项施工方案的编制、论证、审批、实施、检测的风险管理。</w:t>
      </w:r>
    </w:p>
    <w:p>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kern w:val="2"/>
          <w:sz w:val="21"/>
          <w:szCs w:val="21"/>
          <w:highlight w:val="none"/>
          <w:lang w:val="en-US" w:bidi="ar-SA"/>
        </w:rPr>
      </w:pPr>
    </w:p>
    <w:p>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kern w:val="2"/>
          <w:sz w:val="21"/>
          <w:szCs w:val="21"/>
          <w:highlight w:val="none"/>
          <w:lang w:val="en-US" w:bidi="ar-SA"/>
        </w:rPr>
      </w:pPr>
    </w:p>
    <w:p>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kern w:val="2"/>
          <w:sz w:val="21"/>
          <w:szCs w:val="21"/>
          <w:highlight w:val="none"/>
          <w:lang w:val="en-US" w:bidi="ar-SA"/>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spacing w:line="360" w:lineRule="auto"/>
        <w:ind w:left="0" w:leftChars="0" w:firstLine="6098" w:firstLineChars="2541"/>
        <w:contextualSpacing/>
        <w:jc w:val="both"/>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keepNext w:val="0"/>
        <w:keepLines w:val="0"/>
        <w:pageBreakBefore w:val="0"/>
        <w:widowControl w:val="0"/>
        <w:kinsoku/>
        <w:wordWrap/>
        <w:overflowPunct/>
        <w:topLinePunct w:val="0"/>
        <w:bidi w:val="0"/>
        <w:spacing w:after="120" w:line="440" w:lineRule="exact"/>
        <w:jc w:val="right"/>
        <w:textAlignment w:val="auto"/>
        <w:rPr>
          <w:rFonts w:hint="eastAsia" w:ascii="宋体" w:hAnsi="宋体" w:eastAsia="宋体" w:cs="宋体"/>
          <w:color w:val="auto"/>
          <w:kern w:val="2"/>
          <w:sz w:val="21"/>
          <w:szCs w:val="21"/>
          <w:highlight w:val="none"/>
          <w:lang w:val="en-US" w:eastAsia="zh-CN" w:bidi="ar-SA"/>
        </w:rPr>
      </w:pPr>
    </w:p>
    <w:p>
      <w:pPr>
        <w:numPr>
          <w:ilvl w:val="0"/>
          <w:numId w:val="0"/>
        </w:numPr>
        <w:snapToGrid w:val="0"/>
        <w:spacing w:line="360" w:lineRule="auto"/>
        <w:ind w:left="480" w:leftChars="0"/>
        <w:jc w:val="left"/>
        <w:rPr>
          <w:rFonts w:hint="eastAsia" w:ascii="宋体" w:hAnsi="宋体" w:cs="宋体"/>
          <w:b/>
          <w:color w:val="auto"/>
          <w:sz w:val="28"/>
          <w:szCs w:val="28"/>
          <w:highlight w:val="none"/>
          <w:lang w:val="en-US" w:eastAsia="zh-CN"/>
        </w:rPr>
      </w:pPr>
    </w:p>
    <w:p>
      <w:pP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br w:type="page"/>
      </w:r>
    </w:p>
    <w:p>
      <w:pPr>
        <w:numPr>
          <w:ilvl w:val="0"/>
          <w:numId w:val="0"/>
        </w:numPr>
        <w:snapToGrid w:val="0"/>
        <w:spacing w:line="360" w:lineRule="auto"/>
        <w:ind w:left="480" w:leftChars="0"/>
        <w:jc w:val="center"/>
        <w:rPr>
          <w:rFonts w:hint="default"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十四、农民工工资保证金承诺书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（采购人</w:t>
      </w:r>
      <w:r>
        <w:rPr>
          <w:rFonts w:hint="eastAsia" w:asciiTheme="minorEastAsia" w:hAnsiTheme="minorEastAsia" w:eastAsiaTheme="minorEastAsia" w:cstheme="minorEastAsia"/>
          <w:color w:val="auto"/>
          <w:sz w:val="24"/>
          <w:szCs w:val="24"/>
          <w:lang w:val="en-US" w:eastAsia="zh-CN"/>
        </w:rPr>
        <w:t>单位</w:t>
      </w:r>
      <w:r>
        <w:rPr>
          <w:rFonts w:hint="eastAsia" w:asciiTheme="minorEastAsia" w:hAnsiTheme="minorEastAsia" w:eastAsiaTheme="minorEastAsia" w:cstheme="minorEastAsia"/>
          <w:color w:val="auto"/>
          <w:sz w:val="24"/>
          <w:szCs w:val="24"/>
        </w:rPr>
        <w:t>名称）</w:t>
      </w:r>
    </w:p>
    <w:p>
      <w:pPr>
        <w:spacing w:line="360" w:lineRule="auto"/>
        <w:ind w:firstLine="480" w:firstLineChars="200"/>
        <w:rPr>
          <w:rFonts w:hint="eastAsia" w:asciiTheme="minorEastAsia" w:hAnsiTheme="minorEastAsia" w:eastAsiaTheme="minorEastAsia" w:cstheme="minorEastAsia"/>
          <w:color w:val="auto"/>
          <w:kern w:val="0"/>
          <w:sz w:val="24"/>
          <w:szCs w:val="24"/>
          <w:highlight w:val="none"/>
        </w:rPr>
      </w:pPr>
      <w:r>
        <w:rPr>
          <w:rFonts w:hint="eastAsia" w:ascii="宋体" w:hAnsi="宋体" w:eastAsia="宋体" w:cs="宋体"/>
          <w:color w:val="auto"/>
          <w:kern w:val="2"/>
          <w:sz w:val="24"/>
          <w:szCs w:val="24"/>
          <w:highlight w:val="none"/>
          <w:lang w:val="en-US" w:bidi="ar-SA"/>
        </w:rPr>
        <w:t>如我公司在贵单位的</w:t>
      </w:r>
      <w:r>
        <w:rPr>
          <w:rFonts w:hint="eastAsia" w:ascii="宋体" w:hAnsi="宋体" w:eastAsia="宋体" w:cs="宋体"/>
          <w:color w:val="auto"/>
          <w:kern w:val="2"/>
          <w:sz w:val="24"/>
          <w:szCs w:val="24"/>
          <w:highlight w:val="none"/>
          <w:u w:val="single"/>
          <w:lang w:val="en-US" w:bidi="ar-SA"/>
        </w:rPr>
        <w:t xml:space="preserve">                        </w:t>
      </w:r>
      <w:r>
        <w:rPr>
          <w:rFonts w:hint="eastAsia" w:ascii="宋体" w:hAnsi="宋体" w:eastAsia="宋体" w:cs="宋体"/>
          <w:color w:val="auto"/>
          <w:kern w:val="2"/>
          <w:sz w:val="24"/>
          <w:szCs w:val="24"/>
          <w:highlight w:val="none"/>
          <w:lang w:val="en-US" w:bidi="ar-SA"/>
        </w:rPr>
        <w:t>成交，我方在此向采购人承诺</w:t>
      </w:r>
      <w:r>
        <w:rPr>
          <w:rFonts w:hint="eastAsia" w:ascii="宋体" w:hAnsi="宋体" w:cs="宋体"/>
          <w:color w:val="auto"/>
          <w:kern w:val="2"/>
          <w:sz w:val="24"/>
          <w:szCs w:val="24"/>
          <w:highlight w:val="none"/>
          <w:lang w:val="en-US" w:eastAsia="zh-CN" w:bidi="ar-SA"/>
        </w:rPr>
        <w:t>：</w:t>
      </w:r>
    </w:p>
    <w:p>
      <w:pPr>
        <w:spacing w:line="360" w:lineRule="auto"/>
        <w:ind w:firstLine="480" w:firstLineChars="200"/>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1、</w:t>
      </w:r>
      <w:r>
        <w:rPr>
          <w:rFonts w:hint="eastAsia" w:asciiTheme="minorEastAsia" w:hAnsiTheme="minorEastAsia" w:eastAsiaTheme="minorEastAsia" w:cstheme="minorEastAsia"/>
          <w:color w:val="auto"/>
          <w:kern w:val="0"/>
          <w:sz w:val="24"/>
          <w:szCs w:val="24"/>
          <w:highlight w:val="none"/>
        </w:rPr>
        <w:t>我方参与</w:t>
      </w:r>
      <w:r>
        <w:rPr>
          <w:rFonts w:hint="eastAsia" w:asciiTheme="minorEastAsia" w:hAnsiTheme="minorEastAsia" w:eastAsiaTheme="minorEastAsia" w:cstheme="minorEastAsia"/>
          <w:color w:val="auto"/>
          <w:kern w:val="0"/>
          <w:sz w:val="24"/>
          <w:szCs w:val="24"/>
          <w:highlight w:val="none"/>
          <w:lang w:val="en-US" w:eastAsia="zh-CN"/>
        </w:rPr>
        <w:t>磋商</w:t>
      </w:r>
      <w:r>
        <w:rPr>
          <w:rFonts w:hint="eastAsia" w:asciiTheme="minorEastAsia" w:hAnsiTheme="minorEastAsia" w:eastAsiaTheme="minorEastAsia" w:cstheme="minorEastAsia"/>
          <w:color w:val="auto"/>
          <w:kern w:val="0"/>
          <w:sz w:val="24"/>
          <w:szCs w:val="24"/>
          <w:highlight w:val="none"/>
        </w:rPr>
        <w:t>的</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rPr>
        <w:t>项目，一旦成交，我方保证在签订施工合同后，及时并足额将农民工工资保证金足额存入指定的账户，作为本项目农民工工资保证金。</w:t>
      </w:r>
    </w:p>
    <w:p>
      <w:pPr>
        <w:spacing w:line="360" w:lineRule="auto"/>
        <w:ind w:firstLine="480" w:firstLineChars="200"/>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2、</w:t>
      </w:r>
      <w:r>
        <w:rPr>
          <w:rFonts w:hint="eastAsia" w:asciiTheme="minorEastAsia" w:hAnsiTheme="minorEastAsia" w:eastAsiaTheme="minorEastAsia" w:cstheme="minorEastAsia"/>
          <w:color w:val="auto"/>
          <w:kern w:val="0"/>
          <w:sz w:val="24"/>
          <w:szCs w:val="24"/>
          <w:highlight w:val="none"/>
        </w:rPr>
        <w:t>如我方在承包的</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rPr>
        <w:t>项目中出现拖欠农民工和工人工资情况的，由相关部门从其农民工工资保证金中先予划支。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highlight w:val="none"/>
          <w:lang w:val="en-US" w:eastAsia="zh-CN"/>
        </w:rPr>
        <w:t>3、</w:t>
      </w:r>
      <w:r>
        <w:rPr>
          <w:rFonts w:hint="eastAsia" w:asciiTheme="minorEastAsia" w:hAnsiTheme="minorEastAsia" w:eastAsiaTheme="minorEastAsia" w:cstheme="minorEastAsia"/>
          <w:color w:val="auto"/>
          <w:kern w:val="0"/>
          <w:sz w:val="24"/>
          <w:szCs w:val="24"/>
          <w:highlight w:val="none"/>
        </w:rPr>
        <w:t>如我方不按时、足额存入农民工工资保证金，采购人有权取消我方承包资格。</w:t>
      </w:r>
    </w:p>
    <w:p>
      <w:pPr>
        <w:pStyle w:val="12"/>
        <w:rPr>
          <w:rFonts w:hint="eastAsia" w:asciiTheme="minorEastAsia" w:hAnsiTheme="minorEastAsia" w:eastAsiaTheme="minorEastAsia" w:cstheme="minorEastAsia"/>
          <w:color w:val="auto"/>
          <w:sz w:val="24"/>
          <w:szCs w:val="24"/>
          <w:highlight w:val="none"/>
        </w:rPr>
      </w:pPr>
    </w:p>
    <w:p>
      <w:pPr>
        <w:pStyle w:val="12"/>
        <w:spacing w:before="10"/>
        <w:rPr>
          <w:rFonts w:hint="eastAsia" w:asciiTheme="minorEastAsia" w:hAnsiTheme="minorEastAsia" w:eastAsiaTheme="minorEastAsia" w:cstheme="minorEastAsia"/>
          <w:color w:val="auto"/>
          <w:sz w:val="24"/>
          <w:szCs w:val="24"/>
          <w:highlight w:val="none"/>
        </w:rPr>
      </w:pPr>
    </w:p>
    <w:p>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szCs w:val="24"/>
          <w:highlight w:val="none"/>
        </w:rPr>
      </w:pPr>
    </w:p>
    <w:p>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供应商名称（电子签章）：</w:t>
      </w:r>
    </w:p>
    <w:p>
      <w:pPr>
        <w:spacing w:line="360" w:lineRule="auto"/>
        <w:ind w:left="0" w:leftChars="0" w:firstLine="6098" w:firstLineChars="2541"/>
        <w:contextualSpacing/>
        <w:jc w:val="both"/>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日期：  年  月   日</w:t>
      </w:r>
    </w:p>
    <w:p>
      <w:pPr>
        <w:rPr>
          <w:rFonts w:hint="eastAsia" w:asciiTheme="minorEastAsia" w:hAnsiTheme="minorEastAsia" w:eastAsiaTheme="minorEastAsia" w:cstheme="minorEastAsia"/>
          <w:b/>
          <w:color w:val="auto"/>
          <w:sz w:val="24"/>
          <w:szCs w:val="24"/>
          <w:highlight w:val="none"/>
          <w:lang w:val="en-US" w:eastAsia="zh-CN"/>
        </w:rPr>
      </w:pPr>
    </w:p>
    <w:p>
      <w:pP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br w:type="page"/>
      </w:r>
    </w:p>
    <w:p>
      <w:pPr>
        <w:numPr>
          <w:ilvl w:val="0"/>
          <w:numId w:val="0"/>
        </w:numPr>
        <w:snapToGrid w:val="0"/>
        <w:spacing w:line="360" w:lineRule="auto"/>
        <w:ind w:left="480" w:leftChars="0"/>
        <w:jc w:val="center"/>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十五、</w:t>
      </w:r>
      <w:r>
        <w:rPr>
          <w:rFonts w:hint="eastAsia" w:ascii="宋体" w:hAnsi="宋体" w:eastAsia="宋体" w:cs="宋体"/>
          <w:b/>
          <w:color w:val="auto"/>
          <w:sz w:val="28"/>
          <w:szCs w:val="28"/>
          <w:highlight w:val="none"/>
          <w:lang w:val="en-US" w:eastAsia="zh-CN"/>
        </w:rPr>
        <w:t>供应商认为需要提供的其他有关资料</w:t>
      </w:r>
    </w:p>
    <w:p>
      <w:pPr>
        <w:numPr>
          <w:ilvl w:val="0"/>
          <w:numId w:val="0"/>
        </w:numPr>
        <w:outlineLvl w:val="9"/>
        <w:rPr>
          <w:rFonts w:hint="eastAsia"/>
          <w:color w:val="auto"/>
          <w:highlight w:val="none"/>
          <w:lang w:val="en-US" w:eastAsia="zh-CN"/>
        </w:rPr>
      </w:pPr>
    </w:p>
    <w:p>
      <w:pPr>
        <w:outlineLvl w:val="9"/>
        <w:rPr>
          <w:rFonts w:hint="eastAsia"/>
          <w:color w:val="auto"/>
          <w:highlight w:val="none"/>
          <w:lang w:val="en-US" w:eastAsia="zh-CN"/>
        </w:rPr>
      </w:pPr>
    </w:p>
    <w:p>
      <w:pPr>
        <w:outlineLvl w:val="9"/>
        <w:rPr>
          <w:rFonts w:hint="eastAsia"/>
          <w:color w:val="auto"/>
          <w:highlight w:val="none"/>
          <w:lang w:val="en-US" w:eastAsia="zh-CN"/>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pStyle w:val="1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日期：  年  月   日</w:t>
      </w:r>
    </w:p>
    <w:p>
      <w:pPr>
        <w:pStyle w:val="18"/>
        <w:rPr>
          <w:rFonts w:hint="eastAsia" w:ascii="宋体" w:hAnsi="宋体" w:eastAsia="宋体" w:cs="宋体"/>
          <w:color w:val="auto"/>
          <w:kern w:val="0"/>
          <w:sz w:val="24"/>
          <w:highlight w:val="none"/>
          <w:lang w:val="zh-CN"/>
        </w:rPr>
      </w:pPr>
    </w:p>
    <w:p>
      <w:pPr>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autoSpaceDE w:val="0"/>
        <w:autoSpaceDN w:val="0"/>
        <w:spacing w:line="360" w:lineRule="auto"/>
        <w:ind w:firstLine="6505" w:firstLineChars="2700"/>
        <w:rPr>
          <w:rFonts w:hint="eastAsia" w:ascii="宋体" w:hAnsi="宋体" w:eastAsia="宋体" w:cs="宋体"/>
          <w:b/>
          <w:bCs/>
          <w:color w:val="auto"/>
          <w:sz w:val="24"/>
          <w:highlight w:val="none"/>
        </w:rPr>
      </w:pPr>
    </w:p>
    <w:p>
      <w:pPr>
        <w:pStyle w:val="3"/>
        <w:spacing w:line="360" w:lineRule="auto"/>
        <w:jc w:val="center"/>
        <w:rPr>
          <w:rFonts w:hint="eastAsia" w:ascii="宋体" w:hAnsi="宋体" w:eastAsia="宋体" w:cs="宋体"/>
          <w:color w:val="auto"/>
          <w:highlight w:val="none"/>
          <w:lang w:val="en-US" w:eastAsia="zh-CN"/>
        </w:rPr>
      </w:pPr>
      <w:bookmarkStart w:id="125" w:name="_Toc14497"/>
      <w:bookmarkStart w:id="126" w:name="_Toc80205941"/>
      <w:bookmarkStart w:id="127" w:name="_Toc9136"/>
      <w:bookmarkStart w:id="128" w:name="_Toc7838"/>
      <w:r>
        <w:rPr>
          <w:rFonts w:hint="eastAsia" w:ascii="宋体" w:hAnsi="宋体" w:eastAsia="宋体" w:cs="宋体"/>
          <w:color w:val="auto"/>
          <w:highlight w:val="none"/>
          <w:lang w:val="en-US" w:eastAsia="zh-CN"/>
        </w:rPr>
        <w:t>第四节 报价文件格式</w:t>
      </w:r>
      <w:bookmarkEnd w:id="125"/>
      <w:bookmarkEnd w:id="126"/>
      <w:bookmarkEnd w:id="127"/>
      <w:bookmarkEnd w:id="128"/>
    </w:p>
    <w:p>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rPr>
          <w:rFonts w:hint="eastAsia" w:ascii="宋体" w:hAnsi="宋体" w:eastAsia="宋体" w:cs="宋体"/>
          <w:color w:val="auto"/>
          <w:sz w:val="24"/>
          <w:szCs w:val="20"/>
          <w:highlight w:val="none"/>
        </w:rPr>
      </w:pPr>
    </w:p>
    <w:p>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件（封面）</w:t>
      </w: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rPr>
          <w:rFonts w:hint="eastAsia" w:ascii="宋体" w:hAnsi="宋体" w:eastAsia="宋体" w:cs="宋体"/>
          <w:bCs/>
          <w:color w:val="auto"/>
          <w:sz w:val="24"/>
          <w:szCs w:val="20"/>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pPr>
        <w:snapToGrid w:val="0"/>
        <w:spacing w:before="120" w:beforeLines="50" w:after="50"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报价文件目录</w:t>
      </w: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一、响应函………………………………………………………（页码）</w:t>
      </w:r>
    </w:p>
    <w:p>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二、响应报价表…………………………………………………（页码）</w:t>
      </w:r>
    </w:p>
    <w:p>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三、已标价工程量清单…………</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pPr>
        <w:spacing w:line="360" w:lineRule="auto"/>
        <w:rPr>
          <w:rFonts w:hint="eastAsia" w:ascii="宋体" w:hAnsi="宋体" w:eastAsia="宋体" w:cs="宋体"/>
          <w:color w:val="auto"/>
          <w:sz w:val="24"/>
          <w:highlight w:val="none"/>
        </w:r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、供应商认为需要提供的其他有关资料……………………（页码）</w:t>
      </w:r>
    </w:p>
    <w:p>
      <w:pPr>
        <w:snapToGrid w:val="0"/>
        <w:spacing w:before="120" w:beforeLines="50" w:after="50" w:line="360" w:lineRule="auto"/>
        <w:ind w:left="0" w:firstLine="0" w:firstLineChars="0"/>
        <w:jc w:val="left"/>
        <w:rPr>
          <w:rFonts w:hint="eastAsia" w:ascii="宋体" w:hAnsi="宋体" w:eastAsia="宋体" w:cs="宋体"/>
          <w:color w:val="auto"/>
          <w:sz w:val="32"/>
          <w:szCs w:val="32"/>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一、响应函</w:t>
      </w:r>
    </w:p>
    <w:p>
      <w:pPr>
        <w:pStyle w:val="15"/>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pPr>
        <w:pStyle w:val="15"/>
        <w:spacing w:line="360" w:lineRule="auto"/>
        <w:rPr>
          <w:rFonts w:hint="eastAsia" w:ascii="宋体" w:hAnsi="宋体" w:eastAsia="宋体" w:cs="宋体"/>
          <w:color w:val="auto"/>
          <w:sz w:val="32"/>
          <w:highlight w:val="none"/>
        </w:rPr>
      </w:pPr>
    </w:p>
    <w:p>
      <w:pPr>
        <w:pStyle w:val="15"/>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hAnsi="宋体" w:cs="宋体"/>
          <w:color w:val="auto"/>
          <w:sz w:val="21"/>
          <w:szCs w:val="21"/>
          <w:highlight w:val="none"/>
          <w:u w:val="single"/>
          <w:lang w:val="en-US" w:eastAsia="zh-CN"/>
        </w:rPr>
        <w:t xml:space="preserve">   （项目名称）           </w:t>
      </w:r>
      <w:r>
        <w:rPr>
          <w:rFonts w:hint="eastAsia" w:ascii="宋体" w:hAnsi="宋体" w:eastAsia="宋体" w:cs="宋体"/>
          <w:color w:val="auto"/>
          <w:sz w:val="21"/>
          <w:szCs w:val="21"/>
          <w:highlight w:val="none"/>
        </w:rPr>
        <w:t>项目（项目编号：</w:t>
      </w:r>
      <w:r>
        <w:rPr>
          <w:rFonts w:hint="eastAsia" w:hAnsi="宋体" w:cs="宋体"/>
          <w:color w:val="auto"/>
          <w:sz w:val="21"/>
          <w:szCs w:val="21"/>
          <w:highlight w:val="none"/>
          <w:u w:val="single"/>
          <w:lang w:eastAsia="zh-CN"/>
        </w:rPr>
        <w:t xml:space="preserve"> </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rPr>
        <w:t>）的竞争性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一、首次报价文件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p>
    <w:p>
      <w:pPr>
        <w:pStyle w:val="15"/>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二、技术文件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提交的全部文件）；商务文件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r>
        <w:rPr>
          <w:rFonts w:hint="eastAsia" w:ascii="宋体" w:hAnsi="宋体" w:eastAsia="宋体" w:cs="宋体"/>
          <w:color w:val="auto"/>
          <w:sz w:val="21"/>
          <w:szCs w:val="21"/>
          <w:highlight w:val="none"/>
          <w:lang w:eastAsia="zh-CN"/>
        </w:rPr>
        <w:t>（商务技术文件已合并装订成册）</w:t>
      </w:r>
    </w:p>
    <w:p>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三、资格证明文件电子版</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none"/>
          <w:lang w:val="en-US" w:eastAsia="zh-CN"/>
        </w:rPr>
        <w:t>份</w:t>
      </w:r>
      <w:r>
        <w:rPr>
          <w:rFonts w:hint="eastAsia" w:ascii="宋体" w:hAnsi="宋体" w:eastAsia="宋体" w:cs="宋体"/>
          <w:color w:val="auto"/>
          <w:sz w:val="21"/>
          <w:szCs w:val="21"/>
          <w:highlight w:val="none"/>
        </w:rPr>
        <w:t>（包含按“第三章供应商须知”提交的全部文件）；</w:t>
      </w:r>
    </w:p>
    <w:p>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须知、合同条件、技术规范、图纸和其他有关文件后，我方承接本项目</w:t>
      </w:r>
      <w:r>
        <w:rPr>
          <w:rFonts w:hint="eastAsia" w:ascii="宋体" w:hAnsi="宋体"/>
          <w:color w:val="auto"/>
          <w:spacing w:val="8"/>
          <w:sz w:val="21"/>
          <w:szCs w:val="21"/>
          <w:highlight w:val="none"/>
        </w:rPr>
        <w:t>磋商</w:t>
      </w:r>
      <w:r>
        <w:rPr>
          <w:rFonts w:hint="eastAsia" w:ascii="宋体" w:hAnsi="宋体" w:eastAsia="宋体" w:cs="宋体"/>
          <w:color w:val="auto"/>
          <w:sz w:val="21"/>
          <w:szCs w:val="21"/>
          <w:highlight w:val="none"/>
        </w:rPr>
        <w:t>报价为人民币（大写）</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）。按上述合同条件、技术规范、图纸的条件承包本采购范围内全部工程的施工、竣工和保修。</w:t>
      </w:r>
    </w:p>
    <w:p>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2、一旦我方中标，我方保证按合同书中规定的工期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日历天内完成并移交全部工程</w:t>
      </w:r>
      <w:r>
        <w:rPr>
          <w:rFonts w:hint="eastAsia" w:ascii="宋体" w:hAnsi="宋体" w:eastAsia="宋体" w:cs="宋体"/>
          <w:color w:val="auto"/>
          <w:sz w:val="21"/>
          <w:szCs w:val="21"/>
          <w:highlight w:val="none"/>
          <w:lang w:eastAsia="zh-CN"/>
        </w:rPr>
        <w:t>，</w:t>
      </w:r>
      <w:r>
        <w:rPr>
          <w:rFonts w:hint="eastAsia" w:ascii="宋体" w:hAnsi="宋体"/>
          <w:color w:val="auto"/>
          <w:sz w:val="21"/>
          <w:szCs w:val="21"/>
          <w:highlight w:val="none"/>
        </w:rPr>
        <w:t>并保证工程质量</w:t>
      </w:r>
      <w:r>
        <w:rPr>
          <w:rFonts w:hint="eastAsia" w:ascii="宋体" w:hAnsi="Courier New"/>
          <w:color w:val="auto"/>
          <w:sz w:val="21"/>
          <w:szCs w:val="21"/>
          <w:highlight w:val="none"/>
          <w:u w:val="single"/>
        </w:rPr>
        <w:t xml:space="preserve">  </w:t>
      </w:r>
      <w:r>
        <w:rPr>
          <w:rFonts w:hint="eastAsia"/>
          <w:color w:val="auto"/>
          <w:sz w:val="21"/>
          <w:szCs w:val="21"/>
          <w:highlight w:val="none"/>
          <w:u w:val="single"/>
          <w:lang w:val="en-US" w:eastAsia="zh-CN"/>
        </w:rPr>
        <w:t xml:space="preserve">    </w:t>
      </w:r>
      <w:r>
        <w:rPr>
          <w:rFonts w:hint="eastAsia" w:ascii="宋体" w:hAnsi="Courier New"/>
          <w:color w:val="auto"/>
          <w:sz w:val="21"/>
          <w:szCs w:val="21"/>
          <w:highlight w:val="none"/>
          <w:u w:val="single"/>
        </w:rPr>
        <w:t xml:space="preserve">    </w:t>
      </w:r>
      <w:r>
        <w:rPr>
          <w:rFonts w:hint="eastAsia" w:ascii="宋体" w:hAnsi="宋体" w:eastAsia="宋体" w:cs="宋体"/>
          <w:color w:val="auto"/>
          <w:sz w:val="21"/>
          <w:szCs w:val="21"/>
          <w:highlight w:val="none"/>
        </w:rPr>
        <w:t>。</w:t>
      </w:r>
    </w:p>
    <w:p>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、如本项目采购内容涉及须符合国家强制规定的，我方承诺我方本次竞标均符合国家有关强制规定。</w:t>
      </w:r>
    </w:p>
    <w:p>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、我方承诺未被列入失信被执行人、重大税收违法案件当事人名单、政府采购严重违法失信行为记录名单，并已经具备《中华人民共和国政府采购法》中规定的参加政府采购活动的供应商应当具备的条件：</w:t>
      </w:r>
    </w:p>
    <w:p>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p>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
    <w:p>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、我方同意应贵方要求提供与本竞标有关的任何数据或资料。若贵方需要，我方愿意提供我方作出的一切承诺的证明材料。</w:t>
      </w:r>
    </w:p>
    <w:p>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1</w:t>
      </w:r>
      <w:r>
        <w:rPr>
          <w:rFonts w:hint="eastAsia" w:ascii="宋体" w:hAnsi="宋体" w:eastAsia="宋体" w:cs="宋体"/>
          <w:color w:val="auto"/>
          <w:sz w:val="21"/>
          <w:szCs w:val="21"/>
          <w:highlight w:val="none"/>
        </w:rPr>
        <w:t>、我方完全理解贵方不一定接受响应报价最低的竞标人为成交供应商的行为。</w:t>
      </w:r>
    </w:p>
    <w:p>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提供虚假材料谋取中标、成交的；</w:t>
      </w:r>
    </w:p>
    <w:p>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采取不正当手段诋毁、排挤其他供应商的；</w:t>
      </w:r>
    </w:p>
    <w:p>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与采购人、其他供应商或者采购代理机构恶意串通的；</w:t>
      </w:r>
    </w:p>
    <w:p>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向采购人、采购代理机构行贿或者提供其他不正当利益的；</w:t>
      </w:r>
    </w:p>
    <w:p>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在采购过程中与采购人进行协商谈判的；</w:t>
      </w:r>
    </w:p>
    <w:p>
      <w:pPr>
        <w:pStyle w:val="15"/>
        <w:numPr>
          <w:ilvl w:val="0"/>
          <w:numId w:val="3"/>
        </w:numPr>
        <w:tabs>
          <w:tab w:val="left" w:pos="945"/>
        </w:tabs>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拒绝有关部门监督检查或提供虚假情况的。</w:t>
      </w:r>
    </w:p>
    <w:p>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pPr>
        <w:pStyle w:val="14"/>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pPr>
        <w:spacing w:line="360" w:lineRule="auto"/>
        <w:contextualSpacing/>
        <w:jc w:val="left"/>
        <w:rPr>
          <w:rFonts w:hint="eastAsia" w:ascii="宋体" w:hAnsi="宋体" w:eastAsia="宋体" w:cs="宋体"/>
          <w:color w:val="auto"/>
          <w:szCs w:val="21"/>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left="0" w:leftChars="0" w:firstLine="5880" w:firstLineChars="24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pPr>
        <w:spacing w:line="360" w:lineRule="auto"/>
        <w:ind w:firstLine="420" w:firstLineChars="200"/>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snapToGrid w:val="0"/>
        <w:spacing w:before="120" w:beforeLines="50" w:after="50" w:line="360" w:lineRule="auto"/>
        <w:ind w:left="142" w:firstLine="643" w:firstLineChars="20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二、响应报价表</w:t>
      </w:r>
    </w:p>
    <w:p>
      <w:pPr>
        <w:snapToGrid w:val="0"/>
        <w:spacing w:before="50" w:after="50" w:line="360" w:lineRule="auto"/>
        <w:rPr>
          <w:rFonts w:hint="eastAsia" w:ascii="宋体" w:hAnsi="宋体" w:eastAsia="宋体" w:cs="宋体"/>
          <w:color w:val="auto"/>
          <w:sz w:val="24"/>
          <w:highlight w:val="none"/>
        </w:rPr>
      </w:pPr>
    </w:p>
    <w:p>
      <w:pPr>
        <w:snapToGrid w:val="0"/>
        <w:spacing w:before="50" w:after="50" w:line="360" w:lineRule="auto"/>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val="en-US" w:eastAsia="zh-CN"/>
        </w:rPr>
        <w:t xml:space="preserve">                              </w:t>
      </w:r>
    </w:p>
    <w:p>
      <w:pPr>
        <w:snapToGrid w:val="0"/>
        <w:spacing w:before="50" w:after="50" w:line="360" w:lineRule="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分标：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6"/>
        <w:tblW w:w="93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346"/>
        <w:gridCol w:w="1140"/>
        <w:gridCol w:w="2837"/>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标的的</w:t>
            </w:r>
            <w:r>
              <w:rPr>
                <w:rFonts w:hint="eastAsia" w:ascii="宋体" w:hAnsi="宋体" w:eastAsia="宋体" w:cs="宋体"/>
                <w:color w:val="auto"/>
                <w:sz w:val="24"/>
                <w:szCs w:val="24"/>
                <w:highlight w:val="none"/>
                <w:lang w:eastAsia="zh-CN"/>
              </w:rPr>
              <w:t>名称</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及单位</w:t>
            </w:r>
          </w:p>
        </w:tc>
        <w:tc>
          <w:tcPr>
            <w:tcW w:w="28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c>
          <w:tcPr>
            <w:tcW w:w="11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8"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3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28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报价合计（包含税费等所有费用）：（大写）人民币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合同履行期限（工期）：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工程质量要求：</w:t>
            </w:r>
          </w:p>
        </w:tc>
      </w:tr>
    </w:tbl>
    <w:p>
      <w:pPr>
        <w:snapToGrid w:val="0"/>
        <w:spacing w:before="50" w:after="50"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pPr>
        <w:autoSpaceDE/>
        <w:autoSpaceDN/>
        <w:snapToGrid w:val="0"/>
        <w:spacing w:line="360" w:lineRule="auto"/>
        <w:ind w:left="0" w:leftChars="0" w:firstLine="480" w:firstLineChars="200"/>
        <w:jc w:val="left"/>
        <w:rPr>
          <w:rFonts w:hint="eastAsia" w:ascii="宋体" w:hAnsi="宋体" w:eastAsia="宋体" w:cs="宋体"/>
          <w:color w:val="auto"/>
          <w:kern w:val="0"/>
          <w:sz w:val="24"/>
          <w:highlight w:val="none"/>
        </w:rPr>
      </w:pPr>
      <w:r>
        <w:rPr>
          <w:rFonts w:hint="eastAsia" w:ascii="宋体" w:hAnsi="宋体" w:cs="仿宋_GB2312"/>
          <w:color w:val="auto"/>
          <w:kern w:val="0"/>
          <w:sz w:val="24"/>
          <w:szCs w:val="22"/>
          <w:highlight w:val="none"/>
          <w:lang w:val="zh-CN"/>
        </w:rPr>
        <w:t>注</w:t>
      </w:r>
      <w:r>
        <w:rPr>
          <w:rFonts w:ascii="宋体" w:hAnsi="宋体" w:cs="仿宋_GB2312"/>
          <w:color w:val="auto"/>
          <w:kern w:val="0"/>
          <w:sz w:val="24"/>
          <w:szCs w:val="22"/>
          <w:highlight w:val="none"/>
          <w:lang w:val="zh-CN"/>
        </w:rPr>
        <w:t>：</w:t>
      </w:r>
      <w:r>
        <w:rPr>
          <w:rFonts w:hint="eastAsia" w:ascii="宋体" w:hAnsi="宋体" w:cs="仿宋_GB2312"/>
          <w:color w:val="auto"/>
          <w:kern w:val="0"/>
          <w:sz w:val="24"/>
          <w:highlight w:val="none"/>
          <w:lang w:val="zh-CN"/>
        </w:rPr>
        <w:t>符合采购文件中列明的可享受中小企业扶持政策的供应商，请填写中小企业声明函。注：供应商</w:t>
      </w:r>
      <w:r>
        <w:rPr>
          <w:rFonts w:ascii="宋体" w:hAnsi="宋体" w:cs="仿宋_GB2312"/>
          <w:color w:val="auto"/>
          <w:kern w:val="0"/>
          <w:sz w:val="24"/>
          <w:highlight w:val="none"/>
          <w:lang w:val="zh-CN"/>
        </w:rPr>
        <w:t>提供</w:t>
      </w:r>
      <w:r>
        <w:rPr>
          <w:rFonts w:hint="eastAsia" w:ascii="宋体" w:hAnsi="宋体" w:cs="仿宋_GB2312"/>
          <w:color w:val="auto"/>
          <w:kern w:val="0"/>
          <w:sz w:val="24"/>
          <w:highlight w:val="none"/>
          <w:lang w:val="zh-CN"/>
        </w:rPr>
        <w:t>的中小企业</w:t>
      </w:r>
      <w:r>
        <w:rPr>
          <w:rFonts w:ascii="宋体" w:hAnsi="宋体" w:cs="仿宋_GB2312"/>
          <w:color w:val="auto"/>
          <w:kern w:val="0"/>
          <w:sz w:val="24"/>
          <w:highlight w:val="none"/>
          <w:lang w:val="zh-CN"/>
        </w:rPr>
        <w:t>声明函内容不实的，属于提供虚假材料谋取中标、成交，依照《中华人民共和国政府采购法》等国家有关规定追究相应责任</w:t>
      </w:r>
      <w:r>
        <w:rPr>
          <w:rFonts w:hint="eastAsia" w:ascii="宋体" w:hAnsi="宋体" w:eastAsia="宋体" w:cs="宋体"/>
          <w:color w:val="auto"/>
          <w:kern w:val="0"/>
          <w:sz w:val="24"/>
          <w:highlight w:val="none"/>
          <w:lang w:val="zh-CN"/>
        </w:rPr>
        <w:t>。</w:t>
      </w: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pStyle w:val="15"/>
        <w:spacing w:line="360" w:lineRule="auto"/>
        <w:ind w:left="0" w:leftChars="0" w:firstLine="5678" w:firstLineChars="2366"/>
        <w:rPr>
          <w:rFonts w:hint="eastAsia"/>
          <w:color w:val="auto"/>
          <w:highlight w:val="none"/>
          <w:lang w:val="zh-CN"/>
        </w:rPr>
      </w:pPr>
      <w:r>
        <w:rPr>
          <w:rFonts w:hint="eastAsia" w:ascii="宋体" w:hAnsi="宋体" w:eastAsia="宋体" w:cs="宋体"/>
          <w:color w:val="auto"/>
          <w:sz w:val="24"/>
          <w:highlight w:val="none"/>
          <w:lang w:val="zh-CN"/>
        </w:rPr>
        <w:t>日期：  年  月   日</w:t>
      </w:r>
    </w:p>
    <w:p>
      <w:pPr>
        <w:rPr>
          <w:rFonts w:hint="eastAsia"/>
          <w:color w:val="auto"/>
          <w:highlight w:val="none"/>
          <w:lang w:val="zh-CN"/>
        </w:rPr>
      </w:pPr>
    </w:p>
    <w:p>
      <w:pPr>
        <w:pStyle w:val="25"/>
        <w:rPr>
          <w:rFonts w:hint="eastAsia"/>
          <w:color w:val="auto"/>
          <w:highlight w:val="none"/>
          <w:lang w:val="zh-CN"/>
        </w:rPr>
      </w:pPr>
    </w:p>
    <w:p>
      <w:pPr>
        <w:rPr>
          <w:rFonts w:hint="eastAsia"/>
          <w:color w:val="auto"/>
          <w:highlight w:val="none"/>
          <w:lang w:val="zh-CN"/>
        </w:rPr>
      </w:pPr>
    </w:p>
    <w:p>
      <w:pPr>
        <w:pStyle w:val="25"/>
        <w:rPr>
          <w:rFonts w:hint="eastAsia"/>
          <w:color w:val="auto"/>
          <w:highlight w:val="none"/>
          <w:lang w:val="zh-CN"/>
        </w:rPr>
      </w:pPr>
    </w:p>
    <w:p>
      <w:pPr>
        <w:rPr>
          <w:rFonts w:hint="eastAsia"/>
          <w:color w:val="auto"/>
          <w:highlight w:val="none"/>
          <w:lang w:val="zh-CN"/>
        </w:rPr>
      </w:pPr>
    </w:p>
    <w:p>
      <w:pPr>
        <w:pStyle w:val="25"/>
        <w:rPr>
          <w:rFonts w:hint="eastAsia"/>
          <w:color w:val="auto"/>
          <w:highlight w:val="none"/>
          <w:lang w:val="zh-CN"/>
        </w:rPr>
      </w:pPr>
    </w:p>
    <w:p>
      <w:pPr>
        <w:rPr>
          <w:rFonts w:hint="eastAsia"/>
          <w:color w:val="auto"/>
          <w:highlight w:val="none"/>
          <w:lang w:val="zh-CN"/>
        </w:rPr>
      </w:pPr>
    </w:p>
    <w:p>
      <w:pPr>
        <w:snapToGrid w:val="0"/>
        <w:spacing w:line="360" w:lineRule="auto"/>
        <w:ind w:firstLine="602" w:firstLineChars="200"/>
        <w:rPr>
          <w:rFonts w:hint="eastAsia" w:ascii="宋体" w:hAnsi="宋体" w:cs="仿宋_GB2312"/>
          <w:b/>
          <w:color w:val="auto"/>
          <w:sz w:val="30"/>
          <w:szCs w:val="30"/>
          <w:highlight w:val="none"/>
        </w:rPr>
      </w:pPr>
    </w:p>
    <w:p>
      <w:pPr>
        <w:snapToGrid w:val="0"/>
        <w:spacing w:line="360" w:lineRule="auto"/>
        <w:ind w:firstLine="602" w:firstLineChars="200"/>
        <w:rPr>
          <w:rFonts w:hint="eastAsia" w:ascii="宋体" w:hAnsi="宋体" w:cs="仿宋_GB2312"/>
          <w:b/>
          <w:color w:val="auto"/>
          <w:sz w:val="30"/>
          <w:szCs w:val="30"/>
          <w:highlight w:val="none"/>
        </w:rPr>
      </w:pPr>
      <w:r>
        <w:rPr>
          <w:rFonts w:hint="eastAsia" w:ascii="宋体" w:hAnsi="宋体" w:cs="仿宋_GB2312"/>
          <w:b/>
          <w:color w:val="auto"/>
          <w:sz w:val="30"/>
          <w:szCs w:val="30"/>
          <w:highlight w:val="none"/>
        </w:rPr>
        <w:t>三、已标价工程量清单</w:t>
      </w:r>
    </w:p>
    <w:p>
      <w:pPr>
        <w:outlineLvl w:val="9"/>
        <w:rPr>
          <w:rFonts w:hint="eastAsia"/>
          <w:color w:val="auto"/>
          <w:highlight w:val="none"/>
          <w:lang w:val="en-US" w:eastAsia="zh-CN"/>
        </w:rPr>
      </w:pPr>
    </w:p>
    <w:p>
      <w:pPr>
        <w:snapToGrid w:val="0"/>
        <w:spacing w:line="360" w:lineRule="auto"/>
        <w:ind w:firstLine="482" w:firstLineChars="200"/>
        <w:rPr>
          <w:rFonts w:hint="eastAsia" w:ascii="宋体" w:hAnsi="宋体" w:eastAsia="宋体" w:cs="宋体"/>
          <w:b/>
          <w:color w:val="auto"/>
          <w:sz w:val="30"/>
          <w:szCs w:val="30"/>
          <w:highlight w:val="none"/>
          <w:lang w:val="en-US" w:eastAsia="zh-CN"/>
        </w:rPr>
      </w:pPr>
      <w:r>
        <w:rPr>
          <w:rFonts w:hint="eastAsia" w:ascii="宋体" w:hAnsi="宋体" w:cs="仿宋_GB2312"/>
          <w:b/>
          <w:color w:val="auto"/>
          <w:sz w:val="24"/>
          <w:szCs w:val="24"/>
          <w:highlight w:val="none"/>
          <w:lang w:val="en-US" w:eastAsia="zh-CN"/>
        </w:rPr>
        <w:t>说明：</w:t>
      </w:r>
      <w:r>
        <w:rPr>
          <w:rFonts w:hint="eastAsia" w:ascii="宋体" w:hAnsi="宋体" w:cs="仿宋_GB2312"/>
          <w:b/>
          <w:bCs w:val="0"/>
          <w:color w:val="auto"/>
          <w:kern w:val="2"/>
          <w:sz w:val="24"/>
          <w:szCs w:val="24"/>
          <w:highlight w:val="none"/>
          <w:lang w:val="en-US" w:eastAsia="zh-CN"/>
        </w:rPr>
        <w:t>二次报价或最后报价与首次报价相比有调整的，请供应商提前准备好调整后的已标价工程量清单（已标价工程量清单合计金额须与相对应的竞标总报价金额保持一致），如未在规定时间内提供调整后的已标价工程量清单，由此造成的后果供应商自行承担。</w:t>
      </w:r>
    </w:p>
    <w:p>
      <w:pPr>
        <w:pStyle w:val="12"/>
        <w:jc w:val="center"/>
        <w:rPr>
          <w:rFonts w:hint="eastAsia" w:ascii="宋体" w:hAnsi="宋体" w:cs="宋体"/>
          <w:b/>
          <w:color w:val="auto"/>
          <w:sz w:val="24"/>
          <w:szCs w:val="24"/>
          <w:highlight w:val="none"/>
          <w:lang w:val="en-US" w:eastAsia="zh-CN"/>
        </w:rPr>
      </w:pPr>
    </w:p>
    <w:p>
      <w:pPr>
        <w:pStyle w:val="12"/>
        <w:jc w:val="center"/>
        <w:rPr>
          <w:rFonts w:hint="eastAsia" w:ascii="宋体" w:hAnsi="宋体" w:cs="宋体"/>
          <w:b/>
          <w:color w:val="auto"/>
          <w:sz w:val="24"/>
          <w:szCs w:val="24"/>
          <w:highlight w:val="none"/>
          <w:lang w:val="en-US" w:eastAsia="zh-CN"/>
        </w:rPr>
      </w:pPr>
    </w:p>
    <w:p>
      <w:pPr>
        <w:pStyle w:val="12"/>
        <w:ind w:firstLine="630" w:firstLineChars="300"/>
        <w:rPr>
          <w:rFonts w:hint="eastAsia"/>
          <w:color w:val="auto"/>
          <w:highlight w:val="none"/>
          <w:lang w:val="en-US" w:eastAsia="zh-CN"/>
        </w:rPr>
      </w:pPr>
    </w:p>
    <w:p>
      <w:pPr>
        <w:pStyle w:val="12"/>
        <w:ind w:firstLine="630" w:firstLineChars="300"/>
        <w:rPr>
          <w:rFonts w:hint="eastAsia"/>
          <w:color w:val="auto"/>
          <w:highlight w:val="none"/>
          <w:lang w:val="en-US" w:eastAsia="zh-CN"/>
        </w:rPr>
      </w:pPr>
    </w:p>
    <w:p>
      <w:pPr>
        <w:pStyle w:val="12"/>
        <w:ind w:firstLine="630" w:firstLineChars="300"/>
        <w:rPr>
          <w:rFonts w:hint="eastAsia"/>
          <w:color w:val="auto"/>
          <w:highlight w:val="none"/>
          <w:lang w:val="en-US" w:eastAsia="zh-CN"/>
        </w:rPr>
      </w:pPr>
    </w:p>
    <w:p>
      <w:pPr>
        <w:pStyle w:val="12"/>
        <w:ind w:firstLine="630" w:firstLineChars="300"/>
        <w:rPr>
          <w:rFonts w:hint="eastAsia"/>
          <w:color w:val="auto"/>
          <w:highlight w:val="none"/>
          <w:lang w:val="en-US" w:eastAsia="zh-CN"/>
        </w:rPr>
      </w:pPr>
    </w:p>
    <w:p>
      <w:pPr>
        <w:pStyle w:val="12"/>
        <w:ind w:firstLine="630" w:firstLineChars="300"/>
        <w:rPr>
          <w:rFonts w:hint="eastAsia"/>
          <w:color w:val="auto"/>
          <w:highlight w:val="none"/>
          <w:lang w:val="en-US" w:eastAsia="zh-CN"/>
        </w:rPr>
      </w:pPr>
    </w:p>
    <w:p>
      <w:pPr>
        <w:pStyle w:val="12"/>
        <w:ind w:firstLine="630" w:firstLineChars="300"/>
        <w:rPr>
          <w:rFonts w:hint="eastAsia"/>
          <w:color w:val="auto"/>
          <w:highlight w:val="none"/>
          <w:lang w:val="en-US" w:eastAsia="zh-CN"/>
        </w:rPr>
      </w:pPr>
    </w:p>
    <w:p>
      <w:pPr>
        <w:pStyle w:val="12"/>
        <w:ind w:firstLine="630" w:firstLineChars="300"/>
        <w:rPr>
          <w:rFonts w:hint="eastAsia"/>
          <w:color w:val="auto"/>
          <w:highlight w:val="none"/>
          <w:lang w:val="en-US" w:eastAsia="zh-CN"/>
        </w:rPr>
      </w:pPr>
    </w:p>
    <w:p>
      <w:pPr>
        <w:pStyle w:val="12"/>
        <w:ind w:firstLine="630" w:firstLineChars="300"/>
        <w:rPr>
          <w:rFonts w:hint="eastAsia"/>
          <w:color w:val="auto"/>
          <w:highlight w:val="none"/>
          <w:lang w:val="en-US" w:eastAsia="zh-CN"/>
        </w:rPr>
      </w:pPr>
    </w:p>
    <w:p>
      <w:pPr>
        <w:pStyle w:val="12"/>
        <w:ind w:firstLine="630" w:firstLineChars="300"/>
        <w:rPr>
          <w:rFonts w:hint="eastAsia"/>
          <w:color w:val="auto"/>
          <w:highlight w:val="none"/>
          <w:lang w:val="en-US" w:eastAsia="zh-CN"/>
        </w:rPr>
      </w:pPr>
    </w:p>
    <w:p>
      <w:pPr>
        <w:pStyle w:val="12"/>
        <w:ind w:firstLine="630" w:firstLineChars="300"/>
        <w:rPr>
          <w:rFonts w:hint="eastAsia"/>
          <w:color w:val="auto"/>
          <w:highlight w:val="none"/>
          <w:lang w:val="en-US" w:eastAsia="zh-CN"/>
        </w:rPr>
      </w:pPr>
    </w:p>
    <w:p>
      <w:pPr>
        <w:pStyle w:val="12"/>
        <w:rPr>
          <w:rFonts w:hint="eastAsia"/>
          <w:color w:val="auto"/>
          <w:highlight w:val="none"/>
          <w:lang w:val="en-US" w:eastAsia="zh-CN"/>
        </w:rPr>
      </w:pPr>
    </w:p>
    <w:p>
      <w:pPr>
        <w:pStyle w:val="12"/>
        <w:ind w:firstLine="630" w:firstLineChars="300"/>
        <w:rPr>
          <w:rFonts w:hint="eastAsia"/>
          <w:color w:val="auto"/>
          <w:highlight w:val="none"/>
          <w:lang w:val="en-US" w:eastAsia="zh-CN"/>
        </w:rPr>
      </w:pPr>
    </w:p>
    <w:p>
      <w:pPr>
        <w:snapToGrid w:val="0"/>
        <w:spacing w:line="360" w:lineRule="auto"/>
        <w:rPr>
          <w:rFonts w:hint="eastAsia" w:ascii="宋体" w:hAnsi="宋体" w:eastAsia="宋体" w:cs="宋体"/>
          <w:b/>
          <w:color w:val="auto"/>
          <w:sz w:val="30"/>
          <w:szCs w:val="30"/>
          <w:highlight w:val="none"/>
        </w:rPr>
      </w:pPr>
    </w:p>
    <w:p>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四</w:t>
      </w:r>
      <w:r>
        <w:rPr>
          <w:rFonts w:hint="eastAsia" w:ascii="宋体" w:hAnsi="宋体" w:cs="宋体"/>
          <w:b/>
          <w:color w:val="auto"/>
          <w:sz w:val="30"/>
          <w:szCs w:val="30"/>
          <w:highlight w:val="none"/>
          <w:lang w:eastAsia="zh-CN"/>
        </w:rPr>
        <w:t>、</w:t>
      </w:r>
      <w:r>
        <w:rPr>
          <w:rFonts w:hint="eastAsia" w:ascii="宋体" w:hAnsi="宋体" w:eastAsia="宋体" w:cs="宋体"/>
          <w:b/>
          <w:color w:val="auto"/>
          <w:sz w:val="30"/>
          <w:szCs w:val="30"/>
          <w:highlight w:val="none"/>
        </w:rPr>
        <w:t>供应商认为需要提供的其他有关资料</w:t>
      </w: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pStyle w:val="12"/>
        <w:spacing w:line="360" w:lineRule="auto"/>
        <w:rPr>
          <w:rFonts w:hint="eastAsia" w:ascii="宋体" w:hAnsi="宋体" w:eastAsia="宋体" w:cs="宋体"/>
          <w:color w:val="auto"/>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ind w:firstLine="2160" w:firstLineChars="900"/>
        <w:rPr>
          <w:rFonts w:hint="eastAsia"/>
          <w:color w:val="auto"/>
          <w:highlight w:val="none"/>
          <w:lang w:val="zh-CN"/>
        </w:rPr>
        <w:sectPr>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日期：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年</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月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日</w:t>
      </w:r>
    </w:p>
    <w:p>
      <w:pPr>
        <w:rPr>
          <w:rFonts w:hint="eastAsia"/>
          <w:color w:val="auto"/>
          <w:highlight w:val="none"/>
          <w:lang w:val="zh-CN" w:eastAsia="zh-CN"/>
        </w:rPr>
      </w:pPr>
    </w:p>
    <w:p>
      <w:pPr>
        <w:pStyle w:val="15"/>
        <w:spacing w:line="360" w:lineRule="auto"/>
        <w:ind w:firstLine="602" w:firstLineChars="200"/>
        <w:rPr>
          <w:rFonts w:hint="eastAsia" w:ascii="宋体" w:hAnsi="宋体" w:eastAsia="宋体" w:cs="宋体"/>
          <w:b/>
          <w:color w:val="auto"/>
          <w:kern w:val="2"/>
          <w:sz w:val="30"/>
          <w:szCs w:val="30"/>
          <w:highlight w:val="none"/>
          <w:lang w:val="en-US" w:eastAsia="zh-CN"/>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both"/>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spacing w:line="360" w:lineRule="auto"/>
        <w:jc w:val="center"/>
        <w:rPr>
          <w:rFonts w:hint="eastAsia" w:ascii="宋体" w:hAnsi="宋体" w:eastAsia="宋体" w:cs="宋体"/>
          <w:color w:val="auto"/>
          <w:sz w:val="24"/>
          <w:highlight w:val="none"/>
        </w:rPr>
      </w:pPr>
    </w:p>
    <w:p>
      <w:pPr>
        <w:pStyle w:val="2"/>
        <w:spacing w:line="360" w:lineRule="auto"/>
        <w:jc w:val="center"/>
        <w:rPr>
          <w:rFonts w:hint="eastAsia" w:ascii="宋体" w:hAnsi="宋体" w:eastAsia="宋体" w:cs="宋体"/>
          <w:b w:val="0"/>
          <w:bCs w:val="0"/>
          <w:color w:val="auto"/>
          <w:highlight w:val="none"/>
        </w:rPr>
      </w:pPr>
      <w:bookmarkStart w:id="129" w:name="_Toc14897"/>
      <w:bookmarkStart w:id="130" w:name="_Toc25466"/>
      <w:bookmarkStart w:id="131" w:name="_Toc26628"/>
      <w:r>
        <w:rPr>
          <w:rFonts w:hint="eastAsia" w:ascii="宋体" w:hAnsi="宋体" w:eastAsia="宋体" w:cs="宋体"/>
          <w:b/>
          <w:bCs/>
          <w:color w:val="auto"/>
          <w:highlight w:val="none"/>
        </w:rPr>
        <w:t>第六章  合同文本</w:t>
      </w:r>
      <w:r>
        <w:rPr>
          <w:rFonts w:hint="eastAsia" w:ascii="宋体" w:hAnsi="宋体" w:eastAsia="宋体" w:cs="宋体"/>
          <w:b/>
          <w:bCs/>
          <w:color w:val="auto"/>
          <w:highlight w:val="none"/>
        </w:rPr>
        <w:br w:type="page"/>
      </w:r>
      <w:bookmarkEnd w:id="129"/>
      <w:bookmarkEnd w:id="130"/>
      <w:bookmarkEnd w:id="131"/>
    </w:p>
    <w:p>
      <w:pPr>
        <w:spacing w:line="360" w:lineRule="auto"/>
        <w:rPr>
          <w:rFonts w:hint="eastAsia" w:ascii="宋体" w:hAnsi="宋体" w:eastAsia="宋体" w:cs="宋体"/>
          <w:b/>
          <w:bCs/>
          <w:color w:val="auto"/>
          <w:highlight w:val="none"/>
        </w:rPr>
      </w:pPr>
      <w:r>
        <w:rPr>
          <w:rFonts w:hint="eastAsia" w:ascii="宋体" w:hAnsi="宋体" w:eastAsia="宋体" w:cs="宋体"/>
          <w:b/>
          <w:bCs/>
          <w:color w:val="auto"/>
          <w:sz w:val="24"/>
          <w:highlight w:val="none"/>
          <w:lang w:val="en-US" w:eastAsia="zh-CN"/>
        </w:rPr>
        <w:t>广西政府采购云平台</w:t>
      </w:r>
      <w:r>
        <w:rPr>
          <w:rFonts w:hint="eastAsia" w:ascii="宋体" w:hAnsi="宋体" w:eastAsia="宋体" w:cs="宋体"/>
          <w:b/>
          <w:bCs/>
          <w:color w:val="auto"/>
          <w:sz w:val="24"/>
          <w:highlight w:val="none"/>
        </w:rPr>
        <w:t>”平台合同编号：</w:t>
      </w:r>
    </w:p>
    <w:p>
      <w:pPr>
        <w:spacing w:line="360" w:lineRule="auto"/>
        <w:jc w:val="center"/>
        <w:rPr>
          <w:rFonts w:hint="eastAsia" w:ascii="宋体" w:hAnsi="宋体" w:eastAsia="宋体" w:cs="宋体"/>
          <w:b/>
          <w:bCs/>
          <w:color w:val="auto"/>
          <w:sz w:val="52"/>
          <w:highlight w:val="none"/>
        </w:rPr>
      </w:pPr>
    </w:p>
    <w:p>
      <w:pPr>
        <w:spacing w:line="360" w:lineRule="auto"/>
        <w:jc w:val="center"/>
        <w:rPr>
          <w:rFonts w:hint="eastAsia" w:ascii="宋体" w:hAnsi="宋体" w:eastAsia="宋体" w:cs="宋体"/>
          <w:b/>
          <w:bCs/>
          <w:color w:val="auto"/>
          <w:sz w:val="52"/>
          <w:highlight w:val="none"/>
        </w:rPr>
      </w:pPr>
      <w:r>
        <w:rPr>
          <w:rFonts w:hint="eastAsia" w:ascii="宋体" w:hAnsi="宋体" w:eastAsia="宋体" w:cs="宋体"/>
          <w:b/>
          <w:bCs/>
          <w:color w:val="auto"/>
          <w:sz w:val="52"/>
          <w:highlight w:val="none"/>
        </w:rPr>
        <w:t>南 宁 市 政 府 采 购</w:t>
      </w: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spacing w:line="360" w:lineRule="auto"/>
        <w:jc w:val="center"/>
        <w:rPr>
          <w:rFonts w:hint="eastAsia" w:ascii="宋体" w:hAnsi="宋体" w:eastAsia="宋体" w:cs="宋体"/>
          <w:b/>
          <w:bCs/>
          <w:color w:val="auto"/>
          <w:sz w:val="44"/>
          <w:highlight w:val="none"/>
        </w:rPr>
      </w:pPr>
      <w:r>
        <w:rPr>
          <w:rFonts w:hint="eastAsia" w:ascii="宋体" w:hAnsi="宋体" w:cs="宋体"/>
          <w:b/>
          <w:bCs/>
          <w:color w:val="auto"/>
          <w:sz w:val="44"/>
          <w:highlight w:val="none"/>
          <w:u w:val="single"/>
          <w:lang w:val="en-US" w:eastAsia="zh-CN"/>
        </w:rPr>
        <w:t xml:space="preserve">            </w:t>
      </w:r>
      <w:r>
        <w:rPr>
          <w:rFonts w:hint="eastAsia" w:ascii="宋体" w:hAnsi="宋体" w:eastAsia="宋体" w:cs="宋体"/>
          <w:b/>
          <w:bCs/>
          <w:color w:val="auto"/>
          <w:sz w:val="44"/>
          <w:highlight w:val="none"/>
        </w:rPr>
        <w:t>合同</w:t>
      </w:r>
    </w:p>
    <w:p>
      <w:pPr>
        <w:spacing w:line="360" w:lineRule="auto"/>
        <w:jc w:val="center"/>
        <w:rPr>
          <w:rFonts w:hint="eastAsia" w:ascii="宋体" w:hAnsi="宋体" w:eastAsia="宋体" w:cs="宋体"/>
          <w:b/>
          <w:bCs/>
          <w:color w:val="auto"/>
          <w:sz w:val="44"/>
          <w:highlight w:val="none"/>
        </w:rPr>
      </w:pPr>
    </w:p>
    <w:p>
      <w:pPr>
        <w:spacing w:line="360" w:lineRule="auto"/>
        <w:ind w:firstLine="3507" w:firstLineChars="794"/>
        <w:rPr>
          <w:rFonts w:hint="eastAsia" w:ascii="宋体" w:hAnsi="宋体" w:eastAsia="宋体" w:cs="宋体"/>
          <w:b/>
          <w:bCs/>
          <w:color w:val="auto"/>
          <w:sz w:val="44"/>
          <w:highlight w:val="none"/>
        </w:rPr>
      </w:pPr>
    </w:p>
    <w:p>
      <w:pPr>
        <w:spacing w:line="360" w:lineRule="auto"/>
        <w:ind w:firstLine="3507" w:firstLineChars="794"/>
        <w:rPr>
          <w:rFonts w:hint="eastAsia" w:ascii="宋体" w:hAnsi="宋体" w:eastAsia="宋体" w:cs="宋体"/>
          <w:b/>
          <w:bCs/>
          <w:color w:val="auto"/>
          <w:sz w:val="44"/>
          <w:highlight w:val="none"/>
        </w:rPr>
      </w:pPr>
    </w:p>
    <w:p>
      <w:pPr>
        <w:spacing w:line="360" w:lineRule="auto"/>
        <w:ind w:left="0" w:leftChars="0" w:firstLine="1063" w:firstLineChars="294"/>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rPr>
        <w:t>采购项目编号：</w:t>
      </w:r>
      <w:r>
        <w:rPr>
          <w:rFonts w:hint="eastAsia" w:ascii="宋体" w:hAnsi="宋体" w:cs="宋体"/>
          <w:b/>
          <w:color w:val="auto"/>
          <w:sz w:val="36"/>
          <w:szCs w:val="36"/>
          <w:highlight w:val="none"/>
          <w:u w:val="single"/>
          <w:lang w:eastAsia="zh-CN"/>
        </w:rPr>
        <w:t xml:space="preserve"> </w:t>
      </w:r>
      <w:r>
        <w:rPr>
          <w:rFonts w:hint="eastAsia" w:ascii="宋体" w:hAnsi="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lang w:eastAsia="zh-CN"/>
        </w:rPr>
        <w:t xml:space="preserve"> </w:t>
      </w:r>
      <w:r>
        <w:rPr>
          <w:rFonts w:hint="eastAsia" w:ascii="宋体" w:hAnsi="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lang w:eastAsia="zh-CN"/>
        </w:rPr>
        <w:t xml:space="preserve"> </w:t>
      </w:r>
    </w:p>
    <w:p>
      <w:pPr>
        <w:spacing w:line="360" w:lineRule="auto"/>
        <w:ind w:left="0" w:leftChars="0" w:firstLine="1063" w:firstLineChars="294"/>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采购计划编号：</w:t>
      </w:r>
      <w:r>
        <w:rPr>
          <w:rFonts w:hint="eastAsia" w:ascii="宋体" w:hAnsi="宋体" w:eastAsia="宋体" w:cs="宋体"/>
          <w:b/>
          <w:color w:val="auto"/>
          <w:sz w:val="36"/>
          <w:szCs w:val="36"/>
          <w:highlight w:val="none"/>
          <w:u w:val="single"/>
        </w:rPr>
        <w:t xml:space="preserve">                     </w:t>
      </w:r>
    </w:p>
    <w:p>
      <w:pPr>
        <w:spacing w:line="360" w:lineRule="auto"/>
        <w:ind w:left="0" w:leftChars="0" w:firstLine="705" w:firstLineChars="294"/>
        <w:rPr>
          <w:rFonts w:hint="eastAsia" w:ascii="宋体" w:hAnsi="宋体" w:eastAsia="宋体" w:cs="宋体"/>
          <w:color w:val="auto"/>
          <w:sz w:val="24"/>
          <w:highlight w:val="none"/>
        </w:rPr>
      </w:pPr>
    </w:p>
    <w:p>
      <w:pPr>
        <w:spacing w:line="360" w:lineRule="auto"/>
        <w:ind w:left="0" w:leftChars="0" w:firstLine="1063" w:firstLineChars="294"/>
        <w:rPr>
          <w:rFonts w:hint="eastAsia" w:ascii="宋体" w:hAnsi="宋体" w:eastAsia="宋体" w:cs="宋体"/>
          <w:b/>
          <w:color w:val="auto"/>
          <w:sz w:val="36"/>
          <w:szCs w:val="36"/>
          <w:highlight w:val="none"/>
          <w:u w:val="single"/>
        </w:rPr>
      </w:pPr>
    </w:p>
    <w:p>
      <w:pPr>
        <w:spacing w:line="360" w:lineRule="auto"/>
        <w:ind w:left="0" w:leftChars="0" w:firstLine="1063" w:firstLineChars="294"/>
        <w:rPr>
          <w:rFonts w:hint="eastAsia" w:ascii="宋体" w:hAnsi="宋体" w:eastAsia="宋体" w:cs="宋体"/>
          <w:b/>
          <w:color w:val="auto"/>
          <w:sz w:val="36"/>
          <w:szCs w:val="36"/>
          <w:highlight w:val="none"/>
          <w:u w:val="single"/>
        </w:rPr>
      </w:pPr>
    </w:p>
    <w:p>
      <w:pPr>
        <w:widowControl/>
        <w:kinsoku w:val="0"/>
        <w:autoSpaceDE w:val="0"/>
        <w:autoSpaceDN w:val="0"/>
        <w:adjustRightInd w:val="0"/>
        <w:snapToGrid w:val="0"/>
        <w:spacing w:line="360" w:lineRule="auto"/>
        <w:ind w:right="1234" w:firstLine="1084" w:firstLineChars="300"/>
        <w:jc w:val="left"/>
        <w:textAlignment w:val="baseline"/>
        <w:rPr>
          <w:rFonts w:hint="default" w:ascii="宋体" w:hAnsi="宋体" w:eastAsia="宋体" w:cs="宋体"/>
          <w:b/>
          <w:color w:val="auto"/>
          <w:sz w:val="36"/>
          <w:szCs w:val="36"/>
          <w:highlight w:val="none"/>
          <w:u w:val="single"/>
          <w:lang w:val="en-US"/>
        </w:rPr>
      </w:pPr>
      <w:r>
        <w:rPr>
          <w:rFonts w:hint="eastAsia" w:ascii="宋体" w:hAnsi="宋体" w:cs="宋体"/>
          <w:b/>
          <w:color w:val="auto"/>
          <w:sz w:val="36"/>
          <w:szCs w:val="36"/>
          <w:highlight w:val="none"/>
        </w:rPr>
        <w:t>发包人：</w:t>
      </w:r>
      <w:r>
        <w:rPr>
          <w:rFonts w:hint="eastAsia" w:ascii="宋体" w:hAnsi="宋体" w:cs="宋体"/>
          <w:b/>
          <w:color w:val="auto"/>
          <w:sz w:val="36"/>
          <w:szCs w:val="36"/>
          <w:highlight w:val="none"/>
          <w:u w:val="single"/>
          <w:lang w:val="en-US" w:eastAsia="zh-CN"/>
        </w:rPr>
        <w:t xml:space="preserve">                         </w:t>
      </w:r>
    </w:p>
    <w:p>
      <w:pPr>
        <w:widowControl/>
        <w:kinsoku w:val="0"/>
        <w:autoSpaceDE w:val="0"/>
        <w:autoSpaceDN w:val="0"/>
        <w:adjustRightInd w:val="0"/>
        <w:snapToGrid w:val="0"/>
        <w:spacing w:line="360" w:lineRule="auto"/>
        <w:ind w:right="1234" w:firstLine="1084" w:firstLineChars="300"/>
        <w:jc w:val="left"/>
        <w:textAlignment w:val="baseline"/>
        <w:rPr>
          <w:rFonts w:ascii="宋体" w:hAnsi="宋体" w:cs="宋体"/>
          <w:b/>
          <w:bCs/>
          <w:color w:val="auto"/>
          <w:sz w:val="44"/>
          <w:highlight w:val="none"/>
        </w:rPr>
      </w:pPr>
      <w:r>
        <w:rPr>
          <w:rFonts w:hint="eastAsia" w:ascii="宋体" w:hAnsi="宋体" w:cs="宋体"/>
          <w:b/>
          <w:color w:val="auto"/>
          <w:sz w:val="36"/>
          <w:szCs w:val="36"/>
          <w:highlight w:val="none"/>
        </w:rPr>
        <w:t>承包人：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rPr>
        <w:t xml:space="preserve">            </w:t>
      </w:r>
    </w:p>
    <w:p>
      <w:pPr>
        <w:tabs>
          <w:tab w:val="left" w:pos="7380"/>
        </w:tabs>
        <w:spacing w:line="360" w:lineRule="auto"/>
        <w:rPr>
          <w:rFonts w:ascii="宋体" w:hAnsi="宋体" w:cs="宋体"/>
          <w:b/>
          <w:bCs/>
          <w:color w:val="auto"/>
          <w:sz w:val="44"/>
          <w:highlight w:val="none"/>
        </w:rPr>
      </w:pPr>
    </w:p>
    <w:p>
      <w:pPr>
        <w:tabs>
          <w:tab w:val="left" w:pos="7380"/>
        </w:tabs>
        <w:spacing w:line="360" w:lineRule="auto"/>
        <w:ind w:left="0" w:leftChars="0" w:firstLine="1058" w:firstLineChars="294"/>
        <w:jc w:val="both"/>
        <w:rPr>
          <w:rFonts w:hint="eastAsia" w:ascii="宋体" w:hAnsi="宋体" w:eastAsia="宋体" w:cs="宋体"/>
          <w:b/>
          <w:bCs/>
          <w:color w:val="auto"/>
          <w:sz w:val="44"/>
          <w:highlight w:val="none"/>
        </w:rPr>
      </w:pPr>
      <w:r>
        <w:rPr>
          <w:rFonts w:hint="eastAsia" w:ascii="宋体" w:hAnsi="宋体" w:cs="宋体"/>
          <w:color w:val="auto"/>
          <w:sz w:val="36"/>
          <w:szCs w:val="36"/>
          <w:highlight w:val="none"/>
          <w:lang w:val="zh-CN"/>
        </w:rPr>
        <w:t>签订时间：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月</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日</w:t>
      </w:r>
    </w:p>
    <w:p>
      <w:pPr>
        <w:tabs>
          <w:tab w:val="left" w:pos="7380"/>
        </w:tabs>
        <w:spacing w:line="360" w:lineRule="auto"/>
        <w:rPr>
          <w:rFonts w:hint="eastAsia" w:ascii="宋体" w:hAnsi="宋体" w:eastAsia="宋体" w:cs="宋体"/>
          <w:b/>
          <w:bCs/>
          <w:color w:val="auto"/>
          <w:sz w:val="44"/>
          <w:highlight w:val="none"/>
        </w:rPr>
        <w:sectPr>
          <w:pgSz w:w="11907" w:h="16840"/>
          <w:pgMar w:top="1440" w:right="1083" w:bottom="1440" w:left="1083" w:header="851" w:footer="851" w:gutter="0"/>
          <w:pgNumType w:fmt="decimal"/>
          <w:cols w:space="720" w:num="1"/>
          <w:docGrid w:linePitch="312" w:charSpace="0"/>
        </w:sectPr>
      </w:pPr>
    </w:p>
    <w:p>
      <w:pPr>
        <w:pStyle w:val="3"/>
        <w:bidi w:val="0"/>
        <w:jc w:val="center"/>
        <w:outlineLvl w:val="1"/>
        <w:rPr>
          <w:rFonts w:hint="eastAsia" w:ascii="宋体" w:hAnsi="宋体"/>
          <w:b/>
          <w:color w:val="auto"/>
          <w:sz w:val="30"/>
          <w:szCs w:val="30"/>
          <w:highlight w:val="none"/>
          <w:u w:val="single"/>
        </w:rPr>
      </w:pPr>
      <w:r>
        <w:rPr>
          <w:rFonts w:hint="eastAsia" w:ascii="Times New Roman" w:hAnsi="Times New Roman" w:cs="Times New Roman"/>
          <w:b/>
          <w:color w:val="auto"/>
          <w:sz w:val="30"/>
          <w:szCs w:val="30"/>
          <w:highlight w:val="none"/>
          <w:lang w:eastAsia="zh-CN"/>
        </w:rPr>
        <w:t>第一节</w:t>
      </w:r>
      <w:r>
        <w:rPr>
          <w:rFonts w:hint="eastAsia" w:ascii="Times New Roman" w:hAnsi="Times New Roman" w:cs="Times New Roman"/>
          <w:b/>
          <w:color w:val="auto"/>
          <w:sz w:val="30"/>
          <w:szCs w:val="30"/>
          <w:highlight w:val="none"/>
          <w:lang w:val="en-US" w:eastAsia="zh-CN"/>
        </w:rPr>
        <w:t xml:space="preserve"> </w:t>
      </w:r>
      <w:r>
        <w:rPr>
          <w:rFonts w:hint="eastAsia" w:ascii="Times New Roman" w:hAnsi="Times New Roman" w:cs="Times New Roman"/>
          <w:b/>
          <w:color w:val="auto"/>
          <w:sz w:val="30"/>
          <w:szCs w:val="30"/>
          <w:highlight w:val="none"/>
          <w:lang w:eastAsia="zh-CN"/>
        </w:rPr>
        <w:t>合同协议书</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4"/>
          <w:szCs w:val="24"/>
          <w:highlight w:val="none"/>
          <w:lang w:eastAsia="zh-CN"/>
        </w:rPr>
      </w:pPr>
      <w:bookmarkStart w:id="132" w:name="_Toc827"/>
      <w:bookmarkStart w:id="133" w:name="_Toc2081996794"/>
    </w:p>
    <w:p>
      <w:pPr>
        <w:widowControl/>
        <w:spacing w:after="120" w:line="360" w:lineRule="auto"/>
        <w:ind w:firstLine="480" w:firstLineChars="200"/>
        <w:jc w:val="left"/>
        <w:rPr>
          <w:rFonts w:ascii="宋体" w:hAnsi="宋体" w:cs="宋体"/>
          <w:color w:val="auto"/>
          <w:sz w:val="24"/>
          <w:szCs w:val="24"/>
          <w:u w:val="single"/>
        </w:rPr>
      </w:pP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（发包人名称，以下简称“发包人”）为实施</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（项目名称），已接受</w:t>
      </w:r>
      <w:r>
        <w:rPr>
          <w:rFonts w:hint="eastAsia" w:ascii="宋体" w:hAnsi="宋体" w:cs="宋体"/>
          <w:color w:val="auto"/>
          <w:sz w:val="24"/>
          <w:szCs w:val="24"/>
          <w:lang w:val="en-US" w:eastAsia="zh-CN"/>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（承包人名称，以下简称“承包人”）对该项目</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的投标，并确定其为中标人。发包人和承包人共同达成如下协议。</w:t>
      </w:r>
    </w:p>
    <w:p>
      <w:pPr>
        <w:pStyle w:val="36"/>
        <w:numPr>
          <w:ilvl w:val="0"/>
          <w:numId w:val="4"/>
        </w:numPr>
        <w:tabs>
          <w:tab w:val="left" w:pos="764"/>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本协议书与下列文件一起构成合同文件：</w:t>
      </w:r>
    </w:p>
    <w:p>
      <w:pPr>
        <w:pStyle w:val="36"/>
        <w:tabs>
          <w:tab w:val="left" w:pos="903"/>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（1）</w:t>
      </w:r>
      <w:r>
        <w:rPr>
          <w:rFonts w:hint="eastAsia" w:ascii="宋体" w:hAnsi="宋体" w:eastAsia="宋体" w:cs="宋体"/>
          <w:color w:val="auto"/>
          <w:sz w:val="24"/>
          <w:szCs w:val="24"/>
          <w:lang w:val="zh-CN" w:eastAsia="zh-CN" w:bidi="zh-CN"/>
        </w:rPr>
        <w:tab/>
      </w:r>
      <w:r>
        <w:rPr>
          <w:rFonts w:hint="eastAsia" w:ascii="宋体" w:hAnsi="宋体" w:eastAsia="宋体" w:cs="宋体"/>
          <w:color w:val="auto"/>
          <w:sz w:val="24"/>
          <w:szCs w:val="24"/>
          <w:lang w:val="zh-CN" w:eastAsia="zh-CN" w:bidi="zh-CN"/>
        </w:rPr>
        <w:t>中标通知书；</w:t>
      </w:r>
    </w:p>
    <w:p>
      <w:pPr>
        <w:pStyle w:val="36"/>
        <w:tabs>
          <w:tab w:val="left" w:pos="903"/>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（2）</w:t>
      </w:r>
      <w:r>
        <w:rPr>
          <w:rFonts w:hint="eastAsia" w:ascii="宋体" w:hAnsi="宋体" w:eastAsia="宋体" w:cs="宋体"/>
          <w:color w:val="auto"/>
          <w:sz w:val="24"/>
          <w:szCs w:val="24"/>
          <w:lang w:val="zh-CN" w:eastAsia="zh-CN" w:bidi="zh-CN"/>
        </w:rPr>
        <w:tab/>
      </w:r>
      <w:r>
        <w:rPr>
          <w:rFonts w:hint="eastAsia" w:ascii="宋体" w:hAnsi="宋体" w:eastAsia="宋体" w:cs="宋体"/>
          <w:color w:val="auto"/>
          <w:sz w:val="24"/>
          <w:szCs w:val="24"/>
          <w:lang w:val="zh-CN" w:eastAsia="zh-CN" w:bidi="zh-CN"/>
        </w:rPr>
        <w:t>投标函及投标函附录；</w:t>
      </w:r>
    </w:p>
    <w:p>
      <w:pPr>
        <w:pStyle w:val="36"/>
        <w:tabs>
          <w:tab w:val="left" w:pos="903"/>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（3）</w:t>
      </w:r>
      <w:r>
        <w:rPr>
          <w:rFonts w:hint="eastAsia" w:ascii="宋体" w:hAnsi="宋体" w:eastAsia="宋体" w:cs="宋体"/>
          <w:color w:val="auto"/>
          <w:sz w:val="24"/>
          <w:szCs w:val="24"/>
          <w:lang w:val="zh-CN" w:eastAsia="zh-CN" w:bidi="zh-CN"/>
        </w:rPr>
        <w:tab/>
      </w:r>
      <w:r>
        <w:rPr>
          <w:rFonts w:hint="eastAsia" w:ascii="宋体" w:hAnsi="宋体" w:eastAsia="宋体" w:cs="宋体"/>
          <w:color w:val="auto"/>
          <w:sz w:val="24"/>
          <w:szCs w:val="24"/>
          <w:lang w:val="zh-CN" w:eastAsia="zh-CN" w:bidi="zh-CN"/>
        </w:rPr>
        <w:t>专用合同条款（含附加条款）；</w:t>
      </w:r>
    </w:p>
    <w:p>
      <w:pPr>
        <w:pStyle w:val="36"/>
        <w:tabs>
          <w:tab w:val="left" w:pos="903"/>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（4）</w:t>
      </w:r>
      <w:r>
        <w:rPr>
          <w:rFonts w:hint="eastAsia" w:ascii="宋体" w:hAnsi="宋体" w:eastAsia="宋体" w:cs="宋体"/>
          <w:color w:val="auto"/>
          <w:sz w:val="24"/>
          <w:szCs w:val="24"/>
          <w:lang w:val="zh-CN" w:eastAsia="zh-CN" w:bidi="zh-CN"/>
        </w:rPr>
        <w:tab/>
      </w:r>
      <w:r>
        <w:rPr>
          <w:rFonts w:hint="eastAsia" w:ascii="宋体" w:hAnsi="宋体" w:eastAsia="宋体" w:cs="宋体"/>
          <w:color w:val="auto"/>
          <w:sz w:val="24"/>
          <w:szCs w:val="24"/>
          <w:lang w:val="zh-CN" w:eastAsia="zh-CN" w:bidi="zh-CN"/>
        </w:rPr>
        <w:t>通用合同条款；</w:t>
      </w:r>
    </w:p>
    <w:p>
      <w:pPr>
        <w:pStyle w:val="36"/>
        <w:tabs>
          <w:tab w:val="left" w:pos="903"/>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（5）</w:t>
      </w:r>
      <w:r>
        <w:rPr>
          <w:rFonts w:hint="eastAsia" w:ascii="宋体" w:hAnsi="宋体" w:eastAsia="宋体" w:cs="宋体"/>
          <w:color w:val="auto"/>
          <w:sz w:val="24"/>
          <w:szCs w:val="24"/>
          <w:lang w:val="zh-CN" w:eastAsia="zh-CN" w:bidi="zh-CN"/>
        </w:rPr>
        <w:tab/>
      </w:r>
      <w:r>
        <w:rPr>
          <w:rFonts w:hint="eastAsia" w:ascii="宋体" w:hAnsi="宋体" w:eastAsia="宋体" w:cs="宋体"/>
          <w:color w:val="auto"/>
          <w:sz w:val="24"/>
          <w:szCs w:val="24"/>
          <w:lang w:val="zh-CN" w:eastAsia="zh-CN" w:bidi="zh-CN"/>
        </w:rPr>
        <w:t>技术标准和要求（合同技术条款）；</w:t>
      </w:r>
    </w:p>
    <w:p>
      <w:pPr>
        <w:pStyle w:val="36"/>
        <w:tabs>
          <w:tab w:val="left" w:pos="903"/>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（6）</w:t>
      </w:r>
      <w:r>
        <w:rPr>
          <w:rFonts w:hint="eastAsia" w:ascii="宋体" w:hAnsi="宋体" w:eastAsia="宋体" w:cs="宋体"/>
          <w:color w:val="auto"/>
          <w:sz w:val="24"/>
          <w:szCs w:val="24"/>
          <w:lang w:val="zh-CN" w:eastAsia="zh-CN" w:bidi="zh-CN"/>
        </w:rPr>
        <w:tab/>
      </w:r>
      <w:r>
        <w:rPr>
          <w:rFonts w:hint="eastAsia" w:ascii="宋体" w:hAnsi="宋体" w:eastAsia="宋体" w:cs="宋体"/>
          <w:color w:val="auto"/>
          <w:sz w:val="24"/>
          <w:szCs w:val="24"/>
          <w:lang w:val="zh-CN" w:eastAsia="zh-CN" w:bidi="zh-CN"/>
        </w:rPr>
        <w:t>图纸；</w:t>
      </w:r>
    </w:p>
    <w:p>
      <w:pPr>
        <w:pStyle w:val="36"/>
        <w:tabs>
          <w:tab w:val="left" w:pos="903"/>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（7）</w:t>
      </w:r>
      <w:r>
        <w:rPr>
          <w:rFonts w:hint="eastAsia" w:ascii="宋体" w:hAnsi="宋体" w:eastAsia="宋体" w:cs="宋体"/>
          <w:color w:val="auto"/>
          <w:sz w:val="24"/>
          <w:szCs w:val="24"/>
          <w:lang w:val="zh-CN" w:eastAsia="zh-CN" w:bidi="zh-CN"/>
        </w:rPr>
        <w:tab/>
      </w:r>
      <w:r>
        <w:rPr>
          <w:rFonts w:hint="eastAsia" w:ascii="宋体" w:hAnsi="宋体" w:eastAsia="宋体" w:cs="宋体"/>
          <w:color w:val="auto"/>
          <w:sz w:val="24"/>
          <w:szCs w:val="24"/>
          <w:lang w:val="zh-CN" w:eastAsia="zh-CN" w:bidi="zh-CN"/>
        </w:rPr>
        <w:t>已标价工程量清单；</w:t>
      </w:r>
    </w:p>
    <w:p>
      <w:pPr>
        <w:pStyle w:val="36"/>
        <w:tabs>
          <w:tab w:val="left" w:pos="903"/>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（8）</w:t>
      </w:r>
      <w:r>
        <w:rPr>
          <w:rFonts w:hint="eastAsia" w:ascii="宋体" w:hAnsi="宋体" w:eastAsia="宋体" w:cs="宋体"/>
          <w:color w:val="auto"/>
          <w:sz w:val="24"/>
          <w:szCs w:val="24"/>
          <w:lang w:val="zh-CN" w:eastAsia="zh-CN" w:bidi="zh-CN"/>
        </w:rPr>
        <w:tab/>
      </w:r>
      <w:r>
        <w:rPr>
          <w:rFonts w:hint="eastAsia" w:ascii="宋体" w:hAnsi="宋体" w:eastAsia="宋体" w:cs="宋体"/>
          <w:color w:val="auto"/>
          <w:sz w:val="24"/>
          <w:szCs w:val="24"/>
          <w:lang w:val="zh-CN" w:eastAsia="zh-CN" w:bidi="zh-CN"/>
        </w:rPr>
        <w:t>其他合同文件。</w:t>
      </w:r>
    </w:p>
    <w:p>
      <w:pPr>
        <w:pStyle w:val="36"/>
        <w:tabs>
          <w:tab w:val="left" w:pos="903"/>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上述文件互相补充和解释，如有不明确或不一致之处，以合同约定次序在先者为准。</w:t>
      </w:r>
    </w:p>
    <w:p>
      <w:pPr>
        <w:pStyle w:val="36"/>
        <w:tabs>
          <w:tab w:val="left" w:pos="903"/>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签约合同价：</w:t>
      </w:r>
      <w:r>
        <w:rPr>
          <w:rFonts w:hint="eastAsia" w:ascii="宋体" w:hAnsi="宋体" w:eastAsia="宋体" w:cs="宋体"/>
          <w:color w:val="auto"/>
          <w:sz w:val="24"/>
          <w:szCs w:val="24"/>
          <w:u w:val="single"/>
          <w:lang w:val="zh-CN" w:eastAsia="zh-CN" w:bidi="zh-CN"/>
        </w:rPr>
        <w:t>人民币      （大写：） (￥    元）</w:t>
      </w:r>
      <w:r>
        <w:rPr>
          <w:rFonts w:hint="eastAsia" w:ascii="宋体" w:hAnsi="宋体" w:eastAsia="宋体" w:cs="宋体"/>
          <w:color w:val="auto"/>
          <w:sz w:val="24"/>
          <w:szCs w:val="24"/>
          <w:lang w:val="zh-CN" w:eastAsia="zh-CN" w:bidi="zh-CN"/>
        </w:rPr>
        <w:t>。</w:t>
      </w:r>
    </w:p>
    <w:p>
      <w:pPr>
        <w:pStyle w:val="36"/>
        <w:numPr>
          <w:ilvl w:val="0"/>
          <w:numId w:val="4"/>
        </w:numPr>
        <w:tabs>
          <w:tab w:val="left" w:pos="764"/>
          <w:tab w:val="left" w:pos="4234"/>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承包人项目经理：</w:t>
      </w:r>
      <w:r>
        <w:rPr>
          <w:rFonts w:hint="eastAsia" w:ascii="宋体" w:hAnsi="宋体" w:eastAsia="宋体" w:cs="宋体"/>
          <w:color w:val="auto"/>
          <w:sz w:val="24"/>
          <w:szCs w:val="24"/>
          <w:lang w:val="en-US" w:eastAsia="zh-CN" w:bidi="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bidi="zh-CN"/>
        </w:rPr>
        <w:t>注册建造师证号：</w:t>
      </w:r>
      <w:r>
        <w:rPr>
          <w:rFonts w:hint="eastAsia" w:ascii="宋体" w:hAnsi="宋体" w:eastAsia="宋体" w:cs="宋体"/>
          <w:color w:val="auto"/>
          <w:sz w:val="24"/>
          <w:szCs w:val="24"/>
          <w:lang w:val="en-US" w:eastAsia="zh-CN" w:bidi="zh-CN"/>
        </w:rPr>
        <w:t xml:space="preserve">       </w:t>
      </w:r>
      <w:r>
        <w:rPr>
          <w:rFonts w:hint="eastAsia" w:ascii="宋体" w:hAnsi="宋体" w:eastAsia="宋体" w:cs="宋体"/>
          <w:color w:val="auto"/>
          <w:sz w:val="24"/>
          <w:szCs w:val="24"/>
          <w:lang w:eastAsia="zh-CN"/>
        </w:rPr>
        <w:t>。</w:t>
      </w:r>
    </w:p>
    <w:p>
      <w:pPr>
        <w:pStyle w:val="36"/>
        <w:numPr>
          <w:ilvl w:val="0"/>
          <w:numId w:val="4"/>
        </w:numPr>
        <w:tabs>
          <w:tab w:val="left" w:pos="764"/>
          <w:tab w:val="left" w:pos="3809"/>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工程质量符合</w:t>
      </w:r>
      <w:r>
        <w:rPr>
          <w:rFonts w:hint="eastAsia" w:ascii="宋体" w:hAnsi="宋体" w:eastAsia="宋体" w:cs="宋体"/>
          <w:color w:val="auto"/>
          <w:sz w:val="24"/>
          <w:szCs w:val="24"/>
          <w:u w:val="single"/>
          <w:lang w:val="en-US" w:eastAsia="zh-CN" w:bidi="zh-CN"/>
        </w:rPr>
        <w:t xml:space="preserve">   </w:t>
      </w:r>
      <w:r>
        <w:rPr>
          <w:rFonts w:hint="eastAsia" w:ascii="宋体" w:hAnsi="宋体" w:eastAsia="宋体" w:cs="宋体"/>
          <w:color w:val="auto"/>
          <w:sz w:val="24"/>
          <w:szCs w:val="24"/>
          <w:u w:val="single"/>
          <w:lang w:val="zh-CN" w:eastAsia="zh-CN" w:bidi="zh-CN"/>
        </w:rPr>
        <w:t>合格</w:t>
      </w:r>
      <w:r>
        <w:rPr>
          <w:rFonts w:hint="eastAsia" w:ascii="宋体" w:hAnsi="宋体" w:eastAsia="宋体" w:cs="宋体"/>
          <w:color w:val="auto"/>
          <w:sz w:val="24"/>
          <w:szCs w:val="24"/>
          <w:u w:val="single"/>
          <w:lang w:val="en-US" w:eastAsia="zh-CN" w:bidi="zh-CN"/>
        </w:rPr>
        <w:t xml:space="preserve">   </w:t>
      </w:r>
      <w:r>
        <w:rPr>
          <w:rFonts w:hint="eastAsia" w:ascii="宋体" w:hAnsi="宋体" w:eastAsia="宋体" w:cs="宋体"/>
          <w:color w:val="auto"/>
          <w:sz w:val="24"/>
          <w:szCs w:val="24"/>
          <w:lang w:val="zh-CN" w:eastAsia="zh-CN" w:bidi="zh-CN"/>
        </w:rPr>
        <w:t>标准。</w:t>
      </w:r>
    </w:p>
    <w:p>
      <w:pPr>
        <w:pStyle w:val="36"/>
        <w:numPr>
          <w:ilvl w:val="0"/>
          <w:numId w:val="4"/>
        </w:numPr>
        <w:tabs>
          <w:tab w:val="left" w:pos="764"/>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承包人承诺按合同约定承担工程的实施、完成及缺陷修复。</w:t>
      </w:r>
    </w:p>
    <w:p>
      <w:pPr>
        <w:pStyle w:val="36"/>
        <w:numPr>
          <w:ilvl w:val="0"/>
          <w:numId w:val="4"/>
        </w:numPr>
        <w:tabs>
          <w:tab w:val="left" w:pos="764"/>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发包人承诺按合同约定的条件、时间和方式向承包人支付合同价款。</w:t>
      </w:r>
    </w:p>
    <w:p>
      <w:pPr>
        <w:pStyle w:val="36"/>
        <w:numPr>
          <w:ilvl w:val="0"/>
          <w:numId w:val="4"/>
        </w:numPr>
        <w:tabs>
          <w:tab w:val="left" w:pos="764"/>
          <w:tab w:val="left" w:pos="5717"/>
        </w:tabs>
        <w:spacing w:line="360" w:lineRule="auto"/>
        <w:ind w:firstLine="480" w:firstLineChars="200"/>
        <w:jc w:val="both"/>
        <w:rPr>
          <w:rFonts w:ascii="宋体" w:hAnsi="宋体" w:eastAsia="宋体" w:cs="宋体"/>
          <w:color w:val="auto"/>
          <w:sz w:val="24"/>
          <w:szCs w:val="24"/>
          <w:highlight w:val="none"/>
          <w:lang w:val="zh-CN" w:eastAsia="zh-CN" w:bidi="zh-CN"/>
        </w:rPr>
      </w:pPr>
      <w:r>
        <w:rPr>
          <w:rFonts w:hint="eastAsia" w:ascii="宋体" w:hAnsi="宋体" w:eastAsia="宋体" w:cs="宋体"/>
          <w:color w:val="auto"/>
          <w:sz w:val="24"/>
          <w:szCs w:val="24"/>
          <w:lang w:val="zh-CN" w:eastAsia="zh-CN" w:bidi="zh-CN"/>
        </w:rPr>
        <w:t>承包人承诺执行监理人开工通知，计划工期</w:t>
      </w:r>
      <w:r>
        <w:rPr>
          <w:rFonts w:hint="eastAsia" w:ascii="宋体" w:hAnsi="宋体" w:eastAsia="宋体" w:cs="宋体"/>
          <w:color w:val="auto"/>
          <w:sz w:val="24"/>
          <w:szCs w:val="24"/>
          <w:highlight w:val="none"/>
          <w:lang w:val="zh-CN" w:eastAsia="zh-CN" w:bidi="zh-CN"/>
        </w:rPr>
        <w:t>为</w:t>
      </w:r>
      <w:r>
        <w:rPr>
          <w:rFonts w:hint="eastAsia" w:ascii="宋体" w:hAnsi="宋体" w:eastAsia="宋体" w:cs="宋体"/>
          <w:color w:val="auto"/>
          <w:sz w:val="24"/>
          <w:szCs w:val="24"/>
          <w:highlight w:val="none"/>
          <w:u w:val="single"/>
          <w:lang w:val="en-US" w:eastAsia="zh-CN" w:bidi="zh-CN"/>
        </w:rPr>
        <w:t xml:space="preserve">      </w:t>
      </w:r>
      <w:r>
        <w:rPr>
          <w:rFonts w:hint="eastAsia" w:ascii="宋体" w:hAnsi="宋体" w:eastAsia="宋体" w:cs="宋体"/>
          <w:color w:val="auto"/>
          <w:sz w:val="24"/>
          <w:szCs w:val="24"/>
          <w:highlight w:val="none"/>
          <w:lang w:val="zh-CN" w:eastAsia="zh-CN" w:bidi="zh-CN"/>
        </w:rPr>
        <w:t>天。</w:t>
      </w:r>
    </w:p>
    <w:p>
      <w:pPr>
        <w:pStyle w:val="36"/>
        <w:numPr>
          <w:ilvl w:val="0"/>
          <w:numId w:val="4"/>
        </w:numPr>
        <w:tabs>
          <w:tab w:val="left" w:pos="764"/>
          <w:tab w:val="left" w:pos="2789"/>
        </w:tabs>
        <w:spacing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本协议书一式</w:t>
      </w:r>
      <w:r>
        <w:rPr>
          <w:rFonts w:hint="eastAsia" w:ascii="宋体" w:hAnsi="宋体" w:eastAsia="宋体" w:cs="宋体"/>
          <w:color w:val="auto"/>
          <w:sz w:val="24"/>
          <w:szCs w:val="24"/>
          <w:u w:val="single"/>
          <w:lang w:val="en-US" w:eastAsia="zh-CN" w:bidi="zh-CN"/>
        </w:rPr>
        <w:t xml:space="preserve">     </w:t>
      </w:r>
      <w:r>
        <w:rPr>
          <w:rFonts w:hint="eastAsia" w:ascii="宋体" w:hAnsi="宋体" w:eastAsia="宋体" w:cs="宋体"/>
          <w:color w:val="auto"/>
          <w:sz w:val="24"/>
          <w:szCs w:val="24"/>
          <w:lang w:val="zh-CN" w:eastAsia="zh-CN" w:bidi="zh-CN"/>
        </w:rPr>
        <w:t>份，合同双方各执</w:t>
      </w:r>
      <w:r>
        <w:rPr>
          <w:rFonts w:hint="eastAsia" w:ascii="宋体" w:hAnsi="宋体" w:eastAsia="宋体" w:cs="宋体"/>
          <w:color w:val="auto"/>
          <w:sz w:val="24"/>
          <w:szCs w:val="24"/>
          <w:u w:val="single"/>
          <w:lang w:val="en-US" w:eastAsia="zh-CN" w:bidi="zh-CN"/>
        </w:rPr>
        <w:t xml:space="preserve">     </w:t>
      </w:r>
      <w:r>
        <w:rPr>
          <w:rFonts w:hint="eastAsia" w:ascii="宋体" w:hAnsi="宋体" w:eastAsia="宋体" w:cs="宋体"/>
          <w:color w:val="auto"/>
          <w:sz w:val="24"/>
          <w:szCs w:val="24"/>
          <w:lang w:val="zh-CN" w:eastAsia="zh-CN" w:bidi="zh-CN"/>
        </w:rPr>
        <w:t>份。</w:t>
      </w:r>
    </w:p>
    <w:p>
      <w:pPr>
        <w:pStyle w:val="36"/>
        <w:numPr>
          <w:ilvl w:val="0"/>
          <w:numId w:val="4"/>
        </w:numPr>
        <w:tabs>
          <w:tab w:val="left" w:pos="841"/>
        </w:tabs>
        <w:spacing w:after="320" w:line="360" w:lineRule="auto"/>
        <w:ind w:firstLine="480" w:firstLineChars="200"/>
        <w:jc w:val="both"/>
        <w:rPr>
          <w:rFonts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合同未尽事宜，双方另行签订补充协议。补充协议是合同的组成部分。</w:t>
      </w:r>
    </w:p>
    <w:p>
      <w:pPr>
        <w:widowControl/>
        <w:jc w:val="left"/>
        <w:rPr>
          <w:rFonts w:ascii="宋体" w:hAnsi="宋体" w:cs="宋体"/>
          <w:color w:val="auto"/>
          <w:kern w:val="0"/>
          <w:sz w:val="24"/>
          <w:szCs w:val="24"/>
          <w:lang w:val="zh-CN" w:bidi="zh-CN"/>
        </w:rPr>
      </w:pPr>
      <w:r>
        <w:rPr>
          <w:rFonts w:hint="eastAsia" w:ascii="宋体" w:hAnsi="宋体" w:cs="宋体"/>
          <w:color w:val="auto"/>
          <w:sz w:val="24"/>
          <w:szCs w:val="24"/>
          <w:lang w:val="zh-CN" w:bidi="zh-CN"/>
        </w:rPr>
        <w:br w:type="page"/>
      </w:r>
    </w:p>
    <w:p>
      <w:pPr>
        <w:pStyle w:val="36"/>
        <w:tabs>
          <w:tab w:val="left" w:pos="841"/>
        </w:tabs>
        <w:spacing w:after="320" w:line="352" w:lineRule="exact"/>
        <w:jc w:val="both"/>
        <w:rPr>
          <w:rFonts w:ascii="宋体" w:hAnsi="宋体" w:eastAsia="宋体" w:cs="宋体"/>
          <w:color w:val="auto"/>
          <w:lang w:val="zh-CN" w:eastAsia="zh-CN" w:bidi="zh-CN"/>
        </w:rPr>
      </w:pPr>
    </w:p>
    <w:tbl>
      <w:tblPr>
        <w:tblStyle w:val="26"/>
        <w:tblW w:w="9347" w:type="dxa"/>
        <w:jc w:val="center"/>
        <w:tblInd w:w="0" w:type="dxa"/>
        <w:tblLayout w:type="fixed"/>
        <w:tblCellMar>
          <w:top w:w="0" w:type="dxa"/>
          <w:left w:w="108" w:type="dxa"/>
          <w:bottom w:w="0" w:type="dxa"/>
          <w:right w:w="108" w:type="dxa"/>
        </w:tblCellMar>
      </w:tblPr>
      <w:tblGrid>
        <w:gridCol w:w="4967"/>
        <w:gridCol w:w="4380"/>
      </w:tblGrid>
      <w:tr>
        <w:tblPrEx>
          <w:tblLayout w:type="fixed"/>
          <w:tblCellMar>
            <w:top w:w="0" w:type="dxa"/>
            <w:left w:w="108" w:type="dxa"/>
            <w:bottom w:w="0" w:type="dxa"/>
            <w:right w:w="108" w:type="dxa"/>
          </w:tblCellMar>
        </w:tblPrEx>
        <w:trPr>
          <w:trHeight w:val="563" w:hRule="atLeast"/>
          <w:jc w:val="center"/>
        </w:trPr>
        <w:tc>
          <w:tcPr>
            <w:tcW w:w="4967" w:type="dxa"/>
            <w:noWrap w:val="0"/>
            <w:vAlign w:val="top"/>
          </w:tcPr>
          <w:p>
            <w:pPr>
              <w:pStyle w:val="7"/>
              <w:tabs>
                <w:tab w:val="left" w:pos="5040"/>
                <w:tab w:val="left" w:pos="5400"/>
              </w:tabs>
              <w:spacing w:line="520" w:lineRule="exact"/>
              <w:ind w:firstLine="0" w:firstLineChars="0"/>
              <w:jc w:val="left"/>
              <w:rPr>
                <w:rFonts w:ascii="宋体" w:hAnsi="宋体" w:cs="宋体"/>
                <w:color w:val="auto"/>
                <w:sz w:val="24"/>
              </w:rPr>
            </w:pPr>
            <w:r>
              <w:rPr>
                <w:rFonts w:hint="eastAsia" w:ascii="宋体" w:hAnsi="宋体" w:cs="宋体"/>
                <w:color w:val="auto"/>
                <w:sz w:val="24"/>
              </w:rPr>
              <w:t>签字页：</w:t>
            </w:r>
          </w:p>
          <w:p>
            <w:pPr>
              <w:pStyle w:val="7"/>
              <w:tabs>
                <w:tab w:val="left" w:pos="5040"/>
                <w:tab w:val="left" w:pos="5400"/>
              </w:tabs>
              <w:spacing w:line="520" w:lineRule="exact"/>
              <w:ind w:firstLine="0" w:firstLineChars="0"/>
              <w:jc w:val="left"/>
              <w:rPr>
                <w:rFonts w:ascii="宋体" w:hAnsi="宋体" w:cs="宋体"/>
                <w:color w:val="auto"/>
                <w:sz w:val="24"/>
              </w:rPr>
            </w:pPr>
            <w:r>
              <w:rPr>
                <w:rFonts w:hint="eastAsia" w:ascii="宋体" w:hAnsi="宋体" w:cs="宋体"/>
                <w:color w:val="auto"/>
                <w:sz w:val="24"/>
              </w:rPr>
              <w:t>发 包 人：</w:t>
            </w:r>
          </w:p>
          <w:p>
            <w:pPr>
              <w:pStyle w:val="7"/>
              <w:tabs>
                <w:tab w:val="left" w:pos="5040"/>
                <w:tab w:val="left" w:pos="5400"/>
              </w:tabs>
              <w:spacing w:line="520" w:lineRule="exact"/>
              <w:ind w:firstLine="0" w:firstLineChars="0"/>
              <w:jc w:val="left"/>
              <w:rPr>
                <w:rFonts w:ascii="宋体" w:hAnsi="宋体" w:cs="宋体"/>
                <w:color w:val="auto"/>
                <w:sz w:val="24"/>
              </w:rPr>
            </w:pPr>
            <w:r>
              <w:rPr>
                <w:rFonts w:hint="eastAsia" w:ascii="宋体" w:hAnsi="宋体" w:cs="宋体"/>
                <w:color w:val="auto"/>
                <w:sz w:val="24"/>
              </w:rPr>
              <w:t>（盖单位公章）</w:t>
            </w:r>
          </w:p>
        </w:tc>
        <w:tc>
          <w:tcPr>
            <w:tcW w:w="4380" w:type="dxa"/>
            <w:noWrap w:val="0"/>
            <w:vAlign w:val="top"/>
          </w:tcPr>
          <w:p>
            <w:pPr>
              <w:pStyle w:val="7"/>
              <w:tabs>
                <w:tab w:val="left" w:pos="5040"/>
                <w:tab w:val="left" w:pos="5400"/>
              </w:tabs>
              <w:spacing w:line="520" w:lineRule="exact"/>
              <w:ind w:left="1200" w:hanging="1200" w:hangingChars="500"/>
              <w:jc w:val="left"/>
              <w:rPr>
                <w:rFonts w:ascii="宋体" w:hAnsi="宋体" w:cs="宋体"/>
                <w:color w:val="auto"/>
                <w:sz w:val="24"/>
              </w:rPr>
            </w:pPr>
          </w:p>
          <w:p>
            <w:pPr>
              <w:pStyle w:val="7"/>
              <w:tabs>
                <w:tab w:val="left" w:pos="5040"/>
                <w:tab w:val="left" w:pos="5400"/>
              </w:tabs>
              <w:spacing w:line="520" w:lineRule="exact"/>
              <w:ind w:firstLine="0" w:firstLineChars="0"/>
              <w:jc w:val="left"/>
              <w:rPr>
                <w:rFonts w:ascii="宋体" w:hAnsi="宋体" w:cs="宋体"/>
                <w:color w:val="auto"/>
                <w:sz w:val="24"/>
              </w:rPr>
            </w:pPr>
            <w:r>
              <w:rPr>
                <w:rFonts w:hint="eastAsia" w:ascii="宋体" w:hAnsi="宋体" w:cs="宋体"/>
                <w:color w:val="auto"/>
                <w:sz w:val="24"/>
              </w:rPr>
              <w:t>承包人：       （盖单位公章）</w:t>
            </w:r>
          </w:p>
        </w:tc>
      </w:tr>
      <w:tr>
        <w:tblPrEx>
          <w:tblLayout w:type="fixed"/>
          <w:tblCellMar>
            <w:top w:w="0" w:type="dxa"/>
            <w:left w:w="108" w:type="dxa"/>
            <w:bottom w:w="0" w:type="dxa"/>
            <w:right w:w="108" w:type="dxa"/>
          </w:tblCellMar>
        </w:tblPrEx>
        <w:trPr>
          <w:trHeight w:val="479" w:hRule="atLeast"/>
          <w:jc w:val="center"/>
        </w:trPr>
        <w:tc>
          <w:tcPr>
            <w:tcW w:w="4967" w:type="dxa"/>
            <w:noWrap w:val="0"/>
            <w:vAlign w:val="top"/>
          </w:tcPr>
          <w:p>
            <w:pPr>
              <w:spacing w:line="540" w:lineRule="exact"/>
              <w:jc w:val="left"/>
              <w:rPr>
                <w:rFonts w:ascii="宋体" w:hAnsi="宋体" w:cs="宋体"/>
                <w:color w:val="auto"/>
                <w:sz w:val="24"/>
                <w:szCs w:val="24"/>
              </w:rPr>
            </w:pPr>
            <w:r>
              <w:rPr>
                <w:rFonts w:hint="eastAsia" w:ascii="宋体" w:hAnsi="宋体" w:cs="宋体"/>
                <w:color w:val="auto"/>
                <w:sz w:val="24"/>
                <w:szCs w:val="24"/>
              </w:rPr>
              <w:t>法定代表人或项目负责人</w:t>
            </w:r>
          </w:p>
          <w:p>
            <w:pPr>
              <w:pStyle w:val="46"/>
              <w:rPr>
                <w:color w:val="auto"/>
              </w:rPr>
            </w:pPr>
          </w:p>
        </w:tc>
        <w:tc>
          <w:tcPr>
            <w:tcW w:w="4380" w:type="dxa"/>
            <w:noWrap w:val="0"/>
            <w:vAlign w:val="top"/>
          </w:tcPr>
          <w:p>
            <w:pPr>
              <w:spacing w:line="540" w:lineRule="exact"/>
              <w:jc w:val="left"/>
              <w:rPr>
                <w:rFonts w:ascii="宋体" w:hAnsi="宋体" w:cs="宋体"/>
                <w:color w:val="auto"/>
                <w:sz w:val="24"/>
                <w:szCs w:val="24"/>
              </w:rPr>
            </w:pPr>
            <w:r>
              <w:rPr>
                <w:rFonts w:hint="eastAsia" w:ascii="宋体" w:hAnsi="宋体" w:cs="宋体"/>
                <w:color w:val="auto"/>
                <w:sz w:val="24"/>
                <w:szCs w:val="24"/>
              </w:rPr>
              <w:t>法定代表人或其委托代理人</w:t>
            </w:r>
          </w:p>
        </w:tc>
      </w:tr>
      <w:tr>
        <w:tblPrEx>
          <w:tblLayout w:type="fixed"/>
          <w:tblCellMar>
            <w:top w:w="0" w:type="dxa"/>
            <w:left w:w="108" w:type="dxa"/>
            <w:bottom w:w="0" w:type="dxa"/>
            <w:right w:w="108" w:type="dxa"/>
          </w:tblCellMar>
        </w:tblPrEx>
        <w:trPr>
          <w:trHeight w:val="552" w:hRule="atLeast"/>
          <w:jc w:val="center"/>
        </w:trPr>
        <w:tc>
          <w:tcPr>
            <w:tcW w:w="4967" w:type="dxa"/>
            <w:noWrap w:val="0"/>
            <w:vAlign w:val="top"/>
          </w:tcPr>
          <w:p>
            <w:pPr>
              <w:spacing w:line="540" w:lineRule="exact"/>
              <w:jc w:val="left"/>
              <w:rPr>
                <w:rFonts w:ascii="宋体" w:hAnsi="宋体" w:cs="宋体"/>
                <w:color w:val="auto"/>
                <w:sz w:val="24"/>
                <w:szCs w:val="24"/>
              </w:rPr>
            </w:pPr>
            <w:r>
              <w:rPr>
                <w:rFonts w:hint="eastAsia" w:ascii="宋体" w:hAnsi="宋体" w:cs="宋体"/>
                <w:color w:val="auto"/>
                <w:sz w:val="24"/>
                <w:szCs w:val="24"/>
              </w:rPr>
              <w:t>（签字）：</w:t>
            </w:r>
          </w:p>
          <w:p>
            <w:pPr>
              <w:pStyle w:val="46"/>
              <w:rPr>
                <w:color w:val="auto"/>
              </w:rPr>
            </w:pPr>
          </w:p>
        </w:tc>
        <w:tc>
          <w:tcPr>
            <w:tcW w:w="4380" w:type="dxa"/>
            <w:noWrap w:val="0"/>
            <w:vAlign w:val="top"/>
          </w:tcPr>
          <w:p>
            <w:pPr>
              <w:spacing w:line="540" w:lineRule="exact"/>
              <w:jc w:val="left"/>
              <w:rPr>
                <w:rFonts w:ascii="宋体" w:hAnsi="宋体" w:cs="宋体"/>
                <w:b/>
                <w:color w:val="auto"/>
                <w:sz w:val="24"/>
                <w:szCs w:val="24"/>
              </w:rPr>
            </w:pPr>
            <w:r>
              <w:rPr>
                <w:rFonts w:hint="eastAsia" w:ascii="宋体" w:hAnsi="宋体" w:cs="宋体"/>
                <w:color w:val="auto"/>
                <w:sz w:val="24"/>
                <w:szCs w:val="24"/>
              </w:rPr>
              <w:t>（签字）：</w:t>
            </w:r>
          </w:p>
        </w:tc>
      </w:tr>
      <w:tr>
        <w:tblPrEx>
          <w:tblLayout w:type="fixed"/>
          <w:tblCellMar>
            <w:top w:w="0" w:type="dxa"/>
            <w:left w:w="108" w:type="dxa"/>
            <w:bottom w:w="0" w:type="dxa"/>
            <w:right w:w="108" w:type="dxa"/>
          </w:tblCellMar>
        </w:tblPrEx>
        <w:trPr>
          <w:trHeight w:val="897" w:hRule="atLeast"/>
          <w:jc w:val="center"/>
        </w:trPr>
        <w:tc>
          <w:tcPr>
            <w:tcW w:w="4967" w:type="dxa"/>
            <w:noWrap w:val="0"/>
            <w:vAlign w:val="top"/>
          </w:tcPr>
          <w:p>
            <w:pPr>
              <w:spacing w:line="540" w:lineRule="exact"/>
              <w:jc w:val="left"/>
              <w:rPr>
                <w:rFonts w:ascii="宋体" w:hAnsi="宋体" w:cs="宋体"/>
                <w:color w:val="auto"/>
                <w:sz w:val="24"/>
                <w:szCs w:val="24"/>
              </w:rPr>
            </w:pPr>
            <w:r>
              <w:rPr>
                <w:rFonts w:hint="eastAsia" w:ascii="宋体" w:hAnsi="宋体" w:cs="宋体"/>
                <w:color w:val="auto"/>
                <w:sz w:val="24"/>
                <w:szCs w:val="24"/>
              </w:rPr>
              <w:t>地  址：</w:t>
            </w:r>
          </w:p>
        </w:tc>
        <w:tc>
          <w:tcPr>
            <w:tcW w:w="4380" w:type="dxa"/>
            <w:noWrap w:val="0"/>
            <w:vAlign w:val="top"/>
          </w:tcPr>
          <w:p>
            <w:pPr>
              <w:spacing w:line="360" w:lineRule="auto"/>
              <w:jc w:val="left"/>
              <w:rPr>
                <w:rFonts w:ascii="宋体" w:hAnsi="宋体" w:cs="宋体"/>
                <w:color w:val="auto"/>
                <w:sz w:val="24"/>
              </w:rPr>
            </w:pPr>
            <w:r>
              <w:rPr>
                <w:rFonts w:hint="eastAsia" w:ascii="宋体" w:hAnsi="宋体" w:cs="宋体"/>
                <w:color w:val="auto"/>
                <w:sz w:val="24"/>
              </w:rPr>
              <w:t>地  址：</w:t>
            </w:r>
          </w:p>
        </w:tc>
      </w:tr>
      <w:tr>
        <w:tblPrEx>
          <w:tblLayout w:type="fixed"/>
          <w:tblCellMar>
            <w:top w:w="0" w:type="dxa"/>
            <w:left w:w="108" w:type="dxa"/>
            <w:bottom w:w="0" w:type="dxa"/>
            <w:right w:w="108" w:type="dxa"/>
          </w:tblCellMar>
        </w:tblPrEx>
        <w:trPr>
          <w:trHeight w:val="552" w:hRule="atLeast"/>
          <w:jc w:val="center"/>
        </w:trPr>
        <w:tc>
          <w:tcPr>
            <w:tcW w:w="4967" w:type="dxa"/>
            <w:noWrap w:val="0"/>
            <w:vAlign w:val="top"/>
          </w:tcPr>
          <w:p>
            <w:pPr>
              <w:spacing w:line="540" w:lineRule="exact"/>
              <w:jc w:val="left"/>
              <w:rPr>
                <w:rFonts w:ascii="宋体" w:hAnsi="宋体" w:cs="宋体"/>
                <w:color w:val="auto"/>
                <w:sz w:val="24"/>
                <w:szCs w:val="24"/>
              </w:rPr>
            </w:pPr>
            <w:r>
              <w:rPr>
                <w:rFonts w:hint="eastAsia" w:ascii="宋体" w:hAnsi="宋体" w:cs="宋体"/>
                <w:color w:val="auto"/>
                <w:sz w:val="24"/>
                <w:szCs w:val="24"/>
              </w:rPr>
              <w:t>电  话：</w:t>
            </w:r>
          </w:p>
        </w:tc>
        <w:tc>
          <w:tcPr>
            <w:tcW w:w="4380" w:type="dxa"/>
            <w:noWrap w:val="0"/>
            <w:vAlign w:val="top"/>
          </w:tcPr>
          <w:p>
            <w:pPr>
              <w:pStyle w:val="7"/>
              <w:tabs>
                <w:tab w:val="left" w:pos="5040"/>
                <w:tab w:val="left" w:pos="5400"/>
              </w:tabs>
              <w:spacing w:line="520" w:lineRule="exact"/>
              <w:ind w:firstLine="0" w:firstLineChars="0"/>
              <w:rPr>
                <w:rFonts w:ascii="宋体" w:hAnsi="宋体" w:cs="宋体"/>
                <w:color w:val="auto"/>
                <w:sz w:val="24"/>
              </w:rPr>
            </w:pPr>
            <w:r>
              <w:rPr>
                <w:rFonts w:hint="eastAsia" w:ascii="宋体" w:hAnsi="宋体" w:cs="宋体"/>
                <w:color w:val="auto"/>
                <w:sz w:val="24"/>
              </w:rPr>
              <w:t>电  话：</w:t>
            </w:r>
          </w:p>
        </w:tc>
      </w:tr>
      <w:tr>
        <w:tblPrEx>
          <w:tblLayout w:type="fixed"/>
          <w:tblCellMar>
            <w:top w:w="0" w:type="dxa"/>
            <w:left w:w="108" w:type="dxa"/>
            <w:bottom w:w="0" w:type="dxa"/>
            <w:right w:w="108" w:type="dxa"/>
          </w:tblCellMar>
        </w:tblPrEx>
        <w:trPr>
          <w:trHeight w:val="552" w:hRule="atLeast"/>
          <w:jc w:val="center"/>
        </w:trPr>
        <w:tc>
          <w:tcPr>
            <w:tcW w:w="4967" w:type="dxa"/>
            <w:noWrap w:val="0"/>
            <w:vAlign w:val="top"/>
          </w:tcPr>
          <w:p>
            <w:pPr>
              <w:spacing w:line="540" w:lineRule="exact"/>
              <w:jc w:val="left"/>
              <w:rPr>
                <w:rFonts w:ascii="宋体" w:hAnsi="宋体" w:cs="宋体"/>
                <w:color w:val="auto"/>
                <w:sz w:val="24"/>
                <w:szCs w:val="24"/>
              </w:rPr>
            </w:pPr>
            <w:r>
              <w:rPr>
                <w:rFonts w:hint="eastAsia" w:ascii="宋体" w:hAnsi="宋体" w:cs="宋体"/>
                <w:color w:val="auto"/>
                <w:sz w:val="24"/>
                <w:szCs w:val="24"/>
              </w:rPr>
              <w:t>传  真：</w:t>
            </w:r>
          </w:p>
        </w:tc>
        <w:tc>
          <w:tcPr>
            <w:tcW w:w="4380" w:type="dxa"/>
            <w:noWrap w:val="0"/>
            <w:vAlign w:val="top"/>
          </w:tcPr>
          <w:p>
            <w:pPr>
              <w:spacing w:line="360" w:lineRule="auto"/>
              <w:jc w:val="left"/>
              <w:rPr>
                <w:rFonts w:ascii="宋体" w:hAnsi="宋体" w:cs="宋体"/>
                <w:color w:val="auto"/>
                <w:sz w:val="24"/>
              </w:rPr>
            </w:pPr>
            <w:r>
              <w:rPr>
                <w:rFonts w:hint="eastAsia" w:ascii="宋体" w:hAnsi="宋体" w:cs="宋体"/>
                <w:color w:val="auto"/>
                <w:sz w:val="24"/>
              </w:rPr>
              <w:t>传  真：</w:t>
            </w:r>
          </w:p>
        </w:tc>
      </w:tr>
      <w:tr>
        <w:tblPrEx>
          <w:tblLayout w:type="fixed"/>
          <w:tblCellMar>
            <w:top w:w="0" w:type="dxa"/>
            <w:left w:w="108" w:type="dxa"/>
            <w:bottom w:w="0" w:type="dxa"/>
            <w:right w:w="108" w:type="dxa"/>
          </w:tblCellMar>
        </w:tblPrEx>
        <w:trPr>
          <w:trHeight w:val="552" w:hRule="atLeast"/>
          <w:jc w:val="center"/>
        </w:trPr>
        <w:tc>
          <w:tcPr>
            <w:tcW w:w="4967" w:type="dxa"/>
            <w:noWrap w:val="0"/>
            <w:vAlign w:val="top"/>
          </w:tcPr>
          <w:p>
            <w:pPr>
              <w:spacing w:line="540" w:lineRule="exact"/>
              <w:jc w:val="left"/>
              <w:rPr>
                <w:rFonts w:ascii="宋体" w:hAnsi="宋体" w:cs="宋体"/>
                <w:color w:val="auto"/>
                <w:sz w:val="24"/>
                <w:szCs w:val="24"/>
              </w:rPr>
            </w:pPr>
            <w:r>
              <w:rPr>
                <w:rFonts w:hint="eastAsia" w:ascii="宋体" w:hAnsi="宋体" w:cs="宋体"/>
                <w:color w:val="auto"/>
                <w:sz w:val="24"/>
                <w:szCs w:val="24"/>
              </w:rPr>
              <w:t>电子邮箱：</w:t>
            </w:r>
          </w:p>
        </w:tc>
        <w:tc>
          <w:tcPr>
            <w:tcW w:w="4380" w:type="dxa"/>
            <w:noWrap w:val="0"/>
            <w:vAlign w:val="top"/>
          </w:tcPr>
          <w:p>
            <w:pPr>
              <w:pStyle w:val="7"/>
              <w:tabs>
                <w:tab w:val="left" w:pos="5040"/>
                <w:tab w:val="left" w:pos="5400"/>
              </w:tabs>
              <w:spacing w:line="520" w:lineRule="exact"/>
              <w:ind w:firstLine="0" w:firstLineChars="0"/>
              <w:rPr>
                <w:rFonts w:ascii="宋体" w:hAnsi="宋体" w:cs="宋体"/>
                <w:color w:val="auto"/>
                <w:sz w:val="24"/>
              </w:rPr>
            </w:pPr>
            <w:r>
              <w:rPr>
                <w:rFonts w:hint="eastAsia" w:ascii="宋体" w:hAnsi="宋体" w:cs="宋体"/>
                <w:color w:val="auto"/>
                <w:sz w:val="24"/>
              </w:rPr>
              <w:t>电子邮箱：</w:t>
            </w:r>
          </w:p>
        </w:tc>
      </w:tr>
      <w:tr>
        <w:tblPrEx>
          <w:tblLayout w:type="fixed"/>
          <w:tblCellMar>
            <w:top w:w="0" w:type="dxa"/>
            <w:left w:w="108" w:type="dxa"/>
            <w:bottom w:w="0" w:type="dxa"/>
            <w:right w:w="108" w:type="dxa"/>
          </w:tblCellMar>
        </w:tblPrEx>
        <w:trPr>
          <w:trHeight w:val="689" w:hRule="atLeast"/>
          <w:jc w:val="center"/>
        </w:trPr>
        <w:tc>
          <w:tcPr>
            <w:tcW w:w="4967" w:type="dxa"/>
            <w:noWrap w:val="0"/>
            <w:vAlign w:val="top"/>
          </w:tcPr>
          <w:p>
            <w:pPr>
              <w:spacing w:line="540" w:lineRule="exact"/>
              <w:jc w:val="left"/>
              <w:rPr>
                <w:rFonts w:ascii="宋体" w:hAnsi="宋体" w:cs="宋体"/>
                <w:color w:val="auto"/>
                <w:sz w:val="24"/>
                <w:szCs w:val="24"/>
              </w:rPr>
            </w:pPr>
            <w:r>
              <w:rPr>
                <w:rFonts w:hint="eastAsia" w:ascii="宋体" w:hAnsi="宋体" w:cs="宋体"/>
                <w:color w:val="auto"/>
                <w:sz w:val="24"/>
                <w:szCs w:val="24"/>
              </w:rPr>
              <w:t>开户银行：</w:t>
            </w:r>
          </w:p>
        </w:tc>
        <w:tc>
          <w:tcPr>
            <w:tcW w:w="4380" w:type="dxa"/>
            <w:noWrap w:val="0"/>
            <w:vAlign w:val="top"/>
          </w:tcPr>
          <w:p>
            <w:pPr>
              <w:pStyle w:val="7"/>
              <w:tabs>
                <w:tab w:val="left" w:pos="5040"/>
                <w:tab w:val="left" w:pos="5400"/>
              </w:tabs>
              <w:spacing w:line="520" w:lineRule="exact"/>
              <w:ind w:left="4920" w:hanging="4920" w:hangingChars="2050"/>
              <w:jc w:val="left"/>
              <w:rPr>
                <w:rFonts w:ascii="宋体" w:hAnsi="宋体" w:cs="宋体"/>
                <w:color w:val="auto"/>
                <w:sz w:val="24"/>
              </w:rPr>
            </w:pPr>
            <w:r>
              <w:rPr>
                <w:rFonts w:hint="eastAsia" w:ascii="宋体" w:hAnsi="宋体" w:cs="宋体"/>
                <w:color w:val="auto"/>
                <w:sz w:val="24"/>
              </w:rPr>
              <w:t>开户银行：</w:t>
            </w:r>
          </w:p>
        </w:tc>
      </w:tr>
      <w:tr>
        <w:tblPrEx>
          <w:tblLayout w:type="fixed"/>
          <w:tblCellMar>
            <w:top w:w="0" w:type="dxa"/>
            <w:left w:w="108" w:type="dxa"/>
            <w:bottom w:w="0" w:type="dxa"/>
            <w:right w:w="108" w:type="dxa"/>
          </w:tblCellMar>
        </w:tblPrEx>
        <w:trPr>
          <w:trHeight w:val="689" w:hRule="atLeast"/>
          <w:jc w:val="center"/>
        </w:trPr>
        <w:tc>
          <w:tcPr>
            <w:tcW w:w="4967" w:type="dxa"/>
            <w:noWrap w:val="0"/>
            <w:vAlign w:val="top"/>
          </w:tcPr>
          <w:p>
            <w:pPr>
              <w:spacing w:line="540" w:lineRule="exact"/>
              <w:jc w:val="left"/>
              <w:rPr>
                <w:rFonts w:ascii="宋体" w:hAnsi="宋体" w:cs="宋体"/>
                <w:color w:val="auto"/>
                <w:sz w:val="24"/>
                <w:szCs w:val="24"/>
              </w:rPr>
            </w:pPr>
            <w:r>
              <w:rPr>
                <w:rFonts w:hint="eastAsia" w:ascii="宋体" w:hAnsi="宋体" w:cs="宋体"/>
                <w:color w:val="auto"/>
                <w:sz w:val="24"/>
                <w:szCs w:val="24"/>
              </w:rPr>
              <w:t>账     号：</w:t>
            </w:r>
          </w:p>
          <w:p>
            <w:pPr>
              <w:pStyle w:val="46"/>
              <w:rPr>
                <w:rFonts w:ascii="宋体" w:hAnsi="宋体" w:cs="宋体"/>
                <w:color w:val="auto"/>
              </w:rPr>
            </w:pPr>
          </w:p>
          <w:p>
            <w:pPr>
              <w:pStyle w:val="46"/>
              <w:rPr>
                <w:rFonts w:ascii="宋体" w:hAnsi="宋体" w:cs="宋体"/>
                <w:color w:val="auto"/>
              </w:rPr>
            </w:pPr>
          </w:p>
        </w:tc>
        <w:tc>
          <w:tcPr>
            <w:tcW w:w="4380" w:type="dxa"/>
            <w:noWrap w:val="0"/>
            <w:vAlign w:val="top"/>
          </w:tcPr>
          <w:p>
            <w:pPr>
              <w:pStyle w:val="7"/>
              <w:tabs>
                <w:tab w:val="left" w:pos="5040"/>
                <w:tab w:val="left" w:pos="5400"/>
              </w:tabs>
              <w:spacing w:line="520" w:lineRule="exact"/>
              <w:ind w:left="4920" w:hanging="4920" w:hangingChars="2050"/>
              <w:jc w:val="left"/>
              <w:rPr>
                <w:rFonts w:ascii="宋体" w:hAnsi="宋体" w:cs="宋体"/>
                <w:color w:val="auto"/>
                <w:sz w:val="24"/>
              </w:rPr>
            </w:pPr>
            <w:r>
              <w:rPr>
                <w:rFonts w:hint="eastAsia" w:ascii="宋体" w:hAnsi="宋体" w:cs="宋体"/>
                <w:color w:val="auto"/>
                <w:sz w:val="24"/>
              </w:rPr>
              <w:t>账     号：</w:t>
            </w:r>
          </w:p>
        </w:tc>
      </w:tr>
      <w:tr>
        <w:tblPrEx>
          <w:tblLayout w:type="fixed"/>
          <w:tblCellMar>
            <w:top w:w="0" w:type="dxa"/>
            <w:left w:w="108" w:type="dxa"/>
            <w:bottom w:w="0" w:type="dxa"/>
            <w:right w:w="108" w:type="dxa"/>
          </w:tblCellMar>
        </w:tblPrEx>
        <w:trPr>
          <w:trHeight w:val="793" w:hRule="atLeast"/>
          <w:jc w:val="center"/>
        </w:trPr>
        <w:tc>
          <w:tcPr>
            <w:tcW w:w="4967" w:type="dxa"/>
            <w:noWrap w:val="0"/>
            <w:vAlign w:val="top"/>
          </w:tcPr>
          <w:p>
            <w:pPr>
              <w:spacing w:line="276" w:lineRule="auto"/>
              <w:rPr>
                <w:rFonts w:ascii="宋体" w:hAnsi="宋体" w:cs="宋体"/>
                <w:color w:val="auto"/>
                <w:sz w:val="24"/>
                <w:szCs w:val="24"/>
              </w:rPr>
            </w:pPr>
            <w:r>
              <w:rPr>
                <w:rFonts w:hint="eastAsia" w:ascii="宋体" w:hAnsi="宋体" w:cs="宋体"/>
                <w:color w:val="auto"/>
                <w:sz w:val="24"/>
                <w:szCs w:val="24"/>
              </w:rPr>
              <w:t xml:space="preserve">年      月     日   </w:t>
            </w:r>
          </w:p>
          <w:p>
            <w:pPr>
              <w:spacing w:line="540" w:lineRule="exact"/>
              <w:jc w:val="left"/>
              <w:rPr>
                <w:rFonts w:ascii="宋体" w:hAnsi="宋体" w:cs="宋体"/>
                <w:color w:val="auto"/>
                <w:sz w:val="24"/>
                <w:szCs w:val="24"/>
              </w:rPr>
            </w:pPr>
          </w:p>
        </w:tc>
        <w:tc>
          <w:tcPr>
            <w:tcW w:w="4380" w:type="dxa"/>
            <w:noWrap w:val="0"/>
            <w:vAlign w:val="top"/>
          </w:tcPr>
          <w:p>
            <w:pPr>
              <w:spacing w:line="276" w:lineRule="auto"/>
              <w:rPr>
                <w:rFonts w:ascii="宋体" w:hAnsi="宋体" w:cs="宋体"/>
                <w:color w:val="auto"/>
                <w:sz w:val="24"/>
                <w:szCs w:val="24"/>
              </w:rPr>
            </w:pPr>
            <w:r>
              <w:rPr>
                <w:rFonts w:hint="eastAsia" w:ascii="宋体" w:hAnsi="宋体" w:cs="宋体"/>
                <w:color w:val="auto"/>
                <w:sz w:val="24"/>
                <w:szCs w:val="24"/>
              </w:rPr>
              <w:t>年      月     日</w:t>
            </w:r>
          </w:p>
          <w:p>
            <w:pPr>
              <w:spacing w:line="276" w:lineRule="auto"/>
              <w:rPr>
                <w:rFonts w:ascii="宋体" w:hAnsi="宋体" w:cs="宋体"/>
                <w:color w:val="auto"/>
                <w:sz w:val="24"/>
                <w:szCs w:val="24"/>
              </w:rPr>
            </w:pPr>
          </w:p>
        </w:tc>
      </w:tr>
    </w:tbl>
    <w:p>
      <w:pPr>
        <w:bidi w:val="0"/>
        <w:rPr>
          <w:rFonts w:hint="eastAsia"/>
          <w:color w:val="auto"/>
          <w:lang w:val="en-US" w:eastAsia="zh-CN"/>
        </w:rPr>
        <w:sectPr>
          <w:footerReference r:id="rId14" w:type="first"/>
          <w:footerReference r:id="rId13" w:type="default"/>
          <w:type w:val="continuous"/>
          <w:pgSz w:w="11906" w:h="16838"/>
          <w:pgMar w:top="1440" w:right="1083" w:bottom="1440" w:left="1083" w:header="851" w:footer="992" w:gutter="0"/>
          <w:pgNumType w:fmt="decimal"/>
          <w:cols w:space="720" w:num="1"/>
          <w:titlePg/>
          <w:docGrid w:type="lines" w:linePitch="312" w:charSpace="0"/>
        </w:sectPr>
      </w:pPr>
    </w:p>
    <w:p>
      <w:pPr>
        <w:pStyle w:val="3"/>
        <w:bidi w:val="0"/>
        <w:jc w:val="center"/>
        <w:outlineLvl w:val="1"/>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t>第二节</w:t>
      </w:r>
      <w:r>
        <w:rPr>
          <w:rFonts w:hint="eastAsia" w:ascii="Times New Roman" w:hAnsi="Times New Roman" w:cs="Times New Roman"/>
          <w:b/>
          <w:color w:val="auto"/>
          <w:sz w:val="30"/>
          <w:szCs w:val="30"/>
          <w:highlight w:val="none"/>
          <w:lang w:val="en-US" w:eastAsia="zh-CN"/>
        </w:rPr>
        <w:t xml:space="preserve"> </w:t>
      </w:r>
      <w:r>
        <w:rPr>
          <w:rFonts w:hint="eastAsia" w:ascii="Times New Roman" w:hAnsi="Times New Roman" w:eastAsia="宋体" w:cs="Times New Roman"/>
          <w:b/>
          <w:color w:val="auto"/>
          <w:sz w:val="30"/>
          <w:szCs w:val="30"/>
          <w:highlight w:val="none"/>
          <w:lang w:eastAsia="zh-CN"/>
        </w:rPr>
        <w:t>通用合同条款</w:t>
      </w:r>
    </w:p>
    <w:p>
      <w:pPr>
        <w:pStyle w:val="4"/>
        <w:spacing w:line="360" w:lineRule="exact"/>
        <w:rPr>
          <w:rFonts w:hint="eastAsia"/>
          <w:color w:val="auto"/>
          <w:sz w:val="24"/>
          <w:szCs w:val="24"/>
          <w:highlight w:val="none"/>
          <w:lang w:eastAsia="zh-CN"/>
        </w:rPr>
      </w:pPr>
      <w:bookmarkStart w:id="134" w:name="_Toc1696"/>
      <w:bookmarkStart w:id="135" w:name="bookmark882"/>
      <w:bookmarkStart w:id="136" w:name="bookmark881"/>
      <w:bookmarkStart w:id="137" w:name="bookmark883"/>
      <w:bookmarkStart w:id="138" w:name="_Toc19504"/>
      <w:bookmarkStart w:id="139" w:name="_Toc2030700267"/>
      <w:r>
        <w:rPr>
          <w:rFonts w:hint="eastAsia"/>
          <w:color w:val="auto"/>
          <w:sz w:val="24"/>
          <w:szCs w:val="24"/>
          <w:highlight w:val="none"/>
          <w:lang w:eastAsia="zh-CN"/>
        </w:rPr>
        <w:t>1. 一般约定</w:t>
      </w:r>
      <w:bookmarkEnd w:id="134"/>
      <w:bookmarkEnd w:id="135"/>
      <w:bookmarkEnd w:id="136"/>
      <w:bookmarkEnd w:id="137"/>
      <w:bookmarkEnd w:id="138"/>
      <w:bookmarkEnd w:id="139"/>
    </w:p>
    <w:p>
      <w:pPr>
        <w:pStyle w:val="5"/>
        <w:ind w:left="0" w:leftChars="0" w:firstLine="0" w:firstLineChars="0"/>
        <w:rPr>
          <w:color w:val="auto"/>
          <w:sz w:val="24"/>
          <w:szCs w:val="24"/>
          <w:highlight w:val="none"/>
          <w:lang w:eastAsia="zh-CN"/>
        </w:rPr>
      </w:pPr>
      <w:bookmarkStart w:id="140" w:name="bookmark885"/>
      <w:bookmarkStart w:id="141" w:name="_Toc5974"/>
      <w:bookmarkStart w:id="142" w:name="bookmark884"/>
      <w:bookmarkStart w:id="143" w:name="bookmark886"/>
      <w:r>
        <w:rPr>
          <w:color w:val="auto"/>
          <w:sz w:val="24"/>
          <w:szCs w:val="24"/>
          <w:highlight w:val="none"/>
          <w:lang w:eastAsia="zh-CN"/>
        </w:rPr>
        <w:t>1.1词语定义</w:t>
      </w:r>
      <w:bookmarkEnd w:id="140"/>
      <w:bookmarkEnd w:id="141"/>
      <w:bookmarkEnd w:id="142"/>
      <w:bookmarkEnd w:id="143"/>
    </w:p>
    <w:p>
      <w:pPr>
        <w:pStyle w:val="47"/>
        <w:spacing w:after="100" w:line="350" w:lineRule="exact"/>
        <w:ind w:firstLine="420"/>
        <w:rPr>
          <w:color w:val="auto"/>
          <w:sz w:val="24"/>
          <w:szCs w:val="24"/>
          <w:highlight w:val="none"/>
        </w:rPr>
      </w:pPr>
      <w:r>
        <w:rPr>
          <w:color w:val="auto"/>
          <w:sz w:val="24"/>
          <w:szCs w:val="24"/>
          <w:highlight w:val="none"/>
        </w:rPr>
        <w:t>通用合同条款、专用合同条款中的下列词语应具有本款所赋予的含义。</w:t>
      </w:r>
    </w:p>
    <w:p>
      <w:pPr>
        <w:pStyle w:val="48"/>
        <w:spacing w:after="0" w:line="360" w:lineRule="auto"/>
        <w:jc w:val="both"/>
        <w:rPr>
          <w:color w:val="auto"/>
          <w:sz w:val="24"/>
          <w:szCs w:val="24"/>
          <w:highlight w:val="none"/>
          <w:lang w:eastAsia="zh-CN"/>
        </w:rPr>
      </w:pPr>
      <w:r>
        <w:rPr>
          <w:color w:val="auto"/>
          <w:sz w:val="24"/>
          <w:szCs w:val="24"/>
          <w:highlight w:val="none"/>
          <w:lang w:eastAsia="zh-CN"/>
        </w:rPr>
        <w:t>1.1.</w:t>
      </w:r>
      <w:r>
        <w:rPr>
          <w:color w:val="auto"/>
          <w:sz w:val="24"/>
          <w:szCs w:val="24"/>
          <w:highlight w:val="none"/>
          <w:lang w:val="zh-CN" w:eastAsia="zh-CN" w:bidi="zh-CN"/>
        </w:rPr>
        <w:t>1</w:t>
      </w:r>
      <w:r>
        <w:rPr>
          <w:rFonts w:ascii="宋体" w:hAnsi="宋体" w:cs="宋体"/>
          <w:color w:val="auto"/>
          <w:sz w:val="24"/>
          <w:szCs w:val="24"/>
          <w:highlight w:val="none"/>
          <w:lang w:val="zh-CN" w:eastAsia="zh-CN" w:bidi="zh-CN"/>
        </w:rPr>
        <w:t>合同</w:t>
      </w:r>
    </w:p>
    <w:p>
      <w:pPr>
        <w:pStyle w:val="47"/>
        <w:spacing w:line="35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1.1.1.1</w:t>
      </w:r>
      <w:r>
        <w:rPr>
          <w:color w:val="auto"/>
          <w:sz w:val="24"/>
          <w:szCs w:val="24"/>
          <w:highlight w:val="none"/>
        </w:rPr>
        <w:t>合同文件（或称合同）：指合同协议书、中标通知书、投标函及投标函附录、专用合同条款、通用合同条款、技术标准和要求、图纸、已标价工程量清单，以及其他合同文件。</w:t>
      </w:r>
    </w:p>
    <w:p>
      <w:pPr>
        <w:pStyle w:val="47"/>
        <w:tabs>
          <w:tab w:val="left" w:pos="944"/>
        </w:tabs>
        <w:spacing w:line="362" w:lineRule="exact"/>
        <w:ind w:left="420" w:firstLine="0"/>
        <w:rPr>
          <w:color w:val="auto"/>
          <w:sz w:val="24"/>
          <w:szCs w:val="24"/>
          <w:highlight w:val="none"/>
        </w:rPr>
      </w:pPr>
      <w:bookmarkStart w:id="144" w:name="bookmark887"/>
      <w:bookmarkEnd w:id="144"/>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 xml:space="preserve">2   </w:t>
      </w:r>
      <w:r>
        <w:rPr>
          <w:color w:val="auto"/>
          <w:sz w:val="24"/>
          <w:szCs w:val="24"/>
          <w:highlight w:val="none"/>
        </w:rPr>
        <w:t>合同协议书：指第</w:t>
      </w:r>
      <w:r>
        <w:rPr>
          <w:rFonts w:ascii="Times New Roman" w:hAnsi="Times New Roman" w:eastAsia="Times New Roman" w:cs="Times New Roman"/>
          <w:color w:val="auto"/>
          <w:sz w:val="24"/>
          <w:szCs w:val="24"/>
          <w:highlight w:val="none"/>
          <w:lang w:val="en-US" w:bidi="en-US"/>
        </w:rPr>
        <w:t>1.5</w:t>
      </w:r>
      <w:r>
        <w:rPr>
          <w:color w:val="auto"/>
          <w:sz w:val="24"/>
          <w:szCs w:val="24"/>
          <w:highlight w:val="none"/>
        </w:rPr>
        <w:t>款所指的合同协议书。</w:t>
      </w:r>
    </w:p>
    <w:p>
      <w:pPr>
        <w:pStyle w:val="47"/>
        <w:spacing w:line="36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3</w:t>
      </w:r>
      <w:r>
        <w:rPr>
          <w:color w:val="auto"/>
          <w:sz w:val="24"/>
          <w:szCs w:val="24"/>
          <w:highlight w:val="none"/>
        </w:rPr>
        <w:t>中标通知书：指发包人通知承包人中标的函件。</w:t>
      </w:r>
    </w:p>
    <w:p>
      <w:pPr>
        <w:pStyle w:val="47"/>
        <w:tabs>
          <w:tab w:val="left" w:pos="944"/>
        </w:tabs>
        <w:spacing w:line="362" w:lineRule="exact"/>
        <w:ind w:left="420" w:firstLine="0"/>
        <w:rPr>
          <w:color w:val="auto"/>
          <w:sz w:val="24"/>
          <w:szCs w:val="24"/>
          <w:highlight w:val="none"/>
        </w:rPr>
      </w:pPr>
      <w:bookmarkStart w:id="145" w:name="bookmark888"/>
      <w:bookmarkEnd w:id="145"/>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 xml:space="preserve">1. </w:t>
      </w:r>
      <w:r>
        <w:rPr>
          <w:rFonts w:hint="eastAsia" w:ascii="Times New Roman" w:hAnsi="Times New Roman" w:cs="Times New Roman"/>
          <w:color w:val="auto"/>
          <w:sz w:val="24"/>
          <w:szCs w:val="24"/>
          <w:highlight w:val="none"/>
        </w:rPr>
        <w:t xml:space="preserve">4  </w:t>
      </w:r>
      <w:r>
        <w:rPr>
          <w:color w:val="auto"/>
          <w:sz w:val="24"/>
          <w:szCs w:val="24"/>
          <w:highlight w:val="none"/>
        </w:rPr>
        <w:t>投标函：指构成合同文件组成部分的由承包人填写并签署的投标函。</w:t>
      </w:r>
    </w:p>
    <w:p>
      <w:pPr>
        <w:pStyle w:val="47"/>
        <w:spacing w:line="36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1. 1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5</w:t>
      </w:r>
      <w:r>
        <w:rPr>
          <w:color w:val="auto"/>
          <w:sz w:val="24"/>
          <w:szCs w:val="24"/>
          <w:highlight w:val="none"/>
        </w:rPr>
        <w:t>投标函附录：指附在投标函后构成合同文件的投标函附录。</w:t>
      </w:r>
    </w:p>
    <w:p>
      <w:pPr>
        <w:pStyle w:val="47"/>
        <w:spacing w:line="350" w:lineRule="exact"/>
        <w:ind w:firstLine="420"/>
        <w:jc w:val="both"/>
        <w:rPr>
          <w:rFonts w:ascii="Times New Roman" w:hAnsi="Times New Roman" w:eastAsia="Times New Roman" w:cs="Times New Roman"/>
          <w:color w:val="auto"/>
          <w:sz w:val="24"/>
          <w:szCs w:val="24"/>
          <w:highlight w:val="none"/>
          <w:lang w:val="en-US" w:bidi="en-US"/>
        </w:rPr>
      </w:pPr>
      <w:bookmarkStart w:id="146" w:name="bookmark889"/>
      <w:bookmarkEnd w:id="146"/>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 xml:space="preserve">.6  </w:t>
      </w:r>
      <w:r>
        <w:rPr>
          <w:rFonts w:ascii="Times New Roman" w:hAnsi="Times New Roman" w:eastAsia="Times New Roman" w:cs="Times New Roman"/>
          <w:color w:val="auto"/>
          <w:sz w:val="24"/>
          <w:szCs w:val="24"/>
          <w:highlight w:val="none"/>
          <w:lang w:val="en-US" w:bidi="en-US"/>
        </w:rPr>
        <w:t>技术标准和要求：指构成合同文件组成部分的名为技术标准和要求（合同技术条款）的文件，包括合同双方当事人约定对其所做的修改或补充。</w:t>
      </w:r>
    </w:p>
    <w:p>
      <w:pPr>
        <w:pStyle w:val="47"/>
        <w:spacing w:line="350" w:lineRule="exact"/>
        <w:ind w:firstLine="420"/>
        <w:jc w:val="both"/>
        <w:rPr>
          <w:rFonts w:ascii="Times New Roman" w:hAnsi="Times New Roman" w:eastAsia="Times New Roman" w:cs="Times New Roman"/>
          <w:color w:val="auto"/>
          <w:sz w:val="24"/>
          <w:szCs w:val="24"/>
          <w:highlight w:val="none"/>
          <w:lang w:val="en-US" w:bidi="en-US"/>
        </w:rPr>
      </w:pPr>
      <w:bookmarkStart w:id="147" w:name="bookmark890"/>
      <w:bookmarkEnd w:id="147"/>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 xml:space="preserve">.7  </w:t>
      </w:r>
      <w:r>
        <w:rPr>
          <w:rFonts w:ascii="Times New Roman" w:hAnsi="Times New Roman" w:eastAsia="Times New Roman" w:cs="Times New Roman"/>
          <w:color w:val="auto"/>
          <w:sz w:val="24"/>
          <w:szCs w:val="24"/>
          <w:highlight w:val="none"/>
          <w:lang w:val="en-US" w:bidi="en-US"/>
        </w:rPr>
        <w:t>图纸：指列入合同的招标图纸、投标图纸和发包人按合同约定向承包人提供 的施工图纸和其他图纸（包括配套说明和有关资料）。列入合同的招标图纸已成为合同文件的一部分，具有合同效力，主要用于在履行合同过程中作为衡量变更的依据，但不能直接用于施工。经发包人确认进入合同的投标图纸亦成为合同文件的一部分，用于在履行合同中检验承包人是否按其投标时承诺的条件进行施工的依据，亦不能直接用于施工。</w:t>
      </w:r>
    </w:p>
    <w:p>
      <w:pPr>
        <w:pStyle w:val="47"/>
        <w:spacing w:line="31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8</w:t>
      </w:r>
      <w:r>
        <w:rPr>
          <w:color w:val="auto"/>
          <w:sz w:val="24"/>
          <w:szCs w:val="24"/>
          <w:highlight w:val="none"/>
        </w:rPr>
        <w:t>已标价工程量清单：指构成合同文件组成部分的由承包人按照规定的格式和要求填写并标明价格的工程量清单。</w:t>
      </w:r>
    </w:p>
    <w:p>
      <w:pPr>
        <w:pStyle w:val="47"/>
        <w:spacing w:line="35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9</w:t>
      </w:r>
      <w:r>
        <w:rPr>
          <w:color w:val="auto"/>
          <w:sz w:val="24"/>
          <w:szCs w:val="24"/>
          <w:highlight w:val="none"/>
        </w:rPr>
        <w:t>其他合同文件：指经合同双方当事人确认构成合同文件的其他文件。</w:t>
      </w:r>
    </w:p>
    <w:p>
      <w:pPr>
        <w:pStyle w:val="47"/>
        <w:spacing w:line="35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color w:val="auto"/>
          <w:sz w:val="24"/>
          <w:szCs w:val="24"/>
          <w:highlight w:val="none"/>
        </w:rPr>
        <w:t>合同当事人和人员。</w:t>
      </w:r>
    </w:p>
    <w:p>
      <w:pPr>
        <w:pStyle w:val="47"/>
        <w:spacing w:line="35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1.2.1</w:t>
      </w:r>
      <w:r>
        <w:rPr>
          <w:color w:val="auto"/>
          <w:sz w:val="24"/>
          <w:szCs w:val="24"/>
          <w:highlight w:val="none"/>
        </w:rPr>
        <w:t>合同当事人：指发包人和（或）承包人。</w:t>
      </w:r>
    </w:p>
    <w:p>
      <w:pPr>
        <w:pStyle w:val="47"/>
        <w:tabs>
          <w:tab w:val="left" w:pos="944"/>
        </w:tabs>
        <w:spacing w:line="352" w:lineRule="exact"/>
        <w:ind w:left="420" w:firstLine="0"/>
        <w:rPr>
          <w:color w:val="auto"/>
          <w:sz w:val="24"/>
          <w:szCs w:val="24"/>
          <w:highlight w:val="none"/>
        </w:rPr>
      </w:pPr>
      <w:bookmarkStart w:id="148" w:name="bookmark891"/>
      <w:bookmarkEnd w:id="148"/>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rFonts w:hint="eastAsia" w:ascii="Times New Roman" w:hAnsi="Times New Roman" w:cs="Times New Roman"/>
          <w:color w:val="auto"/>
          <w:sz w:val="24"/>
          <w:szCs w:val="24"/>
          <w:highlight w:val="none"/>
          <w:lang w:val="en-US" w:bidi="en-US"/>
        </w:rPr>
        <w:t>2</w:t>
      </w:r>
      <w:r>
        <w:rPr>
          <w:color w:val="auto"/>
          <w:sz w:val="24"/>
          <w:szCs w:val="24"/>
          <w:highlight w:val="none"/>
        </w:rPr>
        <w:t>发包人：指专用合同条款中指明并与承包人在合同协议书中签字的当事人。</w:t>
      </w:r>
    </w:p>
    <w:p>
      <w:pPr>
        <w:pStyle w:val="47"/>
        <w:tabs>
          <w:tab w:val="left" w:pos="944"/>
        </w:tabs>
        <w:spacing w:line="352" w:lineRule="exact"/>
        <w:ind w:left="420" w:firstLine="0"/>
        <w:rPr>
          <w:color w:val="auto"/>
          <w:sz w:val="24"/>
          <w:szCs w:val="24"/>
          <w:highlight w:val="none"/>
        </w:rPr>
      </w:pPr>
      <w:bookmarkStart w:id="149" w:name="bookmark892"/>
      <w:bookmarkEnd w:id="149"/>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rFonts w:hint="eastAsia" w:ascii="Times New Roman" w:hAnsi="Times New Roman" w:cs="Times New Roman"/>
          <w:color w:val="auto"/>
          <w:sz w:val="24"/>
          <w:szCs w:val="24"/>
          <w:highlight w:val="none"/>
          <w:lang w:val="en-US" w:bidi="en-US"/>
        </w:rPr>
        <w:t>3</w:t>
      </w:r>
      <w:r>
        <w:rPr>
          <w:color w:val="auto"/>
          <w:sz w:val="24"/>
          <w:szCs w:val="24"/>
          <w:highlight w:val="none"/>
        </w:rPr>
        <w:t>承包人：指专用合同条款中指明并与发包人在合同协议书中签字的当事人。</w:t>
      </w:r>
    </w:p>
    <w:p>
      <w:pPr>
        <w:pStyle w:val="47"/>
        <w:spacing w:line="35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1.2.4</w:t>
      </w:r>
      <w:r>
        <w:rPr>
          <w:color w:val="auto"/>
          <w:sz w:val="24"/>
          <w:szCs w:val="24"/>
          <w:highlight w:val="none"/>
        </w:rPr>
        <w:t>承包人项目经理：指承包人派驻施工场地的全权负责人。</w:t>
      </w:r>
    </w:p>
    <w:p>
      <w:pPr>
        <w:pStyle w:val="47"/>
        <w:spacing w:line="31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1.2.5</w:t>
      </w:r>
      <w:r>
        <w:rPr>
          <w:color w:val="auto"/>
          <w:sz w:val="24"/>
          <w:szCs w:val="24"/>
          <w:highlight w:val="none"/>
        </w:rPr>
        <w:t>分包人：指专用合同条款中指明的，从承包人处分包合同中某一部分工程, 并与其签订分包合同的分包人。</w:t>
      </w:r>
    </w:p>
    <w:p>
      <w:pPr>
        <w:pStyle w:val="47"/>
        <w:tabs>
          <w:tab w:val="left" w:pos="951"/>
        </w:tabs>
        <w:spacing w:line="374" w:lineRule="exact"/>
        <w:ind w:left="420" w:firstLine="0"/>
        <w:jc w:val="both"/>
        <w:rPr>
          <w:color w:val="auto"/>
          <w:sz w:val="24"/>
          <w:szCs w:val="24"/>
          <w:highlight w:val="none"/>
        </w:rPr>
      </w:pPr>
      <w:bookmarkStart w:id="150" w:name="bookmark893"/>
      <w:bookmarkEnd w:id="150"/>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rFonts w:hint="eastAsia" w:ascii="Times New Roman" w:hAnsi="Times New Roman" w:cs="Times New Roman"/>
          <w:color w:val="auto"/>
          <w:sz w:val="24"/>
          <w:szCs w:val="24"/>
          <w:highlight w:val="none"/>
          <w:lang w:val="en-US" w:bidi="en-US"/>
        </w:rPr>
        <w:t xml:space="preserve">6  </w:t>
      </w:r>
      <w:r>
        <w:rPr>
          <w:color w:val="auto"/>
          <w:sz w:val="24"/>
          <w:szCs w:val="24"/>
          <w:highlight w:val="none"/>
        </w:rPr>
        <w:t>监理人：指在专用合同条款中指明的，受发包人委托对合同履行实施管理的 法人或其他组织。</w:t>
      </w:r>
    </w:p>
    <w:p>
      <w:pPr>
        <w:pStyle w:val="47"/>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2.</w:t>
      </w:r>
      <w:r>
        <w:rPr>
          <w:rFonts w:ascii="Times New Roman" w:hAnsi="Times New Roman" w:eastAsia="Times New Roman" w:cs="Times New Roman"/>
          <w:color w:val="auto"/>
          <w:sz w:val="24"/>
          <w:szCs w:val="24"/>
          <w:highlight w:val="none"/>
        </w:rPr>
        <w:t>7</w:t>
      </w:r>
      <w:r>
        <w:rPr>
          <w:color w:val="auto"/>
          <w:sz w:val="24"/>
          <w:szCs w:val="24"/>
          <w:highlight w:val="none"/>
        </w:rPr>
        <w:t>总监理工程师（总监）:指由监理人委派常驻施工场地对合同履行实施管理的全权负责人。</w:t>
      </w:r>
    </w:p>
    <w:p>
      <w:pPr>
        <w:pStyle w:val="48"/>
        <w:spacing w:after="0" w:line="362" w:lineRule="exact"/>
        <w:jc w:val="both"/>
        <w:rPr>
          <w:color w:val="auto"/>
          <w:sz w:val="24"/>
          <w:szCs w:val="24"/>
          <w:highlight w:val="none"/>
          <w:lang w:eastAsia="zh-CN"/>
        </w:rPr>
      </w:pPr>
      <w:r>
        <w:rPr>
          <w:color w:val="auto"/>
          <w:sz w:val="24"/>
          <w:szCs w:val="24"/>
          <w:highlight w:val="none"/>
          <w:lang w:eastAsia="zh-CN"/>
        </w:rPr>
        <w:t>1</w:t>
      </w:r>
      <w:r>
        <w:rPr>
          <w:rFonts w:hint="eastAsia"/>
          <w:color w:val="auto"/>
          <w:sz w:val="24"/>
          <w:szCs w:val="24"/>
          <w:highlight w:val="none"/>
          <w:lang w:eastAsia="zh-CN"/>
        </w:rPr>
        <w:t>.</w:t>
      </w:r>
      <w:r>
        <w:rPr>
          <w:color w:val="auto"/>
          <w:sz w:val="24"/>
          <w:szCs w:val="24"/>
          <w:highlight w:val="none"/>
          <w:lang w:eastAsia="zh-CN"/>
        </w:rPr>
        <w:t>1.</w:t>
      </w:r>
      <w:r>
        <w:rPr>
          <w:color w:val="auto"/>
          <w:sz w:val="24"/>
          <w:szCs w:val="24"/>
          <w:highlight w:val="none"/>
          <w:lang w:val="zh-CN" w:eastAsia="zh-CN" w:bidi="zh-CN"/>
        </w:rPr>
        <w:t>3</w:t>
      </w:r>
      <w:r>
        <w:rPr>
          <w:rFonts w:ascii="宋体" w:hAnsi="宋体" w:cs="宋体"/>
          <w:color w:val="auto"/>
          <w:sz w:val="24"/>
          <w:szCs w:val="24"/>
          <w:highlight w:val="none"/>
          <w:lang w:val="zh-CN" w:eastAsia="zh-CN" w:bidi="zh-CN"/>
        </w:rPr>
        <w:t>工程和设备</w:t>
      </w:r>
    </w:p>
    <w:p>
      <w:pPr>
        <w:pStyle w:val="47"/>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1</w:t>
      </w:r>
      <w:r>
        <w:rPr>
          <w:color w:val="auto"/>
          <w:sz w:val="24"/>
          <w:szCs w:val="24"/>
          <w:highlight w:val="none"/>
        </w:rPr>
        <w:t>工程：指永久工程和（或）临时工程。</w:t>
      </w:r>
    </w:p>
    <w:p>
      <w:pPr>
        <w:pStyle w:val="47"/>
        <w:tabs>
          <w:tab w:val="left" w:pos="944"/>
        </w:tabs>
        <w:spacing w:line="362" w:lineRule="exact"/>
        <w:ind w:left="420" w:firstLine="0"/>
        <w:jc w:val="both"/>
        <w:rPr>
          <w:color w:val="auto"/>
          <w:sz w:val="24"/>
          <w:szCs w:val="24"/>
          <w:highlight w:val="none"/>
        </w:rPr>
      </w:pPr>
      <w:bookmarkStart w:id="151" w:name="bookmark894"/>
      <w:bookmarkEnd w:id="151"/>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2</w:t>
      </w:r>
      <w:r>
        <w:rPr>
          <w:color w:val="auto"/>
          <w:sz w:val="24"/>
          <w:szCs w:val="24"/>
          <w:highlight w:val="none"/>
        </w:rPr>
        <w:t>永久工程：指按合同约定建造并移交给发包人的工程，包括工程设备。</w:t>
      </w:r>
    </w:p>
    <w:p>
      <w:pPr>
        <w:pStyle w:val="47"/>
        <w:tabs>
          <w:tab w:val="left" w:pos="954"/>
        </w:tabs>
        <w:spacing w:line="372" w:lineRule="exact"/>
        <w:ind w:firstLine="511" w:firstLineChars="213"/>
        <w:jc w:val="both"/>
        <w:rPr>
          <w:color w:val="auto"/>
          <w:sz w:val="24"/>
          <w:szCs w:val="24"/>
          <w:highlight w:val="none"/>
        </w:rPr>
      </w:pPr>
      <w:bookmarkStart w:id="152" w:name="bookmark895"/>
      <w:bookmarkEnd w:id="152"/>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3</w:t>
      </w:r>
      <w:r>
        <w:rPr>
          <w:color w:val="auto"/>
          <w:sz w:val="24"/>
          <w:szCs w:val="24"/>
          <w:highlight w:val="none"/>
        </w:rPr>
        <w:t>临时工程：指为完成合同约定的永久工程所修建的各类临时性工程，不包括施工设备。</w:t>
      </w:r>
    </w:p>
    <w:p>
      <w:pPr>
        <w:pStyle w:val="47"/>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1.1.3</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4</w:t>
      </w:r>
      <w:r>
        <w:rPr>
          <w:color w:val="auto"/>
          <w:sz w:val="24"/>
          <w:szCs w:val="24"/>
          <w:highlight w:val="none"/>
        </w:rPr>
        <w:t>单位工程：指专用合同条款中指明特定范围的永久工程。</w:t>
      </w:r>
    </w:p>
    <w:p>
      <w:pPr>
        <w:pStyle w:val="47"/>
        <w:tabs>
          <w:tab w:val="left" w:pos="951"/>
        </w:tabs>
        <w:spacing w:line="367" w:lineRule="exact"/>
        <w:ind w:firstLine="511" w:firstLineChars="213"/>
        <w:jc w:val="both"/>
        <w:rPr>
          <w:color w:val="auto"/>
          <w:sz w:val="24"/>
          <w:szCs w:val="24"/>
          <w:highlight w:val="none"/>
        </w:rPr>
      </w:pPr>
      <w:bookmarkStart w:id="153" w:name="bookmark896"/>
      <w:bookmarkEnd w:id="153"/>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5</w:t>
      </w:r>
      <w:r>
        <w:rPr>
          <w:color w:val="auto"/>
          <w:sz w:val="24"/>
          <w:szCs w:val="24"/>
          <w:highlight w:val="none"/>
        </w:rPr>
        <w:t>工程设备：指构成或计划构成永久工程一部分的机电设备、金属结构设备、仪器装置及其他类似的设备和装置。</w:t>
      </w:r>
    </w:p>
    <w:p>
      <w:pPr>
        <w:pStyle w:val="47"/>
        <w:tabs>
          <w:tab w:val="left" w:pos="954"/>
        </w:tabs>
        <w:spacing w:line="361" w:lineRule="exact"/>
        <w:ind w:firstLine="511" w:firstLineChars="213"/>
        <w:jc w:val="both"/>
        <w:rPr>
          <w:color w:val="auto"/>
          <w:sz w:val="24"/>
          <w:szCs w:val="24"/>
          <w:highlight w:val="none"/>
        </w:rPr>
      </w:pPr>
      <w:bookmarkStart w:id="154" w:name="bookmark897"/>
      <w:bookmarkEnd w:id="154"/>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rPr>
        <w:t>6</w:t>
      </w:r>
      <w:r>
        <w:rPr>
          <w:color w:val="auto"/>
          <w:sz w:val="24"/>
          <w:szCs w:val="24"/>
          <w:highlight w:val="none"/>
        </w:rPr>
        <w:t>施工设备：指为完成合同约定的各项工作所需的设备、器具和其他物品，不包括临时工程和材料。</w:t>
      </w:r>
    </w:p>
    <w:p>
      <w:pPr>
        <w:pStyle w:val="47"/>
        <w:tabs>
          <w:tab w:val="left" w:pos="944"/>
        </w:tabs>
        <w:spacing w:line="361" w:lineRule="exact"/>
        <w:ind w:left="420" w:firstLine="0"/>
        <w:jc w:val="both"/>
        <w:rPr>
          <w:color w:val="auto"/>
          <w:sz w:val="24"/>
          <w:szCs w:val="24"/>
          <w:highlight w:val="none"/>
        </w:rPr>
      </w:pPr>
      <w:bookmarkStart w:id="155" w:name="bookmark898"/>
      <w:bookmarkEnd w:id="155"/>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eastAsia="Times New Roman" w:cs="Times New Roman"/>
          <w:color w:val="auto"/>
          <w:sz w:val="24"/>
          <w:szCs w:val="24"/>
          <w:highlight w:val="none"/>
          <w:lang w:val="en-US" w:bidi="en-US"/>
        </w:rPr>
        <w:t>7</w:t>
      </w:r>
      <w:r>
        <w:rPr>
          <w:color w:val="auto"/>
          <w:sz w:val="24"/>
          <w:szCs w:val="24"/>
          <w:highlight w:val="none"/>
        </w:rPr>
        <w:t>临时设施：指为完成合同约定的各项工作所服务的临时性生产和生活设施。</w:t>
      </w:r>
    </w:p>
    <w:p>
      <w:pPr>
        <w:pStyle w:val="47"/>
        <w:tabs>
          <w:tab w:val="left" w:pos="954"/>
        </w:tabs>
        <w:spacing w:line="361" w:lineRule="exact"/>
        <w:ind w:left="420" w:firstLine="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3</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8</w:t>
      </w:r>
      <w:r>
        <w:rPr>
          <w:color w:val="auto"/>
          <w:sz w:val="24"/>
          <w:szCs w:val="24"/>
          <w:highlight w:val="none"/>
        </w:rPr>
        <w:t>承包人设备：指承包人自带的施工设备。</w:t>
      </w:r>
    </w:p>
    <w:p>
      <w:pPr>
        <w:pStyle w:val="47"/>
        <w:tabs>
          <w:tab w:val="left" w:pos="954"/>
        </w:tabs>
        <w:spacing w:line="361" w:lineRule="exact"/>
        <w:ind w:firstLine="511" w:firstLineChars="213"/>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3</w:t>
      </w:r>
      <w:r>
        <w:rPr>
          <w:rFonts w:hint="eastAsia" w:ascii="Times New Roman" w:hAnsi="Times New Roman" w:cs="Times New Roman"/>
          <w:color w:val="auto"/>
          <w:sz w:val="24"/>
          <w:szCs w:val="24"/>
          <w:highlight w:val="none"/>
          <w:lang w:val="en-US" w:bidi="en-US"/>
        </w:rPr>
        <w:t>.9</w:t>
      </w:r>
      <w:r>
        <w:rPr>
          <w:color w:val="auto"/>
          <w:sz w:val="24"/>
          <w:szCs w:val="24"/>
          <w:highlight w:val="none"/>
        </w:rPr>
        <w:t>施工场地（或称工地、现场）：指用于合同工程施工的场所，以及在合同中指定作为施工场地组成部分的其他场所，包括永久占地和临时占地。</w:t>
      </w:r>
    </w:p>
    <w:p>
      <w:pPr>
        <w:pStyle w:val="47"/>
        <w:tabs>
          <w:tab w:val="left" w:pos="951"/>
        </w:tabs>
        <w:spacing w:line="361" w:lineRule="exact"/>
        <w:ind w:left="420" w:firstLine="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3</w:t>
      </w:r>
      <w:r>
        <w:rPr>
          <w:rFonts w:hint="eastAsia" w:ascii="Times New Roman" w:hAnsi="Times New Roman" w:cs="Times New Roman"/>
          <w:color w:val="auto"/>
          <w:sz w:val="24"/>
          <w:szCs w:val="24"/>
          <w:highlight w:val="none"/>
          <w:lang w:val="en-US" w:bidi="en-US"/>
        </w:rPr>
        <w:t>.10</w:t>
      </w:r>
      <w:r>
        <w:rPr>
          <w:color w:val="auto"/>
          <w:sz w:val="24"/>
          <w:szCs w:val="24"/>
          <w:highlight w:val="none"/>
        </w:rPr>
        <w:t>永久占地：指发包人为建设本合同工程永久征用的场地。</w:t>
      </w:r>
    </w:p>
    <w:p>
      <w:pPr>
        <w:pStyle w:val="47"/>
        <w:tabs>
          <w:tab w:val="left" w:pos="951"/>
        </w:tabs>
        <w:spacing w:line="367" w:lineRule="exact"/>
        <w:ind w:firstLine="511" w:firstLineChars="213"/>
        <w:jc w:val="both"/>
        <w:rPr>
          <w:color w:val="auto"/>
          <w:sz w:val="24"/>
          <w:szCs w:val="24"/>
          <w:highlight w:val="none"/>
        </w:rPr>
      </w:pPr>
      <w:r>
        <w:rPr>
          <w:rFonts w:hint="eastAsia" w:ascii="Times New Roman" w:hAnsi="Times New Roman" w:cs="Times New Roman"/>
          <w:color w:val="auto"/>
          <w:sz w:val="24"/>
          <w:szCs w:val="24"/>
          <w:highlight w:val="none"/>
          <w:lang w:val="en-US" w:bidi="en-US"/>
        </w:rPr>
        <w:t>1.1.3.11</w:t>
      </w:r>
      <w:r>
        <w:rPr>
          <w:color w:val="auto"/>
          <w:sz w:val="24"/>
          <w:szCs w:val="24"/>
          <w:highlight w:val="none"/>
        </w:rPr>
        <w:t>临时占地：指发包人为建设本合同工程临时征用，并应在完工后须按合同 要求退还的场地。</w:t>
      </w:r>
    </w:p>
    <w:p>
      <w:pPr>
        <w:pStyle w:val="48"/>
        <w:spacing w:after="0"/>
        <w:jc w:val="both"/>
        <w:rPr>
          <w:color w:val="auto"/>
          <w:sz w:val="24"/>
          <w:szCs w:val="24"/>
          <w:highlight w:val="none"/>
          <w:lang w:eastAsia="zh-CN"/>
        </w:rPr>
      </w:pPr>
      <w:r>
        <w:rPr>
          <w:color w:val="auto"/>
          <w:sz w:val="24"/>
          <w:szCs w:val="24"/>
          <w:highlight w:val="none"/>
          <w:lang w:eastAsia="zh-CN"/>
        </w:rPr>
        <w:t>1.1.4</w:t>
      </w:r>
      <w:r>
        <w:rPr>
          <w:rFonts w:ascii="宋体" w:hAnsi="宋体" w:cs="宋体"/>
          <w:color w:val="auto"/>
          <w:sz w:val="24"/>
          <w:szCs w:val="24"/>
          <w:highlight w:val="none"/>
          <w:lang w:val="zh-CN" w:eastAsia="zh-CN" w:bidi="zh-CN"/>
        </w:rPr>
        <w:t>日期</w:t>
      </w:r>
    </w:p>
    <w:p>
      <w:pPr>
        <w:pStyle w:val="47"/>
        <w:spacing w:line="34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1.1.4. </w:t>
      </w:r>
      <w:r>
        <w:rPr>
          <w:rFonts w:ascii="Times New Roman" w:hAnsi="Times New Roman" w:eastAsia="Times New Roman" w:cs="Times New Roman"/>
          <w:color w:val="auto"/>
          <w:sz w:val="24"/>
          <w:szCs w:val="24"/>
          <w:highlight w:val="none"/>
        </w:rPr>
        <w:t>1</w:t>
      </w:r>
      <w:r>
        <w:rPr>
          <w:color w:val="auto"/>
          <w:sz w:val="24"/>
          <w:szCs w:val="24"/>
          <w:highlight w:val="none"/>
        </w:rPr>
        <w:t>开工通知：指监理人按第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1</w:t>
      </w:r>
      <w:r>
        <w:rPr>
          <w:color w:val="auto"/>
          <w:sz w:val="24"/>
          <w:szCs w:val="24"/>
          <w:highlight w:val="none"/>
        </w:rPr>
        <w:t>款通知承包人开工的函件。</w:t>
      </w:r>
    </w:p>
    <w:p>
      <w:pPr>
        <w:pStyle w:val="47"/>
        <w:spacing w:line="34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1.1.4.2</w:t>
      </w:r>
      <w:r>
        <w:rPr>
          <w:color w:val="auto"/>
          <w:sz w:val="24"/>
          <w:szCs w:val="24"/>
          <w:highlight w:val="none"/>
        </w:rPr>
        <w:t>开工日期：指监理人按第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1</w:t>
      </w:r>
      <w:r>
        <w:rPr>
          <w:color w:val="auto"/>
          <w:sz w:val="24"/>
          <w:szCs w:val="24"/>
          <w:highlight w:val="none"/>
        </w:rPr>
        <w:t>款发出的开工通知中写明的开工日期。</w:t>
      </w:r>
    </w:p>
    <w:p>
      <w:pPr>
        <w:pStyle w:val="47"/>
        <w:spacing w:line="34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1.1.4.3</w:t>
      </w:r>
      <w:r>
        <w:rPr>
          <w:color w:val="auto"/>
          <w:sz w:val="24"/>
          <w:szCs w:val="24"/>
          <w:highlight w:val="none"/>
        </w:rPr>
        <w:t>工期：指承包人在投标函中承诺的完成合同工程所需的期限，包括按第</w:t>
      </w:r>
      <w:r>
        <w:rPr>
          <w:rFonts w:ascii="Times New Roman" w:hAnsi="Times New Roman" w:eastAsia="Times New Roman" w:cs="Times New Roman"/>
          <w:color w:val="auto"/>
          <w:sz w:val="24"/>
          <w:szCs w:val="24"/>
          <w:highlight w:val="none"/>
          <w:lang w:val="en-US" w:bidi="en-US"/>
        </w:rPr>
        <w:t xml:space="preserve">11.3 </w:t>
      </w:r>
      <w:r>
        <w:rPr>
          <w:color w:val="auto"/>
          <w:sz w:val="24"/>
          <w:szCs w:val="24"/>
          <w:highlight w:val="none"/>
        </w:rPr>
        <w:t>款、第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4</w:t>
      </w:r>
      <w:r>
        <w:rPr>
          <w:color w:val="auto"/>
          <w:sz w:val="24"/>
          <w:szCs w:val="24"/>
          <w:highlight w:val="none"/>
        </w:rPr>
        <w:t>款和第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6</w:t>
      </w:r>
      <w:r>
        <w:rPr>
          <w:color w:val="auto"/>
          <w:sz w:val="24"/>
          <w:szCs w:val="24"/>
          <w:highlight w:val="none"/>
        </w:rPr>
        <w:t>款约定所作的变更。</w:t>
      </w:r>
    </w:p>
    <w:p>
      <w:pPr>
        <w:pStyle w:val="47"/>
        <w:tabs>
          <w:tab w:val="left" w:pos="949"/>
        </w:tabs>
        <w:spacing w:line="374" w:lineRule="exact"/>
        <w:ind w:firstLine="511" w:firstLineChars="213"/>
        <w:jc w:val="both"/>
        <w:rPr>
          <w:color w:val="auto"/>
          <w:sz w:val="24"/>
          <w:szCs w:val="24"/>
          <w:highlight w:val="none"/>
        </w:rPr>
      </w:pPr>
      <w:bookmarkStart w:id="156" w:name="bookmark899"/>
      <w:bookmarkEnd w:id="156"/>
      <w:r>
        <w:rPr>
          <w:rFonts w:ascii="Times New Roman" w:hAnsi="Times New Roman" w:eastAsia="Times New Roman" w:cs="Times New Roman"/>
          <w:color w:val="auto"/>
          <w:sz w:val="24"/>
          <w:szCs w:val="24"/>
          <w:highlight w:val="none"/>
          <w:lang w:val="en-US" w:bidi="en-US"/>
        </w:rPr>
        <w:t>1.1.4.</w:t>
      </w:r>
      <w:r>
        <w:rPr>
          <w:rFonts w:hint="eastAsia" w:ascii="Times New Roman" w:hAnsi="Times New Roman" w:cs="Times New Roman"/>
          <w:color w:val="auto"/>
          <w:sz w:val="24"/>
          <w:szCs w:val="24"/>
          <w:highlight w:val="none"/>
          <w:lang w:val="en-US" w:bidi="en-US"/>
        </w:rPr>
        <w:t xml:space="preserve">4  </w:t>
      </w:r>
      <w:r>
        <w:rPr>
          <w:color w:val="auto"/>
          <w:sz w:val="24"/>
          <w:szCs w:val="24"/>
          <w:highlight w:val="none"/>
        </w:rPr>
        <w:t>竣工日期：即合同工程完工日期，指第</w:t>
      </w:r>
      <w:r>
        <w:rPr>
          <w:rFonts w:ascii="Times New Roman" w:hAnsi="Times New Roman" w:eastAsia="Times New Roman" w:cs="Times New Roman"/>
          <w:color w:val="auto"/>
          <w:sz w:val="24"/>
          <w:szCs w:val="24"/>
          <w:highlight w:val="none"/>
          <w:lang w:val="en-US" w:bidi="en-US"/>
        </w:rPr>
        <w:t xml:space="preserve">1.1. 4. </w:t>
      </w:r>
      <w:r>
        <w:rPr>
          <w:rFonts w:ascii="Times New Roman" w:hAnsi="Times New Roman" w:eastAsia="Times New Roman" w:cs="Times New Roman"/>
          <w:color w:val="auto"/>
          <w:sz w:val="24"/>
          <w:szCs w:val="24"/>
          <w:highlight w:val="none"/>
        </w:rPr>
        <w:t>3</w:t>
      </w:r>
      <w:r>
        <w:rPr>
          <w:color w:val="auto"/>
          <w:sz w:val="24"/>
          <w:szCs w:val="24"/>
          <w:highlight w:val="none"/>
        </w:rPr>
        <w:t>目约定工期届满时的日期。 实际完工时间以合同工程完工证书中写明的日期为准。</w:t>
      </w:r>
    </w:p>
    <w:p>
      <w:pPr>
        <w:pStyle w:val="47"/>
        <w:tabs>
          <w:tab w:val="left" w:pos="954"/>
        </w:tabs>
        <w:spacing w:line="370" w:lineRule="exact"/>
        <w:ind w:firstLine="511" w:firstLineChars="213"/>
        <w:jc w:val="both"/>
        <w:rPr>
          <w:color w:val="auto"/>
          <w:sz w:val="24"/>
          <w:szCs w:val="24"/>
          <w:highlight w:val="none"/>
        </w:rPr>
      </w:pPr>
      <w:bookmarkStart w:id="157" w:name="bookmark900"/>
      <w:bookmarkEnd w:id="157"/>
      <w:r>
        <w:rPr>
          <w:rFonts w:ascii="Times New Roman" w:hAnsi="Times New Roman" w:eastAsia="Times New Roman" w:cs="Times New Roman"/>
          <w:color w:val="auto"/>
          <w:sz w:val="24"/>
          <w:szCs w:val="24"/>
          <w:highlight w:val="none"/>
          <w:lang w:val="en-US" w:bidi="en-US"/>
        </w:rPr>
        <w:t>1.1.4.</w:t>
      </w:r>
      <w:r>
        <w:rPr>
          <w:rFonts w:hint="eastAsia" w:ascii="Times New Roman" w:hAnsi="Times New Roman" w:cs="Times New Roman"/>
          <w:color w:val="auto"/>
          <w:sz w:val="24"/>
          <w:szCs w:val="24"/>
          <w:highlight w:val="none"/>
          <w:lang w:val="en-US" w:bidi="en-US"/>
        </w:rPr>
        <w:t xml:space="preserve">5  </w:t>
      </w:r>
      <w:r>
        <w:rPr>
          <w:color w:val="auto"/>
          <w:sz w:val="24"/>
          <w:szCs w:val="24"/>
          <w:highlight w:val="none"/>
        </w:rPr>
        <w:t>缺陷责任期：即工程质量保修期，指履行第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2</w:t>
      </w:r>
      <w:r>
        <w:rPr>
          <w:color w:val="auto"/>
          <w:sz w:val="24"/>
          <w:szCs w:val="24"/>
          <w:highlight w:val="none"/>
        </w:rPr>
        <w:t>款约定的缺陷责任的期限, 包括根据第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3</w:t>
      </w:r>
      <w:r>
        <w:rPr>
          <w:color w:val="auto"/>
          <w:sz w:val="24"/>
          <w:szCs w:val="24"/>
          <w:highlight w:val="none"/>
        </w:rPr>
        <w:t>款约定所作的延长，具体期限由专用合同条款约定。</w:t>
      </w:r>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1.1.4.6</w:t>
      </w:r>
      <w:r>
        <w:rPr>
          <w:color w:val="auto"/>
          <w:sz w:val="24"/>
          <w:szCs w:val="24"/>
          <w:highlight w:val="none"/>
        </w:rPr>
        <w:t>基准日期：指投标截止时间前</w:t>
      </w:r>
      <w:r>
        <w:rPr>
          <w:rFonts w:ascii="Times New Roman" w:hAnsi="Times New Roman" w:eastAsia="Times New Roman" w:cs="Times New Roman"/>
          <w:color w:val="auto"/>
          <w:sz w:val="24"/>
          <w:szCs w:val="24"/>
          <w:highlight w:val="none"/>
        </w:rPr>
        <w:t>28</w:t>
      </w:r>
      <w:r>
        <w:rPr>
          <w:color w:val="auto"/>
          <w:sz w:val="24"/>
          <w:szCs w:val="24"/>
          <w:highlight w:val="none"/>
        </w:rPr>
        <w:t>天的日期。</w:t>
      </w:r>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1.1.4.7</w:t>
      </w:r>
      <w:r>
        <w:rPr>
          <w:color w:val="auto"/>
          <w:sz w:val="24"/>
          <w:szCs w:val="24"/>
          <w:highlight w:val="none"/>
        </w:rPr>
        <w:t>天：除特别指明外，指日历天。合同中按天计算时间的，开始当天不计入, 从次日开始计算。期限最后一天的截止时间为当天</w:t>
      </w:r>
      <w:r>
        <w:rPr>
          <w:rFonts w:ascii="Times New Roman" w:hAnsi="Times New Roman" w:eastAsia="Times New Roman" w:cs="Times New Roman"/>
          <w:color w:val="auto"/>
          <w:sz w:val="24"/>
          <w:szCs w:val="24"/>
          <w:highlight w:val="none"/>
        </w:rPr>
        <w:t>24</w:t>
      </w:r>
      <w:r>
        <w:rPr>
          <w:color w:val="auto"/>
          <w:sz w:val="24"/>
          <w:szCs w:val="24"/>
          <w:highlight w:val="none"/>
        </w:rPr>
        <w:t>：</w:t>
      </w:r>
      <w:r>
        <w:rPr>
          <w:rFonts w:ascii="Times New Roman" w:hAnsi="Times New Roman" w:eastAsia="Times New Roman" w:cs="Times New Roman"/>
          <w:color w:val="auto"/>
          <w:sz w:val="24"/>
          <w:szCs w:val="24"/>
          <w:highlight w:val="none"/>
          <w:lang w:val="en-US" w:bidi="en-US"/>
        </w:rPr>
        <w:t>00</w:t>
      </w:r>
      <w:r>
        <w:rPr>
          <w:rFonts w:ascii="Times New Roman" w:hAnsi="Times New Roman" w:eastAsia="Times New Roman" w:cs="Times New Roman"/>
          <w:color w:val="auto"/>
          <w:sz w:val="24"/>
          <w:szCs w:val="24"/>
          <w:highlight w:val="none"/>
          <w:vertAlign w:val="subscript"/>
          <w:lang w:val="en-US" w:bidi="en-US"/>
        </w:rPr>
        <w:t>o</w:t>
      </w:r>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1.1.5</w:t>
      </w:r>
      <w:r>
        <w:rPr>
          <w:color w:val="auto"/>
          <w:sz w:val="24"/>
          <w:szCs w:val="24"/>
          <w:highlight w:val="none"/>
        </w:rPr>
        <w:t>合同价格和费用</w:t>
      </w:r>
    </w:p>
    <w:p>
      <w:pPr>
        <w:pStyle w:val="47"/>
        <w:tabs>
          <w:tab w:val="left" w:pos="934"/>
        </w:tabs>
        <w:spacing w:line="360" w:lineRule="exact"/>
        <w:ind w:firstLine="511" w:firstLineChars="213"/>
        <w:jc w:val="both"/>
        <w:rPr>
          <w:color w:val="auto"/>
          <w:sz w:val="24"/>
          <w:szCs w:val="24"/>
          <w:highlight w:val="none"/>
        </w:rPr>
      </w:pPr>
      <w:bookmarkStart w:id="158" w:name="bookmark901"/>
      <w:bookmarkEnd w:id="158"/>
      <w:r>
        <w:rPr>
          <w:rFonts w:ascii="Times New Roman" w:hAnsi="Times New Roman" w:eastAsia="Times New Roman" w:cs="Times New Roman"/>
          <w:color w:val="auto"/>
          <w:sz w:val="24"/>
          <w:szCs w:val="24"/>
          <w:highlight w:val="none"/>
          <w:lang w:val="en-US" w:bidi="en-US"/>
        </w:rPr>
        <w:t>1.1.5.1</w:t>
      </w:r>
      <w:r>
        <w:rPr>
          <w:color w:val="auto"/>
          <w:sz w:val="24"/>
          <w:szCs w:val="24"/>
          <w:highlight w:val="none"/>
        </w:rPr>
        <w:t>签约合同价：指签定合同时合同协议书中写明的，包括了暂列金额、暂估价的合同总金额。</w:t>
      </w:r>
    </w:p>
    <w:p>
      <w:pPr>
        <w:pStyle w:val="47"/>
        <w:tabs>
          <w:tab w:val="left" w:pos="954"/>
        </w:tabs>
        <w:spacing w:line="360" w:lineRule="exact"/>
        <w:ind w:firstLine="511" w:firstLineChars="213"/>
        <w:jc w:val="both"/>
        <w:rPr>
          <w:color w:val="auto"/>
          <w:sz w:val="24"/>
          <w:szCs w:val="24"/>
          <w:highlight w:val="none"/>
        </w:rPr>
      </w:pPr>
      <w:bookmarkStart w:id="159" w:name="bookmark902"/>
      <w:bookmarkEnd w:id="159"/>
      <w:r>
        <w:rPr>
          <w:rFonts w:ascii="Times New Roman" w:hAnsi="Times New Roman" w:cs="Times New Roman"/>
          <w:color w:val="auto"/>
          <w:sz w:val="24"/>
          <w:szCs w:val="24"/>
          <w:highlight w:val="none"/>
        </w:rPr>
        <w:t>1.1.5.2</w:t>
      </w:r>
      <w:r>
        <w:rPr>
          <w:color w:val="auto"/>
          <w:sz w:val="24"/>
          <w:szCs w:val="24"/>
          <w:highlight w:val="none"/>
        </w:rPr>
        <w:t>合同价格：指承包人按合同约定完成了包括缺陷责任期内的全部承包工作后，发包人应付给承包人的金额，包括在履行合同过程中按合同约定进行的变更和调整。</w:t>
      </w:r>
    </w:p>
    <w:p>
      <w:pPr>
        <w:pStyle w:val="47"/>
        <w:tabs>
          <w:tab w:val="left" w:pos="954"/>
        </w:tabs>
        <w:spacing w:line="360" w:lineRule="exact"/>
        <w:ind w:firstLine="511" w:firstLineChars="213"/>
        <w:jc w:val="both"/>
        <w:rPr>
          <w:color w:val="auto"/>
          <w:sz w:val="24"/>
          <w:szCs w:val="24"/>
          <w:highlight w:val="none"/>
        </w:rPr>
      </w:pPr>
      <w:bookmarkStart w:id="160" w:name="bookmark903"/>
      <w:bookmarkEnd w:id="160"/>
      <w:r>
        <w:rPr>
          <w:rFonts w:ascii="Times New Roman" w:hAnsi="Times New Roman" w:cs="Times New Roman"/>
          <w:color w:val="auto"/>
          <w:sz w:val="24"/>
          <w:szCs w:val="24"/>
          <w:highlight w:val="none"/>
        </w:rPr>
        <w:t>1.1.5.3</w:t>
      </w:r>
      <w:r>
        <w:rPr>
          <w:color w:val="auto"/>
          <w:sz w:val="24"/>
          <w:szCs w:val="24"/>
          <w:highlight w:val="none"/>
        </w:rPr>
        <w:t>费用：指为履行合同所发生的或将要发生的所有合理开支，包括管理费和应分摊的其他费用，但不包括利润。</w:t>
      </w:r>
    </w:p>
    <w:p>
      <w:pPr>
        <w:pStyle w:val="47"/>
        <w:spacing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1.5.4</w:t>
      </w:r>
      <w:r>
        <w:rPr>
          <w:color w:val="auto"/>
          <w:sz w:val="24"/>
          <w:szCs w:val="24"/>
          <w:highlight w:val="none"/>
        </w:rPr>
        <w:t>暂列金额：指已标价工程量清单中所列的暂列金额，用于在签订协议书时尚 未确定或不可预见变更的施工及其所需材料、工程设备、服务等的金额，包括以计日工方式支付的金额。</w:t>
      </w:r>
    </w:p>
    <w:p>
      <w:pPr>
        <w:pStyle w:val="47"/>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1. 1.5.5</w:t>
      </w:r>
      <w:r>
        <w:rPr>
          <w:color w:val="auto"/>
          <w:sz w:val="24"/>
          <w:szCs w:val="24"/>
          <w:highlight w:val="none"/>
        </w:rPr>
        <w:t>暂估价：指发包人在工程量清单中给定的用于支付必然发生但暂时不能确定价格的材料、设备以及专业工程的金额。</w:t>
      </w:r>
    </w:p>
    <w:p>
      <w:pPr>
        <w:pStyle w:val="47"/>
        <w:spacing w:line="374" w:lineRule="exact"/>
        <w:ind w:firstLine="440"/>
        <w:jc w:val="both"/>
        <w:rPr>
          <w:color w:val="auto"/>
          <w:sz w:val="24"/>
          <w:szCs w:val="24"/>
          <w:highlight w:val="none"/>
        </w:rPr>
      </w:pPr>
      <w:bookmarkStart w:id="161" w:name="bookmark904"/>
      <w:bookmarkEnd w:id="161"/>
      <w:r>
        <w:rPr>
          <w:rFonts w:ascii="Times New Roman" w:hAnsi="Times New Roman" w:eastAsia="Times New Roman" w:cs="Times New Roman"/>
          <w:color w:val="auto"/>
          <w:sz w:val="24"/>
          <w:szCs w:val="24"/>
          <w:highlight w:val="none"/>
          <w:lang w:val="en-US" w:bidi="en-US"/>
        </w:rPr>
        <w:t>1.1.5. 6</w:t>
      </w:r>
      <w:r>
        <w:rPr>
          <w:color w:val="auto"/>
          <w:sz w:val="24"/>
          <w:szCs w:val="24"/>
          <w:highlight w:val="none"/>
        </w:rPr>
        <w:t>计日工：指对零星工作采取的一种计价方式，按合同中的计日工子目及其单 价计价付款。</w:t>
      </w:r>
    </w:p>
    <w:p>
      <w:pPr>
        <w:pStyle w:val="47"/>
        <w:spacing w:after="140"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1.1.5.7</w:t>
      </w:r>
      <w:r>
        <w:rPr>
          <w:color w:val="auto"/>
          <w:sz w:val="24"/>
          <w:szCs w:val="24"/>
          <w:highlight w:val="none"/>
        </w:rPr>
        <w:t>质量保证金(或称保留金)：指按第</w:t>
      </w:r>
      <w:r>
        <w:rPr>
          <w:rFonts w:ascii="Times New Roman" w:hAnsi="Times New Roman" w:eastAsia="Times New Roman" w:cs="Times New Roman"/>
          <w:color w:val="auto"/>
          <w:sz w:val="24"/>
          <w:szCs w:val="24"/>
          <w:highlight w:val="none"/>
          <w:lang w:val="en-US" w:bidi="en-US"/>
        </w:rPr>
        <w:t>17.4.1</w:t>
      </w:r>
      <w:r>
        <w:rPr>
          <w:color w:val="auto"/>
          <w:sz w:val="24"/>
          <w:szCs w:val="24"/>
          <w:highlight w:val="none"/>
        </w:rPr>
        <w:t>项约定用于保证在缺陷责任期内履行缺陷修复义务的金额。</w:t>
      </w:r>
    </w:p>
    <w:p>
      <w:pPr>
        <w:pStyle w:val="48"/>
        <w:spacing w:after="0" w:line="384" w:lineRule="auto"/>
        <w:ind w:firstLine="440"/>
        <w:jc w:val="both"/>
        <w:rPr>
          <w:color w:val="auto"/>
          <w:sz w:val="24"/>
          <w:szCs w:val="24"/>
          <w:highlight w:val="none"/>
          <w:lang w:eastAsia="zh-CN"/>
        </w:rPr>
      </w:pPr>
      <w:r>
        <w:rPr>
          <w:color w:val="auto"/>
          <w:sz w:val="24"/>
          <w:szCs w:val="24"/>
          <w:highlight w:val="none"/>
          <w:lang w:eastAsia="zh-CN"/>
        </w:rPr>
        <w:t>1.1.6</w:t>
      </w:r>
      <w:r>
        <w:rPr>
          <w:rFonts w:ascii="宋体" w:hAnsi="宋体" w:cs="宋体"/>
          <w:color w:val="auto"/>
          <w:sz w:val="24"/>
          <w:szCs w:val="24"/>
          <w:highlight w:val="none"/>
          <w:lang w:val="zh-CN" w:eastAsia="zh-CN" w:bidi="zh-CN"/>
        </w:rPr>
        <w:t>其他</w:t>
      </w:r>
    </w:p>
    <w:p>
      <w:pPr>
        <w:pStyle w:val="47"/>
        <w:tabs>
          <w:tab w:val="left" w:pos="954"/>
        </w:tabs>
        <w:spacing w:after="140" w:line="367" w:lineRule="exact"/>
        <w:ind w:left="440" w:firstLine="0"/>
        <w:jc w:val="both"/>
        <w:rPr>
          <w:color w:val="auto"/>
          <w:sz w:val="24"/>
          <w:szCs w:val="24"/>
          <w:highlight w:val="none"/>
        </w:rPr>
      </w:pPr>
      <w:bookmarkStart w:id="162" w:name="bookmark905"/>
      <w:bookmarkEnd w:id="162"/>
      <w:r>
        <w:rPr>
          <w:rFonts w:ascii="Times New Roman" w:hAnsi="Times New Roman" w:eastAsia="Times New Roman" w:cs="Times New Roman"/>
          <w:color w:val="auto"/>
          <w:sz w:val="24"/>
          <w:szCs w:val="24"/>
          <w:highlight w:val="none"/>
          <w:lang w:val="en-US" w:bidi="en-US"/>
        </w:rPr>
        <w:t>1.1.6.1</w:t>
      </w:r>
      <w:r>
        <w:rPr>
          <w:color w:val="auto"/>
          <w:sz w:val="24"/>
          <w:szCs w:val="24"/>
          <w:highlight w:val="none"/>
        </w:rPr>
        <w:t>书面形式：指合同文件、信函、电报、传真等可以有形地表现所载内容的形式。</w:t>
      </w:r>
    </w:p>
    <w:p>
      <w:pPr>
        <w:pStyle w:val="5"/>
        <w:ind w:left="0" w:leftChars="0" w:firstLine="0" w:firstLineChars="0"/>
        <w:rPr>
          <w:color w:val="auto"/>
          <w:sz w:val="24"/>
          <w:szCs w:val="24"/>
          <w:highlight w:val="none"/>
          <w:lang w:eastAsia="zh-CN"/>
        </w:rPr>
      </w:pPr>
      <w:bookmarkStart w:id="163" w:name="_Toc16626"/>
      <w:bookmarkStart w:id="164" w:name="bookmark907"/>
      <w:bookmarkStart w:id="165" w:name="bookmark906"/>
      <w:bookmarkStart w:id="166" w:name="bookmark908"/>
      <w:r>
        <w:rPr>
          <w:color w:val="auto"/>
          <w:sz w:val="24"/>
          <w:szCs w:val="24"/>
          <w:highlight w:val="none"/>
          <w:lang w:eastAsia="zh-CN"/>
        </w:rPr>
        <w:t>1.2语言文字</w:t>
      </w:r>
      <w:bookmarkEnd w:id="163"/>
      <w:bookmarkEnd w:id="164"/>
      <w:bookmarkEnd w:id="165"/>
      <w:bookmarkEnd w:id="166"/>
    </w:p>
    <w:p>
      <w:pPr>
        <w:pStyle w:val="47"/>
        <w:spacing w:after="140" w:line="366" w:lineRule="exact"/>
        <w:ind w:firstLine="420"/>
        <w:rPr>
          <w:color w:val="auto"/>
          <w:sz w:val="24"/>
          <w:szCs w:val="24"/>
          <w:highlight w:val="none"/>
        </w:rPr>
      </w:pPr>
      <w:r>
        <w:rPr>
          <w:color w:val="auto"/>
          <w:sz w:val="24"/>
          <w:szCs w:val="24"/>
          <w:highlight w:val="none"/>
        </w:rPr>
        <w:t>除专用术语外，合同使用的语言文字为中文。必要时专用术语应附有中文注释。</w:t>
      </w:r>
    </w:p>
    <w:p>
      <w:pPr>
        <w:pStyle w:val="5"/>
        <w:ind w:left="0" w:leftChars="0" w:firstLine="0" w:firstLineChars="0"/>
        <w:rPr>
          <w:color w:val="auto"/>
          <w:sz w:val="24"/>
          <w:szCs w:val="24"/>
          <w:highlight w:val="none"/>
          <w:lang w:eastAsia="zh-CN"/>
        </w:rPr>
      </w:pPr>
      <w:bookmarkStart w:id="167" w:name="_Toc7852"/>
      <w:bookmarkStart w:id="168" w:name="bookmark911"/>
      <w:bookmarkStart w:id="169" w:name="bookmark910"/>
      <w:bookmarkStart w:id="170" w:name="bookmark909"/>
      <w:r>
        <w:rPr>
          <w:color w:val="auto"/>
          <w:sz w:val="24"/>
          <w:szCs w:val="24"/>
          <w:highlight w:val="none"/>
          <w:lang w:eastAsia="zh-CN"/>
        </w:rPr>
        <w:t>1.3法律</w:t>
      </w:r>
      <w:bookmarkEnd w:id="167"/>
      <w:bookmarkEnd w:id="168"/>
      <w:bookmarkEnd w:id="169"/>
      <w:bookmarkEnd w:id="170"/>
    </w:p>
    <w:p>
      <w:pPr>
        <w:pStyle w:val="47"/>
        <w:spacing w:after="140" w:line="360" w:lineRule="exact"/>
        <w:ind w:firstLine="440"/>
        <w:jc w:val="both"/>
        <w:rPr>
          <w:color w:val="auto"/>
          <w:sz w:val="24"/>
          <w:szCs w:val="24"/>
          <w:highlight w:val="none"/>
        </w:rPr>
      </w:pPr>
      <w:r>
        <w:rPr>
          <w:color w:val="auto"/>
          <w:sz w:val="24"/>
          <w:szCs w:val="24"/>
          <w:highlight w:val="none"/>
        </w:rPr>
        <w:t>适用于合同的法律包括中华人民共和国法律、行政法规、部门规章，以及工程所在地的地方法规、自治条例、单行条例和地方政府规章。</w:t>
      </w:r>
    </w:p>
    <w:p>
      <w:pPr>
        <w:pStyle w:val="5"/>
        <w:ind w:left="0" w:leftChars="0" w:firstLine="0" w:firstLineChars="0"/>
        <w:rPr>
          <w:color w:val="auto"/>
          <w:sz w:val="24"/>
          <w:szCs w:val="24"/>
          <w:highlight w:val="none"/>
          <w:lang w:eastAsia="zh-CN"/>
        </w:rPr>
      </w:pPr>
      <w:bookmarkStart w:id="171" w:name="bookmark914"/>
      <w:bookmarkStart w:id="172" w:name="_Toc17089"/>
      <w:bookmarkStart w:id="173" w:name="bookmark912"/>
      <w:bookmarkStart w:id="174" w:name="bookmark913"/>
      <w:r>
        <w:rPr>
          <w:color w:val="auto"/>
          <w:sz w:val="24"/>
          <w:szCs w:val="24"/>
          <w:highlight w:val="none"/>
          <w:lang w:eastAsia="zh-CN"/>
        </w:rPr>
        <w:t>1.4合同文件的优先顺序</w:t>
      </w:r>
      <w:bookmarkEnd w:id="171"/>
      <w:bookmarkEnd w:id="172"/>
      <w:bookmarkEnd w:id="173"/>
      <w:bookmarkEnd w:id="174"/>
    </w:p>
    <w:p>
      <w:pPr>
        <w:pStyle w:val="47"/>
        <w:spacing w:after="140" w:line="360" w:lineRule="exact"/>
        <w:ind w:firstLine="440"/>
        <w:jc w:val="both"/>
        <w:rPr>
          <w:color w:val="auto"/>
          <w:sz w:val="24"/>
          <w:szCs w:val="24"/>
          <w:highlight w:val="none"/>
        </w:rPr>
      </w:pPr>
      <w:r>
        <w:rPr>
          <w:color w:val="auto"/>
          <w:sz w:val="24"/>
          <w:szCs w:val="24"/>
          <w:highlight w:val="none"/>
        </w:rPr>
        <w:t>组成合同的各项文件应互相解释，互为说明。除专用合同条款另有约定外，解释合同文件的优先顺序如下：</w:t>
      </w:r>
    </w:p>
    <w:p>
      <w:pPr>
        <w:pStyle w:val="47"/>
        <w:numPr>
          <w:ilvl w:val="0"/>
          <w:numId w:val="5"/>
        </w:numPr>
        <w:tabs>
          <w:tab w:val="left" w:pos="923"/>
        </w:tabs>
        <w:spacing w:line="360" w:lineRule="exact"/>
        <w:ind w:firstLine="440"/>
        <w:jc w:val="both"/>
        <w:rPr>
          <w:color w:val="auto"/>
          <w:sz w:val="24"/>
          <w:szCs w:val="24"/>
          <w:highlight w:val="none"/>
        </w:rPr>
      </w:pPr>
      <w:bookmarkStart w:id="175" w:name="bookmark915"/>
      <w:bookmarkEnd w:id="175"/>
      <w:r>
        <w:rPr>
          <w:color w:val="auto"/>
          <w:sz w:val="24"/>
          <w:szCs w:val="24"/>
          <w:highlight w:val="none"/>
        </w:rPr>
        <w:t>合同协议书；</w:t>
      </w:r>
    </w:p>
    <w:p>
      <w:pPr>
        <w:pStyle w:val="47"/>
        <w:numPr>
          <w:ilvl w:val="0"/>
          <w:numId w:val="5"/>
        </w:numPr>
        <w:tabs>
          <w:tab w:val="left" w:pos="923"/>
        </w:tabs>
        <w:spacing w:line="360" w:lineRule="exact"/>
        <w:ind w:firstLine="440"/>
        <w:jc w:val="both"/>
        <w:rPr>
          <w:color w:val="auto"/>
          <w:sz w:val="24"/>
          <w:szCs w:val="24"/>
          <w:highlight w:val="none"/>
        </w:rPr>
      </w:pPr>
      <w:bookmarkStart w:id="176" w:name="bookmark916"/>
      <w:bookmarkEnd w:id="176"/>
      <w:r>
        <w:rPr>
          <w:color w:val="auto"/>
          <w:sz w:val="24"/>
          <w:szCs w:val="24"/>
          <w:highlight w:val="none"/>
        </w:rPr>
        <w:t>中标通知书；</w:t>
      </w:r>
    </w:p>
    <w:p>
      <w:pPr>
        <w:pStyle w:val="47"/>
        <w:numPr>
          <w:ilvl w:val="0"/>
          <w:numId w:val="5"/>
        </w:numPr>
        <w:tabs>
          <w:tab w:val="left" w:pos="903"/>
        </w:tabs>
        <w:spacing w:line="360" w:lineRule="exact"/>
        <w:ind w:firstLine="420"/>
        <w:rPr>
          <w:color w:val="auto"/>
          <w:sz w:val="24"/>
          <w:szCs w:val="24"/>
          <w:highlight w:val="none"/>
        </w:rPr>
      </w:pPr>
      <w:bookmarkStart w:id="177" w:name="bookmark917"/>
      <w:bookmarkEnd w:id="177"/>
      <w:r>
        <w:rPr>
          <w:color w:val="auto"/>
          <w:sz w:val="24"/>
          <w:szCs w:val="24"/>
          <w:highlight w:val="none"/>
        </w:rPr>
        <w:t>投标函及投标函附录；</w:t>
      </w:r>
    </w:p>
    <w:p>
      <w:pPr>
        <w:pStyle w:val="47"/>
        <w:numPr>
          <w:ilvl w:val="0"/>
          <w:numId w:val="5"/>
        </w:numPr>
        <w:tabs>
          <w:tab w:val="left" w:pos="903"/>
        </w:tabs>
        <w:spacing w:line="360" w:lineRule="exact"/>
        <w:ind w:firstLine="420"/>
        <w:rPr>
          <w:color w:val="auto"/>
          <w:sz w:val="24"/>
          <w:szCs w:val="24"/>
          <w:highlight w:val="none"/>
        </w:rPr>
      </w:pPr>
      <w:bookmarkStart w:id="178" w:name="bookmark918"/>
      <w:bookmarkEnd w:id="178"/>
      <w:r>
        <w:rPr>
          <w:color w:val="auto"/>
          <w:sz w:val="24"/>
          <w:szCs w:val="24"/>
          <w:highlight w:val="none"/>
        </w:rPr>
        <w:t>专用合同条款；</w:t>
      </w:r>
    </w:p>
    <w:p>
      <w:pPr>
        <w:pStyle w:val="47"/>
        <w:numPr>
          <w:ilvl w:val="0"/>
          <w:numId w:val="5"/>
        </w:numPr>
        <w:tabs>
          <w:tab w:val="left" w:pos="903"/>
        </w:tabs>
        <w:spacing w:line="360" w:lineRule="exact"/>
        <w:ind w:firstLine="420"/>
        <w:rPr>
          <w:color w:val="auto"/>
          <w:sz w:val="24"/>
          <w:szCs w:val="24"/>
          <w:highlight w:val="none"/>
        </w:rPr>
      </w:pPr>
      <w:bookmarkStart w:id="179" w:name="bookmark919"/>
      <w:bookmarkEnd w:id="179"/>
      <w:r>
        <w:rPr>
          <w:color w:val="auto"/>
          <w:sz w:val="24"/>
          <w:szCs w:val="24"/>
          <w:highlight w:val="none"/>
        </w:rPr>
        <w:t>通用合同条款；</w:t>
      </w:r>
    </w:p>
    <w:p>
      <w:pPr>
        <w:pStyle w:val="47"/>
        <w:numPr>
          <w:ilvl w:val="0"/>
          <w:numId w:val="5"/>
        </w:numPr>
        <w:tabs>
          <w:tab w:val="left" w:pos="903"/>
        </w:tabs>
        <w:spacing w:line="360" w:lineRule="exact"/>
        <w:ind w:firstLine="420"/>
        <w:rPr>
          <w:color w:val="auto"/>
          <w:sz w:val="24"/>
          <w:szCs w:val="24"/>
          <w:highlight w:val="none"/>
        </w:rPr>
      </w:pPr>
      <w:bookmarkStart w:id="180" w:name="bookmark920"/>
      <w:bookmarkEnd w:id="180"/>
      <w:r>
        <w:rPr>
          <w:color w:val="auto"/>
          <w:sz w:val="24"/>
          <w:szCs w:val="24"/>
          <w:highlight w:val="none"/>
        </w:rPr>
        <w:t>技术标准和要求；</w:t>
      </w:r>
    </w:p>
    <w:p>
      <w:pPr>
        <w:pStyle w:val="47"/>
        <w:numPr>
          <w:ilvl w:val="0"/>
          <w:numId w:val="5"/>
        </w:numPr>
        <w:tabs>
          <w:tab w:val="left" w:pos="903"/>
        </w:tabs>
        <w:spacing w:line="360" w:lineRule="exact"/>
        <w:ind w:firstLine="420"/>
        <w:jc w:val="both"/>
        <w:rPr>
          <w:color w:val="auto"/>
          <w:sz w:val="24"/>
          <w:szCs w:val="24"/>
          <w:highlight w:val="none"/>
        </w:rPr>
      </w:pPr>
      <w:bookmarkStart w:id="181" w:name="bookmark921"/>
      <w:bookmarkEnd w:id="181"/>
      <w:r>
        <w:rPr>
          <w:color w:val="auto"/>
          <w:sz w:val="24"/>
          <w:szCs w:val="24"/>
          <w:highlight w:val="none"/>
        </w:rPr>
        <w:t>图纸；</w:t>
      </w:r>
    </w:p>
    <w:p>
      <w:pPr>
        <w:pStyle w:val="47"/>
        <w:numPr>
          <w:ilvl w:val="0"/>
          <w:numId w:val="5"/>
        </w:numPr>
        <w:tabs>
          <w:tab w:val="left" w:pos="903"/>
        </w:tabs>
        <w:spacing w:line="360" w:lineRule="exact"/>
        <w:ind w:firstLine="420"/>
        <w:jc w:val="both"/>
        <w:rPr>
          <w:color w:val="auto"/>
          <w:sz w:val="24"/>
          <w:szCs w:val="24"/>
          <w:highlight w:val="none"/>
        </w:rPr>
      </w:pPr>
      <w:bookmarkStart w:id="182" w:name="bookmark922"/>
      <w:bookmarkEnd w:id="182"/>
      <w:r>
        <w:rPr>
          <w:color w:val="auto"/>
          <w:sz w:val="24"/>
          <w:szCs w:val="24"/>
          <w:highlight w:val="none"/>
        </w:rPr>
        <w:t>已标价工程量清单；</w:t>
      </w:r>
    </w:p>
    <w:p>
      <w:pPr>
        <w:pStyle w:val="47"/>
        <w:numPr>
          <w:ilvl w:val="0"/>
          <w:numId w:val="5"/>
        </w:numPr>
        <w:tabs>
          <w:tab w:val="left" w:pos="903"/>
        </w:tabs>
        <w:spacing w:line="360" w:lineRule="exact"/>
        <w:ind w:firstLine="420"/>
        <w:jc w:val="both"/>
        <w:rPr>
          <w:color w:val="auto"/>
          <w:sz w:val="24"/>
          <w:szCs w:val="24"/>
          <w:highlight w:val="none"/>
        </w:rPr>
      </w:pPr>
      <w:bookmarkStart w:id="183" w:name="bookmark923"/>
      <w:bookmarkEnd w:id="183"/>
      <w:r>
        <w:rPr>
          <w:color w:val="auto"/>
          <w:sz w:val="24"/>
          <w:szCs w:val="24"/>
          <w:highlight w:val="none"/>
        </w:rPr>
        <w:t>其他合同文件。</w:t>
      </w:r>
    </w:p>
    <w:p>
      <w:pPr>
        <w:pStyle w:val="5"/>
        <w:ind w:left="0" w:leftChars="0" w:firstLine="0" w:firstLineChars="0"/>
        <w:rPr>
          <w:color w:val="auto"/>
          <w:sz w:val="24"/>
          <w:szCs w:val="24"/>
          <w:highlight w:val="none"/>
          <w:lang w:eastAsia="zh-CN"/>
        </w:rPr>
      </w:pPr>
      <w:bookmarkStart w:id="184" w:name="bookmark926"/>
      <w:bookmarkStart w:id="185" w:name="_Toc30693"/>
      <w:bookmarkStart w:id="186" w:name="bookmark925"/>
      <w:bookmarkStart w:id="187" w:name="bookmark924"/>
      <w:r>
        <w:rPr>
          <w:color w:val="auto"/>
          <w:sz w:val="24"/>
          <w:szCs w:val="24"/>
          <w:highlight w:val="none"/>
          <w:lang w:eastAsia="zh-CN"/>
        </w:rPr>
        <w:t>1.5合同协议书</w:t>
      </w:r>
      <w:bookmarkEnd w:id="184"/>
      <w:bookmarkEnd w:id="185"/>
      <w:bookmarkEnd w:id="186"/>
      <w:bookmarkEnd w:id="187"/>
    </w:p>
    <w:p>
      <w:pPr>
        <w:pStyle w:val="47"/>
        <w:spacing w:after="140" w:line="355" w:lineRule="exact"/>
        <w:ind w:firstLine="440"/>
        <w:jc w:val="both"/>
        <w:rPr>
          <w:color w:val="auto"/>
          <w:sz w:val="24"/>
          <w:szCs w:val="24"/>
          <w:highlight w:val="none"/>
        </w:rPr>
      </w:pPr>
      <w:r>
        <w:rPr>
          <w:color w:val="auto"/>
          <w:sz w:val="24"/>
          <w:szCs w:val="24"/>
          <w:highlight w:val="none"/>
        </w:rPr>
        <w:t>承包人按中标通知书规定的时间与发包人签订合同协议书。除法律另有规定或合同另有约定外，发包人和承包人的法定代表人或其委托代理人在合同协议书上签字并盖单位电子公章后，合同生效。</w:t>
      </w:r>
    </w:p>
    <w:p>
      <w:pPr>
        <w:pStyle w:val="5"/>
        <w:ind w:left="0" w:leftChars="0" w:firstLine="0" w:firstLineChars="0"/>
        <w:rPr>
          <w:color w:val="auto"/>
          <w:sz w:val="24"/>
          <w:szCs w:val="24"/>
          <w:highlight w:val="none"/>
          <w:lang w:eastAsia="zh-CN"/>
        </w:rPr>
      </w:pPr>
      <w:bookmarkStart w:id="188" w:name="bookmark928"/>
      <w:bookmarkStart w:id="189" w:name="bookmark927"/>
      <w:bookmarkStart w:id="190" w:name="bookmark929"/>
      <w:bookmarkStart w:id="191" w:name="_Toc10434"/>
      <w:r>
        <w:rPr>
          <w:color w:val="auto"/>
          <w:sz w:val="24"/>
          <w:szCs w:val="24"/>
          <w:highlight w:val="none"/>
          <w:lang w:eastAsia="zh-CN"/>
        </w:rPr>
        <w:t>1.6图纸和承包人文件</w:t>
      </w:r>
      <w:bookmarkEnd w:id="188"/>
      <w:bookmarkEnd w:id="189"/>
      <w:bookmarkEnd w:id="190"/>
      <w:bookmarkEnd w:id="191"/>
    </w:p>
    <w:p>
      <w:pPr>
        <w:pStyle w:val="47"/>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1.6.1</w:t>
      </w:r>
      <w:r>
        <w:rPr>
          <w:color w:val="auto"/>
          <w:sz w:val="24"/>
          <w:szCs w:val="24"/>
          <w:highlight w:val="none"/>
        </w:rPr>
        <w:t>图纸的提供</w:t>
      </w:r>
    </w:p>
    <w:p>
      <w:pPr>
        <w:pStyle w:val="47"/>
        <w:spacing w:after="120" w:line="360" w:lineRule="exact"/>
        <w:ind w:firstLine="420"/>
        <w:jc w:val="both"/>
        <w:rPr>
          <w:rFonts w:ascii="Times New Roman" w:hAnsi="Times New Roman" w:cs="Times New Roman"/>
          <w:color w:val="auto"/>
          <w:sz w:val="24"/>
          <w:szCs w:val="24"/>
          <w:highlight w:val="none"/>
        </w:rPr>
      </w:pPr>
      <w:r>
        <w:rPr>
          <w:color w:val="auto"/>
          <w:sz w:val="24"/>
          <w:szCs w:val="24"/>
          <w:highlight w:val="none"/>
        </w:rPr>
        <w:t>发包人应按技术标准和要求(合同技术条款)约定的期限和数量将施工图纸以及其它图纸（包括配套说明和有关资料）提供给承包人。由于发包人未按时提供图纸造成工期延误的，按</w:t>
      </w:r>
      <w:r>
        <w:rPr>
          <w:rFonts w:ascii="Times New Roman" w:hAnsi="Times New Roman" w:cs="Times New Roman"/>
          <w:color w:val="auto"/>
          <w:sz w:val="24"/>
          <w:szCs w:val="24"/>
          <w:highlight w:val="none"/>
        </w:rPr>
        <w:t>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3</w:t>
      </w:r>
      <w:r>
        <w:rPr>
          <w:rFonts w:ascii="Times New Roman" w:hAnsi="Times New Roman" w:cs="Times New Roman"/>
          <w:color w:val="auto"/>
          <w:sz w:val="24"/>
          <w:szCs w:val="24"/>
          <w:highlight w:val="none"/>
        </w:rPr>
        <w:t>款的约定办理。</w:t>
      </w:r>
    </w:p>
    <w:p>
      <w:pPr>
        <w:pStyle w:val="47"/>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1.6.</w:t>
      </w:r>
      <w:r>
        <w:rPr>
          <w:rFonts w:ascii="Times New Roman" w:hAnsi="Times New Roman" w:cs="Times New Roman"/>
          <w:color w:val="auto"/>
          <w:sz w:val="24"/>
          <w:szCs w:val="24"/>
          <w:highlight w:val="none"/>
        </w:rPr>
        <w:t>2承包人提供的文件</w:t>
      </w:r>
    </w:p>
    <w:p>
      <w:pPr>
        <w:pStyle w:val="47"/>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承包人提供的文件应按技术标准和要求（合同技术条款）约定的期限和数量提供给监理人。监理人应按技术标准和要求（合同技术条款）约定的期限批复承包人。</w:t>
      </w:r>
    </w:p>
    <w:p>
      <w:pPr>
        <w:pStyle w:val="47"/>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1.6.3</w:t>
      </w:r>
      <w:r>
        <w:rPr>
          <w:rFonts w:ascii="Times New Roman" w:hAnsi="Times New Roman" w:cs="Times New Roman"/>
          <w:color w:val="auto"/>
          <w:sz w:val="24"/>
          <w:szCs w:val="24"/>
          <w:highlight w:val="none"/>
        </w:rPr>
        <w:t>图纸的修改</w:t>
      </w:r>
    </w:p>
    <w:p>
      <w:pPr>
        <w:pStyle w:val="47"/>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pPr>
        <w:pStyle w:val="47"/>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1.6.4</w:t>
      </w:r>
      <w:r>
        <w:rPr>
          <w:rFonts w:ascii="Times New Roman" w:hAnsi="Times New Roman" w:cs="Times New Roman"/>
          <w:color w:val="auto"/>
          <w:sz w:val="24"/>
          <w:szCs w:val="24"/>
          <w:highlight w:val="none"/>
        </w:rPr>
        <w:t>图纸的错误</w:t>
      </w:r>
    </w:p>
    <w:p>
      <w:pPr>
        <w:pStyle w:val="47"/>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承包人发现发包人提供的图纸存在明显错误或疏忽，应及时通知监理人。</w:t>
      </w:r>
    </w:p>
    <w:p>
      <w:pPr>
        <w:pStyle w:val="47"/>
        <w:spacing w:line="360" w:lineRule="exact"/>
        <w:ind w:firstLine="420"/>
        <w:rPr>
          <w:color w:val="auto"/>
          <w:sz w:val="24"/>
          <w:szCs w:val="24"/>
          <w:highlight w:val="none"/>
        </w:rPr>
      </w:pPr>
      <w:r>
        <w:rPr>
          <w:rFonts w:ascii="Times New Roman" w:hAnsi="Times New Roman" w:cs="Times New Roman"/>
          <w:color w:val="auto"/>
          <w:sz w:val="24"/>
          <w:szCs w:val="24"/>
          <w:highlight w:val="none"/>
          <w:lang w:val="en-US"/>
        </w:rPr>
        <w:t>1.6.5</w:t>
      </w:r>
      <w:r>
        <w:rPr>
          <w:rFonts w:ascii="Times New Roman" w:hAnsi="Times New Roman" w:cs="Times New Roman"/>
          <w:color w:val="auto"/>
          <w:sz w:val="24"/>
          <w:szCs w:val="24"/>
          <w:highlight w:val="none"/>
        </w:rPr>
        <w:t>图纸和承包人文件的保管</w:t>
      </w:r>
    </w:p>
    <w:p>
      <w:pPr>
        <w:pStyle w:val="47"/>
        <w:spacing w:after="180" w:line="360" w:lineRule="exact"/>
        <w:ind w:firstLine="440"/>
        <w:jc w:val="both"/>
        <w:rPr>
          <w:color w:val="auto"/>
          <w:sz w:val="24"/>
          <w:szCs w:val="24"/>
          <w:highlight w:val="none"/>
        </w:rPr>
      </w:pPr>
      <w:r>
        <w:rPr>
          <w:color w:val="auto"/>
          <w:sz w:val="24"/>
          <w:szCs w:val="24"/>
          <w:highlight w:val="none"/>
        </w:rPr>
        <w:t>监理人和承包人均应在施工场地各保存一套完整的包含第</w:t>
      </w:r>
      <w:r>
        <w:rPr>
          <w:rFonts w:ascii="Times New Roman" w:hAnsi="Times New Roman" w:eastAsia="Times New Roman" w:cs="Times New Roman"/>
          <w:color w:val="auto"/>
          <w:sz w:val="24"/>
          <w:szCs w:val="24"/>
          <w:highlight w:val="none"/>
          <w:lang w:val="en-US" w:bidi="en-US"/>
        </w:rPr>
        <w:t xml:space="preserve">1. 6. </w:t>
      </w:r>
      <w:r>
        <w:rPr>
          <w:rFonts w:ascii="Times New Roman" w:hAnsi="Times New Roman" w:eastAsia="Times New Roman" w:cs="Times New Roman"/>
          <w:color w:val="auto"/>
          <w:sz w:val="24"/>
          <w:szCs w:val="24"/>
          <w:highlight w:val="none"/>
        </w:rPr>
        <w:t>1</w:t>
      </w:r>
      <w:r>
        <w:rPr>
          <w:color w:val="auto"/>
          <w:sz w:val="24"/>
          <w:szCs w:val="24"/>
          <w:highlight w:val="none"/>
        </w:rPr>
        <w:t>项、第</w:t>
      </w:r>
      <w:r>
        <w:rPr>
          <w:rFonts w:ascii="Times New Roman" w:hAnsi="Times New Roman" w:eastAsia="Times New Roman" w:cs="Times New Roman"/>
          <w:color w:val="auto"/>
          <w:sz w:val="24"/>
          <w:szCs w:val="24"/>
          <w:highlight w:val="none"/>
          <w:lang w:val="en-US" w:bidi="en-US"/>
        </w:rPr>
        <w:t>1.6.2</w:t>
      </w:r>
      <w:r>
        <w:rPr>
          <w:color w:val="auto"/>
          <w:sz w:val="24"/>
          <w:szCs w:val="24"/>
          <w:highlight w:val="none"/>
        </w:rPr>
        <w:t xml:space="preserve">项、第 </w:t>
      </w:r>
      <w:r>
        <w:rPr>
          <w:rFonts w:ascii="Times New Roman" w:hAnsi="Times New Roman" w:eastAsia="Times New Roman" w:cs="Times New Roman"/>
          <w:color w:val="auto"/>
          <w:sz w:val="24"/>
          <w:szCs w:val="24"/>
          <w:highlight w:val="none"/>
          <w:lang w:val="en-US" w:bidi="en-US"/>
        </w:rPr>
        <w:t xml:space="preserve">1.6. </w:t>
      </w:r>
      <w:r>
        <w:rPr>
          <w:rFonts w:ascii="Times New Roman" w:hAnsi="Times New Roman" w:eastAsia="Times New Roman" w:cs="Times New Roman"/>
          <w:color w:val="auto"/>
          <w:sz w:val="24"/>
          <w:szCs w:val="24"/>
          <w:highlight w:val="none"/>
        </w:rPr>
        <w:t>3</w:t>
      </w:r>
      <w:r>
        <w:rPr>
          <w:color w:val="auto"/>
          <w:sz w:val="24"/>
          <w:szCs w:val="24"/>
          <w:highlight w:val="none"/>
        </w:rPr>
        <w:t>项约定内容的图纸和承包人文件。</w:t>
      </w:r>
    </w:p>
    <w:p>
      <w:pPr>
        <w:pStyle w:val="5"/>
        <w:ind w:left="0" w:leftChars="0" w:firstLine="0" w:firstLineChars="0"/>
        <w:rPr>
          <w:color w:val="auto"/>
          <w:sz w:val="24"/>
          <w:szCs w:val="24"/>
          <w:highlight w:val="none"/>
          <w:lang w:eastAsia="zh-CN"/>
        </w:rPr>
      </w:pPr>
      <w:bookmarkStart w:id="192" w:name="_Toc18431"/>
      <w:bookmarkStart w:id="193" w:name="bookmark931"/>
      <w:bookmarkStart w:id="194" w:name="bookmark930"/>
      <w:bookmarkStart w:id="195" w:name="bookmark932"/>
      <w:r>
        <w:rPr>
          <w:color w:val="auto"/>
          <w:sz w:val="24"/>
          <w:szCs w:val="24"/>
          <w:highlight w:val="none"/>
          <w:lang w:eastAsia="zh-CN"/>
        </w:rPr>
        <w:t>1.7联络</w:t>
      </w:r>
      <w:bookmarkEnd w:id="192"/>
      <w:bookmarkEnd w:id="193"/>
      <w:bookmarkEnd w:id="194"/>
      <w:bookmarkEnd w:id="195"/>
    </w:p>
    <w:p>
      <w:pPr>
        <w:pStyle w:val="47"/>
        <w:spacing w:line="386"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1.7.1</w:t>
      </w:r>
      <w:r>
        <w:rPr>
          <w:rFonts w:ascii="Times New Roman" w:hAnsi="Times New Roman" w:cs="Times New Roman"/>
          <w:color w:val="auto"/>
          <w:sz w:val="24"/>
          <w:szCs w:val="24"/>
          <w:highlight w:val="none"/>
        </w:rPr>
        <w:t>与合同有关的通知、批准、证明、证书、指示、要求、请求、同意、意见、确 定和决定等，均应采用书面形式。</w:t>
      </w:r>
    </w:p>
    <w:p>
      <w:pPr>
        <w:pStyle w:val="47"/>
        <w:spacing w:line="37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1.7.2</w:t>
      </w:r>
      <w:r>
        <w:rPr>
          <w:rFonts w:ascii="Times New Roman" w:hAnsi="Times New Roman" w:cs="Times New Roman"/>
          <w:color w:val="auto"/>
          <w:sz w:val="24"/>
          <w:szCs w:val="24"/>
          <w:highlight w:val="none"/>
        </w:rPr>
        <w:t>第</w:t>
      </w:r>
      <w:r>
        <w:rPr>
          <w:rFonts w:ascii="Times New Roman" w:hAnsi="Times New Roman" w:eastAsia="Times New Roman" w:cs="Times New Roman"/>
          <w:color w:val="auto"/>
          <w:sz w:val="24"/>
          <w:szCs w:val="24"/>
          <w:highlight w:val="none"/>
          <w:lang w:val="en-US" w:bidi="en-US"/>
        </w:rPr>
        <w:t>1.7.1</w:t>
      </w:r>
      <w:r>
        <w:rPr>
          <w:rFonts w:ascii="Times New Roman" w:hAnsi="Times New Roman" w:cs="Times New Roman"/>
          <w:color w:val="auto"/>
          <w:sz w:val="24"/>
          <w:szCs w:val="24"/>
          <w:highlight w:val="none"/>
        </w:rPr>
        <w:t>项中的通知、批准、证明、证书、指示、要求、请求、同意、意见、 确定和决定等来往函件，均应在合同约定的期限内送达指定地点和接收人，并办理签收手续。来往函件的送达期限在技术标准和要求（合同技术条款）中约定，送达地点在专用合同条款中约定。</w:t>
      </w:r>
    </w:p>
    <w:p>
      <w:pPr>
        <w:pStyle w:val="47"/>
        <w:spacing w:after="180"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1.7.3</w:t>
      </w:r>
      <w:r>
        <w:rPr>
          <w:rFonts w:ascii="Times New Roman" w:hAnsi="Times New Roman" w:cs="Times New Roman"/>
          <w:color w:val="auto"/>
          <w:sz w:val="24"/>
          <w:szCs w:val="24"/>
          <w:highlight w:val="none"/>
        </w:rPr>
        <w:t>来往</w:t>
      </w:r>
      <w:r>
        <w:rPr>
          <w:color w:val="auto"/>
          <w:sz w:val="24"/>
          <w:szCs w:val="24"/>
          <w:highlight w:val="none"/>
        </w:rPr>
        <w:t>函件均应按合同约定的期限及时发出和答复，不得无故扣压和拖延，亦不得拒收。否则，由此造成的后果由责任方负责。</w:t>
      </w:r>
    </w:p>
    <w:p>
      <w:pPr>
        <w:pStyle w:val="5"/>
        <w:ind w:left="0" w:leftChars="0" w:firstLine="0" w:firstLineChars="0"/>
        <w:rPr>
          <w:color w:val="auto"/>
          <w:sz w:val="24"/>
          <w:szCs w:val="24"/>
          <w:highlight w:val="none"/>
          <w:lang w:eastAsia="zh-CN"/>
        </w:rPr>
      </w:pPr>
      <w:bookmarkStart w:id="196" w:name="bookmark934"/>
      <w:bookmarkStart w:id="197" w:name="_Toc11450"/>
      <w:bookmarkStart w:id="198" w:name="bookmark935"/>
      <w:bookmarkStart w:id="199" w:name="bookmark933"/>
      <w:r>
        <w:rPr>
          <w:color w:val="auto"/>
          <w:sz w:val="24"/>
          <w:szCs w:val="24"/>
          <w:highlight w:val="none"/>
          <w:lang w:eastAsia="zh-CN"/>
        </w:rPr>
        <w:t>1.8转让</w:t>
      </w:r>
      <w:bookmarkEnd w:id="196"/>
      <w:bookmarkEnd w:id="197"/>
      <w:bookmarkEnd w:id="198"/>
      <w:bookmarkEnd w:id="199"/>
    </w:p>
    <w:p>
      <w:pPr>
        <w:pStyle w:val="47"/>
        <w:spacing w:after="180" w:line="358" w:lineRule="exact"/>
        <w:ind w:firstLine="440"/>
        <w:jc w:val="both"/>
        <w:rPr>
          <w:color w:val="auto"/>
          <w:sz w:val="24"/>
          <w:szCs w:val="24"/>
          <w:highlight w:val="none"/>
        </w:rPr>
      </w:pPr>
      <w:r>
        <w:rPr>
          <w:color w:val="auto"/>
          <w:sz w:val="24"/>
          <w:szCs w:val="24"/>
          <w:highlight w:val="none"/>
        </w:rPr>
        <w:t>除合同另有约定外，未经对方当事人同意，一方当事人不得将合同权利全部或部分转让给第三人，也不得全部或部分转移合同义务。</w:t>
      </w:r>
    </w:p>
    <w:p>
      <w:pPr>
        <w:pStyle w:val="5"/>
        <w:ind w:left="0" w:leftChars="0" w:firstLine="0" w:firstLineChars="0"/>
        <w:rPr>
          <w:color w:val="auto"/>
          <w:sz w:val="24"/>
          <w:szCs w:val="24"/>
          <w:highlight w:val="none"/>
          <w:lang w:eastAsia="zh-CN"/>
        </w:rPr>
      </w:pPr>
      <w:bookmarkStart w:id="200" w:name="bookmark936"/>
      <w:bookmarkStart w:id="201" w:name="_Toc28520"/>
      <w:bookmarkStart w:id="202" w:name="bookmark937"/>
      <w:bookmarkStart w:id="203" w:name="bookmark938"/>
      <w:r>
        <w:rPr>
          <w:color w:val="auto"/>
          <w:sz w:val="24"/>
          <w:szCs w:val="24"/>
          <w:highlight w:val="none"/>
          <w:lang w:eastAsia="zh-CN"/>
        </w:rPr>
        <w:t>1.9严禁贿赂</w:t>
      </w:r>
      <w:bookmarkEnd w:id="200"/>
      <w:bookmarkEnd w:id="201"/>
      <w:bookmarkEnd w:id="202"/>
      <w:bookmarkEnd w:id="203"/>
    </w:p>
    <w:p>
      <w:pPr>
        <w:pStyle w:val="47"/>
        <w:spacing w:after="180" w:line="367" w:lineRule="exact"/>
        <w:ind w:firstLine="440"/>
        <w:jc w:val="both"/>
        <w:rPr>
          <w:color w:val="auto"/>
          <w:sz w:val="24"/>
          <w:szCs w:val="24"/>
          <w:highlight w:val="none"/>
        </w:rPr>
      </w:pPr>
      <w:r>
        <w:rPr>
          <w:color w:val="auto"/>
          <w:sz w:val="24"/>
          <w:szCs w:val="24"/>
          <w:highlight w:val="none"/>
        </w:rPr>
        <w:t>合同双方当事人不得以贿赂或变相贿赂的方式，谋取不当利益或损害对方权益。因贿赂造成对方损失的，行为人应赔偿损失，并承担相应的法律责任。</w:t>
      </w:r>
    </w:p>
    <w:p>
      <w:pPr>
        <w:pStyle w:val="5"/>
        <w:ind w:left="0" w:leftChars="0" w:firstLine="0" w:firstLineChars="0"/>
        <w:rPr>
          <w:color w:val="auto"/>
          <w:sz w:val="24"/>
          <w:szCs w:val="24"/>
          <w:highlight w:val="none"/>
          <w:lang w:eastAsia="zh-CN"/>
        </w:rPr>
      </w:pPr>
      <w:bookmarkStart w:id="204" w:name="_Toc27697"/>
      <w:bookmarkStart w:id="205" w:name="bookmark941"/>
      <w:bookmarkStart w:id="206" w:name="bookmark939"/>
      <w:bookmarkStart w:id="207" w:name="bookmark940"/>
      <w:r>
        <w:rPr>
          <w:color w:val="auto"/>
          <w:sz w:val="24"/>
          <w:szCs w:val="24"/>
          <w:highlight w:val="none"/>
          <w:lang w:eastAsia="zh-CN"/>
        </w:rPr>
        <w:t>1.10化石、文物</w:t>
      </w:r>
      <w:bookmarkEnd w:id="204"/>
      <w:bookmarkEnd w:id="205"/>
      <w:bookmarkEnd w:id="206"/>
      <w:bookmarkEnd w:id="207"/>
    </w:p>
    <w:p>
      <w:pPr>
        <w:pStyle w:val="47"/>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1.10. </w:t>
      </w:r>
      <w:r>
        <w:rPr>
          <w:rFonts w:ascii="Times New Roman" w:hAnsi="Times New Roman" w:eastAsia="Times New Roman" w:cs="Times New Roman"/>
          <w:color w:val="auto"/>
          <w:sz w:val="24"/>
          <w:szCs w:val="24"/>
          <w:highlight w:val="none"/>
        </w:rPr>
        <w:t>1</w:t>
      </w:r>
      <w:r>
        <w:rPr>
          <w:color w:val="auto"/>
          <w:sz w:val="24"/>
          <w:szCs w:val="24"/>
          <w:highlight w:val="none"/>
        </w:rPr>
        <w:t>在施工场地发掘的所有文物、古迹以及具有地质研究或考古价值的其他遗迹、 化石、钱币或物品属于国家所有。一旦发现上述文物，承包人应采取有效合理的保护措施, 防止任何人员移动或损坏上述物品，并立即报告当地文物行政部门，同时通知监理人。发包人、监理人和承包人应按文物行政部门要求采取妥善保护措施，由此导致费用增加和（或）工期延误由发包人承担。</w:t>
      </w:r>
    </w:p>
    <w:p>
      <w:pPr>
        <w:pStyle w:val="47"/>
        <w:spacing w:after="120"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1.10.</w:t>
      </w:r>
      <w:r>
        <w:rPr>
          <w:rFonts w:ascii="Times New Roman" w:hAnsi="Times New Roman" w:eastAsia="Times New Roman" w:cs="Times New Roman"/>
          <w:color w:val="auto"/>
          <w:sz w:val="24"/>
          <w:szCs w:val="24"/>
          <w:highlight w:val="none"/>
        </w:rPr>
        <w:t>2</w:t>
      </w:r>
      <w:r>
        <w:rPr>
          <w:color w:val="auto"/>
          <w:sz w:val="24"/>
          <w:szCs w:val="24"/>
          <w:highlight w:val="none"/>
        </w:rPr>
        <w:t>承包人发现文物后不及时报告或隐瞒不报，致使文物丢失或损坏的，应赔偿损失，并承担相应的法律责任。</w:t>
      </w:r>
    </w:p>
    <w:p>
      <w:pPr>
        <w:pStyle w:val="5"/>
        <w:ind w:left="0" w:leftChars="0" w:firstLine="0" w:firstLineChars="0"/>
        <w:rPr>
          <w:color w:val="auto"/>
          <w:sz w:val="24"/>
          <w:szCs w:val="24"/>
          <w:highlight w:val="none"/>
          <w:lang w:eastAsia="zh-CN"/>
        </w:rPr>
      </w:pPr>
      <w:bookmarkStart w:id="208" w:name="bookmark942"/>
      <w:bookmarkStart w:id="209" w:name="_Toc8461"/>
      <w:bookmarkStart w:id="210" w:name="bookmark944"/>
      <w:bookmarkStart w:id="211" w:name="bookmark943"/>
      <w:r>
        <w:rPr>
          <w:color w:val="auto"/>
          <w:sz w:val="24"/>
          <w:szCs w:val="24"/>
          <w:highlight w:val="none"/>
          <w:lang w:eastAsia="zh-CN"/>
        </w:rPr>
        <w:t>1.11专利技术</w:t>
      </w:r>
      <w:bookmarkEnd w:id="208"/>
      <w:bookmarkEnd w:id="209"/>
      <w:bookmarkEnd w:id="210"/>
      <w:bookmarkEnd w:id="211"/>
    </w:p>
    <w:p>
      <w:pPr>
        <w:pStyle w:val="47"/>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1.11.1</w:t>
      </w:r>
      <w:r>
        <w:rPr>
          <w:color w:val="auto"/>
          <w:sz w:val="24"/>
          <w:szCs w:val="24"/>
          <w:highlight w:val="none"/>
        </w:rPr>
        <w:t>承包人在使用任何材料、承包人设备、工程设备或采用施工工艺时，因侵犯专利权或其他知识产权所引起的责任，由承包人承担，但由于遵照发包人提供的设计或技术标准和要求引起的除外。</w:t>
      </w:r>
    </w:p>
    <w:p>
      <w:pPr>
        <w:pStyle w:val="47"/>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1.11.2</w:t>
      </w:r>
      <w:r>
        <w:rPr>
          <w:color w:val="auto"/>
          <w:sz w:val="24"/>
          <w:szCs w:val="24"/>
          <w:highlight w:val="none"/>
        </w:rPr>
        <w:t>承包人在投标文件中采用专利技术的，专利技术的使用费包含在投标报价内。</w:t>
      </w:r>
    </w:p>
    <w:p>
      <w:pPr>
        <w:pStyle w:val="47"/>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1.11.3</w:t>
      </w:r>
      <w:r>
        <w:rPr>
          <w:color w:val="auto"/>
          <w:sz w:val="24"/>
          <w:szCs w:val="24"/>
          <w:highlight w:val="none"/>
        </w:rPr>
        <w:t>承包人的技术秘密和声明需要保密的资料和信息，发包人和监理人不得为合同以外的目的泄露给他人。</w:t>
      </w:r>
    </w:p>
    <w:p>
      <w:pPr>
        <w:pStyle w:val="47"/>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1.11.4</w:t>
      </w:r>
      <w:r>
        <w:rPr>
          <w:color w:val="auto"/>
          <w:sz w:val="24"/>
          <w:szCs w:val="24"/>
          <w:highlight w:val="none"/>
        </w:rPr>
        <w:t>合同实施过程中，发包人要求承包人采用专利技术的，发包人应办理相应的使用手续，承包人应按发包人约定的条件使用，并承担使用专利技术的相关试验工作。所需的费用由发包人承担。</w:t>
      </w:r>
    </w:p>
    <w:p>
      <w:pPr>
        <w:pStyle w:val="5"/>
        <w:ind w:left="0" w:leftChars="0" w:firstLine="0" w:firstLineChars="0"/>
        <w:rPr>
          <w:color w:val="auto"/>
          <w:sz w:val="24"/>
          <w:szCs w:val="24"/>
          <w:highlight w:val="none"/>
          <w:lang w:eastAsia="zh-CN"/>
        </w:rPr>
      </w:pPr>
      <w:bookmarkStart w:id="212" w:name="bookmark946"/>
      <w:bookmarkStart w:id="213" w:name="_Toc21439"/>
      <w:bookmarkStart w:id="214" w:name="bookmark945"/>
      <w:bookmarkStart w:id="215" w:name="bookmark947"/>
      <w:r>
        <w:rPr>
          <w:color w:val="auto"/>
          <w:sz w:val="24"/>
          <w:szCs w:val="24"/>
          <w:highlight w:val="none"/>
          <w:lang w:eastAsia="zh-CN"/>
        </w:rPr>
        <w:t>1.12图纸和文件的保密</w:t>
      </w:r>
      <w:bookmarkEnd w:id="212"/>
      <w:bookmarkEnd w:id="213"/>
      <w:bookmarkEnd w:id="214"/>
      <w:bookmarkEnd w:id="215"/>
    </w:p>
    <w:p>
      <w:pPr>
        <w:pStyle w:val="47"/>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1.12.1</w:t>
      </w:r>
      <w:r>
        <w:rPr>
          <w:color w:val="auto"/>
          <w:sz w:val="24"/>
          <w:szCs w:val="24"/>
          <w:highlight w:val="none"/>
        </w:rPr>
        <w:t>发包人提供的图纸和文件，未经</w:t>
      </w:r>
      <w:r>
        <w:rPr>
          <w:rFonts w:hint="eastAsia"/>
          <w:color w:val="auto"/>
          <w:sz w:val="24"/>
          <w:szCs w:val="24"/>
          <w:highlight w:val="none"/>
          <w:lang w:eastAsia="zh-CN"/>
        </w:rPr>
        <w:t>发包人书面同意</w:t>
      </w:r>
      <w:r>
        <w:rPr>
          <w:color w:val="auto"/>
          <w:sz w:val="24"/>
          <w:szCs w:val="24"/>
          <w:highlight w:val="none"/>
        </w:rPr>
        <w:t>，承包人不得为合同以外的目的泄露给他人或公开发表与引用。</w:t>
      </w:r>
    </w:p>
    <w:p>
      <w:pPr>
        <w:pStyle w:val="47"/>
        <w:spacing w:after="200"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1.12.2</w:t>
      </w:r>
      <w:r>
        <w:rPr>
          <w:color w:val="auto"/>
          <w:sz w:val="24"/>
          <w:szCs w:val="24"/>
          <w:highlight w:val="none"/>
        </w:rPr>
        <w:t>承包人提供的文件，未经承包人同意，发包人和监理人不得为合同以外的目的泄露给他人或公开发表与引用。</w:t>
      </w:r>
    </w:p>
    <w:p>
      <w:pPr>
        <w:pStyle w:val="4"/>
        <w:spacing w:line="360" w:lineRule="exact"/>
        <w:rPr>
          <w:rFonts w:hint="eastAsia"/>
          <w:color w:val="auto"/>
          <w:sz w:val="24"/>
          <w:szCs w:val="24"/>
          <w:highlight w:val="none"/>
          <w:lang w:eastAsia="zh-CN"/>
        </w:rPr>
      </w:pPr>
      <w:bookmarkStart w:id="216" w:name="bookmark950"/>
      <w:bookmarkEnd w:id="216"/>
      <w:bookmarkStart w:id="217" w:name="bookmark951"/>
      <w:bookmarkStart w:id="218" w:name="bookmark948"/>
      <w:bookmarkStart w:id="219" w:name="_Toc3842"/>
      <w:bookmarkStart w:id="220" w:name="_Toc1247134707"/>
      <w:bookmarkStart w:id="221" w:name="bookmark949"/>
      <w:bookmarkStart w:id="222" w:name="_Toc27042"/>
      <w:r>
        <w:rPr>
          <w:rFonts w:hint="eastAsia"/>
          <w:color w:val="auto"/>
          <w:sz w:val="24"/>
          <w:szCs w:val="24"/>
          <w:highlight w:val="none"/>
          <w:lang w:eastAsia="zh-CN"/>
        </w:rPr>
        <w:t>2.发包人义务</w:t>
      </w:r>
      <w:bookmarkEnd w:id="217"/>
      <w:bookmarkEnd w:id="218"/>
      <w:bookmarkEnd w:id="219"/>
      <w:bookmarkEnd w:id="220"/>
      <w:bookmarkEnd w:id="221"/>
      <w:bookmarkEnd w:id="222"/>
    </w:p>
    <w:p>
      <w:pPr>
        <w:pStyle w:val="5"/>
        <w:ind w:left="0" w:leftChars="0" w:firstLine="0" w:firstLineChars="0"/>
        <w:rPr>
          <w:color w:val="auto"/>
          <w:sz w:val="24"/>
          <w:szCs w:val="24"/>
          <w:highlight w:val="none"/>
          <w:lang w:eastAsia="zh-CN"/>
        </w:rPr>
      </w:pPr>
      <w:bookmarkStart w:id="223" w:name="bookmark953"/>
      <w:bookmarkStart w:id="224" w:name="bookmark952"/>
      <w:bookmarkStart w:id="225" w:name="bookmark954"/>
      <w:bookmarkStart w:id="226" w:name="_Toc19875"/>
      <w:r>
        <w:rPr>
          <w:color w:val="auto"/>
          <w:sz w:val="24"/>
          <w:szCs w:val="24"/>
          <w:highlight w:val="none"/>
          <w:lang w:eastAsia="zh-CN"/>
        </w:rPr>
        <w:t>2.1遵守法律</w:t>
      </w:r>
      <w:bookmarkEnd w:id="223"/>
      <w:bookmarkEnd w:id="224"/>
      <w:bookmarkEnd w:id="225"/>
      <w:bookmarkEnd w:id="226"/>
    </w:p>
    <w:p>
      <w:pPr>
        <w:pStyle w:val="47"/>
        <w:spacing w:after="240" w:line="355" w:lineRule="exact"/>
        <w:ind w:firstLine="440"/>
        <w:jc w:val="both"/>
        <w:rPr>
          <w:color w:val="auto"/>
          <w:sz w:val="24"/>
          <w:szCs w:val="24"/>
          <w:highlight w:val="none"/>
        </w:rPr>
      </w:pPr>
      <w:r>
        <w:rPr>
          <w:color w:val="auto"/>
          <w:sz w:val="24"/>
          <w:szCs w:val="24"/>
          <w:highlight w:val="none"/>
        </w:rPr>
        <w:t>发包人在履行合同过程中应遵守法律，并保证承包人免于承担因发包人违反法律而引起的任何责任。</w:t>
      </w:r>
    </w:p>
    <w:p>
      <w:pPr>
        <w:pStyle w:val="5"/>
        <w:ind w:left="0" w:leftChars="0" w:firstLine="0" w:firstLineChars="0"/>
        <w:rPr>
          <w:color w:val="auto"/>
          <w:sz w:val="24"/>
          <w:szCs w:val="24"/>
          <w:highlight w:val="none"/>
          <w:lang w:eastAsia="zh-CN"/>
        </w:rPr>
      </w:pPr>
      <w:bookmarkStart w:id="227" w:name="bookmark957"/>
      <w:bookmarkStart w:id="228" w:name="_Toc16693"/>
      <w:bookmarkStart w:id="229" w:name="bookmark955"/>
      <w:bookmarkStart w:id="230" w:name="bookmark956"/>
      <w:r>
        <w:rPr>
          <w:color w:val="auto"/>
          <w:sz w:val="24"/>
          <w:szCs w:val="24"/>
          <w:highlight w:val="none"/>
          <w:lang w:eastAsia="zh-CN"/>
        </w:rPr>
        <w:t>2.2发出开工通知</w:t>
      </w:r>
      <w:bookmarkEnd w:id="227"/>
      <w:bookmarkEnd w:id="228"/>
      <w:bookmarkEnd w:id="229"/>
      <w:bookmarkEnd w:id="230"/>
    </w:p>
    <w:p>
      <w:pPr>
        <w:pStyle w:val="47"/>
        <w:spacing w:after="240" w:line="363" w:lineRule="exact"/>
        <w:ind w:firstLine="420"/>
        <w:rPr>
          <w:color w:val="auto"/>
          <w:sz w:val="24"/>
          <w:szCs w:val="24"/>
          <w:highlight w:val="none"/>
        </w:rPr>
      </w:pPr>
      <w:r>
        <w:rPr>
          <w:color w:val="auto"/>
          <w:sz w:val="24"/>
          <w:szCs w:val="24"/>
          <w:highlight w:val="none"/>
        </w:rPr>
        <w:t>发包人应委托监理人按第</w:t>
      </w:r>
      <w:r>
        <w:rPr>
          <w:rFonts w:ascii="Times New Roman" w:hAnsi="Times New Roman" w:eastAsia="Times New Roman" w:cs="Times New Roman"/>
          <w:color w:val="auto"/>
          <w:sz w:val="24"/>
          <w:szCs w:val="24"/>
          <w:highlight w:val="none"/>
          <w:lang w:val="en-US" w:bidi="en-US"/>
        </w:rPr>
        <w:t xml:space="preserve">H. </w:t>
      </w:r>
      <w:r>
        <w:rPr>
          <w:rFonts w:ascii="Times New Roman" w:hAnsi="Times New Roman" w:eastAsia="Times New Roman" w:cs="Times New Roman"/>
          <w:color w:val="auto"/>
          <w:sz w:val="24"/>
          <w:szCs w:val="24"/>
          <w:highlight w:val="none"/>
        </w:rPr>
        <w:t>1</w:t>
      </w:r>
      <w:r>
        <w:rPr>
          <w:color w:val="auto"/>
          <w:sz w:val="24"/>
          <w:szCs w:val="24"/>
          <w:highlight w:val="none"/>
        </w:rPr>
        <w:t>款的约定向承包人发出开工通知。</w:t>
      </w:r>
    </w:p>
    <w:p>
      <w:pPr>
        <w:pStyle w:val="5"/>
        <w:ind w:left="0" w:leftChars="0" w:firstLine="0" w:firstLineChars="0"/>
        <w:rPr>
          <w:color w:val="auto"/>
          <w:sz w:val="24"/>
          <w:szCs w:val="24"/>
          <w:highlight w:val="none"/>
          <w:lang w:eastAsia="zh-CN"/>
        </w:rPr>
      </w:pPr>
      <w:bookmarkStart w:id="231" w:name="bookmark960"/>
      <w:bookmarkStart w:id="232" w:name="_Toc5643"/>
      <w:bookmarkStart w:id="233" w:name="bookmark958"/>
      <w:bookmarkStart w:id="234" w:name="bookmark959"/>
      <w:r>
        <w:rPr>
          <w:color w:val="auto"/>
          <w:sz w:val="24"/>
          <w:szCs w:val="24"/>
          <w:highlight w:val="none"/>
          <w:lang w:eastAsia="zh-CN"/>
        </w:rPr>
        <w:t>2.3提供施工场地</w:t>
      </w:r>
      <w:bookmarkEnd w:id="231"/>
      <w:bookmarkEnd w:id="232"/>
      <w:bookmarkEnd w:id="233"/>
      <w:bookmarkEnd w:id="234"/>
    </w:p>
    <w:p>
      <w:pPr>
        <w:pStyle w:val="47"/>
        <w:spacing w:line="37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2.3.1</w:t>
      </w:r>
      <w:r>
        <w:rPr>
          <w:color w:val="auto"/>
          <w:sz w:val="24"/>
          <w:szCs w:val="24"/>
          <w:highlight w:val="none"/>
        </w:rPr>
        <w:t>发包人应在合同双方签定合同协议书后的</w:t>
      </w:r>
      <w:r>
        <w:rPr>
          <w:rFonts w:ascii="Times New Roman" w:hAnsi="Times New Roman" w:eastAsia="Times New Roman" w:cs="Times New Roman"/>
          <w:color w:val="auto"/>
          <w:sz w:val="24"/>
          <w:szCs w:val="24"/>
          <w:highlight w:val="none"/>
        </w:rPr>
        <w:t>14</w:t>
      </w:r>
      <w:r>
        <w:rPr>
          <w:color w:val="auto"/>
          <w:sz w:val="24"/>
          <w:szCs w:val="24"/>
          <w:highlight w:val="none"/>
        </w:rPr>
        <w:t>天内，将本合同工程的施工场地范围图提交给承包人。发包人提供的施工用地范围图应标明用地范围内永久占地与临时占地的范围和界限，以及指明提供给承包人用于施工场地布置的范围和界限及其有关资料。</w:t>
      </w:r>
    </w:p>
    <w:p>
      <w:pPr>
        <w:pStyle w:val="47"/>
        <w:spacing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2.3.2</w:t>
      </w:r>
      <w:r>
        <w:rPr>
          <w:color w:val="auto"/>
          <w:sz w:val="24"/>
          <w:szCs w:val="24"/>
          <w:highlight w:val="none"/>
        </w:rPr>
        <w:t>发包人提供的施工用地范围在专用合同条款中约定。</w:t>
      </w:r>
    </w:p>
    <w:p>
      <w:pPr>
        <w:pStyle w:val="47"/>
        <w:spacing w:after="240"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2.3.3</w:t>
      </w:r>
      <w:r>
        <w:rPr>
          <w:color w:val="auto"/>
          <w:sz w:val="24"/>
          <w:szCs w:val="24"/>
          <w:highlight w:val="none"/>
        </w:rPr>
        <w:t>除专用合同条款另有约定外，发包人应按技术标准和要求（合同技术条款）的约定，向承包人提供施工场地内的工程地质图纸和报告，以及地下障碍物图纸等施工场地有关资料，并保证资料的真实、准确、完整。</w:t>
      </w:r>
    </w:p>
    <w:p>
      <w:pPr>
        <w:pStyle w:val="5"/>
        <w:ind w:left="0" w:leftChars="0" w:firstLine="0" w:firstLineChars="0"/>
        <w:rPr>
          <w:color w:val="auto"/>
          <w:sz w:val="24"/>
          <w:szCs w:val="24"/>
          <w:highlight w:val="none"/>
          <w:lang w:eastAsia="zh-CN"/>
        </w:rPr>
      </w:pPr>
      <w:bookmarkStart w:id="235" w:name="bookmark962"/>
      <w:bookmarkStart w:id="236" w:name="bookmark961"/>
      <w:bookmarkStart w:id="237" w:name="bookmark963"/>
      <w:bookmarkStart w:id="238" w:name="_Toc3862"/>
      <w:r>
        <w:rPr>
          <w:color w:val="auto"/>
          <w:sz w:val="24"/>
          <w:szCs w:val="24"/>
          <w:highlight w:val="none"/>
          <w:lang w:eastAsia="zh-CN"/>
        </w:rPr>
        <w:t>2.4协助承包人办理证件和批件</w:t>
      </w:r>
      <w:bookmarkEnd w:id="235"/>
      <w:bookmarkEnd w:id="236"/>
      <w:bookmarkEnd w:id="237"/>
      <w:bookmarkEnd w:id="238"/>
    </w:p>
    <w:p>
      <w:pPr>
        <w:pStyle w:val="47"/>
        <w:spacing w:after="240" w:line="363" w:lineRule="exact"/>
        <w:ind w:firstLine="420"/>
        <w:rPr>
          <w:color w:val="auto"/>
          <w:sz w:val="24"/>
          <w:szCs w:val="24"/>
          <w:highlight w:val="none"/>
        </w:rPr>
      </w:pPr>
      <w:r>
        <w:rPr>
          <w:color w:val="auto"/>
          <w:sz w:val="24"/>
          <w:szCs w:val="24"/>
          <w:highlight w:val="none"/>
        </w:rPr>
        <w:t>发包人应协助承包人办理法律规定的有关施工证件和批件。</w:t>
      </w:r>
    </w:p>
    <w:p>
      <w:pPr>
        <w:pStyle w:val="5"/>
        <w:ind w:left="0" w:leftChars="0" w:firstLine="0" w:firstLineChars="0"/>
        <w:rPr>
          <w:color w:val="auto"/>
          <w:sz w:val="24"/>
          <w:szCs w:val="24"/>
          <w:highlight w:val="none"/>
          <w:lang w:eastAsia="zh-CN"/>
        </w:rPr>
      </w:pPr>
      <w:bookmarkStart w:id="239" w:name="bookmark965"/>
      <w:bookmarkStart w:id="240" w:name="bookmark966"/>
      <w:bookmarkStart w:id="241" w:name="bookmark964"/>
      <w:bookmarkStart w:id="242" w:name="_Toc27327"/>
      <w:r>
        <w:rPr>
          <w:color w:val="auto"/>
          <w:sz w:val="24"/>
          <w:szCs w:val="24"/>
          <w:highlight w:val="none"/>
          <w:lang w:eastAsia="zh-CN"/>
        </w:rPr>
        <w:t>2.5组织设计交底</w:t>
      </w:r>
      <w:bookmarkEnd w:id="239"/>
      <w:bookmarkEnd w:id="240"/>
      <w:bookmarkEnd w:id="241"/>
      <w:bookmarkEnd w:id="242"/>
    </w:p>
    <w:p>
      <w:pPr>
        <w:pStyle w:val="47"/>
        <w:spacing w:after="240" w:line="363" w:lineRule="exact"/>
        <w:ind w:firstLine="420"/>
        <w:rPr>
          <w:color w:val="auto"/>
          <w:sz w:val="24"/>
          <w:szCs w:val="24"/>
          <w:highlight w:val="none"/>
        </w:rPr>
      </w:pPr>
      <w:r>
        <w:rPr>
          <w:color w:val="auto"/>
          <w:sz w:val="24"/>
          <w:szCs w:val="24"/>
          <w:highlight w:val="none"/>
        </w:rPr>
        <w:t>发包人应根据合同进度计划，组织设计单位向承包人进行设计交底。</w:t>
      </w:r>
    </w:p>
    <w:p>
      <w:pPr>
        <w:pStyle w:val="5"/>
        <w:ind w:left="0" w:leftChars="0" w:firstLine="0" w:firstLineChars="0"/>
        <w:rPr>
          <w:color w:val="auto"/>
          <w:sz w:val="24"/>
          <w:szCs w:val="24"/>
          <w:highlight w:val="none"/>
          <w:lang w:eastAsia="zh-CN"/>
        </w:rPr>
      </w:pPr>
      <w:bookmarkStart w:id="243" w:name="bookmark967"/>
      <w:bookmarkStart w:id="244" w:name="bookmark968"/>
      <w:bookmarkStart w:id="245" w:name="_Toc15125"/>
      <w:bookmarkStart w:id="246" w:name="bookmark969"/>
      <w:r>
        <w:rPr>
          <w:color w:val="auto"/>
          <w:sz w:val="24"/>
          <w:szCs w:val="24"/>
          <w:highlight w:val="none"/>
          <w:lang w:eastAsia="zh-CN"/>
        </w:rPr>
        <w:t>2.6支付合同价款</w:t>
      </w:r>
      <w:bookmarkEnd w:id="243"/>
      <w:bookmarkEnd w:id="244"/>
      <w:bookmarkEnd w:id="245"/>
      <w:bookmarkEnd w:id="246"/>
    </w:p>
    <w:p>
      <w:pPr>
        <w:pStyle w:val="47"/>
        <w:spacing w:after="240" w:line="363" w:lineRule="exact"/>
        <w:ind w:firstLine="420"/>
        <w:rPr>
          <w:color w:val="auto"/>
          <w:sz w:val="24"/>
          <w:szCs w:val="24"/>
          <w:highlight w:val="none"/>
        </w:rPr>
      </w:pPr>
      <w:r>
        <w:rPr>
          <w:color w:val="auto"/>
          <w:sz w:val="24"/>
          <w:szCs w:val="24"/>
          <w:highlight w:val="none"/>
        </w:rPr>
        <w:t>发包人应按合同约定向承包人及时支付合同价款。</w:t>
      </w:r>
    </w:p>
    <w:p>
      <w:pPr>
        <w:pStyle w:val="5"/>
        <w:ind w:left="0" w:leftChars="0" w:firstLine="0" w:firstLineChars="0"/>
        <w:rPr>
          <w:color w:val="auto"/>
          <w:sz w:val="24"/>
          <w:szCs w:val="24"/>
          <w:highlight w:val="none"/>
          <w:lang w:eastAsia="zh-CN"/>
        </w:rPr>
      </w:pPr>
      <w:bookmarkStart w:id="247" w:name="bookmark971"/>
      <w:bookmarkStart w:id="248" w:name="bookmark972"/>
      <w:bookmarkStart w:id="249" w:name="bookmark970"/>
      <w:bookmarkStart w:id="250" w:name="_Toc14608"/>
      <w:r>
        <w:rPr>
          <w:color w:val="auto"/>
          <w:sz w:val="24"/>
          <w:szCs w:val="24"/>
          <w:highlight w:val="none"/>
          <w:lang w:eastAsia="zh-CN"/>
        </w:rPr>
        <w:t>2.7组织竣工验收（组织法人验收）</w:t>
      </w:r>
      <w:bookmarkEnd w:id="247"/>
      <w:bookmarkEnd w:id="248"/>
      <w:bookmarkEnd w:id="249"/>
      <w:bookmarkEnd w:id="250"/>
    </w:p>
    <w:p>
      <w:pPr>
        <w:pStyle w:val="47"/>
        <w:spacing w:after="120" w:line="360" w:lineRule="exact"/>
        <w:ind w:firstLine="420"/>
        <w:rPr>
          <w:color w:val="auto"/>
          <w:sz w:val="24"/>
          <w:szCs w:val="24"/>
          <w:highlight w:val="none"/>
        </w:rPr>
      </w:pPr>
      <w:r>
        <w:rPr>
          <w:color w:val="auto"/>
          <w:sz w:val="24"/>
          <w:szCs w:val="24"/>
          <w:highlight w:val="none"/>
        </w:rPr>
        <w:t>发包人应按合同约定及时组织法人验收。</w:t>
      </w:r>
    </w:p>
    <w:p>
      <w:pPr>
        <w:pStyle w:val="5"/>
        <w:ind w:left="0" w:leftChars="0" w:firstLine="0" w:firstLineChars="0"/>
        <w:rPr>
          <w:color w:val="auto"/>
          <w:sz w:val="24"/>
          <w:szCs w:val="24"/>
          <w:highlight w:val="none"/>
          <w:lang w:eastAsia="zh-CN"/>
        </w:rPr>
      </w:pPr>
      <w:bookmarkStart w:id="251" w:name="bookmark973"/>
      <w:bookmarkStart w:id="252" w:name="bookmark974"/>
      <w:bookmarkStart w:id="253" w:name="bookmark975"/>
      <w:bookmarkStart w:id="254" w:name="_Toc26461"/>
      <w:r>
        <w:rPr>
          <w:color w:val="auto"/>
          <w:sz w:val="24"/>
          <w:szCs w:val="24"/>
          <w:highlight w:val="none"/>
          <w:lang w:eastAsia="zh-CN"/>
        </w:rPr>
        <w:t>2.8其它义务</w:t>
      </w:r>
      <w:bookmarkEnd w:id="251"/>
      <w:bookmarkEnd w:id="252"/>
      <w:bookmarkEnd w:id="253"/>
      <w:bookmarkEnd w:id="254"/>
    </w:p>
    <w:p>
      <w:pPr>
        <w:pStyle w:val="47"/>
        <w:spacing w:after="280" w:line="360" w:lineRule="exact"/>
        <w:ind w:firstLine="420"/>
        <w:rPr>
          <w:color w:val="auto"/>
          <w:sz w:val="24"/>
          <w:szCs w:val="24"/>
          <w:highlight w:val="none"/>
        </w:rPr>
      </w:pPr>
      <w:r>
        <w:rPr>
          <w:color w:val="auto"/>
          <w:sz w:val="24"/>
          <w:szCs w:val="24"/>
          <w:highlight w:val="none"/>
        </w:rPr>
        <w:t>其它义务在专用合同条款中补充约定。</w:t>
      </w:r>
    </w:p>
    <w:p>
      <w:pPr>
        <w:pStyle w:val="4"/>
        <w:spacing w:line="360" w:lineRule="exact"/>
        <w:rPr>
          <w:rFonts w:hint="eastAsia"/>
          <w:color w:val="auto"/>
          <w:sz w:val="24"/>
          <w:szCs w:val="24"/>
          <w:highlight w:val="none"/>
          <w:lang w:eastAsia="zh-CN"/>
        </w:rPr>
      </w:pPr>
      <w:bookmarkStart w:id="255" w:name="_Toc696484498"/>
      <w:bookmarkStart w:id="256" w:name="bookmark978"/>
      <w:bookmarkStart w:id="257" w:name="_Toc9610"/>
      <w:bookmarkStart w:id="258" w:name="bookmark976"/>
      <w:bookmarkStart w:id="259" w:name="_Toc17454"/>
      <w:bookmarkStart w:id="260" w:name="bookmark977"/>
      <w:r>
        <w:rPr>
          <w:rFonts w:hint="eastAsia"/>
          <w:color w:val="auto"/>
          <w:sz w:val="24"/>
          <w:szCs w:val="24"/>
          <w:highlight w:val="none"/>
          <w:lang w:eastAsia="zh-CN"/>
        </w:rPr>
        <w:t>3.监理人</w:t>
      </w:r>
      <w:bookmarkEnd w:id="255"/>
      <w:bookmarkEnd w:id="256"/>
      <w:bookmarkEnd w:id="257"/>
      <w:bookmarkEnd w:id="258"/>
      <w:bookmarkEnd w:id="259"/>
      <w:bookmarkEnd w:id="260"/>
    </w:p>
    <w:p>
      <w:pPr>
        <w:pStyle w:val="5"/>
        <w:ind w:left="0" w:leftChars="0" w:firstLine="0" w:firstLineChars="0"/>
        <w:rPr>
          <w:color w:val="auto"/>
          <w:sz w:val="24"/>
          <w:szCs w:val="24"/>
          <w:highlight w:val="none"/>
          <w:lang w:eastAsia="zh-CN"/>
        </w:rPr>
      </w:pPr>
      <w:bookmarkStart w:id="261" w:name="bookmark979"/>
      <w:bookmarkStart w:id="262" w:name="bookmark980"/>
      <w:bookmarkStart w:id="263" w:name="bookmark981"/>
      <w:bookmarkStart w:id="264" w:name="_Toc5442"/>
      <w:r>
        <w:rPr>
          <w:color w:val="auto"/>
          <w:sz w:val="24"/>
          <w:szCs w:val="24"/>
          <w:highlight w:val="none"/>
          <w:lang w:eastAsia="zh-CN"/>
        </w:rPr>
        <w:t>3.1监理人的职责和权利</w:t>
      </w:r>
      <w:bookmarkEnd w:id="261"/>
      <w:bookmarkEnd w:id="262"/>
      <w:bookmarkEnd w:id="263"/>
      <w:bookmarkEnd w:id="264"/>
    </w:p>
    <w:p>
      <w:pPr>
        <w:pStyle w:val="47"/>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3.1.1</w:t>
      </w:r>
      <w:r>
        <w:rPr>
          <w:color w:val="auto"/>
          <w:sz w:val="24"/>
          <w:szCs w:val="24"/>
          <w:highlight w:val="none"/>
        </w:rPr>
        <w:t>监理人受发包人的委托，享有合同约定的权力。监理人的权力范围在专用合同条款中约定。当监理人认为出现了危及生命、工程或毗邻财产等安全的紧急事件时，在不免除合同约定的承包人责任的情况下，监理人可以指示承包人实施为消除或减少这种危险 所必须进行的工作，即使没有发包人的事先批准，承包人也应立即遵照执行。监理人应按 第</w:t>
      </w:r>
      <w:r>
        <w:rPr>
          <w:rFonts w:ascii="Times New Roman" w:hAnsi="Times New Roman" w:eastAsia="Times New Roman" w:cs="Times New Roman"/>
          <w:color w:val="auto"/>
          <w:sz w:val="24"/>
          <w:szCs w:val="24"/>
          <w:highlight w:val="none"/>
        </w:rPr>
        <w:t>15</w:t>
      </w:r>
      <w:r>
        <w:rPr>
          <w:color w:val="auto"/>
          <w:sz w:val="24"/>
          <w:szCs w:val="24"/>
          <w:highlight w:val="none"/>
        </w:rPr>
        <w:t>条的约定增加相应的费用，并通知承包人。</w:t>
      </w:r>
    </w:p>
    <w:p>
      <w:pPr>
        <w:pStyle w:val="47"/>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3.1.2</w:t>
      </w:r>
      <w:r>
        <w:rPr>
          <w:color w:val="auto"/>
          <w:sz w:val="24"/>
          <w:szCs w:val="24"/>
          <w:highlight w:val="none"/>
        </w:rPr>
        <w:t>监理人发出的任何指示应视为已得到发包人的批准，但监理人无权免除或变更合同约定的发包人和承包人的权利、义务和责任。</w:t>
      </w:r>
    </w:p>
    <w:p>
      <w:pPr>
        <w:pStyle w:val="47"/>
        <w:spacing w:after="120"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3.1.3</w:t>
      </w:r>
      <w:r>
        <w:rPr>
          <w:color w:val="auto"/>
          <w:sz w:val="24"/>
          <w:szCs w:val="24"/>
          <w:highlight w:val="none"/>
        </w:rPr>
        <w:t>合同约定应由承包人承担的义务和责任，不因监理人对承包人提交文件的审查或批准，对工程、材料和设备的检查和检验，以及为实施监理作出的指示等职务行为而减轻或解除。</w:t>
      </w:r>
    </w:p>
    <w:p>
      <w:pPr>
        <w:pStyle w:val="5"/>
        <w:ind w:left="0" w:leftChars="0" w:firstLine="0" w:firstLineChars="0"/>
        <w:rPr>
          <w:color w:val="auto"/>
          <w:sz w:val="24"/>
          <w:szCs w:val="24"/>
          <w:highlight w:val="none"/>
          <w:lang w:eastAsia="zh-CN"/>
        </w:rPr>
      </w:pPr>
      <w:bookmarkStart w:id="265" w:name="_Toc20317"/>
      <w:bookmarkStart w:id="266" w:name="bookmark982"/>
      <w:bookmarkStart w:id="267" w:name="bookmark983"/>
      <w:bookmarkStart w:id="268" w:name="bookmark984"/>
      <w:r>
        <w:rPr>
          <w:color w:val="auto"/>
          <w:sz w:val="24"/>
          <w:szCs w:val="24"/>
          <w:highlight w:val="none"/>
          <w:lang w:eastAsia="zh-CN"/>
        </w:rPr>
        <w:t>3.2总监理工程师</w:t>
      </w:r>
      <w:bookmarkEnd w:id="265"/>
      <w:bookmarkEnd w:id="266"/>
      <w:bookmarkEnd w:id="267"/>
      <w:bookmarkEnd w:id="268"/>
    </w:p>
    <w:p>
      <w:pPr>
        <w:pStyle w:val="47"/>
        <w:spacing w:after="120" w:line="354" w:lineRule="exact"/>
        <w:ind w:firstLine="420"/>
        <w:jc w:val="both"/>
        <w:rPr>
          <w:color w:val="auto"/>
          <w:sz w:val="24"/>
          <w:szCs w:val="24"/>
          <w:highlight w:val="none"/>
        </w:rPr>
      </w:pPr>
      <w:r>
        <w:rPr>
          <w:color w:val="auto"/>
          <w:sz w:val="24"/>
          <w:szCs w:val="24"/>
          <w:highlight w:val="none"/>
        </w:rPr>
        <w:t>发包人应在发出开工通知前将总监理工程师的任命通知承包人。总监理工程师更换时, 应在调离</w:t>
      </w:r>
      <w:r>
        <w:rPr>
          <w:rFonts w:ascii="Times New Roman" w:hAnsi="Times New Roman" w:eastAsia="Times New Roman" w:cs="Times New Roman"/>
          <w:color w:val="auto"/>
          <w:sz w:val="24"/>
          <w:szCs w:val="24"/>
          <w:highlight w:val="none"/>
        </w:rPr>
        <w:t>14</w:t>
      </w:r>
      <w:r>
        <w:rPr>
          <w:color w:val="auto"/>
          <w:sz w:val="24"/>
          <w:szCs w:val="24"/>
          <w:highlight w:val="none"/>
        </w:rPr>
        <w:t>天前通知承包人。总监理工程师短期离开施工场地的，应委派代表代行其职 责，并通知承包人。</w:t>
      </w:r>
    </w:p>
    <w:p>
      <w:pPr>
        <w:pStyle w:val="5"/>
        <w:ind w:left="0" w:leftChars="0" w:firstLine="0" w:firstLineChars="0"/>
        <w:rPr>
          <w:color w:val="auto"/>
          <w:sz w:val="24"/>
          <w:szCs w:val="24"/>
          <w:highlight w:val="none"/>
          <w:lang w:eastAsia="zh-CN"/>
        </w:rPr>
      </w:pPr>
      <w:bookmarkStart w:id="269" w:name="bookmark987"/>
      <w:bookmarkStart w:id="270" w:name="_Toc11573"/>
      <w:bookmarkStart w:id="271" w:name="bookmark986"/>
      <w:bookmarkStart w:id="272" w:name="bookmark985"/>
      <w:r>
        <w:rPr>
          <w:color w:val="auto"/>
          <w:sz w:val="24"/>
          <w:szCs w:val="24"/>
          <w:highlight w:val="none"/>
          <w:lang w:eastAsia="zh-CN"/>
        </w:rPr>
        <w:t>3.3监理人员</w:t>
      </w:r>
      <w:bookmarkEnd w:id="269"/>
      <w:bookmarkEnd w:id="270"/>
      <w:bookmarkEnd w:id="271"/>
      <w:bookmarkEnd w:id="272"/>
    </w:p>
    <w:p>
      <w:pPr>
        <w:pStyle w:val="47"/>
        <w:spacing w:line="361" w:lineRule="exact"/>
        <w:ind w:firstLine="420"/>
        <w:jc w:val="both"/>
        <w:rPr>
          <w:color w:val="auto"/>
          <w:sz w:val="24"/>
          <w:szCs w:val="24"/>
          <w:highlight w:val="none"/>
        </w:rPr>
      </w:pPr>
      <w:bookmarkStart w:id="273" w:name="bookmark988"/>
      <w:bookmarkEnd w:id="273"/>
      <w:r>
        <w:rPr>
          <w:rFonts w:ascii="Times New Roman" w:hAnsi="Times New Roman" w:cs="Times New Roman"/>
          <w:color w:val="auto"/>
          <w:sz w:val="24"/>
          <w:szCs w:val="24"/>
          <w:highlight w:val="none"/>
        </w:rPr>
        <w:t>3.3.1</w:t>
      </w:r>
      <w:r>
        <w:rPr>
          <w:color w:val="auto"/>
          <w:sz w:val="24"/>
          <w:szCs w:val="24"/>
          <w:highlight w:val="none"/>
        </w:rPr>
        <w:t>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pPr>
        <w:pStyle w:val="47"/>
        <w:spacing w:line="361"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3.3.2</w:t>
      </w:r>
      <w:r>
        <w:rPr>
          <w:color w:val="auto"/>
          <w:sz w:val="24"/>
          <w:szCs w:val="24"/>
          <w:highlight w:val="none"/>
        </w:rPr>
        <w:t>监理人员对承包人的任何工作、工程或其采用的材料和工程设备未在约定的或合理的期限内提出否定意见的，视为已获批准，但不影响监理人在以后拒绝该项工作、工程、材料或工程设备的权利。</w:t>
      </w:r>
    </w:p>
    <w:p>
      <w:pPr>
        <w:pStyle w:val="47"/>
        <w:spacing w:line="361"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3.3.3</w:t>
      </w:r>
      <w:r>
        <w:rPr>
          <w:color w:val="auto"/>
          <w:sz w:val="24"/>
          <w:szCs w:val="24"/>
          <w:highlight w:val="none"/>
        </w:rPr>
        <w:t>承包人对总监理工程师授权的监理人员发出的指示有疑问的，可向总监理工程师提出书面异议，总监理工程师应在</w:t>
      </w:r>
      <w:r>
        <w:rPr>
          <w:rFonts w:ascii="Times New Roman" w:hAnsi="Times New Roman" w:eastAsia="Times New Roman" w:cs="Times New Roman"/>
          <w:color w:val="auto"/>
          <w:sz w:val="24"/>
          <w:szCs w:val="24"/>
          <w:highlight w:val="none"/>
        </w:rPr>
        <w:t>48</w:t>
      </w:r>
      <w:r>
        <w:rPr>
          <w:color w:val="auto"/>
          <w:sz w:val="24"/>
          <w:szCs w:val="24"/>
          <w:highlight w:val="none"/>
        </w:rPr>
        <w:t>小时内对该指示予以确认、更改或撤销。</w:t>
      </w:r>
    </w:p>
    <w:p>
      <w:pPr>
        <w:pStyle w:val="47"/>
        <w:spacing w:after="240" w:line="361" w:lineRule="exact"/>
        <w:ind w:firstLine="420"/>
        <w:jc w:val="both"/>
        <w:rPr>
          <w:color w:val="auto"/>
          <w:sz w:val="24"/>
          <w:szCs w:val="24"/>
          <w:highlight w:val="none"/>
        </w:rPr>
      </w:pPr>
      <w:bookmarkStart w:id="274" w:name="bookmark989"/>
      <w:bookmarkEnd w:id="274"/>
      <w:r>
        <w:rPr>
          <w:rFonts w:ascii="Times New Roman" w:hAnsi="Times New Roman" w:cs="Times New Roman"/>
          <w:color w:val="auto"/>
          <w:sz w:val="24"/>
          <w:szCs w:val="24"/>
          <w:highlight w:val="none"/>
        </w:rPr>
        <w:t>3.3.4</w:t>
      </w:r>
      <w:r>
        <w:rPr>
          <w:color w:val="auto"/>
          <w:sz w:val="24"/>
          <w:szCs w:val="24"/>
          <w:highlight w:val="none"/>
        </w:rPr>
        <w:t>除专用合同条款另有约定外，总监理工程师不应将第3. 5款约定应由总监理工程师作出确定的权力授权或委托给其他监理人员。</w:t>
      </w:r>
    </w:p>
    <w:p>
      <w:pPr>
        <w:pStyle w:val="5"/>
        <w:ind w:left="0" w:leftChars="0" w:firstLine="0" w:firstLineChars="0"/>
        <w:rPr>
          <w:color w:val="auto"/>
          <w:sz w:val="24"/>
          <w:szCs w:val="24"/>
          <w:highlight w:val="none"/>
          <w:lang w:eastAsia="zh-CN"/>
        </w:rPr>
      </w:pPr>
      <w:bookmarkStart w:id="275" w:name="bookmark991"/>
      <w:bookmarkStart w:id="276" w:name="_Toc29343"/>
      <w:bookmarkStart w:id="277" w:name="bookmark992"/>
      <w:bookmarkStart w:id="278" w:name="bookmark990"/>
      <w:r>
        <w:rPr>
          <w:color w:val="auto"/>
          <w:sz w:val="24"/>
          <w:szCs w:val="24"/>
          <w:highlight w:val="none"/>
          <w:lang w:eastAsia="zh-CN"/>
        </w:rPr>
        <w:t>3.4监理人的指示</w:t>
      </w:r>
      <w:bookmarkEnd w:id="275"/>
      <w:bookmarkEnd w:id="276"/>
      <w:bookmarkEnd w:id="277"/>
      <w:bookmarkEnd w:id="278"/>
    </w:p>
    <w:p>
      <w:pPr>
        <w:pStyle w:val="47"/>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w:t>
      </w:r>
      <w:r>
        <w:rPr>
          <w:rFonts w:ascii="Times New Roman" w:hAnsi="Times New Roman" w:eastAsia="Times New Roman" w:cs="Times New Roman"/>
          <w:color w:val="auto"/>
          <w:sz w:val="24"/>
          <w:szCs w:val="24"/>
          <w:highlight w:val="none"/>
        </w:rPr>
        <w:t>1</w:t>
      </w:r>
      <w:r>
        <w:rPr>
          <w:color w:val="auto"/>
          <w:sz w:val="24"/>
          <w:szCs w:val="24"/>
          <w:highlight w:val="none"/>
        </w:rPr>
        <w:t>监理人应按第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1</w:t>
      </w:r>
      <w:r>
        <w:rPr>
          <w:color w:val="auto"/>
          <w:sz w:val="24"/>
          <w:szCs w:val="24"/>
          <w:highlight w:val="none"/>
        </w:rPr>
        <w:t>款的约定向承包人发出指示，监理人的指示应盖有监理人授权的施工场地机构章，并由总监理工程师或总监理工程师按第</w:t>
      </w:r>
      <w:r>
        <w:rPr>
          <w:rFonts w:ascii="Times New Roman" w:hAnsi="Times New Roman" w:eastAsia="Times New Roman" w:cs="Times New Roman"/>
          <w:color w:val="auto"/>
          <w:sz w:val="24"/>
          <w:szCs w:val="24"/>
          <w:highlight w:val="none"/>
          <w:lang w:val="en-US" w:bidi="en-US"/>
        </w:rPr>
        <w:t xml:space="preserve">3. 3. </w:t>
      </w:r>
      <w:r>
        <w:rPr>
          <w:rFonts w:ascii="Times New Roman" w:hAnsi="Times New Roman" w:eastAsia="Times New Roman" w:cs="Times New Roman"/>
          <w:color w:val="auto"/>
          <w:sz w:val="24"/>
          <w:szCs w:val="24"/>
          <w:highlight w:val="none"/>
        </w:rPr>
        <w:t>1</w:t>
      </w:r>
      <w:r>
        <w:rPr>
          <w:color w:val="auto"/>
          <w:sz w:val="24"/>
          <w:szCs w:val="24"/>
          <w:highlight w:val="none"/>
        </w:rPr>
        <w:t>项约定授权的监理人员签字</w:t>
      </w:r>
      <w:r>
        <w:rPr>
          <w:color w:val="auto"/>
          <w:sz w:val="24"/>
          <w:szCs w:val="24"/>
          <w:highlight w:val="none"/>
          <w:lang w:val="en-US" w:bidi="en-US"/>
        </w:rPr>
        <w:t>。</w:t>
      </w:r>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3.4.2</w:t>
      </w:r>
      <w:r>
        <w:rPr>
          <w:color w:val="auto"/>
          <w:sz w:val="24"/>
          <w:szCs w:val="24"/>
          <w:highlight w:val="none"/>
        </w:rPr>
        <w:t>承包人收到监理人按第</w:t>
      </w:r>
      <w:r>
        <w:rPr>
          <w:rFonts w:ascii="Times New Roman" w:hAnsi="Times New Roman" w:eastAsia="Times New Roman" w:cs="Times New Roman"/>
          <w:color w:val="auto"/>
          <w:sz w:val="24"/>
          <w:szCs w:val="24"/>
          <w:highlight w:val="none"/>
          <w:lang w:val="en-US" w:bidi="en-US"/>
        </w:rPr>
        <w:t>3. 4.1</w:t>
      </w:r>
      <w:r>
        <w:rPr>
          <w:color w:val="auto"/>
          <w:sz w:val="24"/>
          <w:szCs w:val="24"/>
          <w:highlight w:val="none"/>
        </w:rPr>
        <w:t>项作出的指示后应遵照执行。指示构成变更的，应按第</w:t>
      </w:r>
      <w:r>
        <w:rPr>
          <w:rFonts w:ascii="Times New Roman" w:hAnsi="Times New Roman" w:eastAsia="Times New Roman" w:cs="Times New Roman"/>
          <w:color w:val="auto"/>
          <w:sz w:val="24"/>
          <w:szCs w:val="24"/>
          <w:highlight w:val="none"/>
        </w:rPr>
        <w:t>15</w:t>
      </w:r>
      <w:r>
        <w:rPr>
          <w:color w:val="auto"/>
          <w:sz w:val="24"/>
          <w:szCs w:val="24"/>
          <w:highlight w:val="none"/>
        </w:rPr>
        <w:t>条处理。</w:t>
      </w:r>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3.4.3</w:t>
      </w:r>
      <w:r>
        <w:rPr>
          <w:color w:val="auto"/>
          <w:sz w:val="24"/>
          <w:szCs w:val="24"/>
          <w:highlight w:val="none"/>
        </w:rPr>
        <w:t>在紧急情况下，总监理工程师或被授权的监理人员可以当场签发临时书面指示，承包人应遵照执行。承包人应在收到上述临时书面指示后</w:t>
      </w:r>
      <w:r>
        <w:rPr>
          <w:rFonts w:ascii="Times New Roman" w:hAnsi="Times New Roman" w:eastAsia="Times New Roman" w:cs="Times New Roman"/>
          <w:color w:val="auto"/>
          <w:sz w:val="24"/>
          <w:szCs w:val="24"/>
          <w:highlight w:val="none"/>
        </w:rPr>
        <w:t>24</w:t>
      </w:r>
      <w:r>
        <w:rPr>
          <w:color w:val="auto"/>
          <w:sz w:val="24"/>
          <w:szCs w:val="24"/>
          <w:highlight w:val="none"/>
        </w:rPr>
        <w:t>小时内，向监理人发出书 面确认函。监理人在收到书面确认函后</w:t>
      </w:r>
      <w:r>
        <w:rPr>
          <w:rFonts w:ascii="Times New Roman" w:hAnsi="Times New Roman" w:eastAsia="Times New Roman" w:cs="Times New Roman"/>
          <w:color w:val="auto"/>
          <w:sz w:val="24"/>
          <w:szCs w:val="24"/>
          <w:highlight w:val="none"/>
        </w:rPr>
        <w:t>24</w:t>
      </w:r>
      <w:r>
        <w:rPr>
          <w:color w:val="auto"/>
          <w:sz w:val="24"/>
          <w:szCs w:val="24"/>
          <w:highlight w:val="none"/>
        </w:rPr>
        <w:t>小时内未予答复的，该书面确认函应被视为监理人的正式指示。</w:t>
      </w:r>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3.4.4</w:t>
      </w:r>
      <w:r>
        <w:rPr>
          <w:color w:val="auto"/>
          <w:sz w:val="24"/>
          <w:szCs w:val="24"/>
          <w:highlight w:val="none"/>
        </w:rPr>
        <w:t>除合同另有约定外，承包人只从总监理工程师或按第</w:t>
      </w:r>
      <w:r>
        <w:rPr>
          <w:rFonts w:ascii="Times New Roman" w:hAnsi="Times New Roman" w:eastAsia="Times New Roman" w:cs="Times New Roman"/>
          <w:color w:val="auto"/>
          <w:sz w:val="24"/>
          <w:szCs w:val="24"/>
          <w:highlight w:val="none"/>
          <w:lang w:val="en-US" w:bidi="en-US"/>
        </w:rPr>
        <w:t xml:space="preserve">3. 3. </w:t>
      </w:r>
      <w:r>
        <w:rPr>
          <w:rFonts w:ascii="Times New Roman" w:hAnsi="Times New Roman" w:eastAsia="Times New Roman" w:cs="Times New Roman"/>
          <w:color w:val="auto"/>
          <w:sz w:val="24"/>
          <w:szCs w:val="24"/>
          <w:highlight w:val="none"/>
        </w:rPr>
        <w:t>1</w:t>
      </w:r>
      <w:r>
        <w:rPr>
          <w:color w:val="auto"/>
          <w:sz w:val="24"/>
          <w:szCs w:val="24"/>
          <w:highlight w:val="none"/>
        </w:rPr>
        <w:t>项被授权的监理人员处取得指示。</w:t>
      </w:r>
    </w:p>
    <w:p>
      <w:pPr>
        <w:pStyle w:val="47"/>
        <w:spacing w:after="120"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3.4.5</w:t>
      </w:r>
      <w:r>
        <w:rPr>
          <w:color w:val="auto"/>
          <w:sz w:val="24"/>
          <w:szCs w:val="24"/>
          <w:highlight w:val="none"/>
        </w:rPr>
        <w:t>由于监理人未能按合同约定发出指示、指示延误或指示错误而导致承包人费用增加和（或）工期延误的，由发包人承担赔偿责任。</w:t>
      </w:r>
    </w:p>
    <w:p>
      <w:pPr>
        <w:pStyle w:val="5"/>
        <w:ind w:left="0" w:leftChars="0" w:firstLine="0" w:firstLineChars="0"/>
        <w:rPr>
          <w:color w:val="auto"/>
          <w:sz w:val="24"/>
          <w:szCs w:val="24"/>
          <w:highlight w:val="none"/>
          <w:lang w:eastAsia="zh-CN"/>
        </w:rPr>
      </w:pPr>
      <w:bookmarkStart w:id="279" w:name="_Toc15164"/>
      <w:bookmarkStart w:id="280" w:name="bookmark994"/>
      <w:bookmarkStart w:id="281" w:name="bookmark995"/>
      <w:bookmarkStart w:id="282" w:name="bookmark993"/>
      <w:r>
        <w:rPr>
          <w:color w:val="auto"/>
          <w:sz w:val="24"/>
          <w:szCs w:val="24"/>
          <w:highlight w:val="none"/>
          <w:lang w:eastAsia="zh-CN"/>
        </w:rPr>
        <w:t>3.5商定或确定</w:t>
      </w:r>
      <w:bookmarkEnd w:id="279"/>
      <w:bookmarkEnd w:id="280"/>
      <w:bookmarkEnd w:id="281"/>
      <w:bookmarkEnd w:id="282"/>
    </w:p>
    <w:p>
      <w:pPr>
        <w:pStyle w:val="47"/>
        <w:spacing w:line="36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3.5.1</w:t>
      </w:r>
      <w:r>
        <w:rPr>
          <w:color w:val="auto"/>
          <w:sz w:val="24"/>
          <w:szCs w:val="24"/>
          <w:highlight w:val="none"/>
        </w:rPr>
        <w:t>合同约定总监理工程师应按照本款对任何事项进行商定或确定时，总监理工程师应与合同当事人协商，尽量达成一致。不能达成一致的，总监理工程师应认真研究后审慎确定。</w:t>
      </w:r>
    </w:p>
    <w:p>
      <w:pPr>
        <w:pStyle w:val="47"/>
        <w:spacing w:after="280"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3.5.2</w:t>
      </w:r>
      <w:r>
        <w:rPr>
          <w:color w:val="auto"/>
          <w:sz w:val="24"/>
          <w:szCs w:val="24"/>
          <w:highlight w:val="none"/>
        </w:rPr>
        <w:t>总监理工程师应将商定或确定的事项通知合同当事人，并附详细依据。对总监理工程师的确定有异议的，构成争议，按照第</w:t>
      </w:r>
      <w:r>
        <w:rPr>
          <w:rFonts w:ascii="Times New Roman" w:hAnsi="Times New Roman" w:eastAsia="Times New Roman" w:cs="Times New Roman"/>
          <w:color w:val="auto"/>
          <w:sz w:val="24"/>
          <w:szCs w:val="24"/>
          <w:highlight w:val="none"/>
        </w:rPr>
        <w:t>24</w:t>
      </w:r>
      <w:r>
        <w:rPr>
          <w:color w:val="auto"/>
          <w:sz w:val="24"/>
          <w:szCs w:val="24"/>
          <w:highlight w:val="none"/>
        </w:rPr>
        <w:t>条的约定处理。在争议解决前，双方应暂按总监理工程师的确定执行，按照第</w:t>
      </w:r>
      <w:r>
        <w:rPr>
          <w:rFonts w:ascii="Times New Roman" w:hAnsi="Times New Roman" w:eastAsia="Times New Roman" w:cs="Times New Roman"/>
          <w:color w:val="auto"/>
          <w:sz w:val="24"/>
          <w:szCs w:val="24"/>
          <w:highlight w:val="none"/>
        </w:rPr>
        <w:t>24</w:t>
      </w:r>
      <w:r>
        <w:rPr>
          <w:color w:val="auto"/>
          <w:sz w:val="24"/>
          <w:szCs w:val="24"/>
          <w:highlight w:val="none"/>
        </w:rPr>
        <w:t>条的约定对总监理工程师的确定作出修改的，按修 改后的结果执行</w:t>
      </w:r>
      <w:r>
        <w:rPr>
          <w:color w:val="auto"/>
          <w:sz w:val="24"/>
          <w:szCs w:val="24"/>
          <w:highlight w:val="none"/>
          <w:lang w:val="en-US" w:bidi="en-US"/>
        </w:rPr>
        <w:t>。</w:t>
      </w:r>
    </w:p>
    <w:p>
      <w:pPr>
        <w:pStyle w:val="4"/>
        <w:spacing w:line="360" w:lineRule="exact"/>
        <w:rPr>
          <w:rFonts w:hint="eastAsia"/>
          <w:color w:val="auto"/>
          <w:sz w:val="24"/>
          <w:szCs w:val="24"/>
          <w:highlight w:val="none"/>
          <w:lang w:eastAsia="zh-CN"/>
        </w:rPr>
      </w:pPr>
      <w:bookmarkStart w:id="283" w:name="bookmark998"/>
      <w:bookmarkStart w:id="284" w:name="_Toc32125"/>
      <w:bookmarkStart w:id="285" w:name="_Toc13765"/>
      <w:bookmarkStart w:id="286" w:name="_Toc407217945"/>
      <w:bookmarkStart w:id="287" w:name="bookmark997"/>
      <w:bookmarkStart w:id="288" w:name="bookmark996"/>
      <w:r>
        <w:rPr>
          <w:rFonts w:hint="eastAsia"/>
          <w:color w:val="auto"/>
          <w:sz w:val="24"/>
          <w:szCs w:val="24"/>
          <w:highlight w:val="none"/>
          <w:lang w:eastAsia="zh-CN"/>
        </w:rPr>
        <w:t>4.承包人</w:t>
      </w:r>
      <w:bookmarkEnd w:id="283"/>
      <w:bookmarkEnd w:id="284"/>
      <w:bookmarkEnd w:id="285"/>
      <w:bookmarkEnd w:id="286"/>
      <w:bookmarkEnd w:id="287"/>
      <w:bookmarkEnd w:id="288"/>
    </w:p>
    <w:p>
      <w:pPr>
        <w:pStyle w:val="5"/>
        <w:ind w:left="0" w:leftChars="0" w:firstLine="0" w:firstLineChars="0"/>
        <w:rPr>
          <w:color w:val="auto"/>
          <w:sz w:val="24"/>
          <w:szCs w:val="24"/>
          <w:highlight w:val="none"/>
          <w:lang w:eastAsia="zh-CN"/>
        </w:rPr>
      </w:pPr>
      <w:bookmarkStart w:id="289" w:name="bookmark999"/>
      <w:bookmarkStart w:id="290" w:name="bookmark1000"/>
      <w:bookmarkStart w:id="291" w:name="_Toc11324"/>
      <w:bookmarkStart w:id="292" w:name="bookmark1001"/>
      <w:r>
        <w:rPr>
          <w:color w:val="auto"/>
          <w:sz w:val="24"/>
          <w:szCs w:val="24"/>
          <w:highlight w:val="none"/>
          <w:lang w:eastAsia="zh-CN"/>
        </w:rPr>
        <w:t>4.1承包人的一般义务</w:t>
      </w:r>
      <w:bookmarkEnd w:id="289"/>
      <w:bookmarkEnd w:id="290"/>
      <w:bookmarkEnd w:id="291"/>
      <w:bookmarkEnd w:id="292"/>
    </w:p>
    <w:p>
      <w:pPr>
        <w:pStyle w:val="47"/>
        <w:spacing w:line="363"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4.1.1</w:t>
      </w:r>
      <w:r>
        <w:rPr>
          <w:rFonts w:ascii="Times New Roman" w:hAnsi="Times New Roman" w:cs="Times New Roman"/>
          <w:color w:val="auto"/>
          <w:sz w:val="24"/>
          <w:szCs w:val="24"/>
          <w:highlight w:val="none"/>
        </w:rPr>
        <w:t>遵守法律</w:t>
      </w:r>
    </w:p>
    <w:p>
      <w:pPr>
        <w:pStyle w:val="47"/>
        <w:spacing w:after="120" w:line="350"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承包人在履行合同过程中应遵守法律，并保证发包人免于承担因承包人违反法律而引起的任何责任。</w:t>
      </w:r>
    </w:p>
    <w:p>
      <w:pPr>
        <w:pStyle w:val="47"/>
        <w:spacing w:line="363" w:lineRule="exact"/>
        <w:ind w:firstLine="420"/>
        <w:jc w:val="both"/>
        <w:rPr>
          <w:rFonts w:ascii="Times New Roman" w:hAnsi="Times New Roman" w:cs="Times New Roman"/>
          <w:color w:val="auto"/>
          <w:sz w:val="24"/>
          <w:szCs w:val="24"/>
          <w:highlight w:val="none"/>
        </w:rPr>
      </w:pPr>
      <w:bookmarkStart w:id="293" w:name="bookmark1002"/>
      <w:bookmarkEnd w:id="293"/>
      <w:r>
        <w:rPr>
          <w:rFonts w:ascii="Times New Roman" w:hAnsi="Times New Roman" w:cs="Times New Roman"/>
          <w:color w:val="auto"/>
          <w:sz w:val="24"/>
          <w:szCs w:val="24"/>
          <w:highlight w:val="none"/>
          <w:lang w:val="en-US"/>
        </w:rPr>
        <w:t>4.1.2</w:t>
      </w:r>
      <w:r>
        <w:rPr>
          <w:rFonts w:ascii="Times New Roman" w:hAnsi="Times New Roman" w:cs="Times New Roman"/>
          <w:color w:val="auto"/>
          <w:sz w:val="24"/>
          <w:szCs w:val="24"/>
          <w:highlight w:val="none"/>
        </w:rPr>
        <w:t>依法纳税</w:t>
      </w:r>
    </w:p>
    <w:p>
      <w:pPr>
        <w:pStyle w:val="47"/>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承包人应按有关法律规定纳税，应缴纳的税金包括在合同价格内。</w:t>
      </w:r>
    </w:p>
    <w:p>
      <w:pPr>
        <w:pStyle w:val="47"/>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4.1.3</w:t>
      </w:r>
      <w:r>
        <w:rPr>
          <w:rFonts w:ascii="Times New Roman" w:hAnsi="Times New Roman" w:cs="Times New Roman"/>
          <w:color w:val="auto"/>
          <w:sz w:val="24"/>
          <w:szCs w:val="24"/>
          <w:highlight w:val="none"/>
        </w:rPr>
        <w:t>完成各项承包工作</w:t>
      </w:r>
    </w:p>
    <w:p>
      <w:pPr>
        <w:pStyle w:val="47"/>
        <w:spacing w:line="366" w:lineRule="exact"/>
        <w:ind w:firstLine="420"/>
        <w:jc w:val="both"/>
        <w:rPr>
          <w:color w:val="auto"/>
          <w:sz w:val="24"/>
          <w:szCs w:val="24"/>
          <w:highlight w:val="none"/>
        </w:rPr>
      </w:pPr>
      <w:r>
        <w:rPr>
          <w:rFonts w:ascii="Times New Roman" w:hAnsi="Times New Roman" w:cs="Times New Roman"/>
          <w:color w:val="auto"/>
          <w:sz w:val="24"/>
          <w:szCs w:val="24"/>
          <w:highlight w:val="none"/>
        </w:rPr>
        <w:t>承包人应按合同约定以及监理人根据第</w:t>
      </w:r>
      <w:r>
        <w:rPr>
          <w:rFonts w:ascii="Times New Roman" w:hAnsi="Times New Roman" w:eastAsia="Times New Roman" w:cs="Times New Roman"/>
          <w:color w:val="auto"/>
          <w:sz w:val="24"/>
          <w:szCs w:val="24"/>
          <w:highlight w:val="none"/>
          <w:lang w:val="en-US" w:bidi="en-US"/>
        </w:rPr>
        <w:t>3.4</w:t>
      </w:r>
      <w:r>
        <w:rPr>
          <w:rFonts w:ascii="Times New Roman" w:hAnsi="Times New Roman" w:cs="Times New Roman"/>
          <w:color w:val="auto"/>
          <w:sz w:val="24"/>
          <w:szCs w:val="24"/>
          <w:highlight w:val="none"/>
        </w:rPr>
        <w:t>款作出的指示，实施、完成全部工程，并修补工程中的任何缺陷。除第</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款、第</w:t>
      </w:r>
      <w:r>
        <w:rPr>
          <w:rFonts w:ascii="Times New Roman" w:hAnsi="Times New Roman" w:eastAsia="Times New Roman" w:cs="Times New Roman"/>
          <w:color w:val="auto"/>
          <w:sz w:val="24"/>
          <w:szCs w:val="24"/>
          <w:highlight w:val="none"/>
          <w:lang w:val="en-US" w:bidi="en-US"/>
        </w:rPr>
        <w:t xml:space="preserve">6.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款另</w:t>
      </w:r>
      <w:r>
        <w:rPr>
          <w:color w:val="auto"/>
          <w:sz w:val="24"/>
          <w:szCs w:val="24"/>
          <w:highlight w:val="none"/>
        </w:rPr>
        <w:t>有约定外，承包人应提供为完成合同工作所需的劳务、材料、施工设备、工程设备和其它物品，并按合同约定负责临时设施的设计、建造、运行、维护、管理和拆除。</w:t>
      </w:r>
    </w:p>
    <w:p>
      <w:pPr>
        <w:pStyle w:val="47"/>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4.1.4</w:t>
      </w:r>
      <w:r>
        <w:rPr>
          <w:rFonts w:ascii="Times New Roman" w:hAnsi="Times New Roman" w:cs="Times New Roman"/>
          <w:color w:val="auto"/>
          <w:sz w:val="24"/>
          <w:szCs w:val="24"/>
          <w:highlight w:val="none"/>
        </w:rPr>
        <w:t>对施工作业和施工方法的完备性负责</w:t>
      </w:r>
    </w:p>
    <w:p>
      <w:pPr>
        <w:pStyle w:val="47"/>
        <w:spacing w:line="360"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承包人应按合同约定的工作内容和施工进度要求，编制施工组织设计和施工措施计划，并对所有施工作业和施工方法的完备性和安全可靠性负责。</w:t>
      </w:r>
    </w:p>
    <w:p>
      <w:pPr>
        <w:pStyle w:val="47"/>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4.1.5</w:t>
      </w:r>
      <w:r>
        <w:rPr>
          <w:rFonts w:ascii="Times New Roman" w:hAnsi="Times New Roman" w:cs="Times New Roman"/>
          <w:color w:val="auto"/>
          <w:sz w:val="24"/>
          <w:szCs w:val="24"/>
          <w:highlight w:val="none"/>
        </w:rPr>
        <w:t>保证工程施工和人员的安全</w:t>
      </w:r>
    </w:p>
    <w:p>
      <w:pPr>
        <w:pStyle w:val="47"/>
        <w:spacing w:line="382"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承包人应按第</w:t>
      </w:r>
      <w:r>
        <w:rPr>
          <w:rFonts w:ascii="Times New Roman" w:hAnsi="Times New Roman" w:eastAsia="Times New Roman" w:cs="Times New Roman"/>
          <w:color w:val="auto"/>
          <w:sz w:val="24"/>
          <w:szCs w:val="24"/>
          <w:highlight w:val="none"/>
          <w:lang w:val="en-US" w:bidi="en-US"/>
        </w:rPr>
        <w:t xml:space="preserve">9.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款约定采取施工安全措施，确保工程及其人员、材料、设备和设施的安全，防止因工程施工造成的人身伤害和财产损失。</w:t>
      </w:r>
    </w:p>
    <w:p>
      <w:pPr>
        <w:pStyle w:val="47"/>
        <w:spacing w:line="363" w:lineRule="exact"/>
        <w:ind w:firstLine="420"/>
        <w:jc w:val="both"/>
        <w:rPr>
          <w:rFonts w:ascii="Times New Roman" w:hAnsi="Times New Roman" w:cs="Times New Roman"/>
          <w:color w:val="auto"/>
          <w:sz w:val="24"/>
          <w:szCs w:val="24"/>
          <w:highlight w:val="none"/>
        </w:rPr>
      </w:pPr>
      <w:bookmarkStart w:id="294" w:name="bookmark1003"/>
      <w:bookmarkEnd w:id="294"/>
      <w:r>
        <w:rPr>
          <w:rFonts w:ascii="Times New Roman" w:hAnsi="Times New Roman" w:cs="Times New Roman"/>
          <w:color w:val="auto"/>
          <w:sz w:val="24"/>
          <w:szCs w:val="24"/>
          <w:highlight w:val="none"/>
          <w:lang w:val="en-US"/>
        </w:rPr>
        <w:t>4.1.6</w:t>
      </w:r>
      <w:r>
        <w:rPr>
          <w:rFonts w:ascii="Times New Roman" w:hAnsi="Times New Roman" w:cs="Times New Roman"/>
          <w:color w:val="auto"/>
          <w:sz w:val="24"/>
          <w:szCs w:val="24"/>
          <w:highlight w:val="none"/>
        </w:rPr>
        <w:t>负责施工场地及其周边环境与生态的保护工作</w:t>
      </w:r>
    </w:p>
    <w:p>
      <w:pPr>
        <w:pStyle w:val="47"/>
        <w:spacing w:line="355"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承包人应按照第</w:t>
      </w:r>
      <w:r>
        <w:rPr>
          <w:rFonts w:ascii="Times New Roman" w:hAnsi="Times New Roman" w:eastAsia="Times New Roman" w:cs="Times New Roman"/>
          <w:color w:val="auto"/>
          <w:sz w:val="24"/>
          <w:szCs w:val="24"/>
          <w:highlight w:val="none"/>
          <w:lang w:val="en-US" w:bidi="en-US"/>
        </w:rPr>
        <w:t>9.4</w:t>
      </w:r>
      <w:r>
        <w:rPr>
          <w:rFonts w:ascii="Times New Roman" w:hAnsi="Times New Roman" w:cs="Times New Roman"/>
          <w:color w:val="auto"/>
          <w:sz w:val="24"/>
          <w:szCs w:val="24"/>
          <w:highlight w:val="none"/>
        </w:rPr>
        <w:t>款约定负责施工场地及其周边环境与生态的保护工作。</w:t>
      </w:r>
    </w:p>
    <w:p>
      <w:pPr>
        <w:pStyle w:val="47"/>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 xml:space="preserve">4. 1. </w:t>
      </w:r>
      <w:r>
        <w:rPr>
          <w:rFonts w:ascii="Times New Roman" w:hAnsi="Times New Roman" w:cs="Times New Roman"/>
          <w:color w:val="auto"/>
          <w:sz w:val="24"/>
          <w:szCs w:val="24"/>
          <w:highlight w:val="none"/>
        </w:rPr>
        <w:t>7避免施工对公众与他人的利益造成损害</w:t>
      </w:r>
    </w:p>
    <w:p>
      <w:pPr>
        <w:pStyle w:val="47"/>
        <w:spacing w:line="355"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承包人在进行合同约定的各项工作时，不得侵害发包人与他人使用公用道路、水源、 市政管网等公共设施的权利，避免对邻近的公共设施产生干扰。承包人占用或使用他人的施工场地，影响他人作业或生活的，应承担相应责任。</w:t>
      </w:r>
    </w:p>
    <w:p>
      <w:pPr>
        <w:pStyle w:val="47"/>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4. 1.8</w:t>
      </w:r>
      <w:r>
        <w:rPr>
          <w:rFonts w:ascii="Times New Roman" w:hAnsi="Times New Roman" w:cs="Times New Roman"/>
          <w:color w:val="auto"/>
          <w:sz w:val="24"/>
          <w:szCs w:val="24"/>
          <w:highlight w:val="none"/>
        </w:rPr>
        <w:t>为他人提供方便</w:t>
      </w:r>
    </w:p>
    <w:p>
      <w:pPr>
        <w:pStyle w:val="47"/>
        <w:spacing w:line="341"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承包人应按监理人的指示为他人在施工场地或附近实施与工程有关的其他各项工作提供可能的条件。除合同另有约定外，提供有关条件的内容和可能发生的费用，由监理人按 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rFonts w:ascii="Times New Roman" w:hAnsi="Times New Roman" w:cs="Times New Roman"/>
          <w:color w:val="auto"/>
          <w:sz w:val="24"/>
          <w:szCs w:val="24"/>
          <w:highlight w:val="none"/>
        </w:rPr>
        <w:t>款商定或确定。</w:t>
      </w:r>
    </w:p>
    <w:p>
      <w:pPr>
        <w:pStyle w:val="47"/>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4.1.9</w:t>
      </w:r>
      <w:r>
        <w:rPr>
          <w:rFonts w:ascii="Times New Roman" w:hAnsi="Times New Roman" w:cs="Times New Roman"/>
          <w:color w:val="auto"/>
          <w:sz w:val="24"/>
          <w:szCs w:val="24"/>
          <w:highlight w:val="none"/>
        </w:rPr>
        <w:t>工程的维护和照管</w:t>
      </w:r>
    </w:p>
    <w:p>
      <w:pPr>
        <w:pStyle w:val="47"/>
        <w:spacing w:line="355"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pPr>
        <w:pStyle w:val="47"/>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4.1.10其它义务</w:t>
      </w:r>
    </w:p>
    <w:p>
      <w:pPr>
        <w:pStyle w:val="47"/>
        <w:spacing w:after="120" w:line="363" w:lineRule="exact"/>
        <w:ind w:firstLine="420"/>
        <w:jc w:val="both"/>
        <w:rPr>
          <w:color w:val="auto"/>
          <w:sz w:val="24"/>
          <w:szCs w:val="24"/>
          <w:highlight w:val="none"/>
        </w:rPr>
      </w:pPr>
      <w:r>
        <w:rPr>
          <w:color w:val="auto"/>
          <w:sz w:val="24"/>
          <w:szCs w:val="24"/>
          <w:highlight w:val="none"/>
        </w:rPr>
        <w:t>其它义务在专用合同条款中补充约定。</w:t>
      </w:r>
    </w:p>
    <w:p>
      <w:pPr>
        <w:pStyle w:val="5"/>
        <w:ind w:left="0" w:leftChars="0" w:firstLine="0" w:firstLineChars="0"/>
        <w:rPr>
          <w:color w:val="auto"/>
          <w:sz w:val="24"/>
          <w:szCs w:val="24"/>
          <w:highlight w:val="none"/>
          <w:lang w:eastAsia="zh-CN"/>
        </w:rPr>
      </w:pPr>
      <w:bookmarkStart w:id="295" w:name="bookmark1004"/>
      <w:bookmarkStart w:id="296" w:name="_Toc11535"/>
      <w:bookmarkStart w:id="297" w:name="bookmark1005"/>
      <w:bookmarkStart w:id="298" w:name="bookmark1006"/>
      <w:r>
        <w:rPr>
          <w:color w:val="auto"/>
          <w:sz w:val="24"/>
          <w:szCs w:val="24"/>
          <w:highlight w:val="none"/>
          <w:lang w:eastAsia="zh-CN"/>
        </w:rPr>
        <w:t>4.2履约担保</w:t>
      </w:r>
      <w:bookmarkEnd w:id="295"/>
      <w:bookmarkEnd w:id="296"/>
      <w:bookmarkEnd w:id="297"/>
      <w:bookmarkEnd w:id="298"/>
    </w:p>
    <w:p>
      <w:pPr>
        <w:pStyle w:val="47"/>
        <w:spacing w:after="160" w:line="331" w:lineRule="exact"/>
        <w:ind w:firstLine="420"/>
        <w:jc w:val="both"/>
        <w:rPr>
          <w:color w:val="auto"/>
          <w:sz w:val="24"/>
          <w:szCs w:val="24"/>
          <w:highlight w:val="none"/>
        </w:rPr>
      </w:pPr>
      <w:r>
        <w:rPr>
          <w:color w:val="auto"/>
          <w:sz w:val="24"/>
          <w:szCs w:val="24"/>
          <w:highlight w:val="none"/>
        </w:rPr>
        <w:t>承包人应保证其履约担保在发包人颁发合同工程完工证书前一直有效。发包人应在合同工程完工证书颁发后</w:t>
      </w:r>
      <w:r>
        <w:rPr>
          <w:rFonts w:ascii="Times New Roman" w:hAnsi="Times New Roman" w:eastAsia="Times New Roman" w:cs="Times New Roman"/>
          <w:color w:val="auto"/>
          <w:sz w:val="24"/>
          <w:szCs w:val="24"/>
          <w:highlight w:val="none"/>
        </w:rPr>
        <w:t>28</w:t>
      </w:r>
      <w:r>
        <w:rPr>
          <w:color w:val="auto"/>
          <w:sz w:val="24"/>
          <w:szCs w:val="24"/>
          <w:highlight w:val="none"/>
        </w:rPr>
        <w:t>天内将履约担保退还给承包人。</w:t>
      </w:r>
    </w:p>
    <w:p>
      <w:pPr>
        <w:pStyle w:val="5"/>
        <w:ind w:left="0" w:leftChars="0" w:firstLine="0" w:firstLineChars="0"/>
        <w:rPr>
          <w:color w:val="auto"/>
          <w:sz w:val="24"/>
          <w:szCs w:val="24"/>
          <w:highlight w:val="none"/>
          <w:lang w:eastAsia="zh-CN"/>
        </w:rPr>
      </w:pPr>
      <w:bookmarkStart w:id="299" w:name="bookmark1007"/>
      <w:bookmarkStart w:id="300" w:name="bookmark1008"/>
      <w:bookmarkStart w:id="301" w:name="_Toc31393"/>
      <w:bookmarkStart w:id="302" w:name="bookmark1009"/>
      <w:r>
        <w:rPr>
          <w:color w:val="auto"/>
          <w:sz w:val="24"/>
          <w:szCs w:val="24"/>
          <w:highlight w:val="none"/>
          <w:lang w:eastAsia="zh-CN"/>
        </w:rPr>
        <w:t>4.3分包</w:t>
      </w:r>
      <w:bookmarkEnd w:id="299"/>
      <w:bookmarkEnd w:id="300"/>
      <w:bookmarkEnd w:id="301"/>
      <w:bookmarkEnd w:id="302"/>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4.3.1</w:t>
      </w:r>
      <w:r>
        <w:rPr>
          <w:color w:val="auto"/>
          <w:sz w:val="24"/>
          <w:szCs w:val="24"/>
          <w:highlight w:val="none"/>
        </w:rPr>
        <w:t>承包人不得将其承包的全部工程转包给第三人，或将其承包的全部工程肢解后以分包的名义转包给第三人。</w:t>
      </w:r>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4.3.2</w:t>
      </w:r>
      <w:r>
        <w:rPr>
          <w:color w:val="auto"/>
          <w:sz w:val="24"/>
          <w:szCs w:val="24"/>
          <w:highlight w:val="none"/>
        </w:rPr>
        <w:t>承包人不得将工程主体、关键性工作分包给第三人。除专用合同条款另有约定外，未经</w:t>
      </w:r>
      <w:r>
        <w:rPr>
          <w:rFonts w:hint="eastAsia"/>
          <w:color w:val="auto"/>
          <w:sz w:val="24"/>
          <w:szCs w:val="24"/>
          <w:highlight w:val="none"/>
          <w:lang w:eastAsia="zh-CN"/>
        </w:rPr>
        <w:t>发包人书面同意</w:t>
      </w:r>
      <w:r>
        <w:rPr>
          <w:color w:val="auto"/>
          <w:sz w:val="24"/>
          <w:szCs w:val="24"/>
          <w:highlight w:val="none"/>
        </w:rPr>
        <w:t>，承包人不得将工程的其他部分或工作分包给第三人。</w:t>
      </w:r>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w:t>
      </w:r>
      <w:r>
        <w:rPr>
          <w:rFonts w:ascii="Times New Roman" w:hAnsi="Times New Roman" w:eastAsia="Times New Roman" w:cs="Times New Roman"/>
          <w:color w:val="auto"/>
          <w:sz w:val="24"/>
          <w:szCs w:val="24"/>
          <w:highlight w:val="none"/>
        </w:rPr>
        <w:t>3</w:t>
      </w:r>
      <w:r>
        <w:rPr>
          <w:color w:val="auto"/>
          <w:sz w:val="24"/>
          <w:szCs w:val="24"/>
          <w:highlight w:val="none"/>
        </w:rPr>
        <w:t>分包人的资格能力应与其分包工程的标准和规模相适应。</w:t>
      </w:r>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4.3.4</w:t>
      </w:r>
      <w:r>
        <w:rPr>
          <w:color w:val="auto"/>
          <w:sz w:val="24"/>
          <w:szCs w:val="24"/>
          <w:highlight w:val="none"/>
        </w:rPr>
        <w:t>按投标函附录约定分包工程的，承包人应向发包人和监理人提交分包合同 副本。</w:t>
      </w:r>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4.3.5</w:t>
      </w:r>
      <w:r>
        <w:rPr>
          <w:color w:val="auto"/>
          <w:sz w:val="24"/>
          <w:szCs w:val="24"/>
          <w:highlight w:val="none"/>
        </w:rPr>
        <w:t>承包人应与分包人就分包工程向发包人承担连带责任。</w:t>
      </w:r>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4.3.6</w:t>
      </w:r>
      <w:r>
        <w:rPr>
          <w:color w:val="auto"/>
          <w:sz w:val="24"/>
          <w:szCs w:val="24"/>
          <w:highlight w:val="none"/>
        </w:rPr>
        <w:t>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4.3.7</w:t>
      </w:r>
      <w:r>
        <w:rPr>
          <w:color w:val="auto"/>
          <w:sz w:val="24"/>
          <w:szCs w:val="24"/>
          <w:highlight w:val="none"/>
        </w:rPr>
        <w:t>在合同实施过程中，如承包人无力在合同规定的期限内完成合同中的应急防 汛、抢险等危及公共安全和工程安全的项目，发包人可对该应急防汛、抢险等项目的部分工程指定分包人。因非承包人原因形成指定分包条件的，发包人的指定分包不得增加承包人的额外费用；因承包人原因形成指定分包条件的，承包人应承担指定分包所增加的费用。由指定分包人造成的与其分包工作有关的一切索赔、诉讼和损失赔偿由指定分包人直接对发包人负责，承包人不对此承担责任。</w:t>
      </w:r>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4.3.8</w:t>
      </w:r>
      <w:r>
        <w:rPr>
          <w:color w:val="auto"/>
          <w:sz w:val="24"/>
          <w:szCs w:val="24"/>
          <w:highlight w:val="none"/>
        </w:rPr>
        <w:t>承包人和发包人应当签订分包合同，并履行合同约定的义务。分包合同必须遵循承包合同的各项原则，满足相应条款的要求。发包人可以对分包合同实施情况进行监督检查。承包人应将分包合同副本提交发包人和监理人。</w:t>
      </w:r>
    </w:p>
    <w:p>
      <w:pPr>
        <w:pStyle w:val="47"/>
        <w:spacing w:line="35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4.3.9</w:t>
      </w:r>
      <w:r>
        <w:rPr>
          <w:color w:val="auto"/>
          <w:sz w:val="24"/>
          <w:szCs w:val="24"/>
          <w:highlight w:val="none"/>
        </w:rPr>
        <w:t>除第</w:t>
      </w:r>
      <w:r>
        <w:rPr>
          <w:rFonts w:ascii="Times New Roman" w:hAnsi="Times New Roman" w:eastAsia="Times New Roman" w:cs="Times New Roman"/>
          <w:color w:val="auto"/>
          <w:sz w:val="24"/>
          <w:szCs w:val="24"/>
          <w:highlight w:val="none"/>
          <w:lang w:val="en-US" w:bidi="en-US"/>
        </w:rPr>
        <w:t xml:space="preserve">4. 3. </w:t>
      </w:r>
      <w:r>
        <w:rPr>
          <w:rFonts w:ascii="Times New Roman" w:hAnsi="Times New Roman" w:eastAsia="Times New Roman" w:cs="Times New Roman"/>
          <w:color w:val="auto"/>
          <w:sz w:val="24"/>
          <w:szCs w:val="24"/>
          <w:highlight w:val="none"/>
        </w:rPr>
        <w:t>7</w:t>
      </w:r>
      <w:r>
        <w:rPr>
          <w:color w:val="auto"/>
          <w:sz w:val="24"/>
          <w:szCs w:val="24"/>
          <w:highlight w:val="none"/>
        </w:rPr>
        <w:t>项规定的指定分包外，承包人对其分包项目的实施以及分包人的行为向发包人负全部责任。承包人应对分包项目的工程进度、质量、安全、计量和验收等实施监督和管理。</w:t>
      </w:r>
    </w:p>
    <w:p>
      <w:pPr>
        <w:pStyle w:val="47"/>
        <w:tabs>
          <w:tab w:val="left" w:pos="736"/>
        </w:tabs>
        <w:spacing w:after="140" w:line="372" w:lineRule="exact"/>
        <w:rPr>
          <w:rFonts w:ascii="Palatino Linotype" w:hAnsi="Palatino Linotype"/>
          <w:color w:val="auto"/>
          <w:sz w:val="24"/>
          <w:szCs w:val="24"/>
          <w:highlight w:val="none"/>
        </w:rPr>
      </w:pPr>
      <w:bookmarkStart w:id="303" w:name="bookmark1010"/>
      <w:bookmarkEnd w:id="303"/>
      <w:r>
        <w:rPr>
          <w:rFonts w:ascii="Palatino Linotype" w:hAnsi="Palatino Linotype"/>
          <w:color w:val="auto"/>
          <w:sz w:val="24"/>
          <w:szCs w:val="24"/>
          <w:highlight w:val="none"/>
        </w:rPr>
        <w:t>4.3.10分包人应按专用合同条款的约定设立项目管理机构组织管理分包工程的施工活</w:t>
      </w:r>
      <w:r>
        <w:rPr>
          <w:rFonts w:hint="eastAsia"/>
          <w:color w:val="auto"/>
          <w:sz w:val="24"/>
          <w:szCs w:val="24"/>
          <w:highlight w:val="none"/>
        </w:rPr>
        <w:t>动。</w:t>
      </w:r>
    </w:p>
    <w:p>
      <w:pPr>
        <w:pStyle w:val="5"/>
        <w:ind w:left="0" w:leftChars="0" w:firstLine="0" w:firstLineChars="0"/>
        <w:rPr>
          <w:color w:val="auto"/>
          <w:sz w:val="24"/>
          <w:szCs w:val="24"/>
          <w:highlight w:val="none"/>
          <w:lang w:eastAsia="zh-CN"/>
        </w:rPr>
      </w:pPr>
      <w:bookmarkStart w:id="304" w:name="bookmark1011"/>
      <w:bookmarkStart w:id="305" w:name="bookmark1013"/>
      <w:bookmarkStart w:id="306" w:name="bookmark1012"/>
      <w:bookmarkStart w:id="307" w:name="_Toc27582"/>
      <w:r>
        <w:rPr>
          <w:color w:val="auto"/>
          <w:sz w:val="24"/>
          <w:szCs w:val="24"/>
          <w:highlight w:val="none"/>
          <w:lang w:eastAsia="zh-CN"/>
        </w:rPr>
        <w:t>4.4联合体</w:t>
      </w:r>
      <w:bookmarkEnd w:id="304"/>
      <w:bookmarkEnd w:id="305"/>
      <w:bookmarkEnd w:id="306"/>
      <w:bookmarkEnd w:id="307"/>
    </w:p>
    <w:p>
      <w:pPr>
        <w:pStyle w:val="47"/>
        <w:tabs>
          <w:tab w:val="left" w:pos="738"/>
        </w:tabs>
        <w:spacing w:line="377" w:lineRule="exact"/>
        <w:ind w:firstLine="480" w:firstLineChars="200"/>
        <w:jc w:val="both"/>
        <w:rPr>
          <w:color w:val="auto"/>
          <w:sz w:val="24"/>
          <w:szCs w:val="24"/>
          <w:highlight w:val="none"/>
        </w:rPr>
      </w:pPr>
      <w:bookmarkStart w:id="308" w:name="bookmark1014"/>
      <w:bookmarkEnd w:id="308"/>
      <w:r>
        <w:rPr>
          <w:rFonts w:hint="eastAsia" w:ascii="Times New Roman" w:hAnsi="Times New Roman" w:cs="Times New Roman"/>
          <w:color w:val="auto"/>
          <w:sz w:val="24"/>
          <w:szCs w:val="24"/>
          <w:highlight w:val="none"/>
          <w:lang w:val="en-US" w:bidi="en-US"/>
        </w:rPr>
        <w:t>4.</w:t>
      </w:r>
      <w:r>
        <w:rPr>
          <w:rFonts w:ascii="Times New Roman" w:hAnsi="Times New Roman" w:eastAsia="Times New Roman" w:cs="Times New Roman"/>
          <w:color w:val="auto"/>
          <w:sz w:val="24"/>
          <w:szCs w:val="24"/>
          <w:highlight w:val="none"/>
          <w:lang w:val="en-US" w:bidi="en-US"/>
        </w:rPr>
        <w:t>4.1</w:t>
      </w:r>
      <w:r>
        <w:rPr>
          <w:color w:val="auto"/>
          <w:sz w:val="24"/>
          <w:szCs w:val="24"/>
          <w:highlight w:val="none"/>
        </w:rPr>
        <w:t>联合体各方应共同与发包人签订合同协议书。联合体各方应为履行合同承担连带责任。</w:t>
      </w:r>
    </w:p>
    <w:p>
      <w:pPr>
        <w:pStyle w:val="47"/>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4.4.2</w:t>
      </w:r>
      <w:r>
        <w:rPr>
          <w:color w:val="auto"/>
          <w:sz w:val="24"/>
          <w:szCs w:val="24"/>
          <w:highlight w:val="none"/>
        </w:rPr>
        <w:t>联合体协议经发包人确认后作为合同附件。在履行合同过程中，未经</w:t>
      </w:r>
      <w:r>
        <w:rPr>
          <w:rFonts w:hint="eastAsia"/>
          <w:color w:val="auto"/>
          <w:sz w:val="24"/>
          <w:szCs w:val="24"/>
          <w:highlight w:val="none"/>
          <w:lang w:eastAsia="zh-CN"/>
        </w:rPr>
        <w:t>发包人书面同意</w:t>
      </w:r>
      <w:r>
        <w:rPr>
          <w:color w:val="auto"/>
          <w:sz w:val="24"/>
          <w:szCs w:val="24"/>
          <w:highlight w:val="none"/>
        </w:rPr>
        <w:t>，不得修改联合体协议。</w:t>
      </w:r>
    </w:p>
    <w:p>
      <w:pPr>
        <w:pStyle w:val="47"/>
        <w:spacing w:after="140"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4.4.3</w:t>
      </w:r>
      <w:r>
        <w:rPr>
          <w:color w:val="auto"/>
          <w:sz w:val="24"/>
          <w:szCs w:val="24"/>
          <w:highlight w:val="none"/>
        </w:rPr>
        <w:t>联合体牵头人负责与发包人和监理人联系，并接受指示，负责组织联合体各成员全面履行合同。</w:t>
      </w:r>
    </w:p>
    <w:p>
      <w:pPr>
        <w:pStyle w:val="5"/>
        <w:ind w:left="0" w:leftChars="0" w:firstLine="0" w:firstLineChars="0"/>
        <w:rPr>
          <w:color w:val="auto"/>
          <w:sz w:val="24"/>
          <w:szCs w:val="24"/>
          <w:highlight w:val="none"/>
          <w:lang w:eastAsia="zh-CN"/>
        </w:rPr>
      </w:pPr>
      <w:bookmarkStart w:id="309" w:name="bookmark1016"/>
      <w:bookmarkStart w:id="310" w:name="bookmark1015"/>
      <w:bookmarkStart w:id="311" w:name="_Toc27934"/>
      <w:bookmarkStart w:id="312" w:name="bookmark1017"/>
      <w:r>
        <w:rPr>
          <w:color w:val="auto"/>
          <w:sz w:val="24"/>
          <w:szCs w:val="24"/>
          <w:highlight w:val="none"/>
          <w:lang w:eastAsia="zh-CN"/>
        </w:rPr>
        <w:t>4.5承包人项目经理</w:t>
      </w:r>
      <w:bookmarkEnd w:id="309"/>
      <w:bookmarkEnd w:id="310"/>
      <w:bookmarkEnd w:id="311"/>
      <w:bookmarkEnd w:id="312"/>
    </w:p>
    <w:p>
      <w:pPr>
        <w:pStyle w:val="47"/>
        <w:spacing w:line="35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4.5.1</w:t>
      </w:r>
      <w:r>
        <w:rPr>
          <w:color w:val="auto"/>
          <w:sz w:val="24"/>
          <w:szCs w:val="24"/>
          <w:highlight w:val="none"/>
        </w:rPr>
        <w:t>承包人应按合同约定指派项目经理，并在约定的期限内到职。承包人更换项目经理应事先征得</w:t>
      </w:r>
      <w:r>
        <w:rPr>
          <w:rFonts w:hint="eastAsia"/>
          <w:color w:val="auto"/>
          <w:sz w:val="24"/>
          <w:szCs w:val="24"/>
          <w:highlight w:val="none"/>
          <w:lang w:eastAsia="zh-CN"/>
        </w:rPr>
        <w:t>发包人书面同意</w:t>
      </w:r>
      <w:r>
        <w:rPr>
          <w:color w:val="auto"/>
          <w:sz w:val="24"/>
          <w:szCs w:val="24"/>
          <w:highlight w:val="none"/>
        </w:rPr>
        <w:t>，并应在更换</w:t>
      </w:r>
      <w:r>
        <w:rPr>
          <w:rFonts w:ascii="Times New Roman" w:hAnsi="Times New Roman" w:eastAsia="Times New Roman" w:cs="Times New Roman"/>
          <w:color w:val="auto"/>
          <w:sz w:val="24"/>
          <w:szCs w:val="24"/>
          <w:highlight w:val="none"/>
        </w:rPr>
        <w:t>14</w:t>
      </w:r>
      <w:r>
        <w:rPr>
          <w:color w:val="auto"/>
          <w:sz w:val="24"/>
          <w:szCs w:val="24"/>
          <w:highlight w:val="none"/>
        </w:rPr>
        <w:t>天前通知发包人和监理人。承包人项目经理短 期离开施工场地，应事先征得监理人同意，并委派代表代行其职责。</w:t>
      </w:r>
    </w:p>
    <w:p>
      <w:pPr>
        <w:pStyle w:val="47"/>
        <w:spacing w:line="36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4.5.2</w:t>
      </w:r>
      <w:r>
        <w:rPr>
          <w:color w:val="auto"/>
          <w:sz w:val="24"/>
          <w:szCs w:val="24"/>
          <w:highlight w:val="none"/>
        </w:rPr>
        <w:t>承包人项目经理应按合同约定以及监理人按第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4</w:t>
      </w:r>
      <w:r>
        <w:rPr>
          <w:color w:val="auto"/>
          <w:sz w:val="24"/>
          <w:szCs w:val="24"/>
          <w:highlight w:val="none"/>
        </w:rPr>
        <w:t>款作出的指示，负责组织合同工程的实施。在情况紧急且无法与监理人取得联系时，可采取保证工程和人员生命财产安全的紧急措施，并在采取措施后</w:t>
      </w:r>
      <w:r>
        <w:rPr>
          <w:rFonts w:ascii="Times New Roman" w:hAnsi="Times New Roman" w:eastAsia="Times New Roman" w:cs="Times New Roman"/>
          <w:color w:val="auto"/>
          <w:sz w:val="24"/>
          <w:szCs w:val="24"/>
          <w:highlight w:val="none"/>
        </w:rPr>
        <w:t>24</w:t>
      </w:r>
      <w:r>
        <w:rPr>
          <w:color w:val="auto"/>
          <w:sz w:val="24"/>
          <w:szCs w:val="24"/>
          <w:highlight w:val="none"/>
        </w:rPr>
        <w:t>小时内向监理人提交书面报告。</w:t>
      </w:r>
    </w:p>
    <w:p>
      <w:pPr>
        <w:pStyle w:val="47"/>
        <w:spacing w:line="36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w:t>
      </w:r>
      <w:r>
        <w:rPr>
          <w:rFonts w:ascii="Times New Roman" w:hAnsi="Times New Roman" w:eastAsia="Times New Roman" w:cs="Times New Roman"/>
          <w:color w:val="auto"/>
          <w:sz w:val="24"/>
          <w:szCs w:val="24"/>
          <w:highlight w:val="none"/>
        </w:rPr>
        <w:t>3</w:t>
      </w:r>
      <w:r>
        <w:rPr>
          <w:color w:val="auto"/>
          <w:sz w:val="24"/>
          <w:szCs w:val="24"/>
          <w:highlight w:val="none"/>
        </w:rPr>
        <w:t>承包人为履行合同发出的一切函件均应盖有承包人授权的施工场地管理机构章，并由承包人项目经理或其授权代表签字。</w:t>
      </w:r>
    </w:p>
    <w:p>
      <w:pPr>
        <w:pStyle w:val="47"/>
        <w:spacing w:after="140"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4.5.4</w:t>
      </w:r>
      <w:r>
        <w:rPr>
          <w:color w:val="auto"/>
          <w:sz w:val="24"/>
          <w:szCs w:val="24"/>
          <w:highlight w:val="none"/>
        </w:rPr>
        <w:t>承包人项目经理可以授权其下属人员履行其某项职责，但事先应将这些人员的姓名和授权范围通知监理人。</w:t>
      </w:r>
    </w:p>
    <w:p>
      <w:pPr>
        <w:pStyle w:val="5"/>
        <w:ind w:left="0" w:leftChars="0" w:firstLine="0" w:firstLineChars="0"/>
        <w:rPr>
          <w:color w:val="auto"/>
          <w:sz w:val="24"/>
          <w:szCs w:val="24"/>
          <w:highlight w:val="none"/>
          <w:lang w:eastAsia="zh-CN"/>
        </w:rPr>
      </w:pPr>
      <w:bookmarkStart w:id="313" w:name="bookmark1020"/>
      <w:bookmarkStart w:id="314" w:name="bookmark1019"/>
      <w:bookmarkStart w:id="315" w:name="_Toc1095"/>
      <w:bookmarkStart w:id="316" w:name="bookmark1018"/>
      <w:r>
        <w:rPr>
          <w:color w:val="auto"/>
          <w:sz w:val="24"/>
          <w:szCs w:val="24"/>
          <w:highlight w:val="none"/>
          <w:lang w:eastAsia="zh-CN"/>
        </w:rPr>
        <w:t>4.6承包人人员的管理</w:t>
      </w:r>
      <w:bookmarkEnd w:id="313"/>
      <w:bookmarkEnd w:id="314"/>
      <w:bookmarkEnd w:id="315"/>
      <w:bookmarkEnd w:id="316"/>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4.6.1</w:t>
      </w:r>
      <w:r>
        <w:rPr>
          <w:color w:val="auto"/>
          <w:sz w:val="24"/>
          <w:szCs w:val="24"/>
          <w:highlight w:val="none"/>
        </w:rPr>
        <w:t>承包人应在接到开工通知后</w:t>
      </w:r>
      <w:r>
        <w:rPr>
          <w:rFonts w:ascii="Times New Roman" w:hAnsi="Times New Roman" w:eastAsia="Times New Roman" w:cs="Times New Roman"/>
          <w:color w:val="auto"/>
          <w:sz w:val="24"/>
          <w:szCs w:val="24"/>
          <w:highlight w:val="none"/>
        </w:rPr>
        <w:t>28</w:t>
      </w:r>
      <w:r>
        <w:rPr>
          <w:color w:val="auto"/>
          <w:sz w:val="24"/>
          <w:szCs w:val="24"/>
          <w:highlight w:val="none"/>
        </w:rPr>
        <w:t>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pPr>
        <w:pStyle w:val="47"/>
        <w:spacing w:after="14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4.6.2</w:t>
      </w:r>
      <w:r>
        <w:rPr>
          <w:color w:val="auto"/>
          <w:sz w:val="24"/>
          <w:szCs w:val="24"/>
          <w:highlight w:val="none"/>
        </w:rPr>
        <w:t>为完成合同约定的各项工作，承包人应向施工场地派遣或雇佣足够数量的下列 人员：</w:t>
      </w:r>
    </w:p>
    <w:p>
      <w:pPr>
        <w:pStyle w:val="47"/>
        <w:numPr>
          <w:ilvl w:val="0"/>
          <w:numId w:val="6"/>
        </w:numPr>
        <w:tabs>
          <w:tab w:val="left" w:pos="899"/>
        </w:tabs>
        <w:spacing w:line="360" w:lineRule="exact"/>
        <w:ind w:firstLine="420"/>
        <w:jc w:val="both"/>
        <w:rPr>
          <w:color w:val="auto"/>
          <w:sz w:val="24"/>
          <w:szCs w:val="24"/>
          <w:highlight w:val="none"/>
        </w:rPr>
      </w:pPr>
      <w:bookmarkStart w:id="317" w:name="bookmark1021"/>
      <w:bookmarkEnd w:id="317"/>
      <w:r>
        <w:rPr>
          <w:color w:val="auto"/>
          <w:sz w:val="24"/>
          <w:szCs w:val="24"/>
          <w:highlight w:val="none"/>
        </w:rPr>
        <w:t>具有相应资格的专业技工和合格的普工；</w:t>
      </w:r>
    </w:p>
    <w:p>
      <w:pPr>
        <w:pStyle w:val="47"/>
        <w:numPr>
          <w:ilvl w:val="0"/>
          <w:numId w:val="6"/>
        </w:numPr>
        <w:tabs>
          <w:tab w:val="left" w:pos="899"/>
        </w:tabs>
        <w:spacing w:line="360" w:lineRule="exact"/>
        <w:ind w:firstLine="420"/>
        <w:jc w:val="both"/>
        <w:rPr>
          <w:color w:val="auto"/>
          <w:sz w:val="24"/>
          <w:szCs w:val="24"/>
          <w:highlight w:val="none"/>
        </w:rPr>
      </w:pPr>
      <w:bookmarkStart w:id="318" w:name="bookmark1022"/>
      <w:bookmarkEnd w:id="318"/>
      <w:r>
        <w:rPr>
          <w:color w:val="auto"/>
          <w:sz w:val="24"/>
          <w:szCs w:val="24"/>
          <w:highlight w:val="none"/>
        </w:rPr>
        <w:t>具有相应施工经验的技术人员；</w:t>
      </w:r>
    </w:p>
    <w:p>
      <w:pPr>
        <w:pStyle w:val="47"/>
        <w:numPr>
          <w:ilvl w:val="0"/>
          <w:numId w:val="6"/>
        </w:numPr>
        <w:tabs>
          <w:tab w:val="left" w:pos="899"/>
        </w:tabs>
        <w:spacing w:line="360" w:lineRule="exact"/>
        <w:ind w:firstLine="420"/>
        <w:jc w:val="both"/>
        <w:rPr>
          <w:color w:val="auto"/>
          <w:sz w:val="24"/>
          <w:szCs w:val="24"/>
          <w:highlight w:val="none"/>
        </w:rPr>
      </w:pPr>
      <w:bookmarkStart w:id="319" w:name="bookmark1023"/>
      <w:bookmarkEnd w:id="319"/>
      <w:r>
        <w:rPr>
          <w:color w:val="auto"/>
          <w:sz w:val="24"/>
          <w:szCs w:val="24"/>
          <w:highlight w:val="none"/>
        </w:rPr>
        <w:t>具有相应岗位资格的各级管理人员。</w:t>
      </w:r>
    </w:p>
    <w:p>
      <w:pPr>
        <w:pStyle w:val="47"/>
        <w:spacing w:after="14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4.6.3</w:t>
      </w:r>
      <w:r>
        <w:rPr>
          <w:color w:val="auto"/>
          <w:sz w:val="24"/>
          <w:szCs w:val="24"/>
          <w:highlight w:val="none"/>
        </w:rPr>
        <w:t>承包人安排在施工场地的主要管理人员和技术骨干应相对稳定。承包人更换主要管理人员和技术骨干时，应取得监理人的同意。</w:t>
      </w:r>
    </w:p>
    <w:p>
      <w:pPr>
        <w:pStyle w:val="47"/>
        <w:spacing w:after="4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4. 6.4</w:t>
      </w:r>
      <w:r>
        <w:rPr>
          <w:color w:val="auto"/>
          <w:sz w:val="24"/>
          <w:szCs w:val="24"/>
          <w:highlight w:val="none"/>
        </w:rPr>
        <w:t>特殊岗位的工作人员均应持有相应的资格证明，监理人有权随时检查。监理人认为有必要时，可进行现场考核。</w:t>
      </w:r>
    </w:p>
    <w:p>
      <w:pPr>
        <w:pStyle w:val="5"/>
        <w:ind w:left="0" w:leftChars="0" w:firstLine="0" w:firstLineChars="0"/>
        <w:rPr>
          <w:color w:val="auto"/>
          <w:sz w:val="24"/>
          <w:szCs w:val="24"/>
          <w:highlight w:val="none"/>
          <w:lang w:eastAsia="zh-CN"/>
        </w:rPr>
      </w:pPr>
      <w:bookmarkStart w:id="320" w:name="bookmark1026"/>
      <w:bookmarkStart w:id="321" w:name="bookmark1025"/>
      <w:bookmarkStart w:id="322" w:name="bookmark1024"/>
      <w:bookmarkStart w:id="323" w:name="_Toc24736"/>
      <w:r>
        <w:rPr>
          <w:color w:val="auto"/>
          <w:sz w:val="24"/>
          <w:szCs w:val="24"/>
          <w:highlight w:val="none"/>
          <w:lang w:eastAsia="zh-CN"/>
        </w:rPr>
        <w:t>4.7撤换承包人项目经理和其他人员</w:t>
      </w:r>
      <w:bookmarkEnd w:id="320"/>
      <w:bookmarkEnd w:id="321"/>
      <w:bookmarkEnd w:id="322"/>
      <w:bookmarkEnd w:id="323"/>
    </w:p>
    <w:p>
      <w:pPr>
        <w:pStyle w:val="47"/>
        <w:spacing w:after="160" w:line="360" w:lineRule="exact"/>
        <w:ind w:firstLine="420"/>
        <w:jc w:val="both"/>
        <w:rPr>
          <w:color w:val="auto"/>
          <w:sz w:val="24"/>
          <w:szCs w:val="24"/>
          <w:highlight w:val="none"/>
        </w:rPr>
      </w:pPr>
      <w:r>
        <w:rPr>
          <w:color w:val="auto"/>
          <w:sz w:val="24"/>
          <w:szCs w:val="24"/>
          <w:highlight w:val="none"/>
        </w:rPr>
        <w:t>承包人应对其项目经理和其他人员进行有效管理。监理人要求撤换不能胜任本职工作、 行为不端或玩忽职守的承包人项目经理和其他人员的，承包人应予以撤换。</w:t>
      </w:r>
    </w:p>
    <w:p>
      <w:pPr>
        <w:pStyle w:val="5"/>
        <w:ind w:left="0" w:leftChars="0" w:firstLine="0" w:firstLineChars="0"/>
        <w:rPr>
          <w:color w:val="auto"/>
          <w:sz w:val="24"/>
          <w:szCs w:val="24"/>
          <w:highlight w:val="none"/>
          <w:lang w:eastAsia="zh-CN"/>
        </w:rPr>
      </w:pPr>
      <w:bookmarkStart w:id="324" w:name="_Toc19207"/>
      <w:bookmarkStart w:id="325" w:name="bookmark1029"/>
      <w:bookmarkStart w:id="326" w:name="bookmark1028"/>
      <w:bookmarkStart w:id="327" w:name="bookmark1027"/>
      <w:r>
        <w:rPr>
          <w:color w:val="auto"/>
          <w:sz w:val="24"/>
          <w:szCs w:val="24"/>
          <w:highlight w:val="none"/>
          <w:lang w:eastAsia="zh-CN"/>
        </w:rPr>
        <w:t>4.8保障承包人人员的合法权益</w:t>
      </w:r>
      <w:bookmarkEnd w:id="324"/>
      <w:bookmarkEnd w:id="325"/>
      <w:bookmarkEnd w:id="326"/>
      <w:bookmarkEnd w:id="327"/>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w:t>
      </w:r>
      <w:r>
        <w:rPr>
          <w:rFonts w:ascii="Times New Roman" w:hAnsi="Times New Roman" w:eastAsia="Times New Roman" w:cs="Times New Roman"/>
          <w:color w:val="auto"/>
          <w:sz w:val="24"/>
          <w:szCs w:val="24"/>
          <w:highlight w:val="none"/>
        </w:rPr>
        <w:t>1</w:t>
      </w:r>
      <w:r>
        <w:rPr>
          <w:color w:val="auto"/>
          <w:sz w:val="24"/>
          <w:szCs w:val="24"/>
          <w:highlight w:val="none"/>
        </w:rPr>
        <w:t>承包人应与其雇佣的人员签订劳动合同，并按时发放工资。</w:t>
      </w:r>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w:t>
      </w:r>
      <w:r>
        <w:rPr>
          <w:rFonts w:ascii="Times New Roman" w:hAnsi="Times New Roman" w:eastAsia="Times New Roman" w:cs="Times New Roman"/>
          <w:color w:val="auto"/>
          <w:sz w:val="24"/>
          <w:szCs w:val="24"/>
          <w:highlight w:val="none"/>
        </w:rPr>
        <w:t>2</w:t>
      </w:r>
      <w:r>
        <w:rPr>
          <w:color w:val="auto"/>
          <w:sz w:val="24"/>
          <w:szCs w:val="24"/>
          <w:highlight w:val="none"/>
        </w:rPr>
        <w:t>承包人应按劳动法的规定安排工作时间，保证其雇佣人员享有休息和休假的权利。因工程施工的特殊需要占用休假日或延长工作时间的，应不超过法律规定的限度，并按法律规定给予补休或付酬。</w:t>
      </w:r>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4.8.3</w:t>
      </w:r>
      <w:r>
        <w:rPr>
          <w:color w:val="auto"/>
          <w:sz w:val="24"/>
          <w:szCs w:val="24"/>
          <w:highlight w:val="none"/>
        </w:rPr>
        <w:t>承包人应为其雇佣人员提供必要的食宿条件，以及符合环境保护和卫生要求的生活环境，在远离城镇的施工场地，还应配备必要的伤病防治和急救的医务人员与医疗设施。</w:t>
      </w:r>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4. 8.4</w:t>
      </w:r>
      <w:r>
        <w:rPr>
          <w:color w:val="auto"/>
          <w:sz w:val="24"/>
          <w:szCs w:val="24"/>
          <w:highlight w:val="none"/>
        </w:rPr>
        <w:t>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4.8.5</w:t>
      </w:r>
      <w:r>
        <w:rPr>
          <w:color w:val="auto"/>
          <w:sz w:val="24"/>
          <w:szCs w:val="24"/>
          <w:highlight w:val="none"/>
        </w:rPr>
        <w:t>承包人应按有关法律规定和合同约定，为其雇佣人员办理保险。</w:t>
      </w:r>
    </w:p>
    <w:p>
      <w:pPr>
        <w:pStyle w:val="47"/>
        <w:spacing w:after="16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4.8.6</w:t>
      </w:r>
      <w:r>
        <w:rPr>
          <w:color w:val="auto"/>
          <w:sz w:val="24"/>
          <w:szCs w:val="24"/>
          <w:highlight w:val="none"/>
        </w:rPr>
        <w:t>承包人应负责处理其雇佣人员因工伤亡事故的善后事宜。</w:t>
      </w:r>
    </w:p>
    <w:p>
      <w:pPr>
        <w:pStyle w:val="5"/>
        <w:ind w:left="0" w:leftChars="0" w:firstLine="0" w:firstLineChars="0"/>
        <w:rPr>
          <w:color w:val="auto"/>
          <w:sz w:val="24"/>
          <w:szCs w:val="24"/>
          <w:highlight w:val="none"/>
          <w:lang w:eastAsia="zh-CN"/>
        </w:rPr>
      </w:pPr>
      <w:bookmarkStart w:id="328" w:name="bookmark1032"/>
      <w:bookmarkStart w:id="329" w:name="bookmark1031"/>
      <w:bookmarkStart w:id="330" w:name="bookmark1030"/>
      <w:bookmarkStart w:id="331" w:name="_Toc7851"/>
      <w:r>
        <w:rPr>
          <w:color w:val="auto"/>
          <w:sz w:val="24"/>
          <w:szCs w:val="24"/>
          <w:highlight w:val="none"/>
          <w:lang w:eastAsia="zh-CN"/>
        </w:rPr>
        <w:t>4.9工程价款应专款专用</w:t>
      </w:r>
      <w:bookmarkEnd w:id="328"/>
      <w:bookmarkEnd w:id="329"/>
      <w:bookmarkEnd w:id="330"/>
      <w:bookmarkEnd w:id="331"/>
    </w:p>
    <w:p>
      <w:pPr>
        <w:pStyle w:val="47"/>
        <w:spacing w:after="160" w:line="360" w:lineRule="exact"/>
        <w:ind w:firstLine="420"/>
        <w:rPr>
          <w:color w:val="auto"/>
          <w:sz w:val="24"/>
          <w:szCs w:val="24"/>
          <w:highlight w:val="none"/>
        </w:rPr>
      </w:pPr>
      <w:r>
        <w:rPr>
          <w:color w:val="auto"/>
          <w:sz w:val="24"/>
          <w:szCs w:val="24"/>
          <w:highlight w:val="none"/>
        </w:rPr>
        <w:t>发包人按合同约定支付给承包人的各项价款应专用于合同工程。</w:t>
      </w:r>
    </w:p>
    <w:p>
      <w:pPr>
        <w:pStyle w:val="5"/>
        <w:ind w:left="0" w:leftChars="0" w:firstLine="0" w:firstLineChars="0"/>
        <w:rPr>
          <w:color w:val="auto"/>
          <w:sz w:val="24"/>
          <w:szCs w:val="24"/>
          <w:highlight w:val="none"/>
          <w:lang w:eastAsia="zh-CN"/>
        </w:rPr>
      </w:pPr>
      <w:bookmarkStart w:id="332" w:name="bookmark1035"/>
      <w:bookmarkStart w:id="333" w:name="bookmark1034"/>
      <w:bookmarkStart w:id="334" w:name="_Toc30630"/>
      <w:bookmarkStart w:id="335" w:name="bookmark1033"/>
      <w:r>
        <w:rPr>
          <w:color w:val="auto"/>
          <w:sz w:val="24"/>
          <w:szCs w:val="24"/>
          <w:highlight w:val="none"/>
          <w:lang w:eastAsia="zh-CN"/>
        </w:rPr>
        <w:t>4.10承包人现场查勘</w:t>
      </w:r>
      <w:bookmarkEnd w:id="332"/>
      <w:bookmarkEnd w:id="333"/>
      <w:bookmarkEnd w:id="334"/>
      <w:bookmarkEnd w:id="335"/>
    </w:p>
    <w:p>
      <w:pPr>
        <w:pStyle w:val="47"/>
        <w:spacing w:line="362"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4.10.</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发包人应将其持有的现场地质勘探资料、水文气象资料提供给承包人，并对其准确性负责。但承包人应对其阅读上述有关资料后所作出的解释和推断负责。</w:t>
      </w:r>
    </w:p>
    <w:p>
      <w:pPr>
        <w:pStyle w:val="47"/>
        <w:spacing w:after="240" w:line="362" w:lineRule="exact"/>
        <w:ind w:firstLine="420"/>
        <w:jc w:val="both"/>
        <w:rPr>
          <w:color w:val="auto"/>
          <w:sz w:val="24"/>
          <w:szCs w:val="24"/>
          <w:highlight w:val="none"/>
        </w:rPr>
      </w:pPr>
      <w:bookmarkStart w:id="336" w:name="bookmark1036"/>
      <w:bookmarkEnd w:id="336"/>
      <w:r>
        <w:rPr>
          <w:rFonts w:ascii="Times New Roman" w:hAnsi="Times New Roman" w:cs="Times New Roman"/>
          <w:color w:val="auto"/>
          <w:sz w:val="24"/>
          <w:szCs w:val="24"/>
          <w:highlight w:val="none"/>
        </w:rPr>
        <w:t>4.10.2承包</w:t>
      </w:r>
      <w:r>
        <w:rPr>
          <w:color w:val="auto"/>
          <w:sz w:val="24"/>
          <w:szCs w:val="24"/>
          <w:highlight w:val="none"/>
        </w:rPr>
        <w:t>人应对施工场地和周围环境进行查勘，并收集有关地质、水文、气象条件、交通条件、风俗习惯以及其他为完成合同工作有关的当地资料。在全部合同工作中，应视为承包人已充分估计了应承担的责任和风险。</w:t>
      </w:r>
    </w:p>
    <w:p>
      <w:pPr>
        <w:pStyle w:val="5"/>
        <w:ind w:left="0" w:leftChars="0" w:firstLine="0" w:firstLineChars="0"/>
        <w:rPr>
          <w:color w:val="auto"/>
          <w:sz w:val="24"/>
          <w:szCs w:val="24"/>
          <w:highlight w:val="none"/>
          <w:lang w:eastAsia="zh-CN"/>
        </w:rPr>
      </w:pPr>
      <w:bookmarkStart w:id="337" w:name="bookmark1037"/>
      <w:bookmarkStart w:id="338" w:name="bookmark1038"/>
      <w:bookmarkStart w:id="339" w:name="bookmark1039"/>
      <w:bookmarkStart w:id="340" w:name="_Toc2993"/>
      <w:r>
        <w:rPr>
          <w:color w:val="auto"/>
          <w:sz w:val="24"/>
          <w:szCs w:val="24"/>
          <w:highlight w:val="none"/>
          <w:lang w:eastAsia="zh-CN"/>
        </w:rPr>
        <w:t>4.11不利物质条件</w:t>
      </w:r>
      <w:bookmarkEnd w:id="337"/>
      <w:bookmarkEnd w:id="338"/>
      <w:bookmarkEnd w:id="339"/>
      <w:bookmarkEnd w:id="340"/>
    </w:p>
    <w:p>
      <w:pPr>
        <w:pStyle w:val="47"/>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4.11.1</w:t>
      </w:r>
      <w:r>
        <w:rPr>
          <w:color w:val="auto"/>
          <w:sz w:val="24"/>
          <w:szCs w:val="24"/>
          <w:highlight w:val="none"/>
        </w:rPr>
        <w:t>除专用合同条款另有约定外，不利的物质条件是指在施工中遭遇不可预见的外界障碍或自然条件造成施工受阻。</w:t>
      </w:r>
    </w:p>
    <w:p>
      <w:pPr>
        <w:pStyle w:val="47"/>
        <w:spacing w:line="367" w:lineRule="exact"/>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bidi="en-US"/>
        </w:rPr>
        <w:t>4.11.2</w:t>
      </w:r>
      <w:r>
        <w:rPr>
          <w:rFonts w:ascii="Times New Roman" w:hAnsi="Times New Roman" w:cs="Times New Roman"/>
          <w:color w:val="auto"/>
          <w:sz w:val="24"/>
          <w:szCs w:val="24"/>
          <w:highlight w:val="none"/>
        </w:rPr>
        <w:t>承包人遇到不利物质条件时，应采取适应不利物质条件的合理措施继续施工, 并及时通知监理人。承包人应有权根据第</w:t>
      </w:r>
      <w:r>
        <w:rPr>
          <w:rFonts w:ascii="Times New Roman" w:hAnsi="Times New Roman" w:cs="Times New Roman"/>
          <w:color w:val="auto"/>
          <w:sz w:val="24"/>
          <w:szCs w:val="24"/>
          <w:highlight w:val="none"/>
          <w:lang w:val="en-US" w:bidi="en-US"/>
        </w:rPr>
        <w:t>23.1</w:t>
      </w:r>
      <w:r>
        <w:rPr>
          <w:rFonts w:ascii="Times New Roman" w:hAnsi="Times New Roman" w:cs="Times New Roman"/>
          <w:color w:val="auto"/>
          <w:sz w:val="24"/>
          <w:szCs w:val="24"/>
          <w:highlight w:val="none"/>
        </w:rPr>
        <w:t>款的约定，要求延长工期及增加费用。监理人收到此类要求后，应在分析上述外界障碍或自然条件是否不可预见及不可预见程度的基础上，按照通用合同条款第</w:t>
      </w:r>
      <w:r>
        <w:rPr>
          <w:rFonts w:ascii="Times New Roman" w:hAnsi="Times New Roman" w:eastAsia="Times New Roman" w:cs="Times New Roman"/>
          <w:color w:val="auto"/>
          <w:sz w:val="24"/>
          <w:szCs w:val="24"/>
          <w:highlight w:val="none"/>
        </w:rPr>
        <w:t>15</w:t>
      </w:r>
      <w:r>
        <w:rPr>
          <w:rFonts w:ascii="Times New Roman" w:hAnsi="Times New Roman" w:cs="Times New Roman"/>
          <w:color w:val="auto"/>
          <w:sz w:val="24"/>
          <w:szCs w:val="24"/>
          <w:highlight w:val="none"/>
        </w:rPr>
        <w:t>条的约定办理。</w:t>
      </w:r>
    </w:p>
    <w:p>
      <w:pPr>
        <w:pStyle w:val="4"/>
        <w:spacing w:line="360" w:lineRule="exact"/>
        <w:rPr>
          <w:rFonts w:hint="eastAsia"/>
          <w:color w:val="auto"/>
          <w:sz w:val="24"/>
          <w:szCs w:val="24"/>
          <w:highlight w:val="none"/>
          <w:lang w:eastAsia="zh-CN"/>
        </w:rPr>
      </w:pPr>
      <w:bookmarkStart w:id="341" w:name="bookmark1042"/>
      <w:bookmarkEnd w:id="341"/>
      <w:bookmarkStart w:id="342" w:name="_Toc25421"/>
      <w:bookmarkStart w:id="343" w:name="_Toc25230"/>
      <w:bookmarkStart w:id="344" w:name="_Toc461351055"/>
      <w:bookmarkStart w:id="345" w:name="bookmark1040"/>
      <w:bookmarkStart w:id="346" w:name="bookmark1043"/>
      <w:bookmarkStart w:id="347" w:name="bookmark1041"/>
      <w:r>
        <w:rPr>
          <w:rFonts w:hint="eastAsia"/>
          <w:color w:val="auto"/>
          <w:sz w:val="24"/>
          <w:szCs w:val="24"/>
          <w:highlight w:val="none"/>
          <w:lang w:eastAsia="zh-CN"/>
        </w:rPr>
        <w:t>5.材料和工程设备</w:t>
      </w:r>
      <w:bookmarkEnd w:id="342"/>
      <w:bookmarkEnd w:id="343"/>
      <w:bookmarkEnd w:id="344"/>
      <w:bookmarkEnd w:id="345"/>
      <w:bookmarkEnd w:id="346"/>
      <w:bookmarkEnd w:id="347"/>
    </w:p>
    <w:p>
      <w:pPr>
        <w:pStyle w:val="5"/>
        <w:ind w:left="0" w:leftChars="0" w:firstLine="0" w:firstLineChars="0"/>
        <w:rPr>
          <w:color w:val="auto"/>
          <w:sz w:val="24"/>
          <w:szCs w:val="24"/>
          <w:highlight w:val="none"/>
          <w:lang w:eastAsia="zh-CN"/>
        </w:rPr>
      </w:pPr>
      <w:bookmarkStart w:id="348" w:name="bookmark1045"/>
      <w:bookmarkStart w:id="349" w:name="bookmark1046"/>
      <w:bookmarkStart w:id="350" w:name="bookmark1044"/>
      <w:bookmarkStart w:id="351" w:name="_Toc5421"/>
      <w:r>
        <w:rPr>
          <w:color w:val="auto"/>
          <w:sz w:val="24"/>
          <w:szCs w:val="24"/>
          <w:highlight w:val="none"/>
          <w:lang w:eastAsia="zh-CN"/>
        </w:rPr>
        <w:t>5.1承包人提供的材料和工程设备</w:t>
      </w:r>
      <w:bookmarkEnd w:id="348"/>
      <w:bookmarkEnd w:id="349"/>
      <w:bookmarkEnd w:id="350"/>
      <w:bookmarkEnd w:id="351"/>
    </w:p>
    <w:p>
      <w:pPr>
        <w:pStyle w:val="47"/>
        <w:spacing w:after="280" w:line="354" w:lineRule="exact"/>
        <w:ind w:firstLine="420"/>
        <w:jc w:val="both"/>
        <w:rPr>
          <w:rFonts w:ascii="Times New Roman" w:hAnsi="Times New Roman" w:cs="Times New Roman"/>
          <w:color w:val="auto"/>
          <w:sz w:val="24"/>
          <w:szCs w:val="24"/>
          <w:highlight w:val="none"/>
          <w:lang w:val="en-US" w:bidi="en-US"/>
        </w:rPr>
      </w:pPr>
      <w:bookmarkStart w:id="352" w:name="bookmark1047"/>
      <w:bookmarkEnd w:id="352"/>
      <w:r>
        <w:rPr>
          <w:rFonts w:ascii="Times New Roman" w:hAnsi="Times New Roman" w:cs="Times New Roman"/>
          <w:color w:val="auto"/>
          <w:sz w:val="24"/>
          <w:szCs w:val="24"/>
          <w:highlight w:val="none"/>
          <w:lang w:val="en-US" w:bidi="en-US"/>
        </w:rPr>
        <w:t>5.1.1除第5.2款约定由发包人提供的材料和工程设备外，承包人负责采购、运输和保管完成本合同工作所需的材料和工程设备。承包人应对其采购的材料和工程设备负责。</w:t>
      </w:r>
    </w:p>
    <w:p>
      <w:pPr>
        <w:pStyle w:val="47"/>
        <w:spacing w:after="280" w:line="354" w:lineRule="exact"/>
        <w:ind w:firstLine="420"/>
        <w:jc w:val="both"/>
        <w:rPr>
          <w:rFonts w:ascii="Times New Roman" w:hAnsi="Times New Roman" w:cs="Times New Roman"/>
          <w:color w:val="auto"/>
          <w:sz w:val="24"/>
          <w:szCs w:val="24"/>
          <w:highlight w:val="none"/>
          <w:lang w:val="en-US" w:bidi="en-US"/>
        </w:rPr>
      </w:pPr>
      <w:r>
        <w:rPr>
          <w:rFonts w:ascii="Times New Roman" w:hAnsi="Times New Roman" w:cs="Times New Roman"/>
          <w:color w:val="auto"/>
          <w:sz w:val="24"/>
          <w:szCs w:val="24"/>
          <w:highlight w:val="none"/>
          <w:lang w:val="en-US" w:bidi="en-US"/>
        </w:rPr>
        <w:t>5.1.2承包人应按专用合同条款的约定，将各项材料和工程设备的供货人及品种、规格、数量和供货时间等报送监理人审批。承包人应向监理人提交其负责提供的材料和工程 设备的质量证明文件，并满足合同约定的质量标准。</w:t>
      </w:r>
    </w:p>
    <w:p>
      <w:pPr>
        <w:pStyle w:val="47"/>
        <w:spacing w:after="280" w:line="354" w:lineRule="exact"/>
        <w:ind w:firstLine="420"/>
        <w:jc w:val="both"/>
        <w:rPr>
          <w:rFonts w:ascii="Times New Roman" w:hAnsi="Times New Roman" w:cs="Times New Roman"/>
          <w:color w:val="auto"/>
          <w:sz w:val="24"/>
          <w:szCs w:val="24"/>
          <w:highlight w:val="none"/>
          <w:lang w:val="en-US" w:bidi="en-US"/>
        </w:rPr>
      </w:pPr>
      <w:r>
        <w:rPr>
          <w:rFonts w:ascii="Times New Roman" w:hAnsi="Times New Roman" w:cs="Times New Roman"/>
          <w:color w:val="auto"/>
          <w:sz w:val="24"/>
          <w:szCs w:val="24"/>
          <w:highlight w:val="none"/>
          <w:lang w:val="en-US" w:bidi="en-US"/>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pPr>
        <w:pStyle w:val="5"/>
        <w:ind w:left="0" w:leftChars="0" w:firstLine="0" w:firstLineChars="0"/>
        <w:rPr>
          <w:color w:val="auto"/>
          <w:sz w:val="24"/>
          <w:szCs w:val="24"/>
          <w:highlight w:val="none"/>
          <w:lang w:eastAsia="zh-CN"/>
        </w:rPr>
      </w:pPr>
      <w:bookmarkStart w:id="353" w:name="bookmark1049"/>
      <w:bookmarkStart w:id="354" w:name="_Toc18208"/>
      <w:bookmarkStart w:id="355" w:name="bookmark1048"/>
      <w:bookmarkStart w:id="356" w:name="bookmark1050"/>
      <w:r>
        <w:rPr>
          <w:color w:val="auto"/>
          <w:sz w:val="24"/>
          <w:szCs w:val="24"/>
          <w:highlight w:val="none"/>
          <w:lang w:eastAsia="zh-CN"/>
        </w:rPr>
        <w:t>5.2发包人提供的材料和工程设备</w:t>
      </w:r>
      <w:bookmarkEnd w:id="353"/>
      <w:bookmarkEnd w:id="354"/>
      <w:bookmarkEnd w:id="355"/>
      <w:bookmarkEnd w:id="356"/>
    </w:p>
    <w:p>
      <w:pPr>
        <w:pStyle w:val="47"/>
        <w:spacing w:line="360" w:lineRule="exact"/>
        <w:ind w:firstLine="420"/>
        <w:jc w:val="both"/>
        <w:rPr>
          <w:rFonts w:ascii="Times New Roman" w:hAnsi="Times New Roman" w:cs="Times New Roman"/>
          <w:color w:val="auto"/>
          <w:sz w:val="24"/>
          <w:szCs w:val="24"/>
          <w:highlight w:val="none"/>
        </w:rPr>
      </w:pPr>
      <w:bookmarkStart w:id="357" w:name="bookmark1051"/>
      <w:bookmarkEnd w:id="357"/>
      <w:r>
        <w:rPr>
          <w:rFonts w:ascii="Times New Roman" w:hAnsi="Times New Roman" w:cs="Times New Roman"/>
          <w:color w:val="auto"/>
          <w:sz w:val="24"/>
          <w:szCs w:val="24"/>
          <w:highlight w:val="none"/>
        </w:rPr>
        <w:t>5.2.1发包人提供的材料和工程设备，应在专用合同条款中写明材料和工程设备的名称、规格、数量、价格、交货方式、交货地点和计划交货日期等。</w:t>
      </w:r>
    </w:p>
    <w:p>
      <w:pPr>
        <w:pStyle w:val="47"/>
        <w:spacing w:line="360"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5.2.2</w:t>
      </w:r>
      <w:r>
        <w:rPr>
          <w:rFonts w:ascii="Times New Roman" w:hAnsi="Times New Roman" w:cs="Times New Roman"/>
          <w:color w:val="auto"/>
          <w:sz w:val="24"/>
          <w:szCs w:val="24"/>
          <w:highlight w:val="none"/>
        </w:rPr>
        <w:t>承包人应根据合同进度计划的安排，向监理人报送要求发包人交货的日期计划。发包人应按照监理人与合同双方当事人商定的交货日期，向承包人提交材料和工程设备。</w:t>
      </w:r>
    </w:p>
    <w:p>
      <w:pPr>
        <w:pStyle w:val="47"/>
        <w:spacing w:line="364"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5.2.3</w:t>
      </w:r>
      <w:r>
        <w:rPr>
          <w:rFonts w:ascii="Times New Roman" w:hAnsi="Times New Roman" w:cs="Times New Roman"/>
          <w:color w:val="auto"/>
          <w:sz w:val="24"/>
          <w:szCs w:val="24"/>
          <w:highlight w:val="none"/>
        </w:rPr>
        <w:t>发包人应在材料和工程设备到货</w:t>
      </w:r>
      <w:r>
        <w:rPr>
          <w:rFonts w:ascii="Times New Roman" w:hAnsi="Times New Roman" w:eastAsia="Times New Roman" w:cs="Times New Roman"/>
          <w:color w:val="auto"/>
          <w:sz w:val="24"/>
          <w:szCs w:val="24"/>
          <w:highlight w:val="none"/>
        </w:rPr>
        <w:t>7</w:t>
      </w:r>
      <w:r>
        <w:rPr>
          <w:rFonts w:ascii="Times New Roman" w:hAnsi="Times New Roman" w:cs="Times New Roman"/>
          <w:color w:val="auto"/>
          <w:sz w:val="24"/>
          <w:szCs w:val="24"/>
          <w:highlight w:val="none"/>
        </w:rPr>
        <w:t>天前通知承包人，承包人应会同监理人在约定的时间内，赴交货地点共同进行验收。发包人提供的材料和工程设备运至交货地点验收后，由承包人负责接收、卸货、运输和保管。</w:t>
      </w:r>
    </w:p>
    <w:p>
      <w:pPr>
        <w:pStyle w:val="47"/>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5. 2.4</w:t>
      </w:r>
      <w:r>
        <w:rPr>
          <w:rFonts w:ascii="Times New Roman" w:hAnsi="Times New Roman" w:cs="Times New Roman"/>
          <w:color w:val="auto"/>
          <w:sz w:val="24"/>
          <w:szCs w:val="24"/>
          <w:highlight w:val="none"/>
        </w:rPr>
        <w:t>发</w:t>
      </w:r>
      <w:r>
        <w:rPr>
          <w:color w:val="auto"/>
          <w:sz w:val="24"/>
          <w:szCs w:val="24"/>
          <w:highlight w:val="none"/>
        </w:rPr>
        <w:t>包人要求向承包人提前交货的，承包人不得拒绝，但发包人应承担承包人由此增加的费用。</w:t>
      </w:r>
    </w:p>
    <w:p>
      <w:pPr>
        <w:pStyle w:val="47"/>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5.2.5</w:t>
      </w:r>
      <w:r>
        <w:rPr>
          <w:color w:val="auto"/>
          <w:sz w:val="24"/>
          <w:szCs w:val="24"/>
          <w:highlight w:val="none"/>
        </w:rPr>
        <w:t>承包人要求更改交货日期或地点的，应事先报请监理人批准。由于承包人要求更改交货时间或地点所增加的费用和（或）工期延误由承包人承担。</w:t>
      </w:r>
    </w:p>
    <w:p>
      <w:pPr>
        <w:pStyle w:val="47"/>
        <w:spacing w:after="120" w:line="35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5.2.6</w:t>
      </w:r>
      <w:r>
        <w:rPr>
          <w:color w:val="auto"/>
          <w:sz w:val="24"/>
          <w:szCs w:val="24"/>
          <w:highlight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pPr>
        <w:pStyle w:val="5"/>
        <w:ind w:left="0" w:leftChars="0" w:firstLine="0" w:firstLineChars="0"/>
        <w:rPr>
          <w:color w:val="auto"/>
          <w:sz w:val="24"/>
          <w:szCs w:val="24"/>
          <w:highlight w:val="none"/>
          <w:lang w:eastAsia="zh-CN"/>
        </w:rPr>
      </w:pPr>
      <w:bookmarkStart w:id="358" w:name="bookmark1054"/>
      <w:bookmarkStart w:id="359" w:name="_Toc17795"/>
      <w:bookmarkStart w:id="360" w:name="bookmark1052"/>
      <w:bookmarkStart w:id="361" w:name="bookmark1053"/>
      <w:r>
        <w:rPr>
          <w:color w:val="auto"/>
          <w:sz w:val="24"/>
          <w:szCs w:val="24"/>
          <w:highlight w:val="none"/>
          <w:lang w:eastAsia="zh-CN"/>
        </w:rPr>
        <w:t>5.3材料和工程设备专用于合同工程</w:t>
      </w:r>
      <w:bookmarkEnd w:id="358"/>
      <w:bookmarkEnd w:id="359"/>
      <w:bookmarkEnd w:id="360"/>
      <w:bookmarkEnd w:id="361"/>
    </w:p>
    <w:p>
      <w:pPr>
        <w:pStyle w:val="47"/>
        <w:spacing w:line="35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5.3.1</w:t>
      </w:r>
      <w:r>
        <w:rPr>
          <w:color w:val="auto"/>
          <w:sz w:val="24"/>
          <w:szCs w:val="24"/>
          <w:highlight w:val="none"/>
        </w:rPr>
        <w:t>运入施工场地的材料、工程设备，包括备品备件、安装专用工器具与随机资料，必须专用于合同工程，未经监理人同意，承包人不得运出施工场地或挪作他用。</w:t>
      </w:r>
    </w:p>
    <w:p>
      <w:pPr>
        <w:pStyle w:val="47"/>
        <w:spacing w:after="120" w:line="36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5.3.2</w:t>
      </w:r>
      <w:r>
        <w:rPr>
          <w:color w:val="auto"/>
          <w:sz w:val="24"/>
          <w:szCs w:val="24"/>
          <w:highlight w:val="none"/>
        </w:rPr>
        <w:t>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pPr>
        <w:pStyle w:val="5"/>
        <w:ind w:left="0" w:leftChars="0" w:firstLine="0" w:firstLineChars="0"/>
        <w:rPr>
          <w:color w:val="auto"/>
          <w:sz w:val="24"/>
          <w:szCs w:val="24"/>
          <w:highlight w:val="none"/>
          <w:lang w:eastAsia="zh-CN"/>
        </w:rPr>
      </w:pPr>
      <w:bookmarkStart w:id="362" w:name="bookmark1055"/>
      <w:bookmarkStart w:id="363" w:name="bookmark1056"/>
      <w:bookmarkStart w:id="364" w:name="_Toc30864"/>
      <w:bookmarkStart w:id="365" w:name="bookmark1057"/>
      <w:r>
        <w:rPr>
          <w:color w:val="auto"/>
          <w:sz w:val="24"/>
          <w:szCs w:val="24"/>
          <w:highlight w:val="none"/>
          <w:lang w:eastAsia="zh-CN"/>
        </w:rPr>
        <w:t>5.4禁止使用不合格的材料和工程设备</w:t>
      </w:r>
      <w:bookmarkEnd w:id="362"/>
      <w:bookmarkEnd w:id="363"/>
      <w:bookmarkEnd w:id="364"/>
      <w:bookmarkEnd w:id="365"/>
    </w:p>
    <w:p>
      <w:pPr>
        <w:pStyle w:val="47"/>
        <w:spacing w:after="80" w:line="362" w:lineRule="exact"/>
        <w:ind w:firstLine="420"/>
        <w:jc w:val="both"/>
        <w:rPr>
          <w:rFonts w:ascii="Times New Roman" w:hAnsi="Times New Roman" w:cs="Times New Roman"/>
          <w:color w:val="auto"/>
          <w:sz w:val="24"/>
          <w:szCs w:val="24"/>
          <w:highlight w:val="none"/>
        </w:rPr>
      </w:pPr>
      <w:bookmarkStart w:id="366" w:name="bookmark1058"/>
      <w:bookmarkEnd w:id="366"/>
      <w:r>
        <w:rPr>
          <w:rFonts w:ascii="Times New Roman" w:hAnsi="Times New Roman" w:cs="Times New Roman"/>
          <w:color w:val="auto"/>
          <w:sz w:val="24"/>
          <w:szCs w:val="24"/>
          <w:highlight w:val="none"/>
        </w:rPr>
        <w:t>5.4.1监理人有权拒绝承包人提供的不合格材料或工程设备，并要求承包人立即进行更换。监理人应在更换后再次进行检查和检验，由此增加的费用和（或）工期延误由承包 人承担。</w:t>
      </w:r>
    </w:p>
    <w:p>
      <w:pPr>
        <w:pStyle w:val="47"/>
        <w:spacing w:after="80" w:line="362" w:lineRule="exact"/>
        <w:ind w:firstLine="420"/>
        <w:jc w:val="both"/>
        <w:rPr>
          <w:rFonts w:ascii="Times New Roman" w:hAnsi="Times New Roman" w:cs="Times New Roman"/>
          <w:color w:val="auto"/>
          <w:sz w:val="24"/>
          <w:szCs w:val="24"/>
          <w:highlight w:val="none"/>
        </w:rPr>
      </w:pPr>
      <w:bookmarkStart w:id="367" w:name="bookmark1059"/>
      <w:bookmarkEnd w:id="367"/>
      <w:r>
        <w:rPr>
          <w:rFonts w:ascii="Times New Roman" w:hAnsi="Times New Roman" w:cs="Times New Roman"/>
          <w:color w:val="auto"/>
          <w:sz w:val="24"/>
          <w:szCs w:val="24"/>
          <w:highlight w:val="none"/>
        </w:rPr>
        <w:t>5.4.2监理人发现承包人使用了不合格的材料和工程设备，应即时发出指示要求承包人立即改正，并禁止在工程中继续使用不合格的材料和工程设备。</w:t>
      </w:r>
    </w:p>
    <w:p>
      <w:pPr>
        <w:pStyle w:val="47"/>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5.4.3</w:t>
      </w:r>
      <w:r>
        <w:rPr>
          <w:rFonts w:ascii="Times New Roman" w:hAnsi="Times New Roman" w:cs="Times New Roman"/>
          <w:color w:val="auto"/>
          <w:sz w:val="24"/>
          <w:szCs w:val="24"/>
          <w:highlight w:val="none"/>
        </w:rPr>
        <w:t>发</w:t>
      </w:r>
      <w:r>
        <w:rPr>
          <w:color w:val="auto"/>
          <w:sz w:val="24"/>
          <w:szCs w:val="24"/>
          <w:highlight w:val="none"/>
        </w:rPr>
        <w:t>包人提供的材料或工程设备不符合合同要求的，承包人有权拒绝，并可要求发包人更换，由此增加的费用和（或）工期延误由发包人承担。</w:t>
      </w:r>
    </w:p>
    <w:p>
      <w:pPr>
        <w:pStyle w:val="4"/>
        <w:spacing w:line="360" w:lineRule="exact"/>
        <w:rPr>
          <w:rFonts w:hint="eastAsia"/>
          <w:color w:val="auto"/>
          <w:sz w:val="24"/>
          <w:szCs w:val="24"/>
          <w:highlight w:val="none"/>
          <w:lang w:eastAsia="zh-CN"/>
        </w:rPr>
      </w:pPr>
      <w:bookmarkStart w:id="368" w:name="bookmark1062"/>
      <w:bookmarkEnd w:id="368"/>
      <w:bookmarkStart w:id="369" w:name="_Toc419089557"/>
      <w:bookmarkStart w:id="370" w:name="bookmark1060"/>
      <w:bookmarkStart w:id="371" w:name="_Toc21496"/>
      <w:bookmarkStart w:id="372" w:name="bookmark1063"/>
      <w:bookmarkStart w:id="373" w:name="bookmark1061"/>
      <w:bookmarkStart w:id="374" w:name="_Toc30413"/>
      <w:r>
        <w:rPr>
          <w:rFonts w:hint="eastAsia"/>
          <w:color w:val="auto"/>
          <w:sz w:val="24"/>
          <w:szCs w:val="24"/>
          <w:highlight w:val="none"/>
          <w:lang w:eastAsia="zh-CN"/>
        </w:rPr>
        <w:t>6.施工设备和临时设施</w:t>
      </w:r>
      <w:bookmarkEnd w:id="369"/>
      <w:bookmarkEnd w:id="370"/>
      <w:bookmarkEnd w:id="371"/>
      <w:bookmarkEnd w:id="372"/>
      <w:bookmarkEnd w:id="373"/>
      <w:bookmarkEnd w:id="374"/>
    </w:p>
    <w:p>
      <w:pPr>
        <w:pStyle w:val="5"/>
        <w:ind w:left="0" w:leftChars="0" w:firstLine="0" w:firstLineChars="0"/>
        <w:rPr>
          <w:color w:val="auto"/>
          <w:sz w:val="24"/>
          <w:szCs w:val="24"/>
          <w:highlight w:val="none"/>
          <w:lang w:eastAsia="zh-CN"/>
        </w:rPr>
      </w:pPr>
      <w:bookmarkStart w:id="375" w:name="bookmark1064"/>
      <w:bookmarkStart w:id="376" w:name="bookmark1065"/>
      <w:bookmarkStart w:id="377" w:name="bookmark1066"/>
      <w:bookmarkStart w:id="378" w:name="_Toc9863"/>
      <w:r>
        <w:rPr>
          <w:color w:val="auto"/>
          <w:sz w:val="24"/>
          <w:szCs w:val="24"/>
          <w:highlight w:val="none"/>
          <w:lang w:eastAsia="zh-CN"/>
        </w:rPr>
        <w:t>6.1承包人提供的施工设备和临时设施</w:t>
      </w:r>
      <w:bookmarkEnd w:id="375"/>
      <w:bookmarkEnd w:id="376"/>
      <w:bookmarkEnd w:id="377"/>
      <w:bookmarkEnd w:id="378"/>
    </w:p>
    <w:p>
      <w:pPr>
        <w:pStyle w:val="47"/>
        <w:spacing w:line="36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6.1.1</w:t>
      </w:r>
      <w:r>
        <w:rPr>
          <w:color w:val="auto"/>
          <w:sz w:val="24"/>
          <w:szCs w:val="24"/>
          <w:highlight w:val="none"/>
        </w:rPr>
        <w:t>承包人应按合同进度计划的要求，及时配置施工设备和修建临时设施。进入施工场地的承包人设备需经监理人核查后才能投入使用。承包人更换合同约定的承包人设备的，应报监理人批准。</w:t>
      </w:r>
    </w:p>
    <w:p>
      <w:pPr>
        <w:pStyle w:val="47"/>
        <w:spacing w:after="140"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6.1.2</w:t>
      </w:r>
      <w:r>
        <w:rPr>
          <w:color w:val="auto"/>
          <w:sz w:val="24"/>
          <w:szCs w:val="24"/>
          <w:highlight w:val="none"/>
        </w:rPr>
        <w:t>除专用合同条款另有约定外，承包人应自行承担修建临时设施的费用，需要临时占地的，应由发包人办理申请手续并承担相应费用。</w:t>
      </w:r>
    </w:p>
    <w:p>
      <w:pPr>
        <w:pStyle w:val="5"/>
        <w:ind w:left="0" w:leftChars="0" w:firstLine="0" w:firstLineChars="0"/>
        <w:rPr>
          <w:color w:val="auto"/>
          <w:sz w:val="24"/>
          <w:szCs w:val="24"/>
          <w:highlight w:val="none"/>
          <w:lang w:eastAsia="zh-CN"/>
        </w:rPr>
      </w:pPr>
      <w:bookmarkStart w:id="379" w:name="bookmark1068"/>
      <w:bookmarkStart w:id="380" w:name="bookmark1069"/>
      <w:bookmarkStart w:id="381" w:name="bookmark1067"/>
      <w:bookmarkStart w:id="382" w:name="_Toc31030"/>
      <w:r>
        <w:rPr>
          <w:color w:val="auto"/>
          <w:sz w:val="24"/>
          <w:szCs w:val="24"/>
          <w:highlight w:val="none"/>
          <w:lang w:eastAsia="zh-CN"/>
        </w:rPr>
        <w:t>6.2发包人提供的施工设备和临时设施</w:t>
      </w:r>
      <w:bookmarkEnd w:id="379"/>
      <w:bookmarkEnd w:id="380"/>
      <w:bookmarkEnd w:id="381"/>
      <w:bookmarkEnd w:id="382"/>
    </w:p>
    <w:p>
      <w:pPr>
        <w:pStyle w:val="47"/>
        <w:spacing w:after="140" w:line="370" w:lineRule="exact"/>
        <w:ind w:firstLine="420"/>
        <w:jc w:val="both"/>
        <w:rPr>
          <w:color w:val="auto"/>
          <w:sz w:val="24"/>
          <w:szCs w:val="24"/>
          <w:highlight w:val="none"/>
        </w:rPr>
      </w:pPr>
      <w:r>
        <w:rPr>
          <w:color w:val="auto"/>
          <w:sz w:val="24"/>
          <w:szCs w:val="24"/>
          <w:highlight w:val="none"/>
        </w:rPr>
        <w:t>发包人提供的施工设备或临时设施在专用合同条款中约定。</w:t>
      </w:r>
    </w:p>
    <w:p>
      <w:pPr>
        <w:pStyle w:val="5"/>
        <w:ind w:left="0" w:leftChars="0" w:firstLine="0" w:firstLineChars="0"/>
        <w:rPr>
          <w:color w:val="auto"/>
          <w:sz w:val="24"/>
          <w:szCs w:val="24"/>
          <w:highlight w:val="none"/>
          <w:lang w:eastAsia="zh-CN"/>
        </w:rPr>
      </w:pPr>
      <w:bookmarkStart w:id="383" w:name="_Toc30722"/>
      <w:bookmarkStart w:id="384" w:name="bookmark1072"/>
      <w:bookmarkStart w:id="385" w:name="bookmark1071"/>
      <w:bookmarkStart w:id="386" w:name="bookmark1070"/>
      <w:r>
        <w:rPr>
          <w:color w:val="auto"/>
          <w:sz w:val="24"/>
          <w:szCs w:val="24"/>
          <w:highlight w:val="none"/>
          <w:lang w:eastAsia="zh-CN"/>
        </w:rPr>
        <w:t>6.3要求承包人增加或更换施工设备</w:t>
      </w:r>
      <w:bookmarkEnd w:id="383"/>
      <w:bookmarkEnd w:id="384"/>
      <w:bookmarkEnd w:id="385"/>
      <w:bookmarkEnd w:id="386"/>
    </w:p>
    <w:p>
      <w:pPr>
        <w:pStyle w:val="47"/>
        <w:spacing w:after="140" w:line="365" w:lineRule="exact"/>
        <w:ind w:firstLine="420"/>
        <w:jc w:val="both"/>
        <w:rPr>
          <w:color w:val="auto"/>
          <w:sz w:val="24"/>
          <w:szCs w:val="24"/>
          <w:highlight w:val="none"/>
        </w:rPr>
      </w:pPr>
      <w:r>
        <w:rPr>
          <w:color w:val="auto"/>
          <w:sz w:val="24"/>
          <w:szCs w:val="24"/>
          <w:highlight w:val="none"/>
        </w:rPr>
        <w:t>承包人使用的施工设备不能满足合同进度计划和（或）质量要求时，监理人有权要求承包人增加或更换施工设备，承包人应及时增加或更换，由此增加的费用和（或）工期延误由承包人承担。</w:t>
      </w:r>
    </w:p>
    <w:p>
      <w:pPr>
        <w:pStyle w:val="5"/>
        <w:ind w:left="0" w:leftChars="0" w:firstLine="0" w:firstLineChars="0"/>
        <w:rPr>
          <w:color w:val="auto"/>
          <w:sz w:val="24"/>
          <w:szCs w:val="24"/>
          <w:highlight w:val="none"/>
          <w:lang w:eastAsia="zh-CN"/>
        </w:rPr>
      </w:pPr>
      <w:bookmarkStart w:id="387" w:name="bookmark1075"/>
      <w:bookmarkStart w:id="388" w:name="bookmark1073"/>
      <w:bookmarkStart w:id="389" w:name="_Toc21826"/>
      <w:bookmarkStart w:id="390" w:name="bookmark1074"/>
      <w:r>
        <w:rPr>
          <w:color w:val="auto"/>
          <w:sz w:val="24"/>
          <w:szCs w:val="24"/>
          <w:highlight w:val="none"/>
          <w:lang w:eastAsia="zh-CN"/>
        </w:rPr>
        <w:t>6.4施工设备和临时设施专用于合同工程</w:t>
      </w:r>
      <w:bookmarkEnd w:id="387"/>
      <w:bookmarkEnd w:id="388"/>
      <w:bookmarkEnd w:id="389"/>
      <w:bookmarkEnd w:id="390"/>
    </w:p>
    <w:p>
      <w:pPr>
        <w:pStyle w:val="47"/>
        <w:spacing w:after="140" w:line="365" w:lineRule="exact"/>
        <w:ind w:firstLine="420"/>
        <w:jc w:val="both"/>
        <w:rPr>
          <w:color w:val="auto"/>
          <w:sz w:val="24"/>
          <w:szCs w:val="24"/>
          <w:highlight w:val="none"/>
        </w:rPr>
      </w:pPr>
      <w:bookmarkStart w:id="391" w:name="bookmark1076"/>
      <w:bookmarkEnd w:id="391"/>
      <w:r>
        <w:rPr>
          <w:rFonts w:ascii="Times New Roman" w:hAnsi="Times New Roman" w:cs="Times New Roman"/>
          <w:color w:val="auto"/>
          <w:sz w:val="24"/>
          <w:szCs w:val="24"/>
          <w:highlight w:val="none"/>
        </w:rPr>
        <w:t>6.4.1</w:t>
      </w:r>
      <w:r>
        <w:rPr>
          <w:color w:val="auto"/>
          <w:sz w:val="24"/>
          <w:szCs w:val="24"/>
          <w:highlight w:val="none"/>
        </w:rPr>
        <w:t>除合同另有约定外，运入施工场地的所有施工设备以及在施工场地建设的临时设施应专用于合同工程。未经监理人同意，不得将上述施工设备和临时设施中的任何部分运出施工场地或挪作他用。</w:t>
      </w:r>
    </w:p>
    <w:p>
      <w:pPr>
        <w:pStyle w:val="47"/>
        <w:tabs>
          <w:tab w:val="left" w:pos="754"/>
        </w:tabs>
        <w:spacing w:after="300" w:line="370" w:lineRule="exact"/>
        <w:ind w:left="420" w:firstLine="0"/>
        <w:rPr>
          <w:color w:val="auto"/>
          <w:sz w:val="24"/>
          <w:szCs w:val="24"/>
          <w:highlight w:val="none"/>
        </w:rPr>
      </w:pPr>
      <w:bookmarkStart w:id="392" w:name="bookmark1077"/>
      <w:bookmarkEnd w:id="392"/>
      <w:r>
        <w:rPr>
          <w:rFonts w:hint="eastAsia" w:ascii="Times New Roman" w:hAnsi="Times New Roman" w:cs="Times New Roman"/>
          <w:color w:val="auto"/>
          <w:sz w:val="24"/>
          <w:szCs w:val="24"/>
          <w:highlight w:val="none"/>
          <w:lang w:val="en-US" w:bidi="en-US"/>
        </w:rPr>
        <w:t>6.</w:t>
      </w:r>
      <w:r>
        <w:rPr>
          <w:rFonts w:ascii="Times New Roman" w:hAnsi="Times New Roman" w:eastAsia="Times New Roman" w:cs="Times New Roman"/>
          <w:color w:val="auto"/>
          <w:sz w:val="24"/>
          <w:szCs w:val="24"/>
          <w:highlight w:val="none"/>
          <w:lang w:val="en-US" w:bidi="en-US"/>
        </w:rPr>
        <w:t>4.2</w:t>
      </w:r>
      <w:r>
        <w:rPr>
          <w:color w:val="auto"/>
          <w:sz w:val="24"/>
          <w:szCs w:val="24"/>
          <w:highlight w:val="none"/>
        </w:rPr>
        <w:t>经监理人同意，承包人可根据合同进度计划撤走闲置的施工设备。</w:t>
      </w:r>
    </w:p>
    <w:p>
      <w:pPr>
        <w:pStyle w:val="4"/>
        <w:spacing w:line="360" w:lineRule="exact"/>
        <w:rPr>
          <w:rFonts w:hint="eastAsia"/>
          <w:color w:val="auto"/>
          <w:sz w:val="24"/>
          <w:szCs w:val="24"/>
          <w:highlight w:val="none"/>
          <w:lang w:eastAsia="zh-CN"/>
        </w:rPr>
      </w:pPr>
      <w:bookmarkStart w:id="393" w:name="bookmark1080"/>
      <w:bookmarkEnd w:id="393"/>
      <w:bookmarkStart w:id="394" w:name="_Toc1367431728"/>
      <w:bookmarkStart w:id="395" w:name="bookmark1078"/>
      <w:bookmarkStart w:id="396" w:name="bookmark1079"/>
      <w:bookmarkStart w:id="397" w:name="_Toc13833"/>
      <w:bookmarkStart w:id="398" w:name="_Toc943"/>
      <w:bookmarkStart w:id="399" w:name="bookmark1081"/>
      <w:r>
        <w:rPr>
          <w:rFonts w:hint="eastAsia"/>
          <w:color w:val="auto"/>
          <w:sz w:val="24"/>
          <w:szCs w:val="24"/>
          <w:highlight w:val="none"/>
          <w:lang w:eastAsia="zh-CN"/>
        </w:rPr>
        <w:t>7.交通运输</w:t>
      </w:r>
      <w:bookmarkEnd w:id="394"/>
      <w:bookmarkEnd w:id="395"/>
      <w:bookmarkEnd w:id="396"/>
      <w:bookmarkEnd w:id="397"/>
      <w:bookmarkEnd w:id="398"/>
      <w:bookmarkEnd w:id="399"/>
    </w:p>
    <w:p>
      <w:pPr>
        <w:pStyle w:val="5"/>
        <w:ind w:left="0" w:leftChars="0" w:firstLine="0" w:firstLineChars="0"/>
        <w:rPr>
          <w:color w:val="auto"/>
          <w:sz w:val="24"/>
          <w:szCs w:val="24"/>
          <w:highlight w:val="none"/>
          <w:lang w:eastAsia="zh-CN"/>
        </w:rPr>
      </w:pPr>
      <w:bookmarkStart w:id="400" w:name="bookmark1082"/>
      <w:bookmarkStart w:id="401" w:name="bookmark1084"/>
      <w:bookmarkStart w:id="402" w:name="_Toc22987"/>
      <w:bookmarkStart w:id="403" w:name="bookmark1083"/>
      <w:bookmarkStart w:id="404" w:name="bookmark1086"/>
      <w:bookmarkStart w:id="405" w:name="bookmark1087"/>
      <w:bookmarkStart w:id="406" w:name="bookmark1085"/>
      <w:bookmarkStart w:id="407" w:name="_Toc19760"/>
      <w:r>
        <w:rPr>
          <w:color w:val="auto"/>
          <w:sz w:val="24"/>
          <w:szCs w:val="24"/>
          <w:highlight w:val="none"/>
          <w:lang w:eastAsia="zh-CN"/>
        </w:rPr>
        <w:t>7.1道路通行权和场外设施</w:t>
      </w:r>
      <w:bookmarkEnd w:id="400"/>
      <w:bookmarkEnd w:id="401"/>
      <w:bookmarkEnd w:id="402"/>
      <w:bookmarkEnd w:id="403"/>
    </w:p>
    <w:p>
      <w:pPr>
        <w:pStyle w:val="47"/>
        <w:spacing w:after="140" w:line="359" w:lineRule="exact"/>
        <w:ind w:firstLine="420"/>
        <w:jc w:val="both"/>
        <w:rPr>
          <w:color w:val="auto"/>
          <w:sz w:val="24"/>
          <w:szCs w:val="24"/>
          <w:highlight w:val="none"/>
        </w:rPr>
      </w:pPr>
      <w:r>
        <w:rPr>
          <w:color w:val="auto"/>
          <w:sz w:val="24"/>
          <w:szCs w:val="24"/>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pPr>
        <w:pStyle w:val="5"/>
        <w:ind w:left="0" w:leftChars="0" w:firstLine="0" w:firstLineChars="0"/>
        <w:rPr>
          <w:color w:val="auto"/>
          <w:sz w:val="24"/>
          <w:szCs w:val="24"/>
          <w:highlight w:val="none"/>
          <w:lang w:eastAsia="zh-CN"/>
        </w:rPr>
      </w:pPr>
      <w:r>
        <w:rPr>
          <w:color w:val="auto"/>
          <w:sz w:val="24"/>
          <w:szCs w:val="24"/>
          <w:highlight w:val="none"/>
          <w:lang w:eastAsia="zh-CN"/>
        </w:rPr>
        <w:t>7.2场内施工道路</w:t>
      </w:r>
      <w:bookmarkEnd w:id="404"/>
      <w:bookmarkEnd w:id="405"/>
      <w:bookmarkEnd w:id="406"/>
      <w:bookmarkEnd w:id="407"/>
    </w:p>
    <w:p>
      <w:pPr>
        <w:pStyle w:val="47"/>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7.2.1</w:t>
      </w:r>
      <w:r>
        <w:rPr>
          <w:color w:val="auto"/>
          <w:sz w:val="24"/>
          <w:szCs w:val="24"/>
          <w:highlight w:val="none"/>
        </w:rPr>
        <w:t>除本合同约定由发包人提供的部分道路和交通设施外，承包人应负责修建、维 修、养护和管理其施工所需的全部临时道路和交通设施（包括合同约定由发包人提供的部 分道路和交通设施维修、养护和管理），并承担相应费用。</w:t>
      </w:r>
    </w:p>
    <w:p>
      <w:pPr>
        <w:pStyle w:val="47"/>
        <w:spacing w:after="140" w:line="37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7.2.2</w:t>
      </w:r>
      <w:r>
        <w:rPr>
          <w:color w:val="auto"/>
          <w:sz w:val="24"/>
          <w:szCs w:val="24"/>
          <w:highlight w:val="none"/>
        </w:rPr>
        <w:t>承包人修建的临时道路和交通设施，应免费提供发包人、监理人，以及与本合 同有关的其他承包人使用。</w:t>
      </w:r>
    </w:p>
    <w:p>
      <w:pPr>
        <w:pStyle w:val="5"/>
        <w:ind w:left="0" w:leftChars="0" w:firstLine="0" w:firstLineChars="0"/>
        <w:rPr>
          <w:color w:val="auto"/>
          <w:sz w:val="24"/>
          <w:szCs w:val="24"/>
          <w:highlight w:val="none"/>
          <w:lang w:eastAsia="zh-CN"/>
        </w:rPr>
      </w:pPr>
      <w:bookmarkStart w:id="408" w:name="_Toc1077"/>
      <w:bookmarkStart w:id="409" w:name="bookmark1088"/>
      <w:bookmarkStart w:id="410" w:name="bookmark1090"/>
      <w:bookmarkStart w:id="411" w:name="bookmark1089"/>
      <w:r>
        <w:rPr>
          <w:color w:val="auto"/>
          <w:sz w:val="24"/>
          <w:szCs w:val="24"/>
          <w:highlight w:val="none"/>
          <w:lang w:eastAsia="zh-CN"/>
        </w:rPr>
        <w:t>7.3场外交通</w:t>
      </w:r>
      <w:bookmarkEnd w:id="408"/>
      <w:bookmarkEnd w:id="409"/>
      <w:bookmarkEnd w:id="410"/>
      <w:bookmarkEnd w:id="411"/>
    </w:p>
    <w:p>
      <w:pPr>
        <w:pStyle w:val="47"/>
        <w:spacing w:line="37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7.3.1</w:t>
      </w:r>
      <w:r>
        <w:rPr>
          <w:color w:val="auto"/>
          <w:sz w:val="24"/>
          <w:szCs w:val="24"/>
          <w:highlight w:val="none"/>
        </w:rPr>
        <w:t>承包人车辆外出行驶所需的场外公共道路的通行费、养路费和税款等由承包人承担。</w:t>
      </w:r>
    </w:p>
    <w:p>
      <w:pPr>
        <w:pStyle w:val="47"/>
        <w:spacing w:line="379" w:lineRule="exact"/>
        <w:ind w:firstLine="420"/>
        <w:jc w:val="both"/>
        <w:rPr>
          <w:color w:val="auto"/>
          <w:sz w:val="24"/>
          <w:szCs w:val="24"/>
          <w:highlight w:val="none"/>
        </w:rPr>
      </w:pPr>
      <w:r>
        <w:rPr>
          <w:rFonts w:ascii="Times New Roman" w:hAnsi="Times New Roman" w:cs="Times New Roman"/>
          <w:color w:val="auto"/>
          <w:sz w:val="24"/>
          <w:szCs w:val="24"/>
          <w:highlight w:val="none"/>
          <w:lang w:val="en-US"/>
        </w:rPr>
        <w:t>7.3.2</w:t>
      </w:r>
      <w:r>
        <w:rPr>
          <w:color w:val="auto"/>
          <w:sz w:val="24"/>
          <w:szCs w:val="24"/>
          <w:highlight w:val="none"/>
        </w:rPr>
        <w:t>承包人应遵守有关交通法规，严格按照道路和桥梁的限制荷重安全行驶，并服从交通管理部门的检查和监督</w:t>
      </w:r>
      <w:r>
        <w:rPr>
          <w:rFonts w:hint="eastAsia"/>
          <w:color w:val="auto"/>
          <w:sz w:val="24"/>
          <w:szCs w:val="24"/>
          <w:highlight w:val="none"/>
          <w:lang w:val="en-US"/>
        </w:rPr>
        <w:t>。</w:t>
      </w:r>
    </w:p>
    <w:p>
      <w:pPr>
        <w:pStyle w:val="5"/>
        <w:ind w:left="0" w:leftChars="0" w:firstLine="0" w:firstLineChars="0"/>
        <w:rPr>
          <w:color w:val="auto"/>
          <w:sz w:val="24"/>
          <w:szCs w:val="24"/>
          <w:highlight w:val="none"/>
          <w:lang w:eastAsia="zh-CN"/>
        </w:rPr>
      </w:pPr>
      <w:bookmarkStart w:id="412" w:name="bookmark1091"/>
      <w:bookmarkStart w:id="413" w:name="bookmark1092"/>
      <w:bookmarkStart w:id="414" w:name="bookmark1093"/>
      <w:bookmarkStart w:id="415" w:name="_Toc25595"/>
      <w:r>
        <w:rPr>
          <w:color w:val="auto"/>
          <w:sz w:val="24"/>
          <w:szCs w:val="24"/>
          <w:highlight w:val="none"/>
          <w:lang w:eastAsia="zh-CN"/>
        </w:rPr>
        <w:t>7.4超大件和超重件的运输</w:t>
      </w:r>
      <w:bookmarkEnd w:id="412"/>
      <w:bookmarkEnd w:id="413"/>
      <w:bookmarkEnd w:id="414"/>
      <w:bookmarkEnd w:id="415"/>
    </w:p>
    <w:p>
      <w:pPr>
        <w:pStyle w:val="47"/>
        <w:spacing w:after="120" w:line="347" w:lineRule="exact"/>
        <w:ind w:firstLine="440"/>
        <w:jc w:val="both"/>
        <w:rPr>
          <w:color w:val="auto"/>
          <w:sz w:val="24"/>
          <w:szCs w:val="24"/>
          <w:highlight w:val="none"/>
        </w:rPr>
      </w:pPr>
      <w:r>
        <w:rPr>
          <w:color w:val="auto"/>
          <w:sz w:val="24"/>
          <w:szCs w:val="24"/>
          <w:highlight w:val="none"/>
        </w:rPr>
        <w:t>由承包人负责运输的超大件或超重件，应由承包人负责向交通管理部门办理申请手续, 发包人给予协助。运输超大件或超重件所需的道路和桥梁临时加固改造费用和其他有关费用，由承包人承担，但专用合同条款另有约定除外。</w:t>
      </w:r>
    </w:p>
    <w:p>
      <w:pPr>
        <w:pStyle w:val="5"/>
        <w:ind w:left="0" w:leftChars="0" w:firstLine="0" w:firstLineChars="0"/>
        <w:rPr>
          <w:color w:val="auto"/>
          <w:sz w:val="24"/>
          <w:szCs w:val="24"/>
          <w:highlight w:val="none"/>
          <w:lang w:eastAsia="zh-CN"/>
        </w:rPr>
      </w:pPr>
      <w:bookmarkStart w:id="416" w:name="_Toc19673"/>
      <w:bookmarkStart w:id="417" w:name="bookmark1094"/>
      <w:bookmarkStart w:id="418" w:name="bookmark1096"/>
      <w:bookmarkStart w:id="419" w:name="bookmark1095"/>
      <w:r>
        <w:rPr>
          <w:color w:val="auto"/>
          <w:sz w:val="24"/>
          <w:szCs w:val="24"/>
          <w:highlight w:val="none"/>
          <w:lang w:eastAsia="zh-CN"/>
        </w:rPr>
        <w:t>7.5道路和桥梁的损坏责任</w:t>
      </w:r>
      <w:bookmarkEnd w:id="416"/>
      <w:bookmarkEnd w:id="417"/>
      <w:bookmarkEnd w:id="418"/>
      <w:bookmarkEnd w:id="419"/>
    </w:p>
    <w:p>
      <w:pPr>
        <w:pStyle w:val="47"/>
        <w:spacing w:after="120" w:line="353" w:lineRule="exact"/>
        <w:ind w:firstLine="440"/>
        <w:jc w:val="both"/>
        <w:rPr>
          <w:color w:val="auto"/>
          <w:sz w:val="24"/>
          <w:szCs w:val="24"/>
          <w:highlight w:val="none"/>
        </w:rPr>
      </w:pPr>
      <w:r>
        <w:rPr>
          <w:color w:val="auto"/>
          <w:sz w:val="24"/>
          <w:szCs w:val="24"/>
          <w:highlight w:val="none"/>
        </w:rPr>
        <w:t>因承包人运输造成施工场地内外公共道路和桥梁损坏的，由承包人承担修复损坏的全部费用和可能引起的赔偿。</w:t>
      </w:r>
    </w:p>
    <w:p>
      <w:pPr>
        <w:pStyle w:val="5"/>
        <w:ind w:left="0" w:leftChars="0" w:firstLine="0" w:firstLineChars="0"/>
        <w:rPr>
          <w:color w:val="auto"/>
          <w:sz w:val="24"/>
          <w:szCs w:val="24"/>
          <w:highlight w:val="none"/>
          <w:lang w:eastAsia="zh-CN"/>
        </w:rPr>
      </w:pPr>
      <w:bookmarkStart w:id="420" w:name="_Toc30116"/>
      <w:bookmarkStart w:id="421" w:name="bookmark1098"/>
      <w:bookmarkStart w:id="422" w:name="bookmark1099"/>
      <w:bookmarkStart w:id="423" w:name="bookmark1097"/>
      <w:r>
        <w:rPr>
          <w:color w:val="auto"/>
          <w:sz w:val="24"/>
          <w:szCs w:val="24"/>
          <w:highlight w:val="none"/>
          <w:lang w:eastAsia="zh-CN"/>
        </w:rPr>
        <w:t>7.6水路和航空运输</w:t>
      </w:r>
      <w:bookmarkEnd w:id="420"/>
      <w:bookmarkEnd w:id="421"/>
      <w:bookmarkEnd w:id="422"/>
      <w:bookmarkEnd w:id="423"/>
    </w:p>
    <w:p>
      <w:pPr>
        <w:pStyle w:val="47"/>
        <w:spacing w:after="260" w:line="350" w:lineRule="exact"/>
        <w:ind w:firstLine="440"/>
        <w:jc w:val="both"/>
        <w:rPr>
          <w:color w:val="auto"/>
          <w:sz w:val="24"/>
          <w:szCs w:val="24"/>
          <w:highlight w:val="none"/>
        </w:rPr>
      </w:pPr>
      <w:r>
        <w:rPr>
          <w:color w:val="auto"/>
          <w:sz w:val="24"/>
          <w:szCs w:val="24"/>
          <w:highlight w:val="none"/>
        </w:rPr>
        <w:t>本条上述各款的内容适用于水路运输和航空运输，其中“道路” 一词的涵义包括河道、 航线、船闸、机场、码头、堤防以及水路或航空运输中其他相似结构物；“车辆” 一词的涵义包括船舶和飞机等。</w:t>
      </w:r>
    </w:p>
    <w:p>
      <w:pPr>
        <w:pStyle w:val="4"/>
        <w:spacing w:line="360" w:lineRule="exact"/>
        <w:rPr>
          <w:rFonts w:hint="eastAsia"/>
          <w:color w:val="auto"/>
          <w:sz w:val="24"/>
          <w:szCs w:val="24"/>
          <w:highlight w:val="none"/>
          <w:lang w:eastAsia="zh-CN"/>
        </w:rPr>
      </w:pPr>
      <w:bookmarkStart w:id="424" w:name="bookmark1102"/>
      <w:bookmarkEnd w:id="424"/>
      <w:bookmarkStart w:id="425" w:name="bookmark1101"/>
      <w:bookmarkStart w:id="426" w:name="_Toc7491"/>
      <w:bookmarkStart w:id="427" w:name="bookmark1103"/>
      <w:bookmarkStart w:id="428" w:name="_Toc1113"/>
      <w:bookmarkStart w:id="429" w:name="bookmark1100"/>
      <w:bookmarkStart w:id="430" w:name="_Toc1685606573"/>
      <w:r>
        <w:rPr>
          <w:rFonts w:hint="eastAsia"/>
          <w:color w:val="auto"/>
          <w:sz w:val="24"/>
          <w:szCs w:val="24"/>
          <w:highlight w:val="none"/>
          <w:lang w:eastAsia="zh-CN"/>
        </w:rPr>
        <w:t>8.测量放线</w:t>
      </w:r>
      <w:bookmarkEnd w:id="425"/>
      <w:bookmarkEnd w:id="426"/>
      <w:bookmarkEnd w:id="427"/>
      <w:bookmarkEnd w:id="428"/>
      <w:bookmarkEnd w:id="429"/>
      <w:bookmarkEnd w:id="430"/>
    </w:p>
    <w:p>
      <w:pPr>
        <w:pStyle w:val="5"/>
        <w:ind w:left="0" w:leftChars="0" w:firstLine="0" w:firstLineChars="0"/>
        <w:rPr>
          <w:color w:val="auto"/>
          <w:sz w:val="24"/>
          <w:szCs w:val="24"/>
          <w:highlight w:val="none"/>
          <w:lang w:eastAsia="zh-CN"/>
        </w:rPr>
      </w:pPr>
      <w:bookmarkStart w:id="431" w:name="_Toc7125"/>
      <w:bookmarkStart w:id="432" w:name="bookmark1106"/>
      <w:bookmarkStart w:id="433" w:name="bookmark1105"/>
      <w:bookmarkStart w:id="434" w:name="bookmark1104"/>
      <w:r>
        <w:rPr>
          <w:color w:val="auto"/>
          <w:sz w:val="24"/>
          <w:szCs w:val="24"/>
          <w:highlight w:val="none"/>
          <w:lang w:eastAsia="zh-CN"/>
        </w:rPr>
        <w:t>8.1施工控制网</w:t>
      </w:r>
      <w:bookmarkEnd w:id="431"/>
      <w:bookmarkEnd w:id="432"/>
      <w:bookmarkEnd w:id="433"/>
      <w:bookmarkEnd w:id="434"/>
    </w:p>
    <w:p>
      <w:pPr>
        <w:pStyle w:val="47"/>
        <w:spacing w:line="35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8.1.1</w:t>
      </w:r>
      <w:r>
        <w:rPr>
          <w:color w:val="auto"/>
          <w:sz w:val="24"/>
          <w:szCs w:val="24"/>
          <w:highlight w:val="none"/>
        </w:rPr>
        <w:t>除专用条款另有约定外，施工控制网由承包人负责测设，发包人应在本合同协议书签订后的</w:t>
      </w:r>
      <w:r>
        <w:rPr>
          <w:rFonts w:ascii="Times New Roman" w:hAnsi="Times New Roman" w:eastAsia="Times New Roman" w:cs="Times New Roman"/>
          <w:color w:val="auto"/>
          <w:sz w:val="24"/>
          <w:szCs w:val="24"/>
          <w:highlight w:val="none"/>
        </w:rPr>
        <w:t>14</w:t>
      </w:r>
      <w:r>
        <w:rPr>
          <w:color w:val="auto"/>
          <w:sz w:val="24"/>
          <w:szCs w:val="24"/>
          <w:highlight w:val="none"/>
        </w:rPr>
        <w:t>天内，向承包人提供测量基准点、基准线和水准点及其相关资料。承包人应在收到上述资料后的</w:t>
      </w:r>
      <w:r>
        <w:rPr>
          <w:rFonts w:ascii="Times New Roman" w:hAnsi="Times New Roman" w:eastAsia="Times New Roman" w:cs="Times New Roman"/>
          <w:color w:val="auto"/>
          <w:sz w:val="24"/>
          <w:szCs w:val="24"/>
          <w:highlight w:val="none"/>
        </w:rPr>
        <w:t>28</w:t>
      </w:r>
      <w:r>
        <w:rPr>
          <w:color w:val="auto"/>
          <w:sz w:val="24"/>
          <w:szCs w:val="24"/>
          <w:highlight w:val="none"/>
        </w:rPr>
        <w:t>天内，将施测的施工控制网资料提交监理人审批。监理人应在收到报批件后的</w:t>
      </w:r>
      <w:r>
        <w:rPr>
          <w:rFonts w:ascii="Times New Roman" w:hAnsi="Times New Roman" w:eastAsia="Times New Roman" w:cs="Times New Roman"/>
          <w:color w:val="auto"/>
          <w:sz w:val="24"/>
          <w:szCs w:val="24"/>
          <w:highlight w:val="none"/>
        </w:rPr>
        <w:t>14</w:t>
      </w:r>
      <w:r>
        <w:rPr>
          <w:color w:val="auto"/>
          <w:sz w:val="24"/>
          <w:szCs w:val="24"/>
          <w:highlight w:val="none"/>
        </w:rPr>
        <w:t>天内批复承包人。</w:t>
      </w:r>
    </w:p>
    <w:p>
      <w:pPr>
        <w:pStyle w:val="47"/>
        <w:spacing w:after="120" w:line="35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8.1.2</w:t>
      </w:r>
      <w:r>
        <w:rPr>
          <w:color w:val="auto"/>
          <w:sz w:val="24"/>
          <w:szCs w:val="24"/>
          <w:highlight w:val="none"/>
        </w:rPr>
        <w:t>承包人应负责管理施工控制网点。施工控制网点丢失或损坏的，承包人应及时修复。承包人应承担施工控制网点的管理与修复费用，并在工程竣工后将施工控制网点移交发包人。</w:t>
      </w:r>
    </w:p>
    <w:p>
      <w:pPr>
        <w:pStyle w:val="5"/>
        <w:ind w:left="0" w:leftChars="0" w:firstLine="0" w:firstLineChars="0"/>
        <w:rPr>
          <w:color w:val="auto"/>
          <w:sz w:val="24"/>
          <w:szCs w:val="24"/>
          <w:highlight w:val="none"/>
          <w:lang w:eastAsia="zh-CN"/>
        </w:rPr>
      </w:pPr>
      <w:bookmarkStart w:id="435" w:name="bookmark1109"/>
      <w:bookmarkStart w:id="436" w:name="bookmark1107"/>
      <w:bookmarkStart w:id="437" w:name="_Toc28033"/>
      <w:bookmarkStart w:id="438" w:name="bookmark1108"/>
      <w:r>
        <w:rPr>
          <w:color w:val="auto"/>
          <w:sz w:val="24"/>
          <w:szCs w:val="24"/>
          <w:highlight w:val="none"/>
          <w:lang w:eastAsia="zh-CN"/>
        </w:rPr>
        <w:t>8.2施工测量</w:t>
      </w:r>
      <w:bookmarkEnd w:id="435"/>
      <w:bookmarkEnd w:id="436"/>
      <w:bookmarkEnd w:id="437"/>
      <w:bookmarkEnd w:id="438"/>
    </w:p>
    <w:p>
      <w:pPr>
        <w:pStyle w:val="47"/>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8.2.1</w:t>
      </w:r>
      <w:r>
        <w:rPr>
          <w:color w:val="auto"/>
          <w:sz w:val="24"/>
          <w:szCs w:val="24"/>
          <w:highlight w:val="none"/>
        </w:rPr>
        <w:t>承包人应负责施工过程中的全部施工测量放线工作，并配置合格的人员、仪 器、设备和其他物品。</w:t>
      </w:r>
    </w:p>
    <w:p>
      <w:pPr>
        <w:pStyle w:val="47"/>
        <w:spacing w:after="12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8.2.2</w:t>
      </w:r>
      <w:r>
        <w:rPr>
          <w:color w:val="auto"/>
          <w:sz w:val="24"/>
          <w:szCs w:val="24"/>
          <w:highlight w:val="none"/>
        </w:rPr>
        <w:t>监理人可以指示承包人进行抽样复测，当复测中发现错误或出现超过合同约定的误差时，承包人应按监理人指示进行修正或补测，并承担相应的复测费用。</w:t>
      </w:r>
    </w:p>
    <w:p>
      <w:pPr>
        <w:pStyle w:val="5"/>
        <w:ind w:left="0" w:leftChars="0" w:firstLine="0" w:firstLineChars="0"/>
        <w:rPr>
          <w:color w:val="auto"/>
          <w:sz w:val="24"/>
          <w:szCs w:val="24"/>
          <w:highlight w:val="none"/>
          <w:lang w:eastAsia="zh-CN"/>
        </w:rPr>
      </w:pPr>
      <w:bookmarkStart w:id="439" w:name="_Toc18249"/>
      <w:bookmarkStart w:id="440" w:name="bookmark1112"/>
      <w:bookmarkStart w:id="441" w:name="bookmark1111"/>
      <w:bookmarkStart w:id="442" w:name="bookmark1110"/>
      <w:r>
        <w:rPr>
          <w:color w:val="auto"/>
          <w:sz w:val="24"/>
          <w:szCs w:val="24"/>
          <w:highlight w:val="none"/>
          <w:lang w:eastAsia="zh-CN"/>
        </w:rPr>
        <w:t>8.3基准资料错误的责任</w:t>
      </w:r>
      <w:bookmarkEnd w:id="439"/>
      <w:bookmarkEnd w:id="440"/>
      <w:bookmarkEnd w:id="441"/>
      <w:bookmarkEnd w:id="442"/>
    </w:p>
    <w:p>
      <w:pPr>
        <w:pStyle w:val="47"/>
        <w:spacing w:after="120" w:line="349" w:lineRule="exact"/>
        <w:ind w:firstLine="440"/>
        <w:jc w:val="both"/>
        <w:rPr>
          <w:color w:val="auto"/>
          <w:sz w:val="24"/>
          <w:szCs w:val="24"/>
          <w:highlight w:val="none"/>
        </w:rPr>
      </w:pPr>
      <w:r>
        <w:rPr>
          <w:color w:val="auto"/>
          <w:sz w:val="24"/>
          <w:szCs w:val="24"/>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pPr>
        <w:pStyle w:val="5"/>
        <w:ind w:left="0" w:leftChars="0" w:firstLine="0" w:firstLineChars="0"/>
        <w:rPr>
          <w:color w:val="auto"/>
          <w:sz w:val="24"/>
          <w:szCs w:val="24"/>
          <w:highlight w:val="none"/>
          <w:lang w:eastAsia="zh-CN"/>
        </w:rPr>
      </w:pPr>
      <w:bookmarkStart w:id="443" w:name="bookmark1113"/>
      <w:bookmarkStart w:id="444" w:name="_Toc26810"/>
      <w:bookmarkStart w:id="445" w:name="bookmark1115"/>
      <w:bookmarkStart w:id="446" w:name="bookmark1114"/>
      <w:r>
        <w:rPr>
          <w:color w:val="auto"/>
          <w:sz w:val="24"/>
          <w:szCs w:val="24"/>
          <w:highlight w:val="none"/>
          <w:lang w:eastAsia="zh-CN"/>
        </w:rPr>
        <w:t>8.4监理人使用施工控制网</w:t>
      </w:r>
      <w:bookmarkEnd w:id="443"/>
      <w:bookmarkEnd w:id="444"/>
      <w:bookmarkEnd w:id="445"/>
      <w:bookmarkEnd w:id="446"/>
    </w:p>
    <w:p>
      <w:pPr>
        <w:pStyle w:val="47"/>
        <w:spacing w:after="120" w:line="351" w:lineRule="exact"/>
        <w:ind w:firstLine="440"/>
        <w:jc w:val="both"/>
        <w:rPr>
          <w:color w:val="auto"/>
          <w:sz w:val="24"/>
          <w:szCs w:val="24"/>
          <w:highlight w:val="none"/>
        </w:rPr>
      </w:pPr>
      <w:r>
        <w:rPr>
          <w:color w:val="auto"/>
          <w:sz w:val="24"/>
          <w:szCs w:val="24"/>
          <w:highlight w:val="none"/>
        </w:rPr>
        <w:t>监理人需要使用施工控制网的，承包人应提供必要的协助，发包人不再为此支付费用。</w:t>
      </w:r>
    </w:p>
    <w:p>
      <w:pPr>
        <w:pStyle w:val="5"/>
        <w:ind w:left="0" w:leftChars="0" w:firstLine="0" w:firstLineChars="0"/>
        <w:rPr>
          <w:color w:val="auto"/>
          <w:sz w:val="24"/>
          <w:szCs w:val="24"/>
          <w:highlight w:val="none"/>
          <w:lang w:eastAsia="zh-CN"/>
        </w:rPr>
      </w:pPr>
      <w:bookmarkStart w:id="447" w:name="bookmark1118"/>
      <w:bookmarkStart w:id="448" w:name="bookmark1116"/>
      <w:bookmarkStart w:id="449" w:name="bookmark1117"/>
      <w:bookmarkStart w:id="450" w:name="_Toc26237"/>
      <w:r>
        <w:rPr>
          <w:color w:val="auto"/>
          <w:sz w:val="24"/>
          <w:szCs w:val="24"/>
          <w:highlight w:val="none"/>
          <w:lang w:eastAsia="zh-CN"/>
        </w:rPr>
        <w:t>8.5补充地质勘探</w:t>
      </w:r>
      <w:bookmarkEnd w:id="447"/>
      <w:bookmarkEnd w:id="448"/>
      <w:bookmarkEnd w:id="449"/>
      <w:bookmarkEnd w:id="450"/>
    </w:p>
    <w:p>
      <w:pPr>
        <w:pStyle w:val="47"/>
        <w:spacing w:after="300" w:line="349" w:lineRule="exact"/>
        <w:ind w:firstLine="440"/>
        <w:jc w:val="both"/>
        <w:rPr>
          <w:color w:val="auto"/>
          <w:sz w:val="24"/>
          <w:szCs w:val="24"/>
          <w:highlight w:val="none"/>
        </w:rPr>
      </w:pPr>
      <w:r>
        <w:rPr>
          <w:color w:val="auto"/>
          <w:sz w:val="24"/>
          <w:szCs w:val="24"/>
          <w:highlight w:val="none"/>
        </w:rPr>
        <w:t>在合同实施期间，监理人可以指示承包人进行必要的补充地质勘探和提供有关资料; 承包人为本合同永久工程施工的需要进行补充地质勘探时，须经监理人批准，并应向监理人提交有关资料，上述补充勘探的费用由发包人承担。承包人为其临时工程所需进行的补 充地质勘探，其费用由承包人承担。</w:t>
      </w:r>
    </w:p>
    <w:p>
      <w:pPr>
        <w:pStyle w:val="4"/>
        <w:spacing w:line="360" w:lineRule="exact"/>
        <w:rPr>
          <w:rFonts w:hint="eastAsia"/>
          <w:color w:val="auto"/>
          <w:sz w:val="24"/>
          <w:szCs w:val="24"/>
          <w:highlight w:val="none"/>
          <w:lang w:eastAsia="zh-CN"/>
        </w:rPr>
      </w:pPr>
      <w:bookmarkStart w:id="451" w:name="bookmark1121"/>
      <w:bookmarkEnd w:id="451"/>
      <w:bookmarkStart w:id="452" w:name="_Toc21535"/>
      <w:bookmarkStart w:id="453" w:name="_Toc1436993919"/>
      <w:bookmarkStart w:id="454" w:name="bookmark1119"/>
      <w:bookmarkStart w:id="455" w:name="bookmark1120"/>
      <w:bookmarkStart w:id="456" w:name="_Toc15267"/>
      <w:bookmarkStart w:id="457" w:name="bookmark1122"/>
      <w:r>
        <w:rPr>
          <w:rFonts w:hint="eastAsia"/>
          <w:color w:val="auto"/>
          <w:sz w:val="24"/>
          <w:szCs w:val="24"/>
          <w:highlight w:val="none"/>
          <w:lang w:eastAsia="zh-CN"/>
        </w:rPr>
        <w:t>9.施工安全、治安保卫和环境保护</w:t>
      </w:r>
      <w:bookmarkEnd w:id="452"/>
      <w:bookmarkEnd w:id="453"/>
      <w:bookmarkEnd w:id="454"/>
      <w:bookmarkEnd w:id="455"/>
      <w:bookmarkEnd w:id="456"/>
      <w:bookmarkEnd w:id="457"/>
    </w:p>
    <w:p>
      <w:pPr>
        <w:pStyle w:val="5"/>
        <w:ind w:left="0" w:leftChars="0" w:firstLine="0" w:firstLineChars="0"/>
        <w:rPr>
          <w:color w:val="auto"/>
          <w:sz w:val="24"/>
          <w:szCs w:val="24"/>
          <w:highlight w:val="none"/>
          <w:lang w:eastAsia="zh-CN"/>
        </w:rPr>
      </w:pPr>
      <w:bookmarkStart w:id="458" w:name="_Toc13008"/>
      <w:bookmarkStart w:id="459" w:name="bookmark1125"/>
      <w:bookmarkStart w:id="460" w:name="bookmark1124"/>
      <w:bookmarkStart w:id="461" w:name="bookmark1123"/>
      <w:r>
        <w:rPr>
          <w:color w:val="auto"/>
          <w:sz w:val="24"/>
          <w:szCs w:val="24"/>
          <w:highlight w:val="none"/>
          <w:lang w:eastAsia="zh-CN"/>
        </w:rPr>
        <w:t>9.1发包人的施工安全责任</w:t>
      </w:r>
      <w:bookmarkEnd w:id="458"/>
      <w:bookmarkEnd w:id="459"/>
      <w:bookmarkEnd w:id="460"/>
      <w:bookmarkEnd w:id="461"/>
    </w:p>
    <w:p>
      <w:pPr>
        <w:pStyle w:val="47"/>
        <w:spacing w:line="359"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9.1.1</w:t>
      </w:r>
      <w:r>
        <w:rPr>
          <w:rFonts w:ascii="Times New Roman" w:hAnsi="Times New Roman" w:cs="Times New Roman"/>
          <w:color w:val="auto"/>
          <w:sz w:val="24"/>
          <w:szCs w:val="24"/>
          <w:highlight w:val="none"/>
        </w:rPr>
        <w:t>发包人应按合同约定履行安全职责，发包人委托监理人根据国家有关安全的法律、法规、强制性标准以及部门规章，对承包人的安全责任履行情况进行监督和检查。监理人的监督检查不减轻承包人应负的安全责任。</w:t>
      </w:r>
    </w:p>
    <w:p>
      <w:pPr>
        <w:pStyle w:val="47"/>
        <w:spacing w:line="377"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9.1.2</w:t>
      </w:r>
      <w:r>
        <w:rPr>
          <w:rFonts w:ascii="Times New Roman" w:hAnsi="Times New Roman" w:cs="Times New Roman"/>
          <w:color w:val="auto"/>
          <w:sz w:val="24"/>
          <w:szCs w:val="24"/>
          <w:highlight w:val="none"/>
        </w:rPr>
        <w:t>发包人应对其现场机构雇佣的全部人员的工伤事故承担责任，但由于承包人原因造成发包人人员工伤的，应由承包人承担责任。</w:t>
      </w:r>
    </w:p>
    <w:p>
      <w:pPr>
        <w:pStyle w:val="47"/>
        <w:spacing w:line="360"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9. 1. </w:t>
      </w:r>
      <w:r>
        <w:rPr>
          <w:rFonts w:ascii="Times New Roman" w:hAnsi="Times New Roman" w:eastAsia="Times New Roman" w:cs="Times New Roman"/>
          <w:color w:val="auto"/>
          <w:sz w:val="24"/>
          <w:szCs w:val="24"/>
          <w:highlight w:val="none"/>
        </w:rPr>
        <w:t>3</w:t>
      </w:r>
      <w:r>
        <w:rPr>
          <w:rFonts w:ascii="Times New Roman" w:hAnsi="Times New Roman" w:cs="Times New Roman"/>
          <w:color w:val="auto"/>
          <w:sz w:val="24"/>
          <w:szCs w:val="24"/>
          <w:highlight w:val="none"/>
        </w:rPr>
        <w:t>发包人应负责赔偿以下各种情况造成的第三者人身伤亡和财产损失：</w:t>
      </w:r>
    </w:p>
    <w:p>
      <w:pPr>
        <w:pStyle w:val="47"/>
        <w:numPr>
          <w:ilvl w:val="0"/>
          <w:numId w:val="7"/>
        </w:numPr>
        <w:tabs>
          <w:tab w:val="left" w:pos="898"/>
        </w:tabs>
        <w:spacing w:line="360" w:lineRule="exact"/>
        <w:ind w:firstLine="420"/>
        <w:jc w:val="both"/>
        <w:rPr>
          <w:rFonts w:ascii="Times New Roman" w:hAnsi="Times New Roman" w:cs="Times New Roman"/>
          <w:color w:val="auto"/>
          <w:sz w:val="24"/>
          <w:szCs w:val="24"/>
          <w:highlight w:val="none"/>
        </w:rPr>
      </w:pPr>
      <w:bookmarkStart w:id="462" w:name="bookmark1126"/>
      <w:bookmarkEnd w:id="462"/>
      <w:r>
        <w:rPr>
          <w:rFonts w:ascii="Times New Roman" w:hAnsi="Times New Roman" w:cs="Times New Roman"/>
          <w:color w:val="auto"/>
          <w:sz w:val="24"/>
          <w:szCs w:val="24"/>
          <w:highlight w:val="none"/>
        </w:rPr>
        <w:t>工程或工程的任何部分对土地的占用所造成的第三者财产损失；</w:t>
      </w:r>
    </w:p>
    <w:p>
      <w:pPr>
        <w:pStyle w:val="47"/>
        <w:numPr>
          <w:ilvl w:val="0"/>
          <w:numId w:val="7"/>
        </w:numPr>
        <w:tabs>
          <w:tab w:val="left" w:pos="898"/>
        </w:tabs>
        <w:spacing w:line="360" w:lineRule="exact"/>
        <w:ind w:firstLine="420"/>
        <w:jc w:val="both"/>
        <w:rPr>
          <w:rFonts w:ascii="Times New Roman" w:hAnsi="Times New Roman" w:cs="Times New Roman"/>
          <w:color w:val="auto"/>
          <w:sz w:val="24"/>
          <w:szCs w:val="24"/>
          <w:highlight w:val="none"/>
        </w:rPr>
      </w:pPr>
      <w:bookmarkStart w:id="463" w:name="bookmark1127"/>
      <w:bookmarkEnd w:id="463"/>
      <w:r>
        <w:rPr>
          <w:rFonts w:ascii="Times New Roman" w:hAnsi="Times New Roman" w:cs="Times New Roman"/>
          <w:color w:val="auto"/>
          <w:sz w:val="24"/>
          <w:szCs w:val="24"/>
          <w:highlight w:val="none"/>
        </w:rPr>
        <w:t>由于发包人原因在施工场地及其毗邻地带造成的第三者人身伤亡和财产损失。</w:t>
      </w:r>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9.1.4</w:t>
      </w:r>
      <w:r>
        <w:rPr>
          <w:color w:val="auto"/>
          <w:sz w:val="24"/>
          <w:szCs w:val="24"/>
          <w:highlight w:val="none"/>
        </w:rPr>
        <w:t>除专用合同条款另有约定外，发包人负责向承包人提供施工现场及施工可能影响的毗邻区域内供水、排水、供电、供气、供热、通信、广播电视等地下管线资料，气象 和水文观测资料，拟建工程可能影响的相邻建筑物地下工程的有关资料，并保证有关资料的真实、准确、完整，满足有关技术规程的要求。</w:t>
      </w:r>
    </w:p>
    <w:p>
      <w:pPr>
        <w:pStyle w:val="47"/>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9.1.5</w:t>
      </w:r>
      <w:r>
        <w:rPr>
          <w:color w:val="auto"/>
          <w:sz w:val="24"/>
          <w:szCs w:val="24"/>
          <w:highlight w:val="none"/>
        </w:rPr>
        <w:t>发包人按照已标价工程量清单所列金额和合同约定的计量支付规定，支付安全作业环境及安全施工措施所需费用。</w:t>
      </w:r>
    </w:p>
    <w:p>
      <w:pPr>
        <w:pStyle w:val="47"/>
        <w:spacing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9.1.6</w:t>
      </w:r>
      <w:r>
        <w:rPr>
          <w:color w:val="auto"/>
          <w:sz w:val="24"/>
          <w:szCs w:val="24"/>
          <w:highlight w:val="none"/>
        </w:rPr>
        <w:t>发包人负责组织工程参建单位编制保证安全生产的措施方案。工程开工前，就 落实安全生产的措施进行全面系统的布置，进一步明确承包人的安全生产责任。</w:t>
      </w:r>
    </w:p>
    <w:p>
      <w:pPr>
        <w:pStyle w:val="47"/>
        <w:spacing w:after="160" w:line="37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w:t>
      </w:r>
      <w:r>
        <w:rPr>
          <w:rFonts w:hint="eastAsia" w:ascii="Times New Roman" w:hAnsi="Times New Roman" w:cs="Times New Roman"/>
          <w:color w:val="auto"/>
          <w:sz w:val="24"/>
          <w:szCs w:val="24"/>
          <w:highlight w:val="none"/>
          <w:lang w:val="en-US" w:bidi="en-US"/>
        </w:rPr>
        <w:t>.7</w:t>
      </w:r>
      <w:r>
        <w:rPr>
          <w:color w:val="auto"/>
          <w:sz w:val="24"/>
          <w:szCs w:val="24"/>
          <w:highlight w:val="none"/>
        </w:rPr>
        <w:t>发包人负责在拆除工程和爆破工程施工</w:t>
      </w:r>
      <w:r>
        <w:rPr>
          <w:rFonts w:ascii="Times New Roman" w:hAnsi="Times New Roman" w:eastAsia="Times New Roman" w:cs="Times New Roman"/>
          <w:color w:val="auto"/>
          <w:sz w:val="24"/>
          <w:szCs w:val="24"/>
          <w:highlight w:val="none"/>
        </w:rPr>
        <w:t>14</w:t>
      </w:r>
      <w:r>
        <w:rPr>
          <w:color w:val="auto"/>
          <w:sz w:val="24"/>
          <w:szCs w:val="24"/>
          <w:highlight w:val="none"/>
        </w:rPr>
        <w:t>天前向有关部门或机构报送相关备案资料。</w:t>
      </w:r>
    </w:p>
    <w:p>
      <w:pPr>
        <w:pStyle w:val="5"/>
        <w:ind w:left="0" w:leftChars="0" w:firstLine="0" w:firstLineChars="0"/>
        <w:rPr>
          <w:color w:val="auto"/>
          <w:sz w:val="24"/>
          <w:szCs w:val="24"/>
          <w:highlight w:val="none"/>
          <w:lang w:eastAsia="zh-CN"/>
        </w:rPr>
      </w:pPr>
      <w:bookmarkStart w:id="464" w:name="bookmark1130"/>
      <w:bookmarkStart w:id="465" w:name="bookmark1128"/>
      <w:bookmarkStart w:id="466" w:name="_Toc920"/>
      <w:bookmarkStart w:id="467" w:name="bookmark1129"/>
      <w:r>
        <w:rPr>
          <w:color w:val="auto"/>
          <w:sz w:val="24"/>
          <w:szCs w:val="24"/>
          <w:highlight w:val="none"/>
          <w:lang w:eastAsia="zh-CN"/>
        </w:rPr>
        <w:t>9.2承包人的施工安全责任</w:t>
      </w:r>
      <w:bookmarkEnd w:id="464"/>
      <w:bookmarkEnd w:id="465"/>
      <w:bookmarkEnd w:id="466"/>
      <w:bookmarkEnd w:id="467"/>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9.2.1</w:t>
      </w:r>
      <w:r>
        <w:rPr>
          <w:color w:val="auto"/>
          <w:sz w:val="24"/>
          <w:szCs w:val="24"/>
          <w:highlight w:val="none"/>
        </w:rPr>
        <w:t>承包人应按合同约定履行安全职责，执行监理人有关安全工作的指示。承包人应按技术标准和要求(合同技术条款)约定的内容和期限，以及监理人的指示，编制施工安全技术措施提交监理人审批。监理人应技术标准和要求(合同技术条款)约定的期限内 批复承包人。</w:t>
      </w:r>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9.2.2</w:t>
      </w:r>
      <w:r>
        <w:rPr>
          <w:color w:val="auto"/>
          <w:sz w:val="24"/>
          <w:szCs w:val="24"/>
          <w:highlight w:val="none"/>
        </w:rPr>
        <w:t>承包人应加强施工作业安全管理，特别应加强易燃、易爆材料、火工器材、有毒与腐蚀性材料和其他危险品的管理，以及对爆破作业和地下工程施工等危险作业的管理。</w:t>
      </w:r>
    </w:p>
    <w:p>
      <w:pPr>
        <w:pStyle w:val="47"/>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9.2.3</w:t>
      </w:r>
      <w:r>
        <w:rPr>
          <w:color w:val="auto"/>
          <w:sz w:val="24"/>
          <w:szCs w:val="24"/>
          <w:highlight w:val="none"/>
        </w:rPr>
        <w:t>承包人应严格按照国家安全标准制定施工安全操作规程，配备必要的安全生产 和劳动保护设施，加强对承包人人员的安全教育，并发放安全工作手册和劳动保护用具。</w:t>
      </w:r>
    </w:p>
    <w:p>
      <w:pPr>
        <w:pStyle w:val="47"/>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9. 2.4</w:t>
      </w:r>
      <w:r>
        <w:rPr>
          <w:color w:val="auto"/>
          <w:sz w:val="24"/>
          <w:szCs w:val="24"/>
          <w:highlight w:val="none"/>
        </w:rPr>
        <w:t>承包人应按监理人的指示制定应对灾害的紧急预案，报送监理人审批。承包人还应按预案做好安全检查，配置必要的救助物资和器材，切实保护好有关人员的人身和财产安全。</w:t>
      </w:r>
    </w:p>
    <w:p>
      <w:pPr>
        <w:pStyle w:val="47"/>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9.2.5</w:t>
      </w:r>
      <w:r>
        <w:rPr>
          <w:color w:val="auto"/>
          <w:sz w:val="24"/>
          <w:szCs w:val="24"/>
          <w:highlight w:val="none"/>
        </w:rPr>
        <w:t>合同约定的安全作业环境及安全施工措施所需费用应遵守有关规定，并包括在相关工作的合同价格中。因采取合同未约定的安全作业环境及安全施工措施增加的费用，由监理人按第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w:t>
      </w:r>
    </w:p>
    <w:p>
      <w:pPr>
        <w:pStyle w:val="47"/>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9.2.6</w:t>
      </w:r>
      <w:r>
        <w:rPr>
          <w:color w:val="auto"/>
          <w:sz w:val="24"/>
          <w:szCs w:val="24"/>
          <w:highlight w:val="none"/>
        </w:rPr>
        <w:t>承包人应对其履行合同所雇佣的全部人员，包括分包人人员的工伤事故承担责任，但由于发包人原因造成承包人人员工伤事故的，应由发包人承担责任。</w:t>
      </w:r>
    </w:p>
    <w:p>
      <w:pPr>
        <w:pStyle w:val="47"/>
        <w:spacing w:line="37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w:t>
      </w:r>
      <w:r>
        <w:rPr>
          <w:rFonts w:ascii="Times New Roman" w:hAnsi="Times New Roman" w:eastAsia="Times New Roman" w:cs="Times New Roman"/>
          <w:color w:val="auto"/>
          <w:sz w:val="24"/>
          <w:szCs w:val="24"/>
          <w:highlight w:val="none"/>
        </w:rPr>
        <w:t>7</w:t>
      </w:r>
      <w:r>
        <w:rPr>
          <w:color w:val="auto"/>
          <w:sz w:val="24"/>
          <w:szCs w:val="24"/>
          <w:highlight w:val="none"/>
        </w:rPr>
        <w:t>由于承包人原因在施工场地内及其毗邻地带造成的第三者人员伤亡和财产损失，由承包人负责赔偿。</w:t>
      </w:r>
    </w:p>
    <w:p>
      <w:pPr>
        <w:pStyle w:val="47"/>
        <w:spacing w:line="36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w:t>
      </w:r>
      <w:r>
        <w:rPr>
          <w:rFonts w:ascii="Times New Roman" w:hAnsi="Times New Roman" w:eastAsia="Times New Roman" w:cs="Times New Roman"/>
          <w:color w:val="auto"/>
          <w:sz w:val="24"/>
          <w:szCs w:val="24"/>
          <w:highlight w:val="none"/>
        </w:rPr>
        <w:t>8</w:t>
      </w:r>
      <w:r>
        <w:rPr>
          <w:color w:val="auto"/>
          <w:sz w:val="24"/>
          <w:szCs w:val="24"/>
          <w:highlight w:val="none"/>
        </w:rPr>
        <w:t>承包人已标价工程量清单应包含工程安全作业环境及安全施工措施所需费用。</w:t>
      </w:r>
    </w:p>
    <w:p>
      <w:pPr>
        <w:pStyle w:val="47"/>
        <w:spacing w:line="36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9.2.9</w:t>
      </w:r>
      <w:r>
        <w:rPr>
          <w:color w:val="auto"/>
          <w:sz w:val="24"/>
          <w:szCs w:val="24"/>
          <w:highlight w:val="none"/>
        </w:rPr>
        <w:t>承包人应建立健全安全生产责任制度和安全生产教育培训制度，制定安全生产 规章制度和操作规程，保证本单位建立和完善安全生产条件所需资金的投入，对本工程进行定期和专项安全检查，并做好安全检查记录。</w:t>
      </w:r>
    </w:p>
    <w:p>
      <w:pPr>
        <w:pStyle w:val="47"/>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9. 2. </w:t>
      </w:r>
      <w:r>
        <w:rPr>
          <w:rFonts w:ascii="Times New Roman" w:hAnsi="Times New Roman" w:eastAsia="Times New Roman" w:cs="Times New Roman"/>
          <w:color w:val="auto"/>
          <w:sz w:val="24"/>
          <w:szCs w:val="24"/>
          <w:highlight w:val="none"/>
        </w:rPr>
        <w:t>10</w:t>
      </w:r>
      <w:r>
        <w:rPr>
          <w:color w:val="auto"/>
          <w:sz w:val="24"/>
          <w:szCs w:val="24"/>
          <w:highlight w:val="none"/>
        </w:rPr>
        <w:t>承包人应设立安全生产管理机构，施工现场应有专职安全生产管理人员。</w:t>
      </w:r>
    </w:p>
    <w:p>
      <w:pPr>
        <w:pStyle w:val="47"/>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9. 2.11</w:t>
      </w:r>
      <w:r>
        <w:rPr>
          <w:color w:val="auto"/>
          <w:sz w:val="24"/>
          <w:szCs w:val="24"/>
          <w:highlight w:val="none"/>
        </w:rPr>
        <w:t>承包人应负责对特种作业人员进行专门的安全作业培训，并保证特种作业人员持证上岗。</w:t>
      </w:r>
    </w:p>
    <w:p>
      <w:pPr>
        <w:pStyle w:val="47"/>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9. 2. </w:t>
      </w:r>
      <w:r>
        <w:rPr>
          <w:rFonts w:ascii="Times New Roman" w:hAnsi="Times New Roman" w:eastAsia="Times New Roman" w:cs="Times New Roman"/>
          <w:color w:val="auto"/>
          <w:sz w:val="24"/>
          <w:szCs w:val="24"/>
          <w:highlight w:val="none"/>
        </w:rPr>
        <w:t>12</w:t>
      </w:r>
      <w:r>
        <w:rPr>
          <w:color w:val="auto"/>
          <w:sz w:val="24"/>
          <w:szCs w:val="24"/>
          <w:highlight w:val="none"/>
        </w:rPr>
        <w:t>承包人应在施工组织设计中编制安全技术措施和施工现场临时用电方案。对专用合同条款约定的工程，应编制专项施工方案报监理人批准。对专用合同条款约定的专项施工方案，还应组织专家进行论证、审查，其中专家</w:t>
      </w:r>
      <w:r>
        <w:rPr>
          <w:rFonts w:ascii="Times New Roman" w:hAnsi="Times New Roman" w:eastAsia="Times New Roman" w:cs="Times New Roman"/>
          <w:color w:val="auto"/>
          <w:sz w:val="24"/>
          <w:szCs w:val="24"/>
          <w:highlight w:val="none"/>
        </w:rPr>
        <w:t>1/2</w:t>
      </w:r>
      <w:r>
        <w:rPr>
          <w:color w:val="auto"/>
          <w:sz w:val="24"/>
          <w:szCs w:val="24"/>
          <w:highlight w:val="none"/>
        </w:rPr>
        <w:t>人员应经</w:t>
      </w:r>
      <w:r>
        <w:rPr>
          <w:rFonts w:hint="eastAsia"/>
          <w:color w:val="auto"/>
          <w:sz w:val="24"/>
          <w:szCs w:val="24"/>
          <w:highlight w:val="none"/>
          <w:lang w:eastAsia="zh-CN"/>
        </w:rPr>
        <w:t>发包人书面同意</w:t>
      </w:r>
      <w:r>
        <w:rPr>
          <w:color w:val="auto"/>
          <w:sz w:val="24"/>
          <w:szCs w:val="24"/>
          <w:highlight w:val="none"/>
        </w:rPr>
        <w:t>。</w:t>
      </w:r>
    </w:p>
    <w:p>
      <w:pPr>
        <w:pStyle w:val="47"/>
        <w:spacing w:after="140"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9. 2. </w:t>
      </w:r>
      <w:r>
        <w:rPr>
          <w:rFonts w:ascii="Times New Roman" w:hAnsi="Times New Roman" w:eastAsia="Times New Roman" w:cs="Times New Roman"/>
          <w:color w:val="auto"/>
          <w:sz w:val="24"/>
          <w:szCs w:val="24"/>
          <w:highlight w:val="none"/>
        </w:rPr>
        <w:t>13</w:t>
      </w:r>
      <w:r>
        <w:rPr>
          <w:color w:val="auto"/>
          <w:sz w:val="24"/>
          <w:szCs w:val="24"/>
          <w:highlight w:val="none"/>
        </w:rPr>
        <w:t>承包人在使用施工起重机构和整体提升脚手架、模板等自升式架设设施前, 应组织有关单位进行验收。</w:t>
      </w:r>
    </w:p>
    <w:p>
      <w:pPr>
        <w:pStyle w:val="5"/>
        <w:ind w:left="0" w:leftChars="0" w:firstLine="0" w:firstLineChars="0"/>
        <w:rPr>
          <w:color w:val="auto"/>
          <w:sz w:val="24"/>
          <w:szCs w:val="24"/>
          <w:highlight w:val="none"/>
          <w:lang w:eastAsia="zh-CN"/>
        </w:rPr>
      </w:pPr>
      <w:bookmarkStart w:id="468" w:name="_Toc24520"/>
      <w:bookmarkStart w:id="469" w:name="bookmark1133"/>
      <w:bookmarkStart w:id="470" w:name="bookmark1131"/>
      <w:bookmarkStart w:id="471" w:name="bookmark1132"/>
      <w:r>
        <w:rPr>
          <w:color w:val="auto"/>
          <w:sz w:val="24"/>
          <w:szCs w:val="24"/>
          <w:highlight w:val="none"/>
          <w:lang w:eastAsia="zh-CN"/>
        </w:rPr>
        <w:t>9.3治安保卫</w:t>
      </w:r>
      <w:bookmarkEnd w:id="468"/>
      <w:bookmarkEnd w:id="469"/>
      <w:bookmarkEnd w:id="470"/>
      <w:bookmarkEnd w:id="471"/>
    </w:p>
    <w:p>
      <w:pPr>
        <w:pStyle w:val="47"/>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9.3.1</w:t>
      </w:r>
      <w:r>
        <w:rPr>
          <w:color w:val="auto"/>
          <w:sz w:val="24"/>
          <w:szCs w:val="24"/>
          <w:highlight w:val="none"/>
        </w:rPr>
        <w:t>除合同另有约定外，发包人应与当地公安部门协商，在现场建立治安管理机构或联防组织，统一管理施工场地的治安保卫事项，履行合同工程的治安保卫职责。</w:t>
      </w:r>
    </w:p>
    <w:p>
      <w:pPr>
        <w:pStyle w:val="47"/>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9.3.</w:t>
      </w:r>
      <w:r>
        <w:rPr>
          <w:rFonts w:ascii="Times New Roman" w:hAnsi="Times New Roman" w:eastAsia="Times New Roman" w:cs="Times New Roman"/>
          <w:color w:val="auto"/>
          <w:sz w:val="24"/>
          <w:szCs w:val="24"/>
          <w:highlight w:val="none"/>
        </w:rPr>
        <w:t>2</w:t>
      </w:r>
      <w:r>
        <w:rPr>
          <w:color w:val="auto"/>
          <w:sz w:val="24"/>
          <w:szCs w:val="24"/>
          <w:highlight w:val="none"/>
        </w:rPr>
        <w:t>发包人和承包人除应协助现场治安管理机构或联防组织维护施工场地的社会治安外，还应做好包括生活区在内的各自管辖区的治安保卫工作。</w:t>
      </w:r>
    </w:p>
    <w:p>
      <w:pPr>
        <w:pStyle w:val="47"/>
        <w:spacing w:after="140"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9.3.3</w:t>
      </w:r>
      <w:r>
        <w:rPr>
          <w:color w:val="auto"/>
          <w:sz w:val="24"/>
          <w:szCs w:val="24"/>
          <w:highlight w:val="none"/>
        </w:rPr>
        <w:t>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pPr>
        <w:pStyle w:val="5"/>
        <w:ind w:left="0" w:leftChars="0" w:firstLine="0" w:firstLineChars="0"/>
        <w:rPr>
          <w:color w:val="auto"/>
          <w:sz w:val="24"/>
          <w:szCs w:val="24"/>
          <w:highlight w:val="none"/>
          <w:lang w:eastAsia="zh-CN"/>
        </w:rPr>
      </w:pPr>
      <w:bookmarkStart w:id="472" w:name="_Toc19282"/>
      <w:bookmarkStart w:id="473" w:name="bookmark1136"/>
      <w:bookmarkStart w:id="474" w:name="bookmark1134"/>
      <w:bookmarkStart w:id="475" w:name="bookmark1135"/>
      <w:r>
        <w:rPr>
          <w:color w:val="auto"/>
          <w:sz w:val="24"/>
          <w:szCs w:val="24"/>
          <w:highlight w:val="none"/>
          <w:lang w:eastAsia="zh-CN"/>
        </w:rPr>
        <w:t>9.4环境保护</w:t>
      </w:r>
      <w:bookmarkEnd w:id="472"/>
      <w:bookmarkEnd w:id="473"/>
      <w:bookmarkEnd w:id="474"/>
      <w:bookmarkEnd w:id="475"/>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9.4.1</w:t>
      </w:r>
      <w:r>
        <w:rPr>
          <w:color w:val="auto"/>
          <w:sz w:val="24"/>
          <w:szCs w:val="24"/>
          <w:highlight w:val="none"/>
        </w:rPr>
        <w:t>承包人在施工过程中，应遵守有关环境保护的法律，履行合同约定的环境保护义务，并对违反法律和合同约定义务所造成的环境破坏、人身伤害和财产损失负责。</w:t>
      </w:r>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9.4.2</w:t>
      </w:r>
      <w:r>
        <w:rPr>
          <w:color w:val="auto"/>
          <w:sz w:val="24"/>
          <w:szCs w:val="24"/>
          <w:highlight w:val="none"/>
        </w:rPr>
        <w:t>承包人应按合同约定的环保工作内容，编制施工环保措施计划，报送监理人审批。</w:t>
      </w:r>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9.4.3</w:t>
      </w:r>
      <w:r>
        <w:rPr>
          <w:color w:val="auto"/>
          <w:sz w:val="24"/>
          <w:szCs w:val="24"/>
          <w:highlight w:val="none"/>
        </w:rPr>
        <w:t>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pPr>
        <w:pStyle w:val="47"/>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9.4.4</w:t>
      </w:r>
      <w:r>
        <w:rPr>
          <w:color w:val="auto"/>
          <w:sz w:val="24"/>
          <w:szCs w:val="24"/>
          <w:highlight w:val="none"/>
        </w:rPr>
        <w:t>承包人应按合同约定采取有效措施，对施工开挖的边坡及时进行支护，维护排 水设施，并进行水土保护，避免因施工造成的地质灾害。</w:t>
      </w:r>
    </w:p>
    <w:p>
      <w:pPr>
        <w:pStyle w:val="47"/>
        <w:spacing w:line="360" w:lineRule="exact"/>
        <w:ind w:firstLine="420"/>
        <w:rPr>
          <w:color w:val="auto"/>
          <w:sz w:val="24"/>
          <w:szCs w:val="24"/>
          <w:highlight w:val="none"/>
        </w:rPr>
      </w:pPr>
      <w:r>
        <w:rPr>
          <w:rFonts w:ascii="Times New Roman" w:hAnsi="Times New Roman" w:cs="Times New Roman"/>
          <w:color w:val="auto"/>
          <w:sz w:val="24"/>
          <w:szCs w:val="24"/>
          <w:highlight w:val="none"/>
          <w:lang w:val="en-US" w:bidi="en-US"/>
        </w:rPr>
        <w:t>9.4.5</w:t>
      </w:r>
      <w:r>
        <w:rPr>
          <w:color w:val="auto"/>
          <w:sz w:val="24"/>
          <w:szCs w:val="24"/>
          <w:highlight w:val="none"/>
        </w:rPr>
        <w:t>承包人应按国家饮用水管理标准定期对饮用水源进行监测，防止施工活动污染饮用水源。</w:t>
      </w:r>
    </w:p>
    <w:p>
      <w:pPr>
        <w:pStyle w:val="47"/>
        <w:spacing w:after="12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9.4.6</w:t>
      </w:r>
      <w:r>
        <w:rPr>
          <w:color w:val="auto"/>
          <w:sz w:val="24"/>
          <w:szCs w:val="24"/>
          <w:highlight w:val="none"/>
        </w:rPr>
        <w:t>承包人应按合同约定，加强对噪声、粉尘、废气、废水和废油的控制，努力降低噪声，控制粉尘和废气浓度，做好废水和废油的治理和排放。</w:t>
      </w:r>
    </w:p>
    <w:p>
      <w:pPr>
        <w:pStyle w:val="5"/>
        <w:ind w:left="0" w:leftChars="0" w:firstLine="0" w:firstLineChars="0"/>
        <w:rPr>
          <w:color w:val="auto"/>
          <w:sz w:val="24"/>
          <w:szCs w:val="24"/>
          <w:highlight w:val="none"/>
          <w:lang w:eastAsia="zh-CN"/>
        </w:rPr>
      </w:pPr>
      <w:bookmarkStart w:id="476" w:name="bookmark1137"/>
      <w:bookmarkStart w:id="477" w:name="bookmark1139"/>
      <w:bookmarkStart w:id="478" w:name="bookmark1138"/>
      <w:r>
        <w:rPr>
          <w:color w:val="auto"/>
          <w:sz w:val="24"/>
          <w:szCs w:val="24"/>
          <w:highlight w:val="none"/>
          <w:lang w:eastAsia="zh-CN"/>
        </w:rPr>
        <w:t>9.5事故处理</w:t>
      </w:r>
      <w:bookmarkEnd w:id="476"/>
      <w:bookmarkEnd w:id="477"/>
      <w:bookmarkEnd w:id="478"/>
    </w:p>
    <w:p>
      <w:pPr>
        <w:pStyle w:val="47"/>
        <w:spacing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9.5.1</w:t>
      </w:r>
      <w:r>
        <w:rPr>
          <w:color w:val="auto"/>
          <w:sz w:val="24"/>
          <w:szCs w:val="24"/>
          <w:highlight w:val="none"/>
        </w:rPr>
        <w:t>发包人负责组织参建单位制定本工程的质量与安全事故应急预案，建立质量与安全事故应急处置指挥部。</w:t>
      </w:r>
    </w:p>
    <w:p>
      <w:pPr>
        <w:pStyle w:val="47"/>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5.2</w:t>
      </w:r>
      <w:r>
        <w:rPr>
          <w:color w:val="auto"/>
          <w:sz w:val="24"/>
          <w:szCs w:val="24"/>
          <w:highlight w:val="none"/>
        </w:rPr>
        <w:t>承包人应对施工现场易发生重大事故的部位、环节的进行监控，配备救援器材、设备，并定期组织演练。</w:t>
      </w:r>
    </w:p>
    <w:p>
      <w:pPr>
        <w:pStyle w:val="47"/>
        <w:spacing w:after="120"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9.5.3</w:t>
      </w:r>
      <w:r>
        <w:rPr>
          <w:color w:val="auto"/>
          <w:sz w:val="24"/>
          <w:szCs w:val="24"/>
          <w:highlight w:val="none"/>
        </w:rPr>
        <w:t>工程开工前，承包人应根据本工程特点制定施工现场施工质量与安全事故应急预案，并报发包人备案。</w:t>
      </w:r>
    </w:p>
    <w:p>
      <w:pPr>
        <w:pStyle w:val="47"/>
        <w:spacing w:line="240"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9.5.4</w:t>
      </w:r>
      <w:r>
        <w:rPr>
          <w:color w:val="auto"/>
          <w:sz w:val="24"/>
          <w:szCs w:val="24"/>
          <w:highlight w:val="none"/>
        </w:rPr>
        <w:t>施工过程中发生事故时，发包人、承包人应立即启动应急预案。</w:t>
      </w:r>
    </w:p>
    <w:p>
      <w:pPr>
        <w:pStyle w:val="47"/>
        <w:spacing w:after="120" w:line="367"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9.5.5</w:t>
      </w:r>
      <w:r>
        <w:rPr>
          <w:color w:val="auto"/>
          <w:sz w:val="24"/>
          <w:szCs w:val="24"/>
          <w:highlight w:val="none"/>
        </w:rPr>
        <w:t>事故调查处理由发包人按相关规定履行手续，承包人应配合。</w:t>
      </w:r>
    </w:p>
    <w:p>
      <w:pPr>
        <w:pStyle w:val="5"/>
        <w:ind w:left="0" w:leftChars="0" w:firstLine="0" w:firstLineChars="0"/>
        <w:rPr>
          <w:color w:val="auto"/>
          <w:sz w:val="24"/>
          <w:szCs w:val="24"/>
          <w:highlight w:val="none"/>
          <w:lang w:eastAsia="zh-CN"/>
        </w:rPr>
      </w:pPr>
      <w:bookmarkStart w:id="479" w:name="bookmark1141"/>
      <w:bookmarkStart w:id="480" w:name="_Toc10912"/>
      <w:bookmarkStart w:id="481" w:name="bookmark1142"/>
      <w:bookmarkStart w:id="482" w:name="bookmark1140"/>
      <w:r>
        <w:rPr>
          <w:color w:val="auto"/>
          <w:sz w:val="24"/>
          <w:szCs w:val="24"/>
          <w:highlight w:val="none"/>
          <w:lang w:eastAsia="zh-CN"/>
        </w:rPr>
        <w:t>9.6水土保持</w:t>
      </w:r>
      <w:bookmarkEnd w:id="479"/>
      <w:bookmarkEnd w:id="480"/>
      <w:bookmarkEnd w:id="481"/>
      <w:bookmarkEnd w:id="482"/>
    </w:p>
    <w:p>
      <w:pPr>
        <w:pStyle w:val="47"/>
        <w:spacing w:line="379"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9.6.</w:t>
      </w:r>
      <w:r>
        <w:rPr>
          <w:rFonts w:ascii="Times New Roman" w:hAnsi="Times New Roman" w:eastAsia="Times New Roman" w:cs="Times New Roman"/>
          <w:color w:val="auto"/>
          <w:sz w:val="24"/>
          <w:szCs w:val="24"/>
          <w:highlight w:val="none"/>
        </w:rPr>
        <w:t>1</w:t>
      </w:r>
      <w:r>
        <w:rPr>
          <w:color w:val="auto"/>
          <w:sz w:val="24"/>
          <w:szCs w:val="24"/>
          <w:highlight w:val="none"/>
        </w:rPr>
        <w:t>发包人应及时向承包人提供水土保持方案。</w:t>
      </w:r>
    </w:p>
    <w:p>
      <w:pPr>
        <w:pStyle w:val="47"/>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9.6.2</w:t>
      </w:r>
      <w:r>
        <w:rPr>
          <w:color w:val="auto"/>
          <w:sz w:val="24"/>
          <w:szCs w:val="24"/>
          <w:highlight w:val="none"/>
        </w:rPr>
        <w:t>承包人在施工过程中，应遵守有关水土保持的法律法规和规章，履行合同约定的水土保持义务，并对其违反法律和合同约定义务所造成的水土流失灾害、人身伤害和财 产损失负责。</w:t>
      </w:r>
    </w:p>
    <w:p>
      <w:pPr>
        <w:pStyle w:val="47"/>
        <w:spacing w:after="120"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9.6.3</w:t>
      </w:r>
      <w:r>
        <w:rPr>
          <w:color w:val="auto"/>
          <w:sz w:val="24"/>
          <w:szCs w:val="24"/>
          <w:highlight w:val="none"/>
        </w:rPr>
        <w:t>承包人的水土保持措施计划，应满足技术标准和要求（合同技术条款）约定的要求。</w:t>
      </w:r>
    </w:p>
    <w:p>
      <w:pPr>
        <w:pStyle w:val="5"/>
        <w:ind w:left="0" w:leftChars="0" w:firstLine="0" w:firstLineChars="0"/>
        <w:rPr>
          <w:color w:val="auto"/>
          <w:sz w:val="24"/>
          <w:szCs w:val="24"/>
          <w:highlight w:val="none"/>
          <w:lang w:eastAsia="zh-CN"/>
        </w:rPr>
      </w:pPr>
      <w:bookmarkStart w:id="483" w:name="bookmark1143"/>
      <w:bookmarkStart w:id="484" w:name="_Toc9534"/>
      <w:bookmarkStart w:id="485" w:name="bookmark1144"/>
      <w:bookmarkStart w:id="486" w:name="bookmark1145"/>
      <w:r>
        <w:rPr>
          <w:color w:val="auto"/>
          <w:sz w:val="24"/>
          <w:szCs w:val="24"/>
          <w:highlight w:val="none"/>
          <w:lang w:eastAsia="zh-CN"/>
        </w:rPr>
        <w:t>9.7文明工地</w:t>
      </w:r>
      <w:bookmarkEnd w:id="483"/>
      <w:bookmarkEnd w:id="484"/>
      <w:bookmarkEnd w:id="485"/>
      <w:bookmarkEnd w:id="486"/>
    </w:p>
    <w:p>
      <w:pPr>
        <w:pStyle w:val="47"/>
        <w:spacing w:line="37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9.7.1</w:t>
      </w:r>
      <w:r>
        <w:rPr>
          <w:color w:val="auto"/>
          <w:sz w:val="24"/>
          <w:szCs w:val="24"/>
          <w:highlight w:val="none"/>
        </w:rPr>
        <w:t>发包人应按专用合同条款的约定，负责建立创建文明建设工地的组织机构，制定创建文明建设工地的规划和办法。</w:t>
      </w:r>
    </w:p>
    <w:p>
      <w:pPr>
        <w:pStyle w:val="47"/>
        <w:spacing w:after="120" w:line="370" w:lineRule="exact"/>
        <w:ind w:firstLine="420"/>
        <w:jc w:val="both"/>
        <w:rPr>
          <w:color w:val="auto"/>
          <w:sz w:val="24"/>
          <w:szCs w:val="24"/>
          <w:highlight w:val="none"/>
          <w:lang w:eastAsia="zh-CN"/>
        </w:rPr>
      </w:pPr>
      <w:r>
        <w:rPr>
          <w:rFonts w:ascii="Times New Roman" w:hAnsi="Times New Roman" w:eastAsia="Times New Roman" w:cs="Times New Roman"/>
          <w:color w:val="auto"/>
          <w:sz w:val="24"/>
          <w:szCs w:val="24"/>
          <w:highlight w:val="none"/>
          <w:lang w:val="en-US" w:bidi="en-US"/>
        </w:rPr>
        <w:t>9.7.2</w:t>
      </w:r>
      <w:r>
        <w:rPr>
          <w:color w:val="auto"/>
          <w:sz w:val="24"/>
          <w:szCs w:val="24"/>
          <w:highlight w:val="none"/>
        </w:rPr>
        <w:t>承包人应按创建文明建设工地的规划和办法，履行职责，承担相应责任。所需费用应含在已标价工程量清单中。</w:t>
      </w:r>
      <w:bookmarkStart w:id="487" w:name="bookmark1146"/>
      <w:bookmarkStart w:id="488" w:name="bookmark1147"/>
      <w:bookmarkStart w:id="489" w:name="_Toc2182"/>
      <w:bookmarkStart w:id="490" w:name="bookmark1148"/>
    </w:p>
    <w:p>
      <w:pPr>
        <w:pStyle w:val="5"/>
        <w:ind w:left="0" w:leftChars="0" w:firstLine="0" w:firstLineChars="0"/>
        <w:rPr>
          <w:color w:val="auto"/>
          <w:sz w:val="24"/>
          <w:szCs w:val="24"/>
          <w:highlight w:val="none"/>
          <w:lang w:eastAsia="zh-CN"/>
        </w:rPr>
      </w:pPr>
      <w:r>
        <w:rPr>
          <w:color w:val="auto"/>
          <w:sz w:val="24"/>
          <w:szCs w:val="24"/>
          <w:highlight w:val="none"/>
          <w:lang w:eastAsia="zh-CN"/>
        </w:rPr>
        <w:t>9.8防汛度汛</w:t>
      </w:r>
      <w:bookmarkEnd w:id="487"/>
      <w:bookmarkEnd w:id="488"/>
      <w:bookmarkEnd w:id="489"/>
      <w:bookmarkEnd w:id="490"/>
    </w:p>
    <w:p>
      <w:pPr>
        <w:pStyle w:val="47"/>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9.8.</w:t>
      </w:r>
      <w:r>
        <w:rPr>
          <w:rFonts w:ascii="Times New Roman" w:hAnsi="Times New Roman" w:eastAsia="Times New Roman" w:cs="Times New Roman"/>
          <w:color w:val="auto"/>
          <w:sz w:val="24"/>
          <w:szCs w:val="24"/>
          <w:highlight w:val="none"/>
        </w:rPr>
        <w:t>1</w:t>
      </w:r>
      <w:r>
        <w:rPr>
          <w:color w:val="auto"/>
          <w:sz w:val="24"/>
          <w:szCs w:val="24"/>
          <w:highlight w:val="none"/>
        </w:rPr>
        <w:t>发包人负责组织工程参建单位编制本工程的度汛方案和措施。</w:t>
      </w:r>
    </w:p>
    <w:p>
      <w:pPr>
        <w:pStyle w:val="47"/>
        <w:spacing w:after="28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9.8.2</w:t>
      </w:r>
      <w:r>
        <w:rPr>
          <w:color w:val="auto"/>
          <w:sz w:val="24"/>
          <w:szCs w:val="24"/>
          <w:highlight w:val="none"/>
        </w:rPr>
        <w:t>承包人应根据发包人编制的本工程度汛方案和措施，制定相应的度汛方案，报发包人批准后实施。</w:t>
      </w:r>
    </w:p>
    <w:p>
      <w:pPr>
        <w:pStyle w:val="4"/>
        <w:spacing w:line="360" w:lineRule="exact"/>
        <w:rPr>
          <w:rFonts w:hint="eastAsia"/>
          <w:color w:val="auto"/>
          <w:sz w:val="24"/>
          <w:szCs w:val="24"/>
          <w:highlight w:val="none"/>
          <w:lang w:eastAsia="zh-CN"/>
        </w:rPr>
      </w:pPr>
      <w:bookmarkStart w:id="491" w:name="_Toc1405482679"/>
      <w:bookmarkStart w:id="492" w:name="_Toc27960"/>
      <w:bookmarkStart w:id="493" w:name="bookmark1151"/>
      <w:bookmarkStart w:id="494" w:name="bookmark1149"/>
      <w:bookmarkStart w:id="495" w:name="_Toc22636"/>
      <w:bookmarkStart w:id="496" w:name="bookmark1150"/>
      <w:r>
        <w:rPr>
          <w:rFonts w:hint="eastAsia"/>
          <w:color w:val="auto"/>
          <w:sz w:val="24"/>
          <w:szCs w:val="24"/>
          <w:highlight w:val="none"/>
          <w:lang w:eastAsia="zh-CN"/>
        </w:rPr>
        <w:t>10.进度计划</w:t>
      </w:r>
      <w:bookmarkEnd w:id="491"/>
      <w:bookmarkEnd w:id="492"/>
      <w:bookmarkEnd w:id="493"/>
      <w:bookmarkEnd w:id="494"/>
      <w:bookmarkEnd w:id="495"/>
      <w:bookmarkEnd w:id="496"/>
    </w:p>
    <w:p>
      <w:pPr>
        <w:pStyle w:val="5"/>
        <w:ind w:left="0" w:leftChars="0" w:firstLine="0" w:firstLineChars="0"/>
        <w:rPr>
          <w:color w:val="auto"/>
          <w:sz w:val="24"/>
          <w:szCs w:val="24"/>
          <w:highlight w:val="none"/>
          <w:lang w:eastAsia="zh-CN"/>
        </w:rPr>
      </w:pPr>
      <w:bookmarkStart w:id="497" w:name="_Toc15277"/>
      <w:bookmarkStart w:id="498" w:name="bookmark1153"/>
      <w:bookmarkStart w:id="499" w:name="bookmark1154"/>
      <w:bookmarkStart w:id="500" w:name="bookmark1152"/>
      <w:r>
        <w:rPr>
          <w:color w:val="auto"/>
          <w:sz w:val="24"/>
          <w:szCs w:val="24"/>
          <w:highlight w:val="none"/>
          <w:lang w:eastAsia="zh-CN"/>
        </w:rPr>
        <w:t>10.1合同进度计划</w:t>
      </w:r>
      <w:bookmarkEnd w:id="497"/>
      <w:bookmarkEnd w:id="498"/>
      <w:bookmarkEnd w:id="499"/>
      <w:bookmarkEnd w:id="500"/>
    </w:p>
    <w:p>
      <w:pPr>
        <w:pStyle w:val="47"/>
        <w:spacing w:after="120" w:line="355" w:lineRule="exact"/>
        <w:ind w:firstLine="420"/>
        <w:jc w:val="both"/>
        <w:rPr>
          <w:color w:val="auto"/>
          <w:sz w:val="24"/>
          <w:szCs w:val="24"/>
          <w:highlight w:val="none"/>
        </w:rPr>
      </w:pPr>
      <w:r>
        <w:rPr>
          <w:color w:val="auto"/>
          <w:sz w:val="24"/>
          <w:szCs w:val="24"/>
          <w:highlight w:val="none"/>
        </w:rPr>
        <w:t>承包人应按技术标准和要求（合同技术条款）约定的内容和期限以及监理人的指示, 编制详细的施工总进度计划及其说明提交监理人审批。监理人应在技术标准和要求（合同 技术条款）约定的期限内批复承包人，否则该进度计划视为已得到批准。经监理人批准的 施工进度计划称为合同进度计划，是控制合同工程进度的依据。承包人还应根据合同进度 计划，编制更为详细的分阶段或单位工程或分部工程进度计划，报监理人审批。</w:t>
      </w:r>
    </w:p>
    <w:p>
      <w:pPr>
        <w:pStyle w:val="5"/>
        <w:ind w:left="0" w:leftChars="0" w:firstLine="0" w:firstLineChars="0"/>
        <w:rPr>
          <w:color w:val="auto"/>
          <w:sz w:val="24"/>
          <w:szCs w:val="24"/>
          <w:highlight w:val="none"/>
          <w:lang w:eastAsia="zh-CN"/>
        </w:rPr>
      </w:pPr>
      <w:bookmarkStart w:id="501" w:name="_Toc8733"/>
      <w:bookmarkStart w:id="502" w:name="bookmark1155"/>
      <w:bookmarkStart w:id="503" w:name="bookmark1157"/>
      <w:bookmarkStart w:id="504" w:name="bookmark1156"/>
      <w:r>
        <w:rPr>
          <w:color w:val="auto"/>
          <w:sz w:val="24"/>
          <w:szCs w:val="24"/>
          <w:highlight w:val="none"/>
          <w:lang w:eastAsia="zh-CN"/>
        </w:rPr>
        <w:t>10.2合同进度计划的修订</w:t>
      </w:r>
      <w:bookmarkEnd w:id="501"/>
      <w:bookmarkEnd w:id="502"/>
      <w:bookmarkEnd w:id="503"/>
      <w:bookmarkEnd w:id="504"/>
    </w:p>
    <w:p>
      <w:pPr>
        <w:pStyle w:val="47"/>
        <w:spacing w:line="367" w:lineRule="exact"/>
        <w:ind w:firstLine="420"/>
        <w:jc w:val="both"/>
        <w:rPr>
          <w:color w:val="auto"/>
          <w:sz w:val="24"/>
          <w:szCs w:val="24"/>
          <w:highlight w:val="none"/>
        </w:rPr>
      </w:pPr>
      <w:r>
        <w:rPr>
          <w:color w:val="auto"/>
          <w:sz w:val="24"/>
          <w:szCs w:val="24"/>
          <w:highlight w:val="none"/>
        </w:rPr>
        <w:t>不论何种原因造成工程的实际进度与第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1</w:t>
      </w:r>
      <w:r>
        <w:rPr>
          <w:color w:val="auto"/>
          <w:sz w:val="24"/>
          <w:szCs w:val="24"/>
          <w:highlight w:val="none"/>
        </w:rPr>
        <w:t xml:space="preserve">款的合同进度计划不符时，承包人均应在 </w:t>
      </w:r>
      <w:r>
        <w:rPr>
          <w:rFonts w:ascii="Times New Roman" w:hAnsi="Times New Roman" w:eastAsia="Times New Roman" w:cs="Times New Roman"/>
          <w:color w:val="auto"/>
          <w:sz w:val="24"/>
          <w:szCs w:val="24"/>
          <w:highlight w:val="none"/>
        </w:rPr>
        <w:t>14</w:t>
      </w:r>
      <w:r>
        <w:rPr>
          <w:color w:val="auto"/>
          <w:sz w:val="24"/>
          <w:szCs w:val="24"/>
          <w:highlight w:val="none"/>
        </w:rPr>
        <w:t>天内向监理人提交修订合同进度计划的申请报告，并附有关措施和相关资料，报监理人审批；监理人应在收到申请报告后的</w:t>
      </w:r>
      <w:r>
        <w:rPr>
          <w:rFonts w:ascii="Times New Roman" w:hAnsi="Times New Roman" w:eastAsia="Times New Roman" w:cs="Times New Roman"/>
          <w:color w:val="auto"/>
          <w:sz w:val="24"/>
          <w:szCs w:val="24"/>
          <w:highlight w:val="none"/>
        </w:rPr>
        <w:t>14</w:t>
      </w:r>
      <w:r>
        <w:rPr>
          <w:color w:val="auto"/>
          <w:sz w:val="24"/>
          <w:szCs w:val="24"/>
          <w:highlight w:val="none"/>
        </w:rPr>
        <w:t>天内批复。当监理人认为需要修订合同进度计划 时，承包人应按监理人的指示，在</w:t>
      </w:r>
      <w:r>
        <w:rPr>
          <w:rFonts w:ascii="Times New Roman" w:hAnsi="Times New Roman" w:eastAsia="Times New Roman" w:cs="Times New Roman"/>
          <w:color w:val="auto"/>
          <w:sz w:val="24"/>
          <w:szCs w:val="24"/>
          <w:highlight w:val="none"/>
        </w:rPr>
        <w:t>14</w:t>
      </w:r>
      <w:r>
        <w:rPr>
          <w:color w:val="auto"/>
          <w:sz w:val="24"/>
          <w:szCs w:val="24"/>
          <w:highlight w:val="none"/>
        </w:rPr>
        <w:t>天内向监理人提交修订的合同进度计划，并附调整计 划的相关资料，提交监理人审批。监理人应在收到进度计划后的</w:t>
      </w:r>
      <w:r>
        <w:rPr>
          <w:rFonts w:ascii="Times New Roman" w:hAnsi="Times New Roman" w:eastAsia="Times New Roman" w:cs="Times New Roman"/>
          <w:color w:val="auto"/>
          <w:sz w:val="24"/>
          <w:szCs w:val="24"/>
          <w:highlight w:val="none"/>
        </w:rPr>
        <w:t>14</w:t>
      </w:r>
      <w:r>
        <w:rPr>
          <w:color w:val="auto"/>
          <w:sz w:val="24"/>
          <w:szCs w:val="24"/>
          <w:highlight w:val="none"/>
        </w:rPr>
        <w:t>天内批复。</w:t>
      </w:r>
    </w:p>
    <w:p>
      <w:pPr>
        <w:pStyle w:val="47"/>
        <w:spacing w:after="160" w:line="350" w:lineRule="exact"/>
        <w:ind w:firstLine="420"/>
        <w:jc w:val="both"/>
        <w:rPr>
          <w:color w:val="auto"/>
          <w:sz w:val="24"/>
          <w:szCs w:val="24"/>
          <w:highlight w:val="none"/>
        </w:rPr>
      </w:pPr>
      <w:r>
        <w:rPr>
          <w:color w:val="auto"/>
          <w:sz w:val="24"/>
          <w:szCs w:val="24"/>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3</w:t>
      </w:r>
      <w:r>
        <w:rPr>
          <w:color w:val="auto"/>
          <w:sz w:val="24"/>
          <w:szCs w:val="24"/>
          <w:highlight w:val="none"/>
        </w:rPr>
        <w:t>款的约定办理；由于承包人原因造成施工进度延迟，应按第</w:t>
      </w: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 xml:space="preserve">. </w:t>
      </w:r>
      <w:r>
        <w:rPr>
          <w:rFonts w:ascii="Times New Roman" w:hAnsi="Times New Roman" w:eastAsia="Times New Roman" w:cs="Times New Roman"/>
          <w:color w:val="auto"/>
          <w:sz w:val="24"/>
          <w:szCs w:val="24"/>
          <w:highlight w:val="none"/>
        </w:rPr>
        <w:t>5</w:t>
      </w:r>
      <w:r>
        <w:rPr>
          <w:color w:val="auto"/>
          <w:sz w:val="24"/>
          <w:szCs w:val="24"/>
          <w:highlight w:val="none"/>
        </w:rPr>
        <w:t>款的约定办理。</w:t>
      </w:r>
    </w:p>
    <w:p>
      <w:pPr>
        <w:pStyle w:val="5"/>
        <w:ind w:left="0" w:leftChars="0" w:firstLine="0" w:firstLineChars="0"/>
        <w:rPr>
          <w:color w:val="auto"/>
          <w:sz w:val="24"/>
          <w:szCs w:val="24"/>
          <w:highlight w:val="none"/>
          <w:lang w:eastAsia="zh-CN"/>
        </w:rPr>
      </w:pPr>
      <w:bookmarkStart w:id="505" w:name="bookmark1158"/>
      <w:bookmarkStart w:id="506" w:name="bookmark1160"/>
      <w:bookmarkStart w:id="507" w:name="bookmark1159"/>
      <w:bookmarkStart w:id="508" w:name="_Toc25361"/>
      <w:r>
        <w:rPr>
          <w:color w:val="auto"/>
          <w:sz w:val="24"/>
          <w:szCs w:val="24"/>
          <w:highlight w:val="none"/>
          <w:lang w:eastAsia="zh-CN"/>
        </w:rPr>
        <w:t>10.3单位工程进度计划</w:t>
      </w:r>
      <w:bookmarkEnd w:id="505"/>
      <w:bookmarkEnd w:id="506"/>
      <w:bookmarkEnd w:id="507"/>
      <w:bookmarkEnd w:id="508"/>
    </w:p>
    <w:p>
      <w:pPr>
        <w:pStyle w:val="47"/>
        <w:spacing w:after="160" w:line="353" w:lineRule="exact"/>
        <w:ind w:firstLine="420"/>
        <w:jc w:val="both"/>
        <w:rPr>
          <w:color w:val="auto"/>
          <w:sz w:val="24"/>
          <w:szCs w:val="24"/>
          <w:highlight w:val="none"/>
        </w:rPr>
      </w:pPr>
      <w:r>
        <w:rPr>
          <w:color w:val="auto"/>
          <w:sz w:val="24"/>
          <w:szCs w:val="24"/>
          <w:highlight w:val="none"/>
        </w:rPr>
        <w:t>监理人认为有必要时，承包人应按监理人指示的内容和期限，并根据合同进度计划的进度控制要求，编制单位工程进度计划，提交监理人审批。</w:t>
      </w:r>
    </w:p>
    <w:p>
      <w:pPr>
        <w:pStyle w:val="5"/>
        <w:ind w:left="0" w:leftChars="0" w:firstLine="0" w:firstLineChars="0"/>
        <w:rPr>
          <w:color w:val="auto"/>
          <w:sz w:val="24"/>
          <w:szCs w:val="24"/>
          <w:highlight w:val="none"/>
          <w:lang w:eastAsia="zh-CN"/>
        </w:rPr>
      </w:pPr>
      <w:bookmarkStart w:id="509" w:name="bookmark1163"/>
      <w:bookmarkStart w:id="510" w:name="bookmark1161"/>
      <w:bookmarkStart w:id="511" w:name="_Toc18009"/>
      <w:bookmarkStart w:id="512" w:name="bookmark1162"/>
      <w:r>
        <w:rPr>
          <w:color w:val="auto"/>
          <w:sz w:val="24"/>
          <w:szCs w:val="24"/>
          <w:highlight w:val="none"/>
          <w:lang w:eastAsia="zh-CN"/>
        </w:rPr>
        <w:t>10.4提交资金流估算表</w:t>
      </w:r>
      <w:bookmarkEnd w:id="509"/>
      <w:bookmarkEnd w:id="510"/>
      <w:bookmarkEnd w:id="511"/>
      <w:bookmarkEnd w:id="512"/>
    </w:p>
    <w:p>
      <w:pPr>
        <w:pStyle w:val="47"/>
        <w:spacing w:after="340" w:line="353" w:lineRule="exact"/>
        <w:ind w:firstLine="420"/>
        <w:jc w:val="both"/>
        <w:rPr>
          <w:color w:val="auto"/>
          <w:sz w:val="24"/>
          <w:szCs w:val="24"/>
          <w:highlight w:val="none"/>
        </w:rPr>
      </w:pPr>
      <w:r>
        <w:rPr>
          <w:color w:val="auto"/>
          <w:sz w:val="24"/>
          <w:szCs w:val="24"/>
          <w:highlight w:val="none"/>
        </w:rPr>
        <w:t>承包人应在按第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1</w:t>
      </w:r>
      <w:r>
        <w:rPr>
          <w:color w:val="auto"/>
          <w:sz w:val="24"/>
          <w:szCs w:val="24"/>
          <w:highlight w:val="none"/>
        </w:rPr>
        <w:t>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pPr>
        <w:pStyle w:val="47"/>
        <w:tabs>
          <w:tab w:val="left" w:pos="3329"/>
        </w:tabs>
        <w:spacing w:after="100" w:line="350" w:lineRule="exact"/>
        <w:ind w:firstLine="0"/>
        <w:jc w:val="both"/>
        <w:rPr>
          <w:rFonts w:hint="eastAsia"/>
          <w:color w:val="auto"/>
          <w:sz w:val="24"/>
          <w:szCs w:val="24"/>
          <w:highlight w:val="none"/>
        </w:rPr>
      </w:pPr>
      <w:r>
        <w:rPr>
          <w:color w:val="auto"/>
          <w:sz w:val="24"/>
          <w:szCs w:val="24"/>
          <w:highlight w:val="none"/>
        </w:rPr>
        <w:t>资金流估算表（参考格式）</w:t>
      </w:r>
      <w:r>
        <w:rPr>
          <w:rFonts w:hint="eastAsia"/>
          <w:color w:val="auto"/>
          <w:sz w:val="24"/>
          <w:szCs w:val="24"/>
          <w:highlight w:val="none"/>
          <w:lang w:val="en-US"/>
        </w:rPr>
        <w:t xml:space="preserve">          </w:t>
      </w:r>
      <w:r>
        <w:rPr>
          <w:rFonts w:hint="eastAsia"/>
          <w:color w:val="auto"/>
          <w:sz w:val="24"/>
          <w:szCs w:val="24"/>
          <w:highlight w:val="none"/>
          <w:lang w:val="en-US" w:eastAsia="zh-CN"/>
        </w:rPr>
        <w:t xml:space="preserve">          </w:t>
      </w:r>
      <w:r>
        <w:rPr>
          <w:color w:val="auto"/>
          <w:sz w:val="24"/>
          <w:szCs w:val="24"/>
          <w:highlight w:val="none"/>
        </w:rPr>
        <w:t>金额单位</w:t>
      </w:r>
      <w:r>
        <w:rPr>
          <w:rFonts w:hint="eastAsia"/>
          <w:color w:val="auto"/>
          <w:sz w:val="24"/>
          <w:szCs w:val="24"/>
          <w:highlight w:val="none"/>
        </w:rPr>
        <w:t>：</w:t>
      </w:r>
    </w:p>
    <w:tbl>
      <w:tblPr>
        <w:tblStyle w:val="26"/>
        <w:tblW w:w="9150" w:type="dxa"/>
        <w:jc w:val="center"/>
        <w:tblInd w:w="0" w:type="dxa"/>
        <w:tblLayout w:type="fixed"/>
        <w:tblCellMar>
          <w:top w:w="0" w:type="dxa"/>
          <w:left w:w="10" w:type="dxa"/>
          <w:bottom w:w="0" w:type="dxa"/>
          <w:right w:w="10" w:type="dxa"/>
        </w:tblCellMar>
      </w:tblPr>
      <w:tblGrid>
        <w:gridCol w:w="494"/>
        <w:gridCol w:w="537"/>
        <w:gridCol w:w="1022"/>
        <w:gridCol w:w="1416"/>
        <w:gridCol w:w="1022"/>
        <w:gridCol w:w="1018"/>
        <w:gridCol w:w="1022"/>
        <w:gridCol w:w="451"/>
        <w:gridCol w:w="808"/>
        <w:gridCol w:w="1360"/>
      </w:tblGrid>
      <w:tr>
        <w:tblPrEx>
          <w:tblLayout w:type="fixed"/>
          <w:tblCellMar>
            <w:top w:w="0" w:type="dxa"/>
            <w:left w:w="10" w:type="dxa"/>
            <w:bottom w:w="0" w:type="dxa"/>
            <w:right w:w="10" w:type="dxa"/>
          </w:tblCellMar>
        </w:tblPrEx>
        <w:trPr>
          <w:trHeight w:val="1151" w:hRule="exact"/>
          <w:jc w:val="center"/>
        </w:trPr>
        <w:tc>
          <w:tcPr>
            <w:tcW w:w="494" w:type="dxa"/>
            <w:tcBorders>
              <w:top w:val="single" w:color="auto" w:sz="4" w:space="0"/>
              <w:left w:val="single" w:color="auto" w:sz="4" w:space="0"/>
            </w:tcBorders>
            <w:shd w:val="clear" w:color="auto" w:fill="FFFFFF"/>
            <w:noWrap w:val="0"/>
            <w:vAlign w:val="center"/>
          </w:tcPr>
          <w:p>
            <w:pPr>
              <w:pStyle w:val="49"/>
              <w:spacing w:line="240" w:lineRule="auto"/>
              <w:ind w:firstLine="0"/>
              <w:jc w:val="center"/>
              <w:rPr>
                <w:color w:val="auto"/>
                <w:sz w:val="24"/>
                <w:szCs w:val="24"/>
                <w:highlight w:val="none"/>
              </w:rPr>
            </w:pPr>
            <w:r>
              <w:rPr>
                <w:color w:val="auto"/>
                <w:sz w:val="24"/>
                <w:szCs w:val="24"/>
                <w:highlight w:val="none"/>
              </w:rPr>
              <w:t>年</w:t>
            </w:r>
          </w:p>
        </w:tc>
        <w:tc>
          <w:tcPr>
            <w:tcW w:w="537" w:type="dxa"/>
            <w:tcBorders>
              <w:top w:val="single" w:color="auto" w:sz="4" w:space="0"/>
              <w:left w:val="single" w:color="auto" w:sz="4" w:space="0"/>
            </w:tcBorders>
            <w:shd w:val="clear" w:color="auto" w:fill="FFFFFF"/>
            <w:noWrap w:val="0"/>
            <w:vAlign w:val="center"/>
          </w:tcPr>
          <w:p>
            <w:pPr>
              <w:pStyle w:val="49"/>
              <w:spacing w:line="240" w:lineRule="auto"/>
              <w:ind w:firstLine="0"/>
              <w:jc w:val="center"/>
              <w:rPr>
                <w:color w:val="auto"/>
                <w:sz w:val="24"/>
                <w:szCs w:val="24"/>
                <w:highlight w:val="none"/>
              </w:rPr>
            </w:pPr>
            <w:r>
              <w:rPr>
                <w:color w:val="auto"/>
                <w:sz w:val="24"/>
                <w:szCs w:val="24"/>
                <w:highlight w:val="none"/>
              </w:rPr>
              <w:t>月</w:t>
            </w:r>
          </w:p>
        </w:tc>
        <w:tc>
          <w:tcPr>
            <w:tcW w:w="1022" w:type="dxa"/>
            <w:tcBorders>
              <w:top w:val="single" w:color="auto" w:sz="4" w:space="0"/>
              <w:left w:val="single" w:color="auto" w:sz="4" w:space="0"/>
            </w:tcBorders>
            <w:shd w:val="clear" w:color="auto" w:fill="FFFFFF"/>
            <w:noWrap w:val="0"/>
            <w:vAlign w:val="center"/>
          </w:tcPr>
          <w:p>
            <w:pPr>
              <w:pStyle w:val="49"/>
              <w:spacing w:line="240" w:lineRule="auto"/>
              <w:ind w:firstLine="0"/>
              <w:jc w:val="center"/>
              <w:rPr>
                <w:color w:val="auto"/>
                <w:sz w:val="24"/>
                <w:szCs w:val="24"/>
                <w:highlight w:val="none"/>
              </w:rPr>
            </w:pPr>
            <w:r>
              <w:rPr>
                <w:color w:val="auto"/>
                <w:sz w:val="24"/>
                <w:szCs w:val="24"/>
                <w:highlight w:val="none"/>
              </w:rPr>
              <w:t>工程预付款</w:t>
            </w:r>
          </w:p>
        </w:tc>
        <w:tc>
          <w:tcPr>
            <w:tcW w:w="1416" w:type="dxa"/>
            <w:tcBorders>
              <w:top w:val="single" w:color="auto" w:sz="4" w:space="0"/>
              <w:left w:val="single" w:color="auto" w:sz="4" w:space="0"/>
            </w:tcBorders>
            <w:shd w:val="clear" w:color="auto" w:fill="FFFFFF"/>
            <w:noWrap w:val="0"/>
            <w:vAlign w:val="center"/>
          </w:tcPr>
          <w:p>
            <w:pPr>
              <w:pStyle w:val="49"/>
              <w:spacing w:line="240" w:lineRule="auto"/>
              <w:ind w:firstLine="0"/>
              <w:jc w:val="center"/>
              <w:rPr>
                <w:color w:val="auto"/>
                <w:sz w:val="24"/>
                <w:szCs w:val="24"/>
                <w:highlight w:val="none"/>
              </w:rPr>
            </w:pPr>
            <w:r>
              <w:rPr>
                <w:color w:val="auto"/>
                <w:sz w:val="24"/>
                <w:szCs w:val="24"/>
                <w:highlight w:val="none"/>
              </w:rPr>
              <w:t>完成工作量付款</w:t>
            </w:r>
          </w:p>
        </w:tc>
        <w:tc>
          <w:tcPr>
            <w:tcW w:w="1022" w:type="dxa"/>
            <w:tcBorders>
              <w:top w:val="single" w:color="auto" w:sz="4" w:space="0"/>
              <w:left w:val="single" w:color="auto" w:sz="4" w:space="0"/>
            </w:tcBorders>
            <w:shd w:val="clear" w:color="auto" w:fill="FFFFFF"/>
            <w:noWrap w:val="0"/>
            <w:vAlign w:val="center"/>
          </w:tcPr>
          <w:p>
            <w:pPr>
              <w:pStyle w:val="49"/>
              <w:spacing w:line="240" w:lineRule="auto"/>
              <w:ind w:firstLine="0"/>
              <w:jc w:val="center"/>
              <w:rPr>
                <w:color w:val="auto"/>
                <w:sz w:val="24"/>
                <w:szCs w:val="24"/>
                <w:highlight w:val="none"/>
              </w:rPr>
            </w:pPr>
            <w:r>
              <w:rPr>
                <w:color w:val="auto"/>
                <w:sz w:val="24"/>
                <w:szCs w:val="24"/>
                <w:highlight w:val="none"/>
              </w:rPr>
              <w:t>保留金扣留</w:t>
            </w:r>
          </w:p>
        </w:tc>
        <w:tc>
          <w:tcPr>
            <w:tcW w:w="1018" w:type="dxa"/>
            <w:tcBorders>
              <w:top w:val="single" w:color="auto" w:sz="4" w:space="0"/>
              <w:left w:val="single" w:color="auto" w:sz="4" w:space="0"/>
            </w:tcBorders>
            <w:shd w:val="clear" w:color="auto" w:fill="FFFFFF"/>
            <w:noWrap w:val="0"/>
            <w:vAlign w:val="center"/>
          </w:tcPr>
          <w:p>
            <w:pPr>
              <w:pStyle w:val="49"/>
              <w:spacing w:line="240" w:lineRule="auto"/>
              <w:ind w:firstLine="0"/>
              <w:jc w:val="center"/>
              <w:rPr>
                <w:color w:val="auto"/>
                <w:sz w:val="24"/>
                <w:szCs w:val="24"/>
                <w:highlight w:val="none"/>
              </w:rPr>
            </w:pPr>
            <w:r>
              <w:rPr>
                <w:color w:val="auto"/>
                <w:sz w:val="24"/>
                <w:szCs w:val="24"/>
                <w:highlight w:val="none"/>
              </w:rPr>
              <w:t>材料款扣除</w:t>
            </w:r>
          </w:p>
        </w:tc>
        <w:tc>
          <w:tcPr>
            <w:tcW w:w="1022" w:type="dxa"/>
            <w:tcBorders>
              <w:top w:val="single" w:color="auto" w:sz="4" w:space="0"/>
              <w:left w:val="single" w:color="auto" w:sz="4" w:space="0"/>
            </w:tcBorders>
            <w:shd w:val="clear" w:color="auto" w:fill="FFFFFF"/>
            <w:noWrap w:val="0"/>
            <w:vAlign w:val="center"/>
          </w:tcPr>
          <w:p>
            <w:pPr>
              <w:pStyle w:val="49"/>
              <w:spacing w:line="240" w:lineRule="auto"/>
              <w:ind w:firstLine="0"/>
              <w:jc w:val="center"/>
              <w:rPr>
                <w:color w:val="auto"/>
                <w:sz w:val="24"/>
                <w:szCs w:val="24"/>
                <w:highlight w:val="none"/>
              </w:rPr>
            </w:pPr>
            <w:r>
              <w:rPr>
                <w:color w:val="auto"/>
                <w:sz w:val="24"/>
                <w:szCs w:val="24"/>
                <w:highlight w:val="none"/>
              </w:rPr>
              <w:t>预付款扣还</w:t>
            </w:r>
          </w:p>
        </w:tc>
        <w:tc>
          <w:tcPr>
            <w:tcW w:w="451" w:type="dxa"/>
            <w:tcBorders>
              <w:top w:val="single" w:color="auto" w:sz="4" w:space="0"/>
              <w:left w:val="single" w:color="auto" w:sz="4" w:space="0"/>
            </w:tcBorders>
            <w:shd w:val="clear" w:color="auto" w:fill="FFFFFF"/>
            <w:noWrap w:val="0"/>
            <w:vAlign w:val="center"/>
          </w:tcPr>
          <w:p>
            <w:pPr>
              <w:pStyle w:val="49"/>
              <w:spacing w:line="240" w:lineRule="auto"/>
              <w:ind w:firstLine="0"/>
              <w:jc w:val="center"/>
              <w:rPr>
                <w:color w:val="auto"/>
                <w:sz w:val="24"/>
                <w:szCs w:val="24"/>
                <w:highlight w:val="none"/>
              </w:rPr>
            </w:pPr>
            <w:r>
              <w:rPr>
                <w:color w:val="auto"/>
                <w:sz w:val="24"/>
                <w:szCs w:val="24"/>
                <w:highlight w:val="none"/>
              </w:rPr>
              <w:t>其他</w:t>
            </w:r>
          </w:p>
        </w:tc>
        <w:tc>
          <w:tcPr>
            <w:tcW w:w="808" w:type="dxa"/>
            <w:tcBorders>
              <w:top w:val="single" w:color="auto" w:sz="4" w:space="0"/>
              <w:left w:val="single" w:color="auto" w:sz="4" w:space="0"/>
            </w:tcBorders>
            <w:shd w:val="clear" w:color="auto" w:fill="FFFFFF"/>
            <w:noWrap w:val="0"/>
            <w:vAlign w:val="center"/>
          </w:tcPr>
          <w:p>
            <w:pPr>
              <w:pStyle w:val="49"/>
              <w:spacing w:line="240" w:lineRule="auto"/>
              <w:ind w:firstLine="0"/>
              <w:jc w:val="center"/>
              <w:rPr>
                <w:color w:val="auto"/>
                <w:sz w:val="24"/>
                <w:szCs w:val="24"/>
                <w:highlight w:val="none"/>
              </w:rPr>
            </w:pPr>
            <w:r>
              <w:rPr>
                <w:color w:val="auto"/>
                <w:sz w:val="24"/>
                <w:szCs w:val="24"/>
                <w:highlight w:val="none"/>
              </w:rPr>
              <w:t>应收款</w:t>
            </w:r>
          </w:p>
        </w:tc>
        <w:tc>
          <w:tcPr>
            <w:tcW w:w="1360" w:type="dxa"/>
            <w:tcBorders>
              <w:top w:val="single" w:color="auto" w:sz="4" w:space="0"/>
              <w:left w:val="single" w:color="auto" w:sz="4" w:space="0"/>
              <w:right w:val="single" w:color="auto" w:sz="4" w:space="0"/>
            </w:tcBorders>
            <w:shd w:val="clear" w:color="auto" w:fill="FFFFFF"/>
            <w:noWrap w:val="0"/>
            <w:vAlign w:val="center"/>
          </w:tcPr>
          <w:p>
            <w:pPr>
              <w:pStyle w:val="49"/>
              <w:spacing w:line="240" w:lineRule="auto"/>
              <w:ind w:firstLine="0"/>
              <w:jc w:val="center"/>
              <w:rPr>
                <w:color w:val="auto"/>
                <w:sz w:val="24"/>
                <w:szCs w:val="24"/>
                <w:highlight w:val="none"/>
              </w:rPr>
            </w:pPr>
            <w:r>
              <w:rPr>
                <w:color w:val="auto"/>
                <w:sz w:val="24"/>
                <w:szCs w:val="24"/>
                <w:highlight w:val="none"/>
              </w:rPr>
              <w:t>累计应收款</w:t>
            </w:r>
          </w:p>
        </w:tc>
      </w:tr>
      <w:tr>
        <w:tblPrEx>
          <w:tblLayout w:type="fixed"/>
          <w:tblCellMar>
            <w:top w:w="0" w:type="dxa"/>
            <w:left w:w="10" w:type="dxa"/>
            <w:bottom w:w="0" w:type="dxa"/>
            <w:right w:w="10" w:type="dxa"/>
          </w:tblCellMar>
        </w:tblPrEx>
        <w:trPr>
          <w:trHeight w:val="456" w:hRule="exact"/>
          <w:jc w:val="center"/>
        </w:trPr>
        <w:tc>
          <w:tcPr>
            <w:tcW w:w="494"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537"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1416"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1018"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451"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808"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1360" w:type="dxa"/>
            <w:tcBorders>
              <w:top w:val="single" w:color="auto" w:sz="4" w:space="0"/>
              <w:left w:val="single" w:color="auto" w:sz="4" w:space="0"/>
              <w:right w:val="single" w:color="auto" w:sz="4" w:space="0"/>
            </w:tcBorders>
            <w:shd w:val="clear" w:color="auto" w:fill="FFFFFF"/>
            <w:noWrap w:val="0"/>
            <w:vAlign w:val="top"/>
          </w:tcPr>
          <w:p>
            <w:pPr>
              <w:rPr>
                <w:color w:val="auto"/>
                <w:sz w:val="24"/>
                <w:szCs w:val="24"/>
                <w:highlight w:val="none"/>
              </w:rPr>
            </w:pPr>
          </w:p>
        </w:tc>
      </w:tr>
      <w:tr>
        <w:tblPrEx>
          <w:tblLayout w:type="fixed"/>
          <w:tblCellMar>
            <w:top w:w="0" w:type="dxa"/>
            <w:left w:w="10" w:type="dxa"/>
            <w:bottom w:w="0" w:type="dxa"/>
            <w:right w:w="10" w:type="dxa"/>
          </w:tblCellMar>
        </w:tblPrEx>
        <w:trPr>
          <w:trHeight w:val="456" w:hRule="exact"/>
          <w:jc w:val="center"/>
        </w:trPr>
        <w:tc>
          <w:tcPr>
            <w:tcW w:w="494"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537"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1416"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1018"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451"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808" w:type="dxa"/>
            <w:tcBorders>
              <w:top w:val="single" w:color="auto" w:sz="4" w:space="0"/>
              <w:left w:val="single" w:color="auto" w:sz="4" w:space="0"/>
            </w:tcBorders>
            <w:shd w:val="clear" w:color="auto" w:fill="FFFFFF"/>
            <w:noWrap w:val="0"/>
            <w:vAlign w:val="top"/>
          </w:tcPr>
          <w:p>
            <w:pPr>
              <w:rPr>
                <w:color w:val="auto"/>
                <w:sz w:val="24"/>
                <w:szCs w:val="24"/>
                <w:highlight w:val="none"/>
              </w:rPr>
            </w:pPr>
          </w:p>
        </w:tc>
        <w:tc>
          <w:tcPr>
            <w:tcW w:w="1360" w:type="dxa"/>
            <w:tcBorders>
              <w:top w:val="single" w:color="auto" w:sz="4" w:space="0"/>
              <w:left w:val="single" w:color="auto" w:sz="4" w:space="0"/>
              <w:right w:val="single" w:color="auto" w:sz="4" w:space="0"/>
            </w:tcBorders>
            <w:shd w:val="clear" w:color="auto" w:fill="FFFFFF"/>
            <w:noWrap w:val="0"/>
            <w:vAlign w:val="top"/>
          </w:tcPr>
          <w:p>
            <w:pPr>
              <w:rPr>
                <w:color w:val="auto"/>
                <w:sz w:val="24"/>
                <w:szCs w:val="24"/>
                <w:highlight w:val="none"/>
              </w:rPr>
            </w:pPr>
          </w:p>
        </w:tc>
      </w:tr>
      <w:tr>
        <w:tblPrEx>
          <w:tblLayout w:type="fixed"/>
          <w:tblCellMar>
            <w:top w:w="0" w:type="dxa"/>
            <w:left w:w="10" w:type="dxa"/>
            <w:bottom w:w="0" w:type="dxa"/>
            <w:right w:w="10" w:type="dxa"/>
          </w:tblCellMar>
        </w:tblPrEx>
        <w:trPr>
          <w:trHeight w:val="461" w:hRule="exact"/>
          <w:jc w:val="center"/>
        </w:trPr>
        <w:tc>
          <w:tcPr>
            <w:tcW w:w="494" w:type="dxa"/>
            <w:tcBorders>
              <w:top w:val="single" w:color="auto" w:sz="4" w:space="0"/>
              <w:left w:val="single" w:color="auto" w:sz="4" w:space="0"/>
              <w:bottom w:val="single" w:color="auto" w:sz="4" w:space="0"/>
            </w:tcBorders>
            <w:shd w:val="clear" w:color="auto" w:fill="FFFFFF"/>
            <w:noWrap w:val="0"/>
            <w:vAlign w:val="top"/>
          </w:tcPr>
          <w:p>
            <w:pPr>
              <w:rPr>
                <w:color w:val="auto"/>
                <w:sz w:val="24"/>
                <w:szCs w:val="24"/>
                <w:highlight w:val="none"/>
              </w:rPr>
            </w:pPr>
          </w:p>
        </w:tc>
        <w:tc>
          <w:tcPr>
            <w:tcW w:w="537" w:type="dxa"/>
            <w:tcBorders>
              <w:top w:val="single" w:color="auto" w:sz="4" w:space="0"/>
              <w:left w:val="single" w:color="auto" w:sz="4" w:space="0"/>
              <w:bottom w:val="single" w:color="auto" w:sz="4" w:space="0"/>
            </w:tcBorders>
            <w:shd w:val="clear" w:color="auto" w:fill="FFFFFF"/>
            <w:noWrap w:val="0"/>
            <w:vAlign w:val="top"/>
          </w:tcPr>
          <w:p>
            <w:pPr>
              <w:rPr>
                <w:color w:val="auto"/>
                <w:sz w:val="24"/>
                <w:szCs w:val="24"/>
                <w:highlight w:val="none"/>
              </w:rPr>
            </w:pPr>
          </w:p>
        </w:tc>
        <w:tc>
          <w:tcPr>
            <w:tcW w:w="1022" w:type="dxa"/>
            <w:tcBorders>
              <w:top w:val="single" w:color="auto" w:sz="4" w:space="0"/>
              <w:left w:val="single" w:color="auto" w:sz="4" w:space="0"/>
              <w:bottom w:val="single" w:color="auto" w:sz="4" w:space="0"/>
            </w:tcBorders>
            <w:shd w:val="clear" w:color="auto" w:fill="FFFFFF"/>
            <w:noWrap w:val="0"/>
            <w:vAlign w:val="top"/>
          </w:tcPr>
          <w:p>
            <w:pPr>
              <w:rPr>
                <w:color w:val="auto"/>
                <w:sz w:val="24"/>
                <w:szCs w:val="24"/>
                <w:highlight w:val="none"/>
              </w:rPr>
            </w:pPr>
          </w:p>
        </w:tc>
        <w:tc>
          <w:tcPr>
            <w:tcW w:w="1416" w:type="dxa"/>
            <w:tcBorders>
              <w:top w:val="single" w:color="auto" w:sz="4" w:space="0"/>
              <w:left w:val="single" w:color="auto" w:sz="4" w:space="0"/>
              <w:bottom w:val="single" w:color="auto" w:sz="4" w:space="0"/>
            </w:tcBorders>
            <w:shd w:val="clear" w:color="auto" w:fill="FFFFFF"/>
            <w:noWrap w:val="0"/>
            <w:vAlign w:val="top"/>
          </w:tcPr>
          <w:p>
            <w:pPr>
              <w:rPr>
                <w:color w:val="auto"/>
                <w:sz w:val="24"/>
                <w:szCs w:val="24"/>
                <w:highlight w:val="none"/>
              </w:rPr>
            </w:pPr>
          </w:p>
        </w:tc>
        <w:tc>
          <w:tcPr>
            <w:tcW w:w="1022" w:type="dxa"/>
            <w:tcBorders>
              <w:top w:val="single" w:color="auto" w:sz="4" w:space="0"/>
              <w:left w:val="single" w:color="auto" w:sz="4" w:space="0"/>
              <w:bottom w:val="single" w:color="auto" w:sz="4" w:space="0"/>
            </w:tcBorders>
            <w:shd w:val="clear" w:color="auto" w:fill="FFFFFF"/>
            <w:noWrap w:val="0"/>
            <w:vAlign w:val="top"/>
          </w:tcPr>
          <w:p>
            <w:pPr>
              <w:rPr>
                <w:color w:val="auto"/>
                <w:sz w:val="24"/>
                <w:szCs w:val="24"/>
                <w:highlight w:val="none"/>
              </w:rPr>
            </w:pPr>
          </w:p>
        </w:tc>
        <w:tc>
          <w:tcPr>
            <w:tcW w:w="1018" w:type="dxa"/>
            <w:tcBorders>
              <w:top w:val="single" w:color="auto" w:sz="4" w:space="0"/>
              <w:left w:val="single" w:color="auto" w:sz="4" w:space="0"/>
              <w:bottom w:val="single" w:color="auto" w:sz="4" w:space="0"/>
            </w:tcBorders>
            <w:shd w:val="clear" w:color="auto" w:fill="FFFFFF"/>
            <w:noWrap w:val="0"/>
            <w:vAlign w:val="top"/>
          </w:tcPr>
          <w:p>
            <w:pPr>
              <w:rPr>
                <w:color w:val="auto"/>
                <w:sz w:val="24"/>
                <w:szCs w:val="24"/>
                <w:highlight w:val="none"/>
              </w:rPr>
            </w:pPr>
          </w:p>
        </w:tc>
        <w:tc>
          <w:tcPr>
            <w:tcW w:w="1022" w:type="dxa"/>
            <w:tcBorders>
              <w:top w:val="single" w:color="auto" w:sz="4" w:space="0"/>
              <w:left w:val="single" w:color="auto" w:sz="4" w:space="0"/>
              <w:bottom w:val="single" w:color="auto" w:sz="4" w:space="0"/>
            </w:tcBorders>
            <w:shd w:val="clear" w:color="auto" w:fill="FFFFFF"/>
            <w:noWrap w:val="0"/>
            <w:vAlign w:val="top"/>
          </w:tcPr>
          <w:p>
            <w:pPr>
              <w:rPr>
                <w:color w:val="auto"/>
                <w:sz w:val="24"/>
                <w:szCs w:val="24"/>
                <w:highlight w:val="none"/>
              </w:rPr>
            </w:pPr>
          </w:p>
        </w:tc>
        <w:tc>
          <w:tcPr>
            <w:tcW w:w="451" w:type="dxa"/>
            <w:tcBorders>
              <w:top w:val="single" w:color="auto" w:sz="4" w:space="0"/>
              <w:left w:val="single" w:color="auto" w:sz="4" w:space="0"/>
              <w:bottom w:val="single" w:color="auto" w:sz="4" w:space="0"/>
            </w:tcBorders>
            <w:shd w:val="clear" w:color="auto" w:fill="FFFFFF"/>
            <w:noWrap w:val="0"/>
            <w:vAlign w:val="top"/>
          </w:tcPr>
          <w:p>
            <w:pPr>
              <w:rPr>
                <w:color w:val="auto"/>
                <w:sz w:val="24"/>
                <w:szCs w:val="24"/>
                <w:highlight w:val="none"/>
              </w:rPr>
            </w:pPr>
          </w:p>
        </w:tc>
        <w:tc>
          <w:tcPr>
            <w:tcW w:w="808" w:type="dxa"/>
            <w:tcBorders>
              <w:top w:val="single" w:color="auto" w:sz="4" w:space="0"/>
              <w:left w:val="single" w:color="auto" w:sz="4" w:space="0"/>
              <w:bottom w:val="single" w:color="auto" w:sz="4" w:space="0"/>
            </w:tcBorders>
            <w:shd w:val="clear" w:color="auto" w:fill="FFFFFF"/>
            <w:noWrap w:val="0"/>
            <w:vAlign w:val="top"/>
          </w:tcPr>
          <w:p>
            <w:pPr>
              <w:rPr>
                <w:color w:val="auto"/>
                <w:sz w:val="24"/>
                <w:szCs w:val="24"/>
                <w:highlight w:val="none"/>
              </w:rPr>
            </w:pPr>
          </w:p>
        </w:tc>
        <w:tc>
          <w:tcPr>
            <w:tcW w:w="1360"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rPr>
                <w:color w:val="auto"/>
                <w:sz w:val="24"/>
                <w:szCs w:val="24"/>
                <w:highlight w:val="none"/>
              </w:rPr>
            </w:pPr>
          </w:p>
        </w:tc>
      </w:tr>
    </w:tbl>
    <w:p>
      <w:pPr>
        <w:spacing w:after="579" w:line="1" w:lineRule="exact"/>
        <w:rPr>
          <w:color w:val="auto"/>
          <w:sz w:val="24"/>
          <w:szCs w:val="24"/>
          <w:highlight w:val="none"/>
        </w:rPr>
      </w:pPr>
    </w:p>
    <w:p>
      <w:pPr>
        <w:pStyle w:val="4"/>
        <w:spacing w:line="360" w:lineRule="exact"/>
        <w:rPr>
          <w:rFonts w:hint="eastAsia"/>
          <w:color w:val="auto"/>
          <w:sz w:val="24"/>
          <w:szCs w:val="24"/>
          <w:highlight w:val="none"/>
          <w:lang w:eastAsia="zh-CN"/>
        </w:rPr>
      </w:pPr>
      <w:bookmarkStart w:id="513" w:name="bookmark1166"/>
      <w:bookmarkEnd w:id="513"/>
      <w:bookmarkStart w:id="514" w:name="bookmark1164"/>
      <w:bookmarkStart w:id="515" w:name="bookmark1165"/>
      <w:bookmarkStart w:id="516" w:name="bookmark1167"/>
      <w:bookmarkStart w:id="517" w:name="_Toc24903"/>
      <w:bookmarkStart w:id="518" w:name="_Toc1210479618"/>
      <w:r>
        <w:rPr>
          <w:rFonts w:hint="eastAsia"/>
          <w:color w:val="auto"/>
          <w:sz w:val="24"/>
          <w:szCs w:val="24"/>
          <w:highlight w:val="none"/>
          <w:lang w:eastAsia="zh-CN"/>
        </w:rPr>
        <w:t>11. 开工和竣工（完工）</w:t>
      </w:r>
      <w:bookmarkEnd w:id="514"/>
      <w:bookmarkEnd w:id="515"/>
      <w:bookmarkEnd w:id="516"/>
      <w:bookmarkEnd w:id="517"/>
      <w:bookmarkEnd w:id="518"/>
    </w:p>
    <w:p>
      <w:pPr>
        <w:pStyle w:val="5"/>
        <w:ind w:left="0" w:leftChars="0" w:firstLine="0" w:firstLineChars="0"/>
        <w:rPr>
          <w:color w:val="auto"/>
          <w:sz w:val="24"/>
          <w:szCs w:val="24"/>
          <w:highlight w:val="none"/>
          <w:lang w:eastAsia="zh-CN"/>
        </w:rPr>
      </w:pPr>
      <w:bookmarkStart w:id="519" w:name="bookmark1170"/>
      <w:bookmarkStart w:id="520" w:name="_Toc23713"/>
      <w:bookmarkStart w:id="521" w:name="bookmark1168"/>
      <w:bookmarkStart w:id="522" w:name="bookmark1169"/>
      <w:r>
        <w:rPr>
          <w:color w:val="auto"/>
          <w:sz w:val="24"/>
          <w:szCs w:val="24"/>
          <w:highlight w:val="none"/>
          <w:lang w:eastAsia="zh-CN"/>
        </w:rPr>
        <w:t>11.1 开工</w:t>
      </w:r>
      <w:bookmarkEnd w:id="519"/>
      <w:bookmarkEnd w:id="520"/>
      <w:bookmarkEnd w:id="521"/>
      <w:bookmarkEnd w:id="522"/>
    </w:p>
    <w:p>
      <w:pPr>
        <w:pStyle w:val="47"/>
        <w:spacing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.1.1</w:t>
      </w:r>
      <w:r>
        <w:rPr>
          <w:color w:val="auto"/>
          <w:sz w:val="24"/>
          <w:szCs w:val="24"/>
          <w:highlight w:val="none"/>
        </w:rPr>
        <w:t>监理人应在开工日期</w:t>
      </w:r>
      <w:r>
        <w:rPr>
          <w:rFonts w:ascii="Times New Roman" w:hAnsi="Times New Roman" w:eastAsia="Times New Roman" w:cs="Times New Roman"/>
          <w:color w:val="auto"/>
          <w:sz w:val="24"/>
          <w:szCs w:val="24"/>
          <w:highlight w:val="none"/>
        </w:rPr>
        <w:t>7</w:t>
      </w:r>
      <w:r>
        <w:rPr>
          <w:color w:val="auto"/>
          <w:sz w:val="24"/>
          <w:szCs w:val="24"/>
          <w:highlight w:val="none"/>
        </w:rPr>
        <w:t>天前向承包人发出开工通知。监理人在发出开工通知前应获得</w:t>
      </w:r>
      <w:r>
        <w:rPr>
          <w:rFonts w:hint="eastAsia"/>
          <w:color w:val="auto"/>
          <w:sz w:val="24"/>
          <w:szCs w:val="24"/>
          <w:highlight w:val="none"/>
          <w:lang w:eastAsia="zh-CN"/>
        </w:rPr>
        <w:t>发包人书面同意</w:t>
      </w:r>
      <w:r>
        <w:rPr>
          <w:color w:val="auto"/>
          <w:sz w:val="24"/>
          <w:szCs w:val="24"/>
          <w:highlight w:val="none"/>
        </w:rPr>
        <w:t>。工期自监理人发出的开工通知中载明的开工日期起计算。承包人应 在开工日期后尽快施工。</w:t>
      </w:r>
    </w:p>
    <w:p>
      <w:pPr>
        <w:pStyle w:val="47"/>
        <w:spacing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w:t>
      </w:r>
      <w:r>
        <w:rPr>
          <w:rFonts w:ascii="Times New Roman" w:hAnsi="Times New Roman" w:eastAsia="Times New Roman" w:cs="Times New Roman"/>
          <w:color w:val="auto"/>
          <w:sz w:val="24"/>
          <w:szCs w:val="24"/>
          <w:highlight w:val="none"/>
        </w:rPr>
        <w:t>2</w:t>
      </w:r>
      <w:r>
        <w:rPr>
          <w:color w:val="auto"/>
          <w:sz w:val="24"/>
          <w:szCs w:val="24"/>
          <w:highlight w:val="none"/>
        </w:rPr>
        <w:t>承包人应按第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1</w:t>
      </w:r>
      <w:r>
        <w:rPr>
          <w:color w:val="auto"/>
          <w:sz w:val="24"/>
          <w:szCs w:val="24"/>
          <w:highlight w:val="none"/>
        </w:rPr>
        <w:t>款约定的合同进度计划，向监理人提交工程开工报审表, 经监理人审批后执行。开工报审表应详细说明按合同进度计划正常施工所需的施工道路、临时设施、材料设备、施工人员等施工组织措施的落实情况以及工程的进度安排。</w:t>
      </w:r>
    </w:p>
    <w:p>
      <w:pPr>
        <w:pStyle w:val="47"/>
        <w:spacing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.1.3</w:t>
      </w:r>
      <w:r>
        <w:rPr>
          <w:color w:val="auto"/>
          <w:sz w:val="24"/>
          <w:szCs w:val="24"/>
          <w:highlight w:val="none"/>
        </w:rPr>
        <w:t>若发包人未能按合同约定向承包人提供开工的必要条件，承包人有权要求延 长工期。监理人应在收到承包人的书面要求后，按第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款的约定，与合同双方商定或确定增加的费用和延长的工期。</w:t>
      </w:r>
    </w:p>
    <w:p>
      <w:pPr>
        <w:pStyle w:val="47"/>
        <w:spacing w:after="140"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.1.4</w:t>
      </w:r>
      <w:r>
        <w:rPr>
          <w:color w:val="auto"/>
          <w:sz w:val="24"/>
          <w:szCs w:val="24"/>
          <w:highlight w:val="none"/>
        </w:rPr>
        <w:t>承包人在接到开工通知后</w:t>
      </w:r>
      <w:r>
        <w:rPr>
          <w:rFonts w:ascii="Times New Roman" w:hAnsi="Times New Roman" w:eastAsia="Times New Roman" w:cs="Times New Roman"/>
          <w:color w:val="auto"/>
          <w:sz w:val="24"/>
          <w:szCs w:val="24"/>
          <w:highlight w:val="none"/>
        </w:rPr>
        <w:t>14</w:t>
      </w:r>
      <w:r>
        <w:rPr>
          <w:color w:val="auto"/>
          <w:sz w:val="24"/>
          <w:szCs w:val="24"/>
          <w:highlight w:val="none"/>
        </w:rPr>
        <w:t>天内未按进度计划要求及时进场组织施工，监理人可通知承包人在接到通知后</w:t>
      </w:r>
      <w:r>
        <w:rPr>
          <w:rFonts w:ascii="Times New Roman" w:hAnsi="Times New Roman" w:eastAsia="Times New Roman" w:cs="Times New Roman"/>
          <w:color w:val="auto"/>
          <w:sz w:val="24"/>
          <w:szCs w:val="24"/>
          <w:highlight w:val="none"/>
        </w:rPr>
        <w:t>7</w:t>
      </w:r>
      <w:r>
        <w:rPr>
          <w:color w:val="auto"/>
          <w:sz w:val="24"/>
          <w:szCs w:val="24"/>
          <w:highlight w:val="none"/>
        </w:rPr>
        <w:t>天内提交一份说明其进场延误的书面报告，报送监理人。书面报告应说明不能及时进场的原因和补救措施，由此增加的费用和工期延误责任由承包人承担。</w:t>
      </w:r>
    </w:p>
    <w:p>
      <w:pPr>
        <w:pStyle w:val="5"/>
        <w:ind w:left="0" w:leftChars="0" w:firstLine="0" w:firstLineChars="0"/>
        <w:rPr>
          <w:color w:val="auto"/>
          <w:sz w:val="24"/>
          <w:szCs w:val="24"/>
          <w:highlight w:val="none"/>
          <w:lang w:eastAsia="zh-CN"/>
        </w:rPr>
      </w:pPr>
      <w:bookmarkStart w:id="523" w:name="_Toc29025"/>
      <w:bookmarkStart w:id="524" w:name="bookmark1172"/>
      <w:bookmarkStart w:id="525" w:name="bookmark1173"/>
      <w:bookmarkStart w:id="526" w:name="bookmark1171"/>
      <w:r>
        <w:rPr>
          <w:color w:val="auto"/>
          <w:sz w:val="24"/>
          <w:szCs w:val="24"/>
          <w:highlight w:val="none"/>
          <w:lang w:eastAsia="zh-CN"/>
        </w:rPr>
        <w:t>11.2竣工(完工)</w:t>
      </w:r>
      <w:bookmarkEnd w:id="523"/>
      <w:bookmarkEnd w:id="524"/>
      <w:bookmarkEnd w:id="525"/>
      <w:bookmarkEnd w:id="526"/>
    </w:p>
    <w:p>
      <w:pPr>
        <w:pStyle w:val="47"/>
        <w:spacing w:after="140" w:line="366" w:lineRule="exact"/>
        <w:ind w:firstLine="440"/>
        <w:jc w:val="both"/>
        <w:rPr>
          <w:color w:val="auto"/>
          <w:sz w:val="24"/>
          <w:szCs w:val="24"/>
          <w:highlight w:val="none"/>
        </w:rPr>
      </w:pPr>
      <w:r>
        <w:rPr>
          <w:color w:val="auto"/>
          <w:sz w:val="24"/>
          <w:szCs w:val="24"/>
          <w:highlight w:val="none"/>
        </w:rPr>
        <w:t>承包人应在第</w:t>
      </w:r>
      <w:r>
        <w:rPr>
          <w:rFonts w:ascii="Times New Roman" w:hAnsi="Times New Roman" w:eastAsia="Times New Roman" w:cs="Times New Roman"/>
          <w:color w:val="auto"/>
          <w:sz w:val="24"/>
          <w:szCs w:val="24"/>
          <w:highlight w:val="none"/>
          <w:lang w:val="en-US" w:bidi="en-US"/>
        </w:rPr>
        <w:t xml:space="preserve">1.1. 4. </w:t>
      </w:r>
      <w:r>
        <w:rPr>
          <w:rFonts w:ascii="Times New Roman" w:hAnsi="Times New Roman" w:eastAsia="Times New Roman" w:cs="Times New Roman"/>
          <w:color w:val="auto"/>
          <w:sz w:val="24"/>
          <w:szCs w:val="24"/>
          <w:highlight w:val="none"/>
        </w:rPr>
        <w:t>3</w:t>
      </w:r>
      <w:r>
        <w:rPr>
          <w:color w:val="auto"/>
          <w:sz w:val="24"/>
          <w:szCs w:val="24"/>
          <w:highlight w:val="none"/>
        </w:rPr>
        <w:t>目约定的期限内完成合同工程。合同工程实际完工时间在合同工程完工证书中明确</w:t>
      </w:r>
      <w:r>
        <w:rPr>
          <w:rFonts w:hint="eastAsia"/>
          <w:color w:val="auto"/>
          <w:sz w:val="24"/>
          <w:szCs w:val="24"/>
          <w:highlight w:val="none"/>
        </w:rPr>
        <w:t>（</w:t>
      </w:r>
      <w:r>
        <w:rPr>
          <w:color w:val="auto"/>
          <w:sz w:val="24"/>
          <w:szCs w:val="24"/>
          <w:highlight w:val="none"/>
        </w:rPr>
        <w:t>以完工验收鉴定书或竣工验收鉴定书标明的验收日期为准，没有标明验收日期的则以印发鉴定书的日期为准</w:t>
      </w:r>
      <w:r>
        <w:rPr>
          <w:rFonts w:hint="eastAsia"/>
          <w:color w:val="auto"/>
          <w:sz w:val="24"/>
          <w:szCs w:val="24"/>
          <w:highlight w:val="none"/>
        </w:rPr>
        <w:t>）</w:t>
      </w:r>
      <w:r>
        <w:rPr>
          <w:rFonts w:hint="eastAsia" w:ascii="Times New Roman" w:hAnsi="Times New Roman" w:cs="Times New Roman"/>
          <w:color w:val="auto"/>
          <w:sz w:val="24"/>
          <w:szCs w:val="24"/>
          <w:highlight w:val="none"/>
          <w:lang w:val="en-US" w:bidi="en-US"/>
        </w:rPr>
        <w:t>。</w:t>
      </w:r>
    </w:p>
    <w:p>
      <w:pPr>
        <w:pStyle w:val="5"/>
        <w:ind w:left="0" w:leftChars="0" w:firstLine="0" w:firstLineChars="0"/>
        <w:rPr>
          <w:color w:val="auto"/>
          <w:sz w:val="24"/>
          <w:szCs w:val="24"/>
          <w:highlight w:val="none"/>
          <w:lang w:eastAsia="zh-CN"/>
        </w:rPr>
      </w:pPr>
      <w:bookmarkStart w:id="527" w:name="bookmark1175"/>
      <w:bookmarkStart w:id="528" w:name="bookmark1176"/>
      <w:bookmarkStart w:id="529" w:name="bookmark1174"/>
      <w:bookmarkStart w:id="530" w:name="_Toc7284"/>
      <w:r>
        <w:rPr>
          <w:color w:val="auto"/>
          <w:sz w:val="24"/>
          <w:szCs w:val="24"/>
          <w:highlight w:val="none"/>
          <w:lang w:eastAsia="zh-CN"/>
        </w:rPr>
        <w:t>11.3发包人的工期延误</w:t>
      </w:r>
      <w:bookmarkEnd w:id="527"/>
      <w:bookmarkEnd w:id="528"/>
      <w:bookmarkEnd w:id="529"/>
      <w:bookmarkEnd w:id="530"/>
    </w:p>
    <w:p>
      <w:pPr>
        <w:pStyle w:val="47"/>
        <w:spacing w:after="140" w:line="360" w:lineRule="exact"/>
        <w:ind w:firstLine="440"/>
        <w:jc w:val="both"/>
        <w:rPr>
          <w:color w:val="auto"/>
          <w:sz w:val="24"/>
          <w:szCs w:val="24"/>
          <w:highlight w:val="none"/>
        </w:rPr>
      </w:pPr>
      <w:r>
        <w:rPr>
          <w:color w:val="auto"/>
          <w:sz w:val="24"/>
          <w:szCs w:val="24"/>
          <w:highlight w:val="none"/>
        </w:rPr>
        <w:t>在履行合同过程中，由于发包人的下列原因造成工期延误的，承包人有权要求发包人延长工期和(或)增加费用，并支付合理利润。需要修订合同进度计划的，按照第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2</w:t>
      </w:r>
      <w:r>
        <w:rPr>
          <w:color w:val="auto"/>
          <w:sz w:val="24"/>
          <w:szCs w:val="24"/>
          <w:highlight w:val="none"/>
        </w:rPr>
        <w:t>款的约定办理。</w:t>
      </w:r>
    </w:p>
    <w:p>
      <w:pPr>
        <w:pStyle w:val="47"/>
        <w:numPr>
          <w:ilvl w:val="0"/>
          <w:numId w:val="8"/>
        </w:numPr>
        <w:tabs>
          <w:tab w:val="left" w:pos="923"/>
        </w:tabs>
        <w:spacing w:line="360" w:lineRule="exact"/>
        <w:ind w:firstLine="440"/>
        <w:jc w:val="both"/>
        <w:rPr>
          <w:color w:val="auto"/>
          <w:sz w:val="24"/>
          <w:szCs w:val="24"/>
          <w:highlight w:val="none"/>
        </w:rPr>
      </w:pPr>
      <w:bookmarkStart w:id="531" w:name="bookmark1177"/>
      <w:bookmarkEnd w:id="531"/>
      <w:r>
        <w:rPr>
          <w:color w:val="auto"/>
          <w:sz w:val="24"/>
          <w:szCs w:val="24"/>
          <w:highlight w:val="none"/>
        </w:rPr>
        <w:t>增加合同工作内容；</w:t>
      </w:r>
    </w:p>
    <w:p>
      <w:pPr>
        <w:pStyle w:val="47"/>
        <w:numPr>
          <w:ilvl w:val="0"/>
          <w:numId w:val="8"/>
        </w:numPr>
        <w:tabs>
          <w:tab w:val="left" w:pos="903"/>
        </w:tabs>
        <w:spacing w:line="360" w:lineRule="exact"/>
        <w:ind w:firstLine="420"/>
        <w:rPr>
          <w:color w:val="auto"/>
          <w:sz w:val="24"/>
          <w:szCs w:val="24"/>
          <w:highlight w:val="none"/>
        </w:rPr>
      </w:pPr>
      <w:bookmarkStart w:id="532" w:name="bookmark1178"/>
      <w:bookmarkEnd w:id="532"/>
      <w:r>
        <w:rPr>
          <w:color w:val="auto"/>
          <w:sz w:val="24"/>
          <w:szCs w:val="24"/>
          <w:highlight w:val="none"/>
        </w:rPr>
        <w:t>改变合同中任何一项工作的质量要求或其他特性；</w:t>
      </w:r>
    </w:p>
    <w:p>
      <w:pPr>
        <w:pStyle w:val="47"/>
        <w:numPr>
          <w:ilvl w:val="0"/>
          <w:numId w:val="8"/>
        </w:numPr>
        <w:tabs>
          <w:tab w:val="left" w:pos="903"/>
        </w:tabs>
        <w:spacing w:line="360" w:lineRule="exact"/>
        <w:ind w:firstLine="420"/>
        <w:rPr>
          <w:color w:val="auto"/>
          <w:sz w:val="24"/>
          <w:szCs w:val="24"/>
          <w:highlight w:val="none"/>
        </w:rPr>
      </w:pPr>
      <w:bookmarkStart w:id="533" w:name="bookmark1179"/>
      <w:bookmarkEnd w:id="533"/>
      <w:r>
        <w:rPr>
          <w:color w:val="auto"/>
          <w:sz w:val="24"/>
          <w:szCs w:val="24"/>
          <w:highlight w:val="none"/>
        </w:rPr>
        <w:t>发包人迟延提供材料、工程设备或变更交货地点的；</w:t>
      </w:r>
    </w:p>
    <w:p>
      <w:pPr>
        <w:pStyle w:val="47"/>
        <w:numPr>
          <w:ilvl w:val="0"/>
          <w:numId w:val="8"/>
        </w:numPr>
        <w:tabs>
          <w:tab w:val="left" w:pos="903"/>
        </w:tabs>
        <w:spacing w:line="360" w:lineRule="exact"/>
        <w:ind w:firstLine="420"/>
        <w:rPr>
          <w:color w:val="auto"/>
          <w:sz w:val="24"/>
          <w:szCs w:val="24"/>
          <w:highlight w:val="none"/>
        </w:rPr>
      </w:pPr>
      <w:bookmarkStart w:id="534" w:name="bookmark1180"/>
      <w:bookmarkEnd w:id="534"/>
      <w:r>
        <w:rPr>
          <w:color w:val="auto"/>
          <w:sz w:val="24"/>
          <w:szCs w:val="24"/>
          <w:highlight w:val="none"/>
        </w:rPr>
        <w:t>因发包人原因导致的暂停施工；</w:t>
      </w:r>
    </w:p>
    <w:p>
      <w:pPr>
        <w:pStyle w:val="47"/>
        <w:numPr>
          <w:ilvl w:val="0"/>
          <w:numId w:val="8"/>
        </w:numPr>
        <w:tabs>
          <w:tab w:val="left" w:pos="903"/>
        </w:tabs>
        <w:spacing w:line="360" w:lineRule="exact"/>
        <w:ind w:firstLine="420"/>
        <w:rPr>
          <w:color w:val="auto"/>
          <w:sz w:val="24"/>
          <w:szCs w:val="24"/>
          <w:highlight w:val="none"/>
        </w:rPr>
      </w:pPr>
      <w:bookmarkStart w:id="535" w:name="bookmark1181"/>
      <w:bookmarkEnd w:id="535"/>
      <w:r>
        <w:rPr>
          <w:color w:val="auto"/>
          <w:sz w:val="24"/>
          <w:szCs w:val="24"/>
          <w:highlight w:val="none"/>
        </w:rPr>
        <w:t>提供图纸延误；</w:t>
      </w:r>
    </w:p>
    <w:p>
      <w:pPr>
        <w:pStyle w:val="47"/>
        <w:numPr>
          <w:ilvl w:val="0"/>
          <w:numId w:val="8"/>
        </w:numPr>
        <w:tabs>
          <w:tab w:val="left" w:pos="903"/>
        </w:tabs>
        <w:spacing w:line="360" w:lineRule="exact"/>
        <w:ind w:firstLine="420"/>
        <w:rPr>
          <w:color w:val="auto"/>
          <w:sz w:val="24"/>
          <w:szCs w:val="24"/>
          <w:highlight w:val="none"/>
        </w:rPr>
      </w:pPr>
      <w:bookmarkStart w:id="536" w:name="bookmark1183"/>
      <w:bookmarkEnd w:id="536"/>
      <w:bookmarkStart w:id="537" w:name="bookmark1182"/>
      <w:bookmarkEnd w:id="537"/>
      <w:r>
        <w:rPr>
          <w:color w:val="auto"/>
          <w:sz w:val="24"/>
          <w:szCs w:val="24"/>
          <w:highlight w:val="none"/>
        </w:rPr>
        <w:t>发包人造成工期延误的其他原因。</w:t>
      </w:r>
    </w:p>
    <w:p>
      <w:pPr>
        <w:pStyle w:val="5"/>
        <w:ind w:left="0" w:leftChars="0" w:firstLine="0" w:firstLineChars="0"/>
        <w:rPr>
          <w:color w:val="auto"/>
          <w:sz w:val="24"/>
          <w:szCs w:val="24"/>
          <w:highlight w:val="none"/>
          <w:lang w:eastAsia="zh-CN"/>
        </w:rPr>
      </w:pPr>
      <w:bookmarkStart w:id="538" w:name="bookmark1185"/>
      <w:bookmarkStart w:id="539" w:name="bookmark1184"/>
      <w:bookmarkStart w:id="540" w:name="_Toc10371"/>
      <w:bookmarkStart w:id="541" w:name="bookmark1186"/>
      <w:r>
        <w:rPr>
          <w:color w:val="auto"/>
          <w:sz w:val="24"/>
          <w:szCs w:val="24"/>
          <w:highlight w:val="none"/>
          <w:lang w:eastAsia="zh-CN"/>
        </w:rPr>
        <w:t>11.4异常恶劣的气候条件</w:t>
      </w:r>
      <w:bookmarkEnd w:id="538"/>
      <w:bookmarkEnd w:id="539"/>
      <w:bookmarkEnd w:id="540"/>
      <w:bookmarkEnd w:id="541"/>
    </w:p>
    <w:p>
      <w:pPr>
        <w:pStyle w:val="47"/>
        <w:spacing w:line="368" w:lineRule="exact"/>
        <w:ind w:firstLine="44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.4.1</w:t>
      </w:r>
      <w:r>
        <w:rPr>
          <w:color w:val="auto"/>
          <w:sz w:val="24"/>
          <w:szCs w:val="24"/>
          <w:highlight w:val="none"/>
        </w:rPr>
        <w:t>当工程所在地发生危及施工安全的异常恶劣气候时，发包人和承包人应按本合同通用合同条款第</w:t>
      </w:r>
      <w:r>
        <w:rPr>
          <w:rFonts w:ascii="Times New Roman" w:hAnsi="Times New Roman" w:eastAsia="Times New Roman" w:cs="Times New Roman"/>
          <w:color w:val="auto"/>
          <w:sz w:val="24"/>
          <w:szCs w:val="24"/>
          <w:highlight w:val="none"/>
        </w:rPr>
        <w:t>12</w:t>
      </w:r>
      <w:r>
        <w:rPr>
          <w:color w:val="auto"/>
          <w:sz w:val="24"/>
          <w:szCs w:val="24"/>
          <w:highlight w:val="none"/>
        </w:rPr>
        <w:t>条的约定，及时采取暂停施工或部分暂停施工措施。异常恶劣气候条件解除后，承包人应及时安排复工。</w:t>
      </w:r>
    </w:p>
    <w:p>
      <w:pPr>
        <w:pStyle w:val="47"/>
        <w:spacing w:after="140" w:line="360" w:lineRule="exact"/>
        <w:ind w:firstLine="44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.4.2</w:t>
      </w:r>
      <w:r>
        <w:rPr>
          <w:color w:val="auto"/>
          <w:sz w:val="24"/>
          <w:szCs w:val="24"/>
          <w:highlight w:val="none"/>
        </w:rPr>
        <w:t>异常恶劣气候条件造成的工期延误和工程损坏，应由发包人与承包人参照本合同通用合同条款第</w:t>
      </w:r>
      <w:r>
        <w:rPr>
          <w:rFonts w:ascii="Times New Roman" w:hAnsi="Times New Roman" w:eastAsia="Times New Roman" w:cs="Times New Roman"/>
          <w:color w:val="auto"/>
          <w:sz w:val="24"/>
          <w:szCs w:val="24"/>
          <w:highlight w:val="none"/>
          <w:lang w:val="en-US" w:bidi="en-US"/>
        </w:rPr>
        <w:t xml:space="preserve">21. </w:t>
      </w:r>
      <w:r>
        <w:rPr>
          <w:rFonts w:ascii="Times New Roman" w:hAnsi="Times New Roman" w:eastAsia="Times New Roman" w:cs="Times New Roman"/>
          <w:color w:val="auto"/>
          <w:sz w:val="24"/>
          <w:szCs w:val="24"/>
          <w:highlight w:val="none"/>
        </w:rPr>
        <w:t>3</w:t>
      </w:r>
      <w:r>
        <w:rPr>
          <w:color w:val="auto"/>
          <w:sz w:val="24"/>
          <w:szCs w:val="24"/>
          <w:highlight w:val="none"/>
        </w:rPr>
        <w:t>款的约定共同协商处理。</w:t>
      </w:r>
    </w:p>
    <w:p>
      <w:pPr>
        <w:pStyle w:val="47"/>
        <w:spacing w:line="377" w:lineRule="auto"/>
        <w:ind w:firstLine="420"/>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w:t>
      </w:r>
      <w:r>
        <w:rPr>
          <w:rFonts w:ascii="Times New Roman" w:hAnsi="Times New Roman" w:eastAsia="Times New Roman" w:cs="Times New Roman"/>
          <w:color w:val="auto"/>
          <w:sz w:val="24"/>
          <w:szCs w:val="24"/>
          <w:highlight w:val="none"/>
        </w:rPr>
        <w:t>3</w:t>
      </w:r>
      <w:r>
        <w:rPr>
          <w:color w:val="auto"/>
          <w:sz w:val="24"/>
          <w:szCs w:val="24"/>
          <w:highlight w:val="none"/>
        </w:rPr>
        <w:t>本合同工程界定异常恶劣气候条件的范围在专用合同条款中约定。</w:t>
      </w:r>
    </w:p>
    <w:p>
      <w:pPr>
        <w:pStyle w:val="5"/>
        <w:ind w:left="0" w:leftChars="0" w:firstLine="0" w:firstLineChars="0"/>
        <w:rPr>
          <w:color w:val="auto"/>
          <w:sz w:val="24"/>
          <w:szCs w:val="24"/>
          <w:highlight w:val="none"/>
          <w:lang w:eastAsia="zh-CN"/>
        </w:rPr>
      </w:pPr>
      <w:bookmarkStart w:id="542" w:name="bookmark1188"/>
      <w:bookmarkStart w:id="543" w:name="_Toc1075"/>
      <w:bookmarkStart w:id="544" w:name="bookmark1189"/>
      <w:bookmarkStart w:id="545" w:name="bookmark1187"/>
      <w:r>
        <w:rPr>
          <w:color w:val="auto"/>
          <w:sz w:val="24"/>
          <w:szCs w:val="24"/>
          <w:highlight w:val="none"/>
          <w:lang w:eastAsia="zh-CN"/>
        </w:rPr>
        <w:t>11.5承包人工期延误</w:t>
      </w:r>
      <w:bookmarkEnd w:id="542"/>
      <w:bookmarkEnd w:id="543"/>
      <w:bookmarkEnd w:id="544"/>
      <w:bookmarkEnd w:id="545"/>
    </w:p>
    <w:p>
      <w:pPr>
        <w:pStyle w:val="47"/>
        <w:spacing w:after="140" w:line="359" w:lineRule="exact"/>
        <w:ind w:firstLine="440"/>
        <w:jc w:val="both"/>
        <w:rPr>
          <w:color w:val="auto"/>
          <w:sz w:val="24"/>
          <w:szCs w:val="24"/>
          <w:highlight w:val="none"/>
        </w:rPr>
      </w:pPr>
      <w:r>
        <w:rPr>
          <w:color w:val="auto"/>
          <w:sz w:val="24"/>
          <w:szCs w:val="24"/>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pStyle w:val="5"/>
        <w:ind w:left="0" w:leftChars="0" w:firstLine="0" w:firstLineChars="0"/>
        <w:rPr>
          <w:color w:val="auto"/>
          <w:sz w:val="24"/>
          <w:szCs w:val="24"/>
          <w:highlight w:val="none"/>
          <w:lang w:eastAsia="zh-CN"/>
        </w:rPr>
      </w:pPr>
      <w:bookmarkStart w:id="546" w:name="bookmark1191"/>
      <w:bookmarkStart w:id="547" w:name="bookmark1192"/>
      <w:bookmarkStart w:id="548" w:name="_Toc14969"/>
      <w:bookmarkStart w:id="549" w:name="bookmark1190"/>
      <w:r>
        <w:rPr>
          <w:color w:val="auto"/>
          <w:sz w:val="24"/>
          <w:szCs w:val="24"/>
          <w:highlight w:val="none"/>
          <w:lang w:eastAsia="zh-CN"/>
        </w:rPr>
        <w:t>11.6工期提前</w:t>
      </w:r>
      <w:bookmarkEnd w:id="546"/>
      <w:bookmarkEnd w:id="547"/>
      <w:bookmarkEnd w:id="548"/>
      <w:bookmarkEnd w:id="549"/>
    </w:p>
    <w:p>
      <w:pPr>
        <w:pStyle w:val="47"/>
        <w:spacing w:line="360" w:lineRule="exact"/>
        <w:ind w:firstLine="440"/>
        <w:jc w:val="both"/>
        <w:rPr>
          <w:color w:val="auto"/>
          <w:sz w:val="24"/>
          <w:szCs w:val="24"/>
          <w:highlight w:val="none"/>
        </w:rPr>
      </w:pPr>
      <w:r>
        <w:rPr>
          <w:color w:val="auto"/>
          <w:sz w:val="24"/>
          <w:szCs w:val="24"/>
          <w:highlight w:val="none"/>
        </w:rPr>
        <w:t>发包人要求承包人提前完工，或承包人提出提前完工的建议能够给发包人带来效益的， 应由监理人与承包人共同协商采取加快工程进度的措施和修订合同进度计划。发包人应承担承包人由此增加的费用，并向承包人支付专用合同条款约定的相应奖金。</w:t>
      </w:r>
    </w:p>
    <w:p>
      <w:pPr>
        <w:pStyle w:val="47"/>
        <w:spacing w:after="140" w:line="360" w:lineRule="exact"/>
        <w:ind w:firstLine="420"/>
        <w:jc w:val="both"/>
        <w:rPr>
          <w:color w:val="auto"/>
          <w:sz w:val="24"/>
          <w:szCs w:val="24"/>
          <w:highlight w:val="none"/>
        </w:rPr>
      </w:pPr>
      <w:r>
        <w:rPr>
          <w:color w:val="auto"/>
          <w:sz w:val="24"/>
          <w:szCs w:val="24"/>
          <w:highlight w:val="none"/>
        </w:rPr>
        <w:t>发包人要求提前完工的，双方协商一致后应签订提前完工协议，协议内容包括：</w:t>
      </w:r>
    </w:p>
    <w:p>
      <w:pPr>
        <w:pStyle w:val="47"/>
        <w:numPr>
          <w:ilvl w:val="0"/>
          <w:numId w:val="9"/>
        </w:numPr>
        <w:tabs>
          <w:tab w:val="left" w:pos="903"/>
        </w:tabs>
        <w:spacing w:line="360" w:lineRule="exact"/>
        <w:ind w:firstLine="420"/>
        <w:jc w:val="both"/>
        <w:rPr>
          <w:color w:val="auto"/>
          <w:sz w:val="24"/>
          <w:szCs w:val="24"/>
          <w:highlight w:val="none"/>
        </w:rPr>
      </w:pPr>
      <w:bookmarkStart w:id="550" w:name="bookmark1193"/>
      <w:bookmarkEnd w:id="550"/>
      <w:r>
        <w:rPr>
          <w:color w:val="auto"/>
          <w:sz w:val="24"/>
          <w:szCs w:val="24"/>
          <w:highlight w:val="none"/>
        </w:rPr>
        <w:t>提前的时间和修订后的进度计划。</w:t>
      </w:r>
    </w:p>
    <w:p>
      <w:pPr>
        <w:pStyle w:val="47"/>
        <w:numPr>
          <w:ilvl w:val="0"/>
          <w:numId w:val="9"/>
        </w:numPr>
        <w:tabs>
          <w:tab w:val="left" w:pos="903"/>
        </w:tabs>
        <w:spacing w:line="360" w:lineRule="exact"/>
        <w:ind w:firstLine="420"/>
        <w:jc w:val="both"/>
        <w:rPr>
          <w:color w:val="auto"/>
          <w:sz w:val="24"/>
          <w:szCs w:val="24"/>
          <w:highlight w:val="none"/>
        </w:rPr>
      </w:pPr>
      <w:bookmarkStart w:id="551" w:name="bookmark1194"/>
      <w:bookmarkEnd w:id="551"/>
      <w:r>
        <w:rPr>
          <w:color w:val="auto"/>
          <w:sz w:val="24"/>
          <w:szCs w:val="24"/>
          <w:highlight w:val="none"/>
        </w:rPr>
        <w:t>承包人的赶工措施。</w:t>
      </w:r>
    </w:p>
    <w:p>
      <w:pPr>
        <w:pStyle w:val="47"/>
        <w:numPr>
          <w:ilvl w:val="0"/>
          <w:numId w:val="9"/>
        </w:numPr>
        <w:tabs>
          <w:tab w:val="left" w:pos="923"/>
        </w:tabs>
        <w:spacing w:line="360" w:lineRule="exact"/>
        <w:ind w:firstLine="440"/>
        <w:jc w:val="both"/>
        <w:rPr>
          <w:color w:val="auto"/>
          <w:sz w:val="24"/>
          <w:szCs w:val="24"/>
          <w:highlight w:val="none"/>
        </w:rPr>
      </w:pPr>
      <w:r>
        <w:rPr>
          <w:color w:val="auto"/>
          <w:sz w:val="24"/>
          <w:szCs w:val="24"/>
          <w:highlight w:val="none"/>
        </w:rPr>
        <w:t>发包人为赶工提供的条件。</w:t>
      </w:r>
    </w:p>
    <w:p>
      <w:pPr>
        <w:pStyle w:val="47"/>
        <w:numPr>
          <w:ilvl w:val="0"/>
          <w:numId w:val="9"/>
        </w:numPr>
        <w:tabs>
          <w:tab w:val="left" w:pos="923"/>
        </w:tabs>
        <w:spacing w:after="280" w:line="360" w:lineRule="exact"/>
        <w:ind w:firstLine="440"/>
        <w:jc w:val="both"/>
        <w:rPr>
          <w:color w:val="auto"/>
          <w:sz w:val="24"/>
          <w:szCs w:val="24"/>
          <w:highlight w:val="none"/>
        </w:rPr>
      </w:pPr>
      <w:bookmarkStart w:id="552" w:name="bookmark1196"/>
      <w:bookmarkEnd w:id="552"/>
      <w:r>
        <w:rPr>
          <w:color w:val="auto"/>
          <w:sz w:val="24"/>
          <w:szCs w:val="24"/>
          <w:highlight w:val="none"/>
        </w:rPr>
        <w:t>赶工费用(包括利润和奖金)</w:t>
      </w:r>
    </w:p>
    <w:p>
      <w:pPr>
        <w:pStyle w:val="4"/>
        <w:spacing w:line="360" w:lineRule="exact"/>
        <w:rPr>
          <w:rFonts w:hint="eastAsia"/>
          <w:color w:val="auto"/>
          <w:sz w:val="24"/>
          <w:szCs w:val="24"/>
          <w:highlight w:val="none"/>
          <w:lang w:eastAsia="zh-CN"/>
        </w:rPr>
      </w:pPr>
      <w:bookmarkStart w:id="553" w:name="bookmark1199"/>
      <w:bookmarkStart w:id="554" w:name="_Toc1664070518"/>
      <w:bookmarkStart w:id="555" w:name="_Toc20239"/>
      <w:bookmarkStart w:id="556" w:name="bookmark1197"/>
      <w:bookmarkStart w:id="557" w:name="bookmark1198"/>
      <w:bookmarkStart w:id="558" w:name="_Toc8400"/>
      <w:r>
        <w:rPr>
          <w:rFonts w:hint="eastAsia"/>
          <w:color w:val="auto"/>
          <w:sz w:val="24"/>
          <w:szCs w:val="24"/>
          <w:highlight w:val="none"/>
          <w:lang w:eastAsia="zh-CN"/>
        </w:rPr>
        <w:t>12.暂停施工</w:t>
      </w:r>
      <w:bookmarkEnd w:id="553"/>
      <w:bookmarkEnd w:id="554"/>
      <w:bookmarkEnd w:id="555"/>
      <w:bookmarkEnd w:id="556"/>
      <w:bookmarkEnd w:id="557"/>
      <w:bookmarkEnd w:id="558"/>
    </w:p>
    <w:p>
      <w:pPr>
        <w:pStyle w:val="5"/>
        <w:ind w:left="0" w:leftChars="0" w:firstLine="0" w:firstLineChars="0"/>
        <w:jc w:val="both"/>
        <w:rPr>
          <w:color w:val="auto"/>
          <w:sz w:val="24"/>
          <w:szCs w:val="24"/>
          <w:highlight w:val="none"/>
          <w:lang w:eastAsia="zh-CN"/>
        </w:rPr>
      </w:pPr>
      <w:bookmarkStart w:id="559" w:name="bookmark1201"/>
      <w:bookmarkStart w:id="560" w:name="bookmark1200"/>
      <w:bookmarkStart w:id="561" w:name="bookmark1202"/>
      <w:bookmarkStart w:id="562" w:name="_Toc25279"/>
      <w:r>
        <w:rPr>
          <w:color w:val="auto"/>
          <w:sz w:val="24"/>
          <w:szCs w:val="24"/>
          <w:highlight w:val="none"/>
          <w:lang w:eastAsia="zh-CN"/>
        </w:rPr>
        <w:t>12.1承包人暂停施工的责任</w:t>
      </w:r>
      <w:bookmarkEnd w:id="559"/>
      <w:bookmarkEnd w:id="560"/>
      <w:bookmarkEnd w:id="561"/>
      <w:bookmarkEnd w:id="562"/>
    </w:p>
    <w:p>
      <w:pPr>
        <w:pStyle w:val="47"/>
        <w:spacing w:line="360" w:lineRule="exact"/>
        <w:ind w:firstLine="442"/>
        <w:jc w:val="both"/>
        <w:rPr>
          <w:color w:val="auto"/>
          <w:sz w:val="24"/>
          <w:szCs w:val="24"/>
          <w:highlight w:val="none"/>
        </w:rPr>
      </w:pPr>
      <w:r>
        <w:rPr>
          <w:color w:val="auto"/>
          <w:sz w:val="24"/>
          <w:szCs w:val="24"/>
          <w:highlight w:val="none"/>
        </w:rPr>
        <w:t>因下列暂停施工增加的费用和(或)工期延误由承包人承担：</w:t>
      </w:r>
    </w:p>
    <w:p>
      <w:pPr>
        <w:pStyle w:val="47"/>
        <w:numPr>
          <w:ilvl w:val="0"/>
          <w:numId w:val="10"/>
        </w:numPr>
        <w:tabs>
          <w:tab w:val="left" w:pos="923"/>
        </w:tabs>
        <w:spacing w:line="360" w:lineRule="exact"/>
        <w:ind w:firstLine="442"/>
        <w:jc w:val="both"/>
        <w:rPr>
          <w:color w:val="auto"/>
          <w:sz w:val="24"/>
          <w:szCs w:val="24"/>
          <w:highlight w:val="none"/>
        </w:rPr>
      </w:pPr>
      <w:bookmarkStart w:id="563" w:name="bookmark1203"/>
      <w:bookmarkEnd w:id="563"/>
      <w:r>
        <w:rPr>
          <w:color w:val="auto"/>
          <w:sz w:val="24"/>
          <w:szCs w:val="24"/>
          <w:highlight w:val="none"/>
        </w:rPr>
        <w:t>承包人违约引起的暂停施工；</w:t>
      </w:r>
    </w:p>
    <w:p>
      <w:pPr>
        <w:pStyle w:val="47"/>
        <w:numPr>
          <w:ilvl w:val="0"/>
          <w:numId w:val="10"/>
        </w:numPr>
        <w:tabs>
          <w:tab w:val="left" w:pos="923"/>
        </w:tabs>
        <w:spacing w:line="360" w:lineRule="exact"/>
        <w:ind w:firstLine="442"/>
        <w:jc w:val="both"/>
        <w:rPr>
          <w:color w:val="auto"/>
          <w:sz w:val="24"/>
          <w:szCs w:val="24"/>
          <w:highlight w:val="none"/>
        </w:rPr>
      </w:pPr>
      <w:bookmarkStart w:id="564" w:name="bookmark1204"/>
      <w:bookmarkEnd w:id="564"/>
      <w:r>
        <w:rPr>
          <w:color w:val="auto"/>
          <w:sz w:val="24"/>
          <w:szCs w:val="24"/>
          <w:highlight w:val="none"/>
        </w:rPr>
        <w:t>由于承包人原因为工程合理施工和安全保障所必需的暂停施工；</w:t>
      </w:r>
    </w:p>
    <w:p>
      <w:pPr>
        <w:pStyle w:val="47"/>
        <w:numPr>
          <w:ilvl w:val="0"/>
          <w:numId w:val="10"/>
        </w:numPr>
        <w:tabs>
          <w:tab w:val="left" w:pos="923"/>
        </w:tabs>
        <w:spacing w:line="360" w:lineRule="exact"/>
        <w:ind w:firstLine="442"/>
        <w:jc w:val="both"/>
        <w:rPr>
          <w:color w:val="auto"/>
          <w:sz w:val="24"/>
          <w:szCs w:val="24"/>
          <w:highlight w:val="none"/>
        </w:rPr>
      </w:pPr>
      <w:bookmarkStart w:id="565" w:name="bookmark1205"/>
      <w:bookmarkEnd w:id="565"/>
      <w:r>
        <w:rPr>
          <w:color w:val="auto"/>
          <w:sz w:val="24"/>
          <w:szCs w:val="24"/>
          <w:highlight w:val="none"/>
        </w:rPr>
        <w:t>承包人擅自暂停施工；</w:t>
      </w:r>
    </w:p>
    <w:p>
      <w:pPr>
        <w:pStyle w:val="47"/>
        <w:numPr>
          <w:ilvl w:val="0"/>
          <w:numId w:val="10"/>
        </w:numPr>
        <w:tabs>
          <w:tab w:val="left" w:pos="923"/>
        </w:tabs>
        <w:spacing w:line="360" w:lineRule="exact"/>
        <w:ind w:firstLine="442"/>
        <w:jc w:val="both"/>
        <w:rPr>
          <w:color w:val="auto"/>
          <w:sz w:val="24"/>
          <w:szCs w:val="24"/>
          <w:highlight w:val="none"/>
        </w:rPr>
      </w:pPr>
      <w:bookmarkStart w:id="566" w:name="bookmark1206"/>
      <w:bookmarkEnd w:id="566"/>
      <w:r>
        <w:rPr>
          <w:color w:val="auto"/>
          <w:sz w:val="24"/>
          <w:szCs w:val="24"/>
          <w:highlight w:val="none"/>
        </w:rPr>
        <w:t>承包人其他原因引起的暂停施工；</w:t>
      </w:r>
    </w:p>
    <w:p>
      <w:pPr>
        <w:pStyle w:val="47"/>
        <w:numPr>
          <w:ilvl w:val="0"/>
          <w:numId w:val="10"/>
        </w:numPr>
        <w:tabs>
          <w:tab w:val="left" w:pos="923"/>
        </w:tabs>
        <w:spacing w:after="120" w:line="360" w:lineRule="exact"/>
        <w:ind w:firstLine="442"/>
        <w:jc w:val="both"/>
        <w:rPr>
          <w:color w:val="auto"/>
          <w:sz w:val="24"/>
          <w:szCs w:val="24"/>
          <w:highlight w:val="none"/>
        </w:rPr>
      </w:pPr>
      <w:bookmarkStart w:id="567" w:name="bookmark1207"/>
      <w:bookmarkEnd w:id="567"/>
      <w:r>
        <w:rPr>
          <w:color w:val="auto"/>
          <w:sz w:val="24"/>
          <w:szCs w:val="24"/>
          <w:highlight w:val="none"/>
        </w:rPr>
        <w:t>专用合同条款约定由承包人承担的其他暂停施工。</w:t>
      </w:r>
    </w:p>
    <w:p>
      <w:pPr>
        <w:pStyle w:val="5"/>
        <w:ind w:left="0" w:leftChars="0" w:firstLine="0" w:firstLineChars="0"/>
        <w:jc w:val="both"/>
        <w:rPr>
          <w:color w:val="auto"/>
          <w:sz w:val="24"/>
          <w:szCs w:val="24"/>
          <w:highlight w:val="none"/>
          <w:lang w:eastAsia="zh-CN"/>
        </w:rPr>
      </w:pPr>
      <w:bookmarkStart w:id="568" w:name="bookmark1209"/>
      <w:bookmarkStart w:id="569" w:name="bookmark1208"/>
      <w:bookmarkStart w:id="570" w:name="_Toc19655"/>
      <w:bookmarkStart w:id="571" w:name="bookmark1210"/>
      <w:r>
        <w:rPr>
          <w:color w:val="auto"/>
          <w:sz w:val="24"/>
          <w:szCs w:val="24"/>
          <w:highlight w:val="none"/>
          <w:lang w:eastAsia="zh-CN"/>
        </w:rPr>
        <w:t>12.2发包人暂停施工的责任</w:t>
      </w:r>
      <w:bookmarkEnd w:id="568"/>
      <w:bookmarkEnd w:id="569"/>
      <w:bookmarkEnd w:id="570"/>
      <w:bookmarkEnd w:id="571"/>
    </w:p>
    <w:p>
      <w:pPr>
        <w:pStyle w:val="47"/>
        <w:spacing w:line="360" w:lineRule="exact"/>
        <w:ind w:firstLine="442"/>
        <w:jc w:val="both"/>
        <w:rPr>
          <w:color w:val="auto"/>
          <w:sz w:val="24"/>
          <w:szCs w:val="24"/>
          <w:highlight w:val="none"/>
        </w:rPr>
      </w:pPr>
      <w:r>
        <w:rPr>
          <w:color w:val="auto"/>
          <w:sz w:val="24"/>
          <w:szCs w:val="24"/>
          <w:highlight w:val="none"/>
        </w:rPr>
        <w:t>由于发包人原因引起的暂停施工造成工期延误的，承包人有权要求发包人延长工期和 (或)增加费用，并支付合理利润。属于下列任何一种情况引起的暂停施工，均为发包人的责任：</w:t>
      </w:r>
    </w:p>
    <w:p>
      <w:pPr>
        <w:pStyle w:val="47"/>
        <w:numPr>
          <w:ilvl w:val="0"/>
          <w:numId w:val="11"/>
        </w:numPr>
        <w:tabs>
          <w:tab w:val="left" w:pos="923"/>
        </w:tabs>
        <w:spacing w:line="360" w:lineRule="exact"/>
        <w:ind w:firstLine="442"/>
        <w:jc w:val="both"/>
        <w:rPr>
          <w:color w:val="auto"/>
          <w:sz w:val="24"/>
          <w:szCs w:val="24"/>
          <w:highlight w:val="none"/>
        </w:rPr>
      </w:pPr>
      <w:bookmarkStart w:id="572" w:name="bookmark1211"/>
      <w:bookmarkEnd w:id="572"/>
      <w:r>
        <w:rPr>
          <w:color w:val="auto"/>
          <w:sz w:val="24"/>
          <w:szCs w:val="24"/>
          <w:highlight w:val="none"/>
        </w:rPr>
        <w:t>由于发包人违约引起的暂停施工。</w:t>
      </w:r>
    </w:p>
    <w:p>
      <w:pPr>
        <w:pStyle w:val="47"/>
        <w:numPr>
          <w:ilvl w:val="0"/>
          <w:numId w:val="11"/>
        </w:numPr>
        <w:tabs>
          <w:tab w:val="left" w:pos="923"/>
        </w:tabs>
        <w:spacing w:line="360" w:lineRule="exact"/>
        <w:ind w:firstLine="442"/>
        <w:jc w:val="both"/>
        <w:rPr>
          <w:color w:val="auto"/>
          <w:sz w:val="24"/>
          <w:szCs w:val="24"/>
          <w:highlight w:val="none"/>
        </w:rPr>
      </w:pPr>
      <w:bookmarkStart w:id="573" w:name="bookmark1212"/>
      <w:bookmarkEnd w:id="573"/>
      <w:r>
        <w:rPr>
          <w:color w:val="auto"/>
          <w:sz w:val="24"/>
          <w:szCs w:val="24"/>
          <w:highlight w:val="none"/>
        </w:rPr>
        <w:t>由于不可抗力的自然或社会因素引起的暂停施工。</w:t>
      </w:r>
    </w:p>
    <w:p>
      <w:pPr>
        <w:pStyle w:val="47"/>
        <w:numPr>
          <w:ilvl w:val="0"/>
          <w:numId w:val="11"/>
        </w:numPr>
        <w:tabs>
          <w:tab w:val="left" w:pos="923"/>
        </w:tabs>
        <w:spacing w:after="120" w:line="360" w:lineRule="exact"/>
        <w:ind w:firstLine="442"/>
        <w:jc w:val="both"/>
        <w:rPr>
          <w:color w:val="auto"/>
          <w:sz w:val="24"/>
          <w:szCs w:val="24"/>
          <w:highlight w:val="none"/>
        </w:rPr>
      </w:pPr>
      <w:bookmarkStart w:id="574" w:name="bookmark1213"/>
      <w:bookmarkEnd w:id="574"/>
      <w:r>
        <w:rPr>
          <w:color w:val="auto"/>
          <w:sz w:val="24"/>
          <w:szCs w:val="24"/>
          <w:highlight w:val="none"/>
        </w:rPr>
        <w:t>专用合同条款中约定的其它由于发包人原因引起的暂停施工。</w:t>
      </w:r>
    </w:p>
    <w:p>
      <w:pPr>
        <w:pStyle w:val="5"/>
        <w:ind w:left="0" w:leftChars="0" w:firstLine="0" w:firstLineChars="0"/>
        <w:rPr>
          <w:color w:val="auto"/>
          <w:sz w:val="24"/>
          <w:szCs w:val="24"/>
          <w:highlight w:val="none"/>
          <w:lang w:eastAsia="zh-CN"/>
        </w:rPr>
      </w:pPr>
      <w:bookmarkStart w:id="575" w:name="bookmark1216"/>
      <w:bookmarkStart w:id="576" w:name="bookmark1215"/>
      <w:bookmarkStart w:id="577" w:name="bookmark1214"/>
      <w:bookmarkStart w:id="578" w:name="_Toc4901"/>
      <w:r>
        <w:rPr>
          <w:color w:val="auto"/>
          <w:sz w:val="24"/>
          <w:szCs w:val="24"/>
          <w:highlight w:val="none"/>
          <w:lang w:eastAsia="zh-CN"/>
        </w:rPr>
        <w:t>12.3监理人暂停施工指示</w:t>
      </w:r>
      <w:bookmarkEnd w:id="575"/>
      <w:bookmarkEnd w:id="576"/>
      <w:bookmarkEnd w:id="577"/>
      <w:bookmarkEnd w:id="578"/>
    </w:p>
    <w:p>
      <w:pPr>
        <w:pStyle w:val="47"/>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12.3.1</w:t>
      </w:r>
      <w:r>
        <w:rPr>
          <w:color w:val="auto"/>
          <w:sz w:val="24"/>
          <w:szCs w:val="24"/>
          <w:highlight w:val="none"/>
        </w:rPr>
        <w:t>监理人认为有必要时，可向承包人作出暂停施工的指示，承包人应按监理人指示暂停施工。不论由于何种原因引起的暂停施工，暂停施工期间承包人应负责妥善保护工程并提供安全保障。</w:t>
      </w:r>
    </w:p>
    <w:p>
      <w:pPr>
        <w:pStyle w:val="47"/>
        <w:spacing w:after="120"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12.3.2</w:t>
      </w:r>
      <w:r>
        <w:rPr>
          <w:color w:val="auto"/>
          <w:sz w:val="24"/>
          <w:szCs w:val="24"/>
          <w:highlight w:val="none"/>
        </w:rPr>
        <w:t>由于发包人的原因发生暂停施工的紧急情况，且监理人未及时下达暂停施工指示的，承包人可先暂停施工，并及时向监理人提出暂停施工的书面请求。监理人应在接到书面请求后的</w:t>
      </w:r>
      <w:r>
        <w:rPr>
          <w:rFonts w:ascii="Times New Roman" w:hAnsi="Times New Roman" w:eastAsia="Times New Roman" w:cs="Times New Roman"/>
          <w:color w:val="auto"/>
          <w:sz w:val="24"/>
          <w:szCs w:val="24"/>
          <w:highlight w:val="none"/>
        </w:rPr>
        <w:t>24</w:t>
      </w:r>
      <w:r>
        <w:rPr>
          <w:color w:val="auto"/>
          <w:sz w:val="24"/>
          <w:szCs w:val="24"/>
          <w:highlight w:val="none"/>
        </w:rPr>
        <w:t>小时内予以答复，逾期未答复的，视为同意承包人的暂停施工请求。</w:t>
      </w:r>
    </w:p>
    <w:p>
      <w:pPr>
        <w:pStyle w:val="5"/>
        <w:ind w:left="0" w:leftChars="0" w:firstLine="0" w:firstLineChars="0"/>
        <w:rPr>
          <w:color w:val="auto"/>
          <w:sz w:val="24"/>
          <w:szCs w:val="24"/>
          <w:highlight w:val="none"/>
          <w:lang w:eastAsia="zh-CN"/>
        </w:rPr>
      </w:pPr>
      <w:bookmarkStart w:id="579" w:name="bookmark1219"/>
      <w:bookmarkStart w:id="580" w:name="bookmark1217"/>
      <w:bookmarkStart w:id="581" w:name="bookmark1218"/>
      <w:bookmarkStart w:id="582" w:name="_Toc14048"/>
      <w:r>
        <w:rPr>
          <w:color w:val="auto"/>
          <w:sz w:val="24"/>
          <w:szCs w:val="24"/>
          <w:highlight w:val="none"/>
          <w:lang w:eastAsia="zh-CN"/>
        </w:rPr>
        <w:t>12.4暂停施工后的复工</w:t>
      </w:r>
      <w:bookmarkEnd w:id="579"/>
      <w:bookmarkEnd w:id="580"/>
      <w:bookmarkEnd w:id="581"/>
      <w:bookmarkEnd w:id="582"/>
    </w:p>
    <w:p>
      <w:pPr>
        <w:pStyle w:val="47"/>
        <w:spacing w:after="120" w:line="359" w:lineRule="exact"/>
        <w:ind w:firstLine="440"/>
        <w:jc w:val="both"/>
        <w:rPr>
          <w:rFonts w:ascii="Times New Roman" w:hAnsi="Times New Roman" w:cs="Times New Roman"/>
          <w:color w:val="auto"/>
          <w:sz w:val="24"/>
          <w:szCs w:val="24"/>
          <w:highlight w:val="none"/>
        </w:rPr>
      </w:pPr>
      <w:bookmarkStart w:id="583" w:name="bookmark1220"/>
      <w:bookmarkEnd w:id="583"/>
      <w:r>
        <w:rPr>
          <w:rFonts w:ascii="Times New Roman" w:hAnsi="Times New Roman" w:cs="Times New Roman"/>
          <w:color w:val="auto"/>
          <w:sz w:val="24"/>
          <w:szCs w:val="24"/>
          <w:highlight w:val="none"/>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pPr>
        <w:pStyle w:val="47"/>
        <w:spacing w:after="120" w:line="359" w:lineRule="exact"/>
        <w:ind w:firstLine="440"/>
        <w:jc w:val="both"/>
        <w:rPr>
          <w:color w:val="auto"/>
          <w:sz w:val="24"/>
          <w:szCs w:val="24"/>
          <w:highlight w:val="none"/>
        </w:rPr>
      </w:pPr>
      <w:bookmarkStart w:id="584" w:name="bookmark1221"/>
      <w:bookmarkEnd w:id="584"/>
      <w:r>
        <w:rPr>
          <w:rFonts w:ascii="Times New Roman" w:hAnsi="Times New Roman" w:cs="Times New Roman"/>
          <w:color w:val="auto"/>
          <w:sz w:val="24"/>
          <w:szCs w:val="24"/>
          <w:highlight w:val="none"/>
        </w:rPr>
        <w:t>12</w:t>
      </w:r>
      <w:r>
        <w:rPr>
          <w:rFonts w:hint="eastAsia" w:ascii="Times New Roman" w:hAnsi="Times New Roman" w:cs="Times New Roman"/>
          <w:color w:val="auto"/>
          <w:sz w:val="24"/>
          <w:szCs w:val="24"/>
          <w:highlight w:val="none"/>
          <w:lang w:val="en-US"/>
        </w:rPr>
        <w:t>.4.</w:t>
      </w:r>
      <w:r>
        <w:rPr>
          <w:rFonts w:ascii="Times New Roman" w:hAnsi="Times New Roman" w:cs="Times New Roman"/>
          <w:color w:val="auto"/>
          <w:sz w:val="24"/>
          <w:szCs w:val="24"/>
          <w:highlight w:val="none"/>
        </w:rPr>
        <w:t>2承</w:t>
      </w:r>
      <w:r>
        <w:rPr>
          <w:color w:val="auto"/>
          <w:sz w:val="24"/>
          <w:szCs w:val="24"/>
          <w:highlight w:val="none"/>
        </w:rPr>
        <w:t>包人无故拖延和拒绝复工的，由此增加的费用和工期延误由承包人承担</w:t>
      </w:r>
      <w:r>
        <w:rPr>
          <w:rFonts w:hint="eastAsia"/>
          <w:color w:val="auto"/>
          <w:sz w:val="24"/>
          <w:szCs w:val="24"/>
          <w:highlight w:val="none"/>
        </w:rPr>
        <w:t>；</w:t>
      </w:r>
      <w:r>
        <w:rPr>
          <w:color w:val="auto"/>
          <w:sz w:val="24"/>
          <w:szCs w:val="24"/>
          <w:highlight w:val="none"/>
        </w:rPr>
        <w:t>因发包人原因无法按时复工的，承包人有权要求发包人延长工期和(或)增加费用，并支付合理利润。</w:t>
      </w:r>
    </w:p>
    <w:p>
      <w:pPr>
        <w:pStyle w:val="5"/>
        <w:ind w:left="0" w:leftChars="0" w:firstLine="0" w:firstLineChars="0"/>
        <w:rPr>
          <w:color w:val="auto"/>
          <w:sz w:val="24"/>
          <w:szCs w:val="24"/>
          <w:highlight w:val="none"/>
          <w:lang w:eastAsia="zh-CN"/>
        </w:rPr>
      </w:pPr>
      <w:bookmarkStart w:id="585" w:name="bookmark1195"/>
      <w:bookmarkEnd w:id="585"/>
      <w:bookmarkStart w:id="586" w:name="bookmark1224"/>
      <w:bookmarkStart w:id="587" w:name="bookmark1223"/>
      <w:bookmarkStart w:id="588" w:name="bookmark1222"/>
      <w:bookmarkStart w:id="589" w:name="_Toc6811"/>
      <w:r>
        <w:rPr>
          <w:color w:val="auto"/>
          <w:sz w:val="24"/>
          <w:szCs w:val="24"/>
          <w:highlight w:val="none"/>
          <w:lang w:eastAsia="zh-CN"/>
        </w:rPr>
        <w:t>12.5暂停施工持续56天以上</w:t>
      </w:r>
      <w:bookmarkEnd w:id="586"/>
      <w:bookmarkEnd w:id="587"/>
      <w:bookmarkEnd w:id="588"/>
      <w:bookmarkEnd w:id="589"/>
    </w:p>
    <w:p>
      <w:pPr>
        <w:pStyle w:val="47"/>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12.5.1</w:t>
      </w:r>
      <w:r>
        <w:rPr>
          <w:color w:val="auto"/>
          <w:sz w:val="24"/>
          <w:szCs w:val="24"/>
          <w:highlight w:val="none"/>
        </w:rPr>
        <w:t>监理人发出暂停施工指示后</w:t>
      </w:r>
      <w:r>
        <w:rPr>
          <w:rFonts w:ascii="Times New Roman" w:hAnsi="Times New Roman" w:eastAsia="Times New Roman" w:cs="Times New Roman"/>
          <w:color w:val="auto"/>
          <w:sz w:val="24"/>
          <w:szCs w:val="24"/>
          <w:highlight w:val="none"/>
        </w:rPr>
        <w:t>56</w:t>
      </w:r>
      <w:r>
        <w:rPr>
          <w:color w:val="auto"/>
          <w:sz w:val="24"/>
          <w:szCs w:val="24"/>
          <w:highlight w:val="none"/>
        </w:rPr>
        <w:t>天内未向承包人发出复工通知，除了该项停工属于第</w:t>
      </w:r>
      <w:r>
        <w:rPr>
          <w:rFonts w:ascii="Times New Roman" w:hAnsi="Times New Roman" w:eastAsia="Times New Roman" w:cs="Times New Roman"/>
          <w:color w:val="auto"/>
          <w:sz w:val="24"/>
          <w:szCs w:val="24"/>
          <w:highlight w:val="none"/>
          <w:lang w:val="en-US" w:bidi="en-US"/>
        </w:rPr>
        <w:t>12.1</w:t>
      </w:r>
      <w:r>
        <w:rPr>
          <w:color w:val="auto"/>
          <w:sz w:val="24"/>
          <w:szCs w:val="24"/>
          <w:highlight w:val="none"/>
        </w:rPr>
        <w:t xml:space="preserve">款的情况外，承包人可向监理人提交书面通知，要求监理人在收到书面通知后 </w:t>
      </w:r>
      <w:r>
        <w:rPr>
          <w:rFonts w:ascii="Times New Roman" w:hAnsi="Times New Roman" w:eastAsia="Times New Roman" w:cs="Times New Roman"/>
          <w:color w:val="auto"/>
          <w:sz w:val="24"/>
          <w:szCs w:val="24"/>
          <w:highlight w:val="none"/>
        </w:rPr>
        <w:t>28</w:t>
      </w:r>
      <w:r>
        <w:rPr>
          <w:color w:val="auto"/>
          <w:sz w:val="24"/>
          <w:szCs w:val="24"/>
          <w:highlight w:val="none"/>
        </w:rPr>
        <w:t>天内准许已暂停施工的工程或其中一部分工程继续施工。如监理人逾期不予批准，则承包人可以通知监理人，将工程受影响的部分视为按第</w:t>
      </w:r>
      <w:r>
        <w:rPr>
          <w:rFonts w:ascii="Times New Roman" w:hAnsi="Times New Roman" w:eastAsia="Times New Roman" w:cs="Times New Roman"/>
          <w:color w:val="auto"/>
          <w:sz w:val="24"/>
          <w:szCs w:val="24"/>
          <w:highlight w:val="none"/>
          <w:lang w:val="en-US" w:bidi="en-US"/>
        </w:rPr>
        <w:t xml:space="preserve">15.1 </w:t>
      </w:r>
      <w:r>
        <w:rPr>
          <w:rFonts w:ascii="Times New Roman" w:hAnsi="Times New Roman" w:eastAsia="Times New Roman" w:cs="Times New Roman"/>
          <w:color w:val="auto"/>
          <w:sz w:val="24"/>
          <w:szCs w:val="24"/>
          <w:highlight w:val="none"/>
        </w:rPr>
        <w:t>(1)</w:t>
      </w:r>
      <w:r>
        <w:rPr>
          <w:color w:val="auto"/>
          <w:sz w:val="24"/>
          <w:szCs w:val="24"/>
          <w:highlight w:val="none"/>
        </w:rPr>
        <w:t>项的可取消工作。如暂停 施工影响到整个工程，可视为发包人违约，应按第</w:t>
      </w:r>
      <w:r>
        <w:rPr>
          <w:rFonts w:ascii="Times New Roman" w:hAnsi="Times New Roman" w:eastAsia="Times New Roman" w:cs="Times New Roman"/>
          <w:color w:val="auto"/>
          <w:sz w:val="24"/>
          <w:szCs w:val="24"/>
          <w:highlight w:val="none"/>
          <w:lang w:val="en-US" w:bidi="en-US"/>
        </w:rPr>
        <w:t xml:space="preserve">22. </w:t>
      </w:r>
      <w:r>
        <w:rPr>
          <w:rFonts w:ascii="Times New Roman" w:hAnsi="Times New Roman" w:eastAsia="Times New Roman" w:cs="Times New Roman"/>
          <w:color w:val="auto"/>
          <w:sz w:val="24"/>
          <w:szCs w:val="24"/>
          <w:highlight w:val="none"/>
        </w:rPr>
        <w:t>2</w:t>
      </w:r>
      <w:r>
        <w:rPr>
          <w:color w:val="auto"/>
          <w:sz w:val="24"/>
          <w:szCs w:val="24"/>
          <w:highlight w:val="none"/>
        </w:rPr>
        <w:t>款的约定办理。</w:t>
      </w:r>
    </w:p>
    <w:p>
      <w:pPr>
        <w:pStyle w:val="47"/>
        <w:spacing w:after="28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12.5.2</w:t>
      </w:r>
      <w:r>
        <w:rPr>
          <w:color w:val="auto"/>
          <w:sz w:val="24"/>
          <w:szCs w:val="24"/>
          <w:highlight w:val="none"/>
        </w:rPr>
        <w:t>由于承包人责任引起的暂停施工，如承包人在收到监理人暂停施工指示后</w:t>
      </w:r>
      <w:r>
        <w:rPr>
          <w:rFonts w:ascii="Times New Roman" w:hAnsi="Times New Roman" w:eastAsia="Times New Roman" w:cs="Times New Roman"/>
          <w:color w:val="auto"/>
          <w:sz w:val="24"/>
          <w:szCs w:val="24"/>
          <w:highlight w:val="none"/>
        </w:rPr>
        <w:t xml:space="preserve">56 </w:t>
      </w:r>
      <w:r>
        <w:rPr>
          <w:color w:val="auto"/>
          <w:sz w:val="24"/>
          <w:szCs w:val="24"/>
          <w:highlight w:val="none"/>
        </w:rPr>
        <w:t>天内不认真采取有效的复工措施，造成工期延误，可视为承包人违约，应按第</w:t>
      </w:r>
      <w:r>
        <w:rPr>
          <w:rFonts w:ascii="Times New Roman" w:hAnsi="Times New Roman" w:eastAsia="Times New Roman" w:cs="Times New Roman"/>
          <w:color w:val="auto"/>
          <w:sz w:val="24"/>
          <w:szCs w:val="24"/>
          <w:highlight w:val="none"/>
          <w:lang w:val="en-US" w:bidi="en-US"/>
        </w:rPr>
        <w:t>22.1</w:t>
      </w:r>
      <w:r>
        <w:rPr>
          <w:color w:val="auto"/>
          <w:sz w:val="24"/>
          <w:szCs w:val="24"/>
          <w:highlight w:val="none"/>
        </w:rPr>
        <w:t>款的约定办理。</w:t>
      </w:r>
    </w:p>
    <w:p>
      <w:pPr>
        <w:pStyle w:val="4"/>
        <w:spacing w:line="360" w:lineRule="exact"/>
        <w:rPr>
          <w:rFonts w:hint="eastAsia"/>
          <w:color w:val="auto"/>
          <w:sz w:val="24"/>
          <w:szCs w:val="24"/>
          <w:highlight w:val="none"/>
          <w:lang w:eastAsia="zh-CN"/>
        </w:rPr>
      </w:pPr>
      <w:bookmarkStart w:id="590" w:name="_Toc23975"/>
      <w:bookmarkStart w:id="591" w:name="_Toc1332438160"/>
      <w:bookmarkStart w:id="592" w:name="bookmark1227"/>
      <w:bookmarkStart w:id="593" w:name="bookmark1226"/>
      <w:bookmarkStart w:id="594" w:name="bookmark1225"/>
      <w:bookmarkStart w:id="595" w:name="_Toc10322"/>
      <w:r>
        <w:rPr>
          <w:rFonts w:hint="eastAsia"/>
          <w:color w:val="auto"/>
          <w:sz w:val="24"/>
          <w:szCs w:val="24"/>
          <w:highlight w:val="none"/>
          <w:lang w:eastAsia="zh-CN"/>
        </w:rPr>
        <w:t>13.工程质量</w:t>
      </w:r>
      <w:bookmarkEnd w:id="590"/>
      <w:bookmarkEnd w:id="591"/>
      <w:bookmarkEnd w:id="592"/>
      <w:bookmarkEnd w:id="593"/>
      <w:bookmarkEnd w:id="594"/>
      <w:bookmarkEnd w:id="595"/>
    </w:p>
    <w:p>
      <w:pPr>
        <w:pStyle w:val="5"/>
        <w:ind w:left="0" w:leftChars="0" w:firstLine="0" w:firstLineChars="0"/>
        <w:rPr>
          <w:color w:val="auto"/>
          <w:sz w:val="24"/>
          <w:szCs w:val="24"/>
          <w:highlight w:val="none"/>
          <w:lang w:eastAsia="zh-CN"/>
        </w:rPr>
      </w:pPr>
      <w:bookmarkStart w:id="596" w:name="bookmark1229"/>
      <w:bookmarkStart w:id="597" w:name="_Toc9064"/>
      <w:bookmarkStart w:id="598" w:name="bookmark1228"/>
      <w:bookmarkStart w:id="599" w:name="bookmark1230"/>
      <w:r>
        <w:rPr>
          <w:color w:val="auto"/>
          <w:sz w:val="24"/>
          <w:szCs w:val="24"/>
          <w:highlight w:val="none"/>
          <w:lang w:eastAsia="zh-CN"/>
        </w:rPr>
        <w:t>13.1工程质量要求</w:t>
      </w:r>
      <w:bookmarkEnd w:id="596"/>
      <w:bookmarkEnd w:id="597"/>
      <w:bookmarkEnd w:id="598"/>
      <w:bookmarkEnd w:id="599"/>
    </w:p>
    <w:p>
      <w:pPr>
        <w:pStyle w:val="47"/>
        <w:tabs>
          <w:tab w:val="left" w:pos="820"/>
        </w:tabs>
        <w:spacing w:line="374" w:lineRule="exact"/>
        <w:ind w:left="420" w:firstLine="0"/>
        <w:jc w:val="both"/>
        <w:rPr>
          <w:color w:val="auto"/>
          <w:sz w:val="24"/>
          <w:szCs w:val="24"/>
          <w:highlight w:val="none"/>
        </w:rPr>
      </w:pPr>
      <w:bookmarkStart w:id="600" w:name="bookmark1231"/>
      <w:bookmarkEnd w:id="600"/>
      <w:r>
        <w:rPr>
          <w:rFonts w:ascii="Times New Roman" w:hAnsi="Times New Roman" w:eastAsia="Times New Roman" w:cs="Times New Roman"/>
          <w:color w:val="auto"/>
          <w:sz w:val="24"/>
          <w:szCs w:val="24"/>
          <w:highlight w:val="none"/>
          <w:lang w:val="en-US" w:bidi="en-US"/>
        </w:rPr>
        <w:t xml:space="preserve">13.1. </w:t>
      </w:r>
      <w:r>
        <w:rPr>
          <w:rFonts w:ascii="Times New Roman" w:hAnsi="Times New Roman" w:eastAsia="Times New Roman" w:cs="Times New Roman"/>
          <w:color w:val="auto"/>
          <w:sz w:val="24"/>
          <w:szCs w:val="24"/>
          <w:highlight w:val="none"/>
        </w:rPr>
        <w:t>1</w:t>
      </w:r>
      <w:r>
        <w:rPr>
          <w:color w:val="auto"/>
          <w:sz w:val="24"/>
          <w:szCs w:val="24"/>
          <w:highlight w:val="none"/>
        </w:rPr>
        <w:t>工程质量验收按合同约定验收标准执行。</w:t>
      </w:r>
    </w:p>
    <w:p>
      <w:pPr>
        <w:pStyle w:val="47"/>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13.1.2</w:t>
      </w:r>
      <w:r>
        <w:rPr>
          <w:color w:val="auto"/>
          <w:sz w:val="24"/>
          <w:szCs w:val="24"/>
          <w:highlight w:val="none"/>
        </w:rPr>
        <w:t>因承包人原因造成工程质量达不到合同约定验收标准的，监理人有权要求承包人返工直至符合合同要求为止，由此造成的费用增加和（或）工期延误由承包人承担。</w:t>
      </w:r>
    </w:p>
    <w:p>
      <w:pPr>
        <w:pStyle w:val="47"/>
        <w:spacing w:after="16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13.1.3</w:t>
      </w:r>
      <w:r>
        <w:rPr>
          <w:color w:val="auto"/>
          <w:sz w:val="24"/>
          <w:szCs w:val="24"/>
          <w:highlight w:val="none"/>
        </w:rPr>
        <w:t>因发包人原因造成工程质量达不到合同约定验收标准的，发包人应承担由于承包人返工造成的费用增加和（或）工期延误，并支付承包人合理利润。</w:t>
      </w:r>
    </w:p>
    <w:p>
      <w:pPr>
        <w:pStyle w:val="5"/>
        <w:ind w:left="0" w:leftChars="0" w:firstLine="0" w:firstLineChars="0"/>
        <w:rPr>
          <w:color w:val="auto"/>
          <w:sz w:val="24"/>
          <w:szCs w:val="24"/>
          <w:highlight w:val="none"/>
          <w:lang w:eastAsia="zh-CN"/>
        </w:rPr>
      </w:pPr>
      <w:bookmarkStart w:id="601" w:name="bookmark1233"/>
      <w:bookmarkStart w:id="602" w:name="bookmark1234"/>
      <w:bookmarkStart w:id="603" w:name="_Toc6308"/>
      <w:bookmarkStart w:id="604" w:name="bookmark1232"/>
      <w:r>
        <w:rPr>
          <w:color w:val="auto"/>
          <w:sz w:val="24"/>
          <w:szCs w:val="24"/>
          <w:highlight w:val="none"/>
          <w:lang w:eastAsia="zh-CN"/>
        </w:rPr>
        <w:t>13.2承包人的质量管理</w:t>
      </w:r>
      <w:bookmarkEnd w:id="601"/>
      <w:bookmarkEnd w:id="602"/>
      <w:bookmarkEnd w:id="603"/>
      <w:bookmarkEnd w:id="604"/>
    </w:p>
    <w:p>
      <w:pPr>
        <w:pStyle w:val="47"/>
        <w:spacing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13.2.1</w:t>
      </w:r>
      <w:r>
        <w:rPr>
          <w:color w:val="auto"/>
          <w:sz w:val="24"/>
          <w:szCs w:val="24"/>
          <w:highlight w:val="none"/>
        </w:rPr>
        <w:t>承包人应在施工场地设置专门的质量检查机构，配备专职质量检查人员，建立完善的质量检查制度。承包人应按技术标准和要求（合同技术条款）约定的内容和期限, 编制工程质量保证措施文件，包括质量检查机构的组织和岗位责任、质量检查人员的组成、质量检查程序和实施细则等，提交监理人监批。监理人应在技术标准和要求（合同技术条 款）约定期限内批复承包人。</w:t>
      </w:r>
    </w:p>
    <w:p>
      <w:pPr>
        <w:pStyle w:val="47"/>
        <w:spacing w:after="240" w:line="361" w:lineRule="exact"/>
        <w:ind w:firstLine="440"/>
        <w:jc w:val="both"/>
        <w:rPr>
          <w:color w:val="auto"/>
          <w:sz w:val="24"/>
          <w:szCs w:val="24"/>
          <w:highlight w:val="none"/>
        </w:rPr>
      </w:pPr>
      <w:bookmarkStart w:id="605" w:name="bookmark1235"/>
      <w:bookmarkEnd w:id="605"/>
      <w:r>
        <w:rPr>
          <w:rFonts w:ascii="Times New Roman" w:hAnsi="Times New Roman" w:cs="Times New Roman"/>
          <w:color w:val="auto"/>
          <w:sz w:val="24"/>
          <w:szCs w:val="24"/>
          <w:highlight w:val="none"/>
        </w:rPr>
        <w:t>13.2. 2承包人应加强对施工人员的质量教育和技术培训，定期考核施工人员的劳动 技能，严格执行规范和操作规程</w:t>
      </w:r>
      <w:r>
        <w:rPr>
          <w:color w:val="auto"/>
          <w:sz w:val="24"/>
          <w:szCs w:val="24"/>
          <w:highlight w:val="none"/>
        </w:rPr>
        <w:t>。</w:t>
      </w:r>
    </w:p>
    <w:p>
      <w:pPr>
        <w:pStyle w:val="5"/>
        <w:ind w:left="0" w:leftChars="0" w:firstLine="0" w:firstLineChars="0"/>
        <w:rPr>
          <w:color w:val="auto"/>
          <w:sz w:val="24"/>
          <w:szCs w:val="24"/>
          <w:highlight w:val="none"/>
          <w:lang w:eastAsia="zh-CN"/>
        </w:rPr>
      </w:pPr>
      <w:bookmarkStart w:id="606" w:name="bookmark1236"/>
      <w:bookmarkStart w:id="607" w:name="bookmark1237"/>
      <w:bookmarkStart w:id="608" w:name="bookmark1238"/>
      <w:bookmarkStart w:id="609" w:name="_Toc19429"/>
      <w:r>
        <w:rPr>
          <w:color w:val="auto"/>
          <w:sz w:val="24"/>
          <w:szCs w:val="24"/>
          <w:highlight w:val="none"/>
          <w:lang w:eastAsia="zh-CN"/>
        </w:rPr>
        <w:t>13.3承包人的质量检查</w:t>
      </w:r>
      <w:bookmarkEnd w:id="606"/>
      <w:bookmarkEnd w:id="607"/>
      <w:bookmarkEnd w:id="608"/>
      <w:bookmarkEnd w:id="609"/>
    </w:p>
    <w:p>
      <w:pPr>
        <w:pStyle w:val="47"/>
        <w:spacing w:after="160" w:line="362" w:lineRule="exact"/>
        <w:ind w:firstLine="440"/>
        <w:jc w:val="both"/>
        <w:rPr>
          <w:color w:val="auto"/>
          <w:sz w:val="24"/>
          <w:szCs w:val="24"/>
          <w:highlight w:val="none"/>
        </w:rPr>
      </w:pPr>
      <w:r>
        <w:rPr>
          <w:color w:val="auto"/>
          <w:sz w:val="24"/>
          <w:szCs w:val="24"/>
          <w:highlight w:val="none"/>
        </w:rPr>
        <w:t>承包人应按合同约定对材料、工程设备以及工程的所有部位及其施工工艺进行全过程的质量检查和检验，并作详细记录，编制工程质量报表，报送监理人审查。</w:t>
      </w:r>
    </w:p>
    <w:p>
      <w:pPr>
        <w:pStyle w:val="5"/>
        <w:ind w:left="0" w:leftChars="0" w:firstLine="0" w:firstLineChars="0"/>
        <w:rPr>
          <w:color w:val="auto"/>
          <w:sz w:val="24"/>
          <w:szCs w:val="24"/>
          <w:highlight w:val="none"/>
          <w:lang w:eastAsia="zh-CN"/>
        </w:rPr>
      </w:pPr>
      <w:bookmarkStart w:id="610" w:name="bookmark1241"/>
      <w:bookmarkStart w:id="611" w:name="bookmark1240"/>
      <w:bookmarkStart w:id="612" w:name="_Toc26103"/>
      <w:bookmarkStart w:id="613" w:name="bookmark1239"/>
      <w:r>
        <w:rPr>
          <w:color w:val="auto"/>
          <w:sz w:val="24"/>
          <w:szCs w:val="24"/>
          <w:highlight w:val="none"/>
          <w:lang w:eastAsia="zh-CN"/>
        </w:rPr>
        <w:t>13.4监理人的质量检查</w:t>
      </w:r>
      <w:bookmarkEnd w:id="610"/>
      <w:bookmarkEnd w:id="611"/>
      <w:bookmarkEnd w:id="612"/>
      <w:bookmarkEnd w:id="613"/>
    </w:p>
    <w:p>
      <w:pPr>
        <w:pStyle w:val="47"/>
        <w:spacing w:after="160" w:line="359" w:lineRule="exact"/>
        <w:ind w:firstLine="440"/>
        <w:jc w:val="both"/>
        <w:rPr>
          <w:color w:val="auto"/>
          <w:sz w:val="24"/>
          <w:szCs w:val="24"/>
          <w:highlight w:val="none"/>
        </w:rPr>
      </w:pPr>
      <w:r>
        <w:rPr>
          <w:color w:val="auto"/>
          <w:sz w:val="24"/>
          <w:szCs w:val="24"/>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pPr>
        <w:pStyle w:val="5"/>
        <w:ind w:left="0" w:leftChars="0" w:firstLine="0" w:firstLineChars="0"/>
        <w:rPr>
          <w:color w:val="auto"/>
          <w:sz w:val="24"/>
          <w:szCs w:val="24"/>
          <w:highlight w:val="none"/>
          <w:lang w:eastAsia="zh-CN"/>
        </w:rPr>
      </w:pPr>
      <w:bookmarkStart w:id="614" w:name="bookmark1242"/>
      <w:bookmarkStart w:id="615" w:name="bookmark1243"/>
      <w:bookmarkStart w:id="616" w:name="bookmark1244"/>
      <w:bookmarkStart w:id="617" w:name="_Toc30255"/>
      <w:r>
        <w:rPr>
          <w:color w:val="auto"/>
          <w:sz w:val="24"/>
          <w:szCs w:val="24"/>
          <w:highlight w:val="none"/>
          <w:lang w:eastAsia="zh-CN"/>
        </w:rPr>
        <w:t>13.5工程隐蔽部位覆盖前的检查</w:t>
      </w:r>
      <w:bookmarkEnd w:id="614"/>
      <w:bookmarkEnd w:id="615"/>
      <w:bookmarkEnd w:id="616"/>
      <w:bookmarkEnd w:id="617"/>
    </w:p>
    <w:p>
      <w:pPr>
        <w:pStyle w:val="47"/>
        <w:tabs>
          <w:tab w:val="left" w:pos="840"/>
        </w:tabs>
        <w:spacing w:line="360" w:lineRule="exact"/>
        <w:ind w:firstLine="480" w:firstLineChars="200"/>
        <w:jc w:val="both"/>
        <w:rPr>
          <w:color w:val="auto"/>
          <w:sz w:val="24"/>
          <w:szCs w:val="24"/>
          <w:highlight w:val="none"/>
        </w:rPr>
      </w:pPr>
      <w:bookmarkStart w:id="618" w:name="bookmark1245"/>
      <w:bookmarkEnd w:id="618"/>
      <w:r>
        <w:rPr>
          <w:rFonts w:hint="eastAsia" w:ascii="Times New Roman" w:hAnsi="Times New Roman" w:cs="Times New Roman"/>
          <w:color w:val="auto"/>
          <w:sz w:val="24"/>
          <w:szCs w:val="24"/>
          <w:highlight w:val="none"/>
          <w:lang w:val="en-US" w:bidi="en-US"/>
        </w:rPr>
        <w:t>13.</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1</w:t>
      </w:r>
      <w:r>
        <w:rPr>
          <w:color w:val="auto"/>
          <w:sz w:val="24"/>
          <w:szCs w:val="24"/>
          <w:highlight w:val="none"/>
        </w:rPr>
        <w:t>通知监理人检查</w:t>
      </w:r>
    </w:p>
    <w:p>
      <w:pPr>
        <w:pStyle w:val="47"/>
        <w:spacing w:after="160" w:line="360" w:lineRule="exact"/>
        <w:ind w:firstLine="440"/>
        <w:jc w:val="both"/>
        <w:rPr>
          <w:color w:val="auto"/>
          <w:sz w:val="24"/>
          <w:szCs w:val="24"/>
          <w:highlight w:val="none"/>
        </w:rPr>
      </w:pPr>
      <w:r>
        <w:rPr>
          <w:color w:val="auto"/>
          <w:sz w:val="24"/>
          <w:szCs w:val="24"/>
          <w:highlight w:val="none"/>
        </w:rPr>
        <w:t>经承包人自检确认的工程隐蔽部位具备覆盖条件后，承包人应通知监理人在约定的期 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pPr>
        <w:pStyle w:val="47"/>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13.5.2</w:t>
      </w:r>
      <w:r>
        <w:rPr>
          <w:color w:val="auto"/>
          <w:sz w:val="24"/>
          <w:szCs w:val="24"/>
          <w:highlight w:val="none"/>
        </w:rPr>
        <w:t>监理人未到场检查</w:t>
      </w:r>
    </w:p>
    <w:p>
      <w:pPr>
        <w:pStyle w:val="47"/>
        <w:spacing w:line="360" w:lineRule="exact"/>
        <w:ind w:firstLine="440"/>
        <w:jc w:val="both"/>
        <w:rPr>
          <w:color w:val="auto"/>
          <w:sz w:val="24"/>
          <w:szCs w:val="24"/>
          <w:highlight w:val="none"/>
        </w:rPr>
      </w:pPr>
      <w:r>
        <w:rPr>
          <w:color w:val="auto"/>
          <w:sz w:val="24"/>
          <w:szCs w:val="24"/>
          <w:highlight w:val="none"/>
        </w:rPr>
        <w:t>监理人未按第</w:t>
      </w:r>
      <w:r>
        <w:rPr>
          <w:rFonts w:ascii="Times New Roman" w:hAnsi="Times New Roman" w:eastAsia="Times New Roman" w:cs="Times New Roman"/>
          <w:color w:val="auto"/>
          <w:sz w:val="24"/>
          <w:szCs w:val="24"/>
          <w:highlight w:val="none"/>
          <w:lang w:val="en-US" w:bidi="en-US"/>
        </w:rPr>
        <w:t>13.5.1</w:t>
      </w:r>
      <w:r>
        <w:rPr>
          <w:color w:val="auto"/>
          <w:sz w:val="24"/>
          <w:szCs w:val="24"/>
          <w:highlight w:val="none"/>
        </w:rPr>
        <w:t>项约定的时间进行检查的，除监理人另有指示外，承包人可自行完成覆盖工作，并作相应记录报送监理人，监理人应签字确认。监理人事后对检查记录有疑问的，可按第</w:t>
      </w:r>
      <w:r>
        <w:rPr>
          <w:rFonts w:ascii="Times New Roman" w:hAnsi="Times New Roman" w:eastAsia="Times New Roman" w:cs="Times New Roman"/>
          <w:color w:val="auto"/>
          <w:sz w:val="24"/>
          <w:szCs w:val="24"/>
          <w:highlight w:val="none"/>
          <w:lang w:val="en-US" w:bidi="en-US"/>
        </w:rPr>
        <w:t>13.5.3</w:t>
      </w:r>
      <w:r>
        <w:rPr>
          <w:color w:val="auto"/>
          <w:sz w:val="24"/>
          <w:szCs w:val="24"/>
          <w:highlight w:val="none"/>
        </w:rPr>
        <w:t>项的约定重新检查。</w:t>
      </w:r>
    </w:p>
    <w:p>
      <w:pPr>
        <w:pStyle w:val="47"/>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13.5.3</w:t>
      </w:r>
      <w:r>
        <w:rPr>
          <w:color w:val="auto"/>
          <w:sz w:val="24"/>
          <w:szCs w:val="24"/>
          <w:highlight w:val="none"/>
        </w:rPr>
        <w:t>监理人重新检查</w:t>
      </w:r>
    </w:p>
    <w:p>
      <w:pPr>
        <w:pStyle w:val="47"/>
        <w:spacing w:line="360" w:lineRule="exact"/>
        <w:ind w:firstLine="440"/>
        <w:jc w:val="both"/>
        <w:rPr>
          <w:color w:val="auto"/>
          <w:sz w:val="24"/>
          <w:szCs w:val="24"/>
          <w:highlight w:val="none"/>
        </w:rPr>
      </w:pPr>
      <w:r>
        <w:rPr>
          <w:color w:val="auto"/>
          <w:sz w:val="24"/>
          <w:szCs w:val="24"/>
          <w:highlight w:val="none"/>
        </w:rPr>
        <w:t>承包人按第</w:t>
      </w:r>
      <w:r>
        <w:rPr>
          <w:rFonts w:ascii="Times New Roman" w:hAnsi="Times New Roman" w:eastAsia="Times New Roman" w:cs="Times New Roman"/>
          <w:color w:val="auto"/>
          <w:sz w:val="24"/>
          <w:szCs w:val="24"/>
          <w:highlight w:val="none"/>
          <w:lang w:val="en-US" w:bidi="en-US"/>
        </w:rPr>
        <w:t xml:space="preserve">13. 5. </w:t>
      </w:r>
      <w:r>
        <w:rPr>
          <w:rFonts w:ascii="Times New Roman" w:hAnsi="Times New Roman" w:eastAsia="Times New Roman" w:cs="Times New Roman"/>
          <w:color w:val="auto"/>
          <w:sz w:val="24"/>
          <w:szCs w:val="24"/>
          <w:highlight w:val="none"/>
        </w:rPr>
        <w:t>1</w:t>
      </w:r>
      <w:r>
        <w:rPr>
          <w:color w:val="auto"/>
          <w:sz w:val="24"/>
          <w:szCs w:val="24"/>
          <w:highlight w:val="none"/>
        </w:rPr>
        <w:t>项或第</w:t>
      </w:r>
      <w:r>
        <w:rPr>
          <w:rFonts w:ascii="Times New Roman" w:hAnsi="Times New Roman" w:eastAsia="Times New Roman" w:cs="Times New Roman"/>
          <w:color w:val="auto"/>
          <w:sz w:val="24"/>
          <w:szCs w:val="24"/>
          <w:highlight w:val="none"/>
          <w:lang w:val="en-US" w:bidi="en-US"/>
        </w:rPr>
        <w:t xml:space="preserve">13. 5. </w:t>
      </w:r>
      <w:r>
        <w:rPr>
          <w:rFonts w:ascii="Times New Roman" w:hAnsi="Times New Roman" w:eastAsia="Times New Roman" w:cs="Times New Roman"/>
          <w:color w:val="auto"/>
          <w:sz w:val="24"/>
          <w:szCs w:val="24"/>
          <w:highlight w:val="none"/>
        </w:rPr>
        <w:t>2</w:t>
      </w:r>
      <w:r>
        <w:rPr>
          <w:color w:val="auto"/>
          <w:sz w:val="24"/>
          <w:szCs w:val="24"/>
          <w:highlight w:val="none"/>
        </w:rPr>
        <w:t>项覆盖工程隐蔽部位后，监理人对质量有疑问的，可要求承包人对已覆盖的部位进行钻孔探测或揭开重新检验，承包人应遵照执行，并在检 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pStyle w:val="47"/>
        <w:spacing w:line="35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13.5.4</w:t>
      </w:r>
      <w:r>
        <w:rPr>
          <w:color w:val="auto"/>
          <w:sz w:val="24"/>
          <w:szCs w:val="24"/>
          <w:highlight w:val="none"/>
        </w:rPr>
        <w:t>承包人私自覆盖</w:t>
      </w:r>
    </w:p>
    <w:p>
      <w:pPr>
        <w:pStyle w:val="47"/>
        <w:spacing w:after="120" w:line="355" w:lineRule="exact"/>
        <w:ind w:firstLine="440"/>
        <w:jc w:val="both"/>
        <w:rPr>
          <w:color w:val="auto"/>
          <w:sz w:val="24"/>
          <w:szCs w:val="24"/>
          <w:highlight w:val="none"/>
        </w:rPr>
      </w:pPr>
      <w:r>
        <w:rPr>
          <w:color w:val="auto"/>
          <w:sz w:val="24"/>
          <w:szCs w:val="24"/>
          <w:highlight w:val="none"/>
        </w:rPr>
        <w:t>承包人未通知监理人到场检查，私自将工程隐蔽部位覆盖的，监理人有权指示承包人钻孔探测或揭开检查，由此增加的费用和（或）工期延误由承包人承担。</w:t>
      </w:r>
    </w:p>
    <w:p>
      <w:pPr>
        <w:pStyle w:val="5"/>
        <w:ind w:left="0" w:leftChars="0" w:firstLine="0" w:firstLineChars="0"/>
        <w:rPr>
          <w:color w:val="auto"/>
          <w:sz w:val="24"/>
          <w:szCs w:val="24"/>
          <w:highlight w:val="none"/>
          <w:lang w:eastAsia="zh-CN"/>
        </w:rPr>
      </w:pPr>
      <w:bookmarkStart w:id="619" w:name="bookmark1246"/>
      <w:bookmarkStart w:id="620" w:name="bookmark1247"/>
      <w:bookmarkStart w:id="621" w:name="_Toc31851"/>
      <w:bookmarkStart w:id="622" w:name="bookmark1248"/>
      <w:r>
        <w:rPr>
          <w:color w:val="auto"/>
          <w:sz w:val="24"/>
          <w:szCs w:val="24"/>
          <w:highlight w:val="none"/>
          <w:lang w:eastAsia="zh-CN"/>
        </w:rPr>
        <w:t>13.6清除不合格工程</w:t>
      </w:r>
      <w:bookmarkEnd w:id="619"/>
      <w:bookmarkEnd w:id="620"/>
      <w:bookmarkEnd w:id="621"/>
      <w:bookmarkEnd w:id="622"/>
    </w:p>
    <w:p>
      <w:pPr>
        <w:pStyle w:val="47"/>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13.6.1</w:t>
      </w:r>
      <w:r>
        <w:rPr>
          <w:color w:val="auto"/>
          <w:sz w:val="24"/>
          <w:szCs w:val="24"/>
          <w:highlight w:val="none"/>
        </w:rPr>
        <w:t>承包人使用不合格材料、工程设备，或采用不适当的施工工艺，或施工不当， 造成工程不合格的，监理人可以随时发出指示，要求承包人立即采取措施进行补救，直至达到合同要求的质量标准，由此增加的费用和（或）工期延误由承包人承担。</w:t>
      </w:r>
    </w:p>
    <w:p>
      <w:pPr>
        <w:pStyle w:val="47"/>
        <w:spacing w:line="38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13.6.2</w:t>
      </w:r>
      <w:r>
        <w:rPr>
          <w:color w:val="auto"/>
          <w:sz w:val="24"/>
          <w:szCs w:val="24"/>
          <w:highlight w:val="none"/>
        </w:rPr>
        <w:t>由于发包人提供的材料或工程设备不合格造成的工程不合格，需要承包人采取措施补救的，发包人应承担由此增加的费用和（或）工期延误，并支付承包人合理利润。</w:t>
      </w:r>
    </w:p>
    <w:p>
      <w:pPr>
        <w:pStyle w:val="5"/>
        <w:ind w:left="0" w:leftChars="0" w:firstLine="0" w:firstLineChars="0"/>
        <w:rPr>
          <w:color w:val="auto"/>
          <w:sz w:val="24"/>
          <w:szCs w:val="24"/>
          <w:highlight w:val="none"/>
          <w:lang w:eastAsia="zh-CN"/>
        </w:rPr>
      </w:pPr>
      <w:bookmarkStart w:id="623" w:name="_Toc3708"/>
      <w:r>
        <w:rPr>
          <w:color w:val="auto"/>
          <w:sz w:val="24"/>
          <w:szCs w:val="24"/>
          <w:highlight w:val="none"/>
          <w:lang w:eastAsia="zh-CN"/>
        </w:rPr>
        <w:t>13.7质量评定</w:t>
      </w:r>
      <w:bookmarkEnd w:id="623"/>
    </w:p>
    <w:p>
      <w:pPr>
        <w:pStyle w:val="47"/>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13.7.1</w:t>
      </w:r>
      <w:r>
        <w:rPr>
          <w:color w:val="auto"/>
          <w:sz w:val="24"/>
          <w:szCs w:val="24"/>
          <w:highlight w:val="none"/>
        </w:rPr>
        <w:t>发包人应组织承包人进行工程项目划分，并确定单位工程、主要分部工程、重要隐蔽单元工程和关键部位单元工程。</w:t>
      </w:r>
    </w:p>
    <w:p>
      <w:pPr>
        <w:pStyle w:val="47"/>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13.7.2</w:t>
      </w:r>
      <w:r>
        <w:rPr>
          <w:color w:val="auto"/>
          <w:sz w:val="24"/>
          <w:szCs w:val="24"/>
          <w:highlight w:val="none"/>
        </w:rPr>
        <w:t>工程实施过程中，单位工程、主要分部工程、重要隐蔽单元工程和关键部位单元工程的项目划分需要调整时，承包人应报发包人确认。</w:t>
      </w:r>
    </w:p>
    <w:p>
      <w:pPr>
        <w:pStyle w:val="47"/>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13.7.3</w:t>
      </w:r>
      <w:r>
        <w:rPr>
          <w:color w:val="auto"/>
          <w:sz w:val="24"/>
          <w:szCs w:val="24"/>
          <w:highlight w:val="none"/>
        </w:rPr>
        <w:t>承包人应在单元（工序）工程质量自评合格后，报监理人核定质量等级并签证认可。</w:t>
      </w:r>
    </w:p>
    <w:p>
      <w:pPr>
        <w:pStyle w:val="47"/>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13.7.4</w:t>
      </w:r>
      <w:r>
        <w:rPr>
          <w:color w:val="auto"/>
          <w:sz w:val="24"/>
          <w:szCs w:val="24"/>
          <w:highlight w:val="none"/>
        </w:rPr>
        <w:t>除专用合同条款另有约定外，承包人应在重要隐蔽单元工程和关键部位单元工程质量自评合格后以及监理人抽检后，由监理人组织承包人等单位组成的联合小组，共同检查核定其质量等级并填写签证表。发包人按有关规定完成质量结论报工程质量监督机构核备手续。</w:t>
      </w:r>
    </w:p>
    <w:p>
      <w:pPr>
        <w:pStyle w:val="47"/>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13.7.5</w:t>
      </w:r>
      <w:r>
        <w:rPr>
          <w:color w:val="auto"/>
          <w:sz w:val="24"/>
          <w:szCs w:val="24"/>
          <w:highlight w:val="none"/>
        </w:rPr>
        <w:t>承包人应在分部工程质量自评合格后，报监理人复核和发包人认定。发包人负责按有关规定完成分部工程质量结论报工程质量监督机构核备（核定）手续。</w:t>
      </w:r>
    </w:p>
    <w:p>
      <w:pPr>
        <w:pStyle w:val="47"/>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13.7.6</w:t>
      </w:r>
      <w:r>
        <w:rPr>
          <w:color w:val="auto"/>
          <w:sz w:val="24"/>
          <w:szCs w:val="24"/>
          <w:highlight w:val="none"/>
        </w:rPr>
        <w:t>承包人应在单位工程质量自评合格后，报监理人复核和发包人认定。发包人负责按有关规定完成单位工程质量结论报工程质量监督机构核定手续。</w:t>
      </w:r>
    </w:p>
    <w:p>
      <w:pPr>
        <w:pStyle w:val="47"/>
        <w:spacing w:after="12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13.7.7</w:t>
      </w:r>
      <w:r>
        <w:rPr>
          <w:color w:val="auto"/>
          <w:sz w:val="24"/>
          <w:szCs w:val="24"/>
          <w:highlight w:val="none"/>
        </w:rPr>
        <w:t>除专用合同条款另有约定外，工程质量等级分为合格和优良，应分别达到约定的标准。</w:t>
      </w:r>
    </w:p>
    <w:p>
      <w:pPr>
        <w:pStyle w:val="5"/>
        <w:ind w:left="0" w:leftChars="0" w:firstLine="0" w:firstLineChars="0"/>
        <w:rPr>
          <w:color w:val="auto"/>
          <w:sz w:val="24"/>
          <w:szCs w:val="24"/>
          <w:highlight w:val="none"/>
          <w:lang w:eastAsia="zh-CN"/>
        </w:rPr>
      </w:pPr>
      <w:bookmarkStart w:id="624" w:name="bookmark1249"/>
      <w:bookmarkStart w:id="625" w:name="bookmark1251"/>
      <w:bookmarkStart w:id="626" w:name="bookmark1250"/>
      <w:bookmarkStart w:id="627" w:name="_Toc19883"/>
      <w:r>
        <w:rPr>
          <w:color w:val="auto"/>
          <w:sz w:val="24"/>
          <w:szCs w:val="24"/>
          <w:highlight w:val="none"/>
          <w:lang w:eastAsia="zh-CN"/>
        </w:rPr>
        <w:t>13.8质量事故处理</w:t>
      </w:r>
      <w:bookmarkEnd w:id="624"/>
      <w:bookmarkEnd w:id="625"/>
      <w:bookmarkEnd w:id="626"/>
      <w:bookmarkEnd w:id="627"/>
    </w:p>
    <w:p>
      <w:pPr>
        <w:pStyle w:val="47"/>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13.8.1</w:t>
      </w:r>
      <w:r>
        <w:rPr>
          <w:color w:val="auto"/>
          <w:sz w:val="24"/>
          <w:szCs w:val="24"/>
          <w:highlight w:val="none"/>
        </w:rPr>
        <w:t>发生质量事故时，承包人应及时向发包人和监理人报告。</w:t>
      </w:r>
    </w:p>
    <w:p>
      <w:pPr>
        <w:pStyle w:val="47"/>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13.8.2</w:t>
      </w:r>
      <w:r>
        <w:rPr>
          <w:color w:val="auto"/>
          <w:sz w:val="24"/>
          <w:szCs w:val="24"/>
          <w:highlight w:val="none"/>
        </w:rPr>
        <w:t>质量事故调查处理由发包人按相关规定履行手续，承包人应配合。</w:t>
      </w:r>
    </w:p>
    <w:p>
      <w:pPr>
        <w:pStyle w:val="47"/>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13.8.3</w:t>
      </w:r>
      <w:r>
        <w:rPr>
          <w:color w:val="auto"/>
          <w:sz w:val="24"/>
          <w:szCs w:val="24"/>
          <w:highlight w:val="none"/>
        </w:rPr>
        <w:t>承包人应对质量缺陷进行备案。发包人委托监理人对质量缺陷备案情况进行监督检查并履行相关手续。</w:t>
      </w:r>
    </w:p>
    <w:p>
      <w:pPr>
        <w:pStyle w:val="47"/>
        <w:spacing w:after="240"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13.8.4</w:t>
      </w:r>
      <w:r>
        <w:rPr>
          <w:color w:val="auto"/>
          <w:sz w:val="24"/>
          <w:szCs w:val="24"/>
          <w:highlight w:val="none"/>
        </w:rPr>
        <w:t>除专用合同条款另有约定外，工程竣工验收时，发包人负责向竣工验收委员会汇报并提交历次质量缺陷处理的备案资料。</w:t>
      </w:r>
    </w:p>
    <w:p>
      <w:pPr>
        <w:pStyle w:val="4"/>
        <w:spacing w:line="360" w:lineRule="exact"/>
        <w:rPr>
          <w:rFonts w:hint="eastAsia"/>
          <w:color w:val="auto"/>
          <w:sz w:val="24"/>
          <w:szCs w:val="24"/>
          <w:highlight w:val="none"/>
          <w:lang w:eastAsia="zh-CN"/>
        </w:rPr>
      </w:pPr>
      <w:bookmarkStart w:id="628" w:name="bookmark1252"/>
      <w:bookmarkStart w:id="629" w:name="_Toc203672915"/>
      <w:bookmarkStart w:id="630" w:name="bookmark1254"/>
      <w:bookmarkStart w:id="631" w:name="_Toc17645"/>
      <w:bookmarkStart w:id="632" w:name="bookmark1253"/>
      <w:bookmarkStart w:id="633" w:name="_Toc5913"/>
      <w:r>
        <w:rPr>
          <w:rFonts w:hint="eastAsia"/>
          <w:color w:val="auto"/>
          <w:sz w:val="24"/>
          <w:szCs w:val="24"/>
          <w:highlight w:val="none"/>
          <w:lang w:eastAsia="zh-CN"/>
        </w:rPr>
        <w:t>14 .试验和检验</w:t>
      </w:r>
      <w:bookmarkEnd w:id="628"/>
      <w:bookmarkEnd w:id="629"/>
      <w:bookmarkEnd w:id="630"/>
      <w:bookmarkEnd w:id="631"/>
      <w:bookmarkEnd w:id="632"/>
      <w:bookmarkEnd w:id="633"/>
    </w:p>
    <w:p>
      <w:pPr>
        <w:pStyle w:val="5"/>
        <w:ind w:left="0" w:leftChars="0" w:firstLine="0" w:firstLineChars="0"/>
        <w:rPr>
          <w:color w:val="auto"/>
          <w:sz w:val="24"/>
          <w:szCs w:val="24"/>
          <w:highlight w:val="none"/>
          <w:lang w:eastAsia="zh-CN"/>
        </w:rPr>
      </w:pPr>
      <w:bookmarkStart w:id="634" w:name="bookmark1255"/>
      <w:bookmarkStart w:id="635" w:name="_Toc16875"/>
      <w:bookmarkStart w:id="636" w:name="bookmark1257"/>
      <w:bookmarkStart w:id="637" w:name="bookmark1256"/>
      <w:r>
        <w:rPr>
          <w:color w:val="auto"/>
          <w:sz w:val="24"/>
          <w:szCs w:val="24"/>
          <w:highlight w:val="none"/>
          <w:lang w:eastAsia="zh-CN"/>
        </w:rPr>
        <w:t>14.1材料、工程设备和工程的试验和检验</w:t>
      </w:r>
      <w:bookmarkEnd w:id="634"/>
      <w:bookmarkEnd w:id="635"/>
      <w:bookmarkEnd w:id="636"/>
      <w:bookmarkEnd w:id="637"/>
    </w:p>
    <w:p>
      <w:pPr>
        <w:pStyle w:val="47"/>
        <w:spacing w:line="356" w:lineRule="exact"/>
        <w:ind w:firstLine="440"/>
        <w:jc w:val="both"/>
        <w:rPr>
          <w:rFonts w:ascii="Times New Roman" w:hAnsi="Times New Roman" w:cs="Times New Roman"/>
          <w:color w:val="auto"/>
          <w:sz w:val="24"/>
          <w:szCs w:val="24"/>
          <w:highlight w:val="none"/>
        </w:rPr>
      </w:pPr>
      <w:bookmarkStart w:id="638" w:name="bookmark1258"/>
      <w:bookmarkEnd w:id="638"/>
      <w:r>
        <w:rPr>
          <w:rFonts w:ascii="Times New Roman" w:hAnsi="Times New Roman" w:cs="Times New Roman"/>
          <w:color w:val="auto"/>
          <w:sz w:val="24"/>
          <w:szCs w:val="24"/>
          <w:highlight w:val="none"/>
        </w:rPr>
        <w:t>14.1.1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pStyle w:val="47"/>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14.1.2</w:t>
      </w:r>
      <w:r>
        <w:rPr>
          <w:rFonts w:ascii="Times New Roman" w:hAnsi="Times New Roman" w:cs="Times New Roman"/>
          <w:color w:val="auto"/>
          <w:sz w:val="24"/>
          <w:szCs w:val="24"/>
          <w:highlight w:val="none"/>
        </w:rPr>
        <w:t>监</w:t>
      </w:r>
      <w:r>
        <w:rPr>
          <w:color w:val="auto"/>
          <w:sz w:val="24"/>
          <w:szCs w:val="24"/>
          <w:highlight w:val="none"/>
        </w:rPr>
        <w:t>理人未按合同约定派员参加试验和检验的，除监理人另有指示外，承包人可自行试验和检验，并应立即将试验和检验结果报送监理人，监理人应签字确认。</w:t>
      </w:r>
    </w:p>
    <w:p>
      <w:pPr>
        <w:pStyle w:val="47"/>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14.1.3</w:t>
      </w:r>
      <w:r>
        <w:rPr>
          <w:color w:val="auto"/>
          <w:sz w:val="24"/>
          <w:szCs w:val="24"/>
          <w:highlight w:val="none"/>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pPr>
        <w:pStyle w:val="47"/>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14.1.4</w:t>
      </w:r>
      <w:r>
        <w:rPr>
          <w:color w:val="auto"/>
          <w:sz w:val="24"/>
          <w:szCs w:val="24"/>
          <w:highlight w:val="none"/>
        </w:rPr>
        <w:t>承包人应按相关规定和标准对水泥、钢材等原材料与中间产品质量进行检验, 并报监理人复核。</w:t>
      </w:r>
    </w:p>
    <w:p>
      <w:pPr>
        <w:pStyle w:val="47"/>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14.1.5</w:t>
      </w:r>
      <w:r>
        <w:rPr>
          <w:color w:val="auto"/>
          <w:sz w:val="24"/>
          <w:szCs w:val="24"/>
          <w:highlight w:val="none"/>
        </w:rPr>
        <w:t>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pPr>
        <w:pStyle w:val="47"/>
        <w:spacing w:after="120"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14.1.6</w:t>
      </w:r>
      <w:r>
        <w:rPr>
          <w:color w:val="auto"/>
          <w:sz w:val="24"/>
          <w:szCs w:val="24"/>
          <w:highlight w:val="none"/>
        </w:rPr>
        <w:t>对专用合同条款约定的试块、试件及有关材料，监理人实行见证取样。见证取样资料由承包人制备，记录应真实齐全，监理人、承包人等参与见证取样人员均应在相关文件上签字。</w:t>
      </w:r>
    </w:p>
    <w:p>
      <w:pPr>
        <w:pStyle w:val="5"/>
        <w:ind w:left="0" w:leftChars="0" w:firstLine="0" w:firstLineChars="0"/>
        <w:rPr>
          <w:color w:val="auto"/>
          <w:sz w:val="24"/>
          <w:szCs w:val="24"/>
          <w:highlight w:val="none"/>
          <w:lang w:eastAsia="zh-CN"/>
        </w:rPr>
      </w:pPr>
      <w:bookmarkStart w:id="639" w:name="bookmark1261"/>
      <w:bookmarkStart w:id="640" w:name="bookmark1259"/>
      <w:bookmarkStart w:id="641" w:name="bookmark1260"/>
      <w:bookmarkStart w:id="642" w:name="_Toc24338"/>
      <w:r>
        <w:rPr>
          <w:color w:val="auto"/>
          <w:sz w:val="24"/>
          <w:szCs w:val="24"/>
          <w:highlight w:val="none"/>
          <w:lang w:eastAsia="zh-CN"/>
        </w:rPr>
        <w:t>14.2现场材料试验</w:t>
      </w:r>
      <w:bookmarkEnd w:id="639"/>
      <w:bookmarkEnd w:id="640"/>
      <w:bookmarkEnd w:id="641"/>
      <w:bookmarkEnd w:id="642"/>
    </w:p>
    <w:p>
      <w:pPr>
        <w:pStyle w:val="47"/>
        <w:spacing w:line="356" w:lineRule="exact"/>
        <w:ind w:firstLine="440"/>
        <w:jc w:val="both"/>
        <w:rPr>
          <w:rFonts w:ascii="Times New Roman" w:hAnsi="Times New Roman" w:cs="Times New Roman"/>
          <w:color w:val="auto"/>
          <w:sz w:val="24"/>
          <w:szCs w:val="24"/>
          <w:highlight w:val="none"/>
        </w:rPr>
      </w:pPr>
      <w:bookmarkStart w:id="643" w:name="bookmark1262"/>
      <w:bookmarkEnd w:id="643"/>
      <w:r>
        <w:rPr>
          <w:rFonts w:ascii="Times New Roman" w:hAnsi="Times New Roman" w:cs="Times New Roman"/>
          <w:color w:val="auto"/>
          <w:sz w:val="24"/>
          <w:szCs w:val="24"/>
          <w:highlight w:val="none"/>
          <w:lang w:val="en-US" w:bidi="en-US"/>
        </w:rPr>
        <w:t>14.2.</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承包人根据合同约定或监理人指示进行的现场材料试验，应由承包人提供试 验场所、试验人员、试验设备器材以及其他必要的试验条件。</w:t>
      </w:r>
    </w:p>
    <w:p>
      <w:pPr>
        <w:pStyle w:val="47"/>
        <w:spacing w:line="356" w:lineRule="exact"/>
        <w:ind w:firstLine="440"/>
        <w:jc w:val="both"/>
        <w:rPr>
          <w:rFonts w:ascii="Times New Roman" w:hAnsi="Times New Roman" w:cs="Times New Roman"/>
          <w:color w:val="auto"/>
          <w:sz w:val="24"/>
          <w:szCs w:val="24"/>
          <w:highlight w:val="none"/>
        </w:rPr>
      </w:pPr>
      <w:bookmarkStart w:id="644" w:name="bookmark1263"/>
      <w:bookmarkEnd w:id="644"/>
      <w:r>
        <w:rPr>
          <w:rFonts w:ascii="Times New Roman" w:hAnsi="Times New Roman" w:cs="Times New Roman"/>
          <w:color w:val="auto"/>
          <w:sz w:val="24"/>
          <w:szCs w:val="24"/>
          <w:highlight w:val="none"/>
          <w:lang w:val="en-US" w:bidi="en-US"/>
        </w:rPr>
        <w:t>14.2.</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监理人在必要时可以使用承包人的试验场所、试验设备器材以及其他试验条件，进行以工程质量检查为目的的复核性材料试验，承包人应予以协助。</w:t>
      </w:r>
    </w:p>
    <w:p>
      <w:pPr>
        <w:pStyle w:val="5"/>
        <w:ind w:left="0" w:leftChars="0" w:firstLine="0" w:firstLineChars="0"/>
        <w:rPr>
          <w:color w:val="auto"/>
          <w:sz w:val="24"/>
          <w:szCs w:val="24"/>
          <w:highlight w:val="none"/>
          <w:lang w:eastAsia="zh-CN"/>
        </w:rPr>
      </w:pPr>
      <w:bookmarkStart w:id="645" w:name="bookmark1264"/>
      <w:bookmarkStart w:id="646" w:name="bookmark1265"/>
      <w:bookmarkStart w:id="647" w:name="_Toc21991"/>
      <w:bookmarkStart w:id="648" w:name="bookmark1266"/>
      <w:r>
        <w:rPr>
          <w:color w:val="auto"/>
          <w:sz w:val="24"/>
          <w:szCs w:val="24"/>
          <w:highlight w:val="none"/>
          <w:lang w:eastAsia="zh-CN"/>
        </w:rPr>
        <w:t>14.3现场工艺试验</w:t>
      </w:r>
      <w:bookmarkEnd w:id="645"/>
      <w:bookmarkEnd w:id="646"/>
      <w:bookmarkEnd w:id="647"/>
      <w:bookmarkEnd w:id="648"/>
    </w:p>
    <w:p>
      <w:pPr>
        <w:pStyle w:val="47"/>
        <w:spacing w:after="120" w:line="360" w:lineRule="exact"/>
        <w:ind w:firstLine="440"/>
        <w:jc w:val="both"/>
        <w:rPr>
          <w:color w:val="auto"/>
          <w:sz w:val="24"/>
          <w:szCs w:val="24"/>
          <w:highlight w:val="none"/>
        </w:rPr>
      </w:pPr>
      <w:r>
        <w:rPr>
          <w:color w:val="auto"/>
          <w:sz w:val="24"/>
          <w:szCs w:val="24"/>
          <w:highlight w:val="none"/>
        </w:rPr>
        <w:t>承包人应按合同约定或监理人指示进行现场工艺试验。对大型的现场工艺试验，监理人认为必要时，应由承包人根据监理人提出的工艺试验要求，编制工艺试验措施计划，报送监理人审批。</w:t>
      </w:r>
    </w:p>
    <w:p>
      <w:pPr>
        <w:pStyle w:val="4"/>
        <w:spacing w:line="360" w:lineRule="exact"/>
        <w:rPr>
          <w:rFonts w:hint="eastAsia"/>
          <w:color w:val="auto"/>
          <w:sz w:val="24"/>
          <w:szCs w:val="24"/>
          <w:highlight w:val="none"/>
          <w:lang w:eastAsia="zh-CN"/>
        </w:rPr>
      </w:pPr>
      <w:bookmarkStart w:id="649" w:name="_Toc255930512"/>
      <w:bookmarkStart w:id="650" w:name="_Toc24386"/>
      <w:bookmarkStart w:id="651" w:name="bookmark1269"/>
      <w:bookmarkStart w:id="652" w:name="_Toc9858"/>
      <w:bookmarkStart w:id="653" w:name="bookmark1267"/>
      <w:bookmarkStart w:id="654" w:name="bookmark1268"/>
      <w:r>
        <w:rPr>
          <w:rFonts w:hint="eastAsia"/>
          <w:color w:val="auto"/>
          <w:sz w:val="24"/>
          <w:szCs w:val="24"/>
          <w:highlight w:val="none"/>
          <w:lang w:eastAsia="zh-CN"/>
        </w:rPr>
        <w:t>15.变更</w:t>
      </w:r>
      <w:bookmarkEnd w:id="649"/>
      <w:bookmarkEnd w:id="650"/>
      <w:bookmarkEnd w:id="651"/>
      <w:bookmarkEnd w:id="652"/>
    </w:p>
    <w:p>
      <w:pPr>
        <w:pStyle w:val="5"/>
        <w:ind w:left="0" w:leftChars="0" w:firstLine="0" w:firstLineChars="0"/>
        <w:rPr>
          <w:color w:val="auto"/>
          <w:sz w:val="24"/>
          <w:szCs w:val="24"/>
          <w:highlight w:val="none"/>
          <w:lang w:eastAsia="zh-CN"/>
        </w:rPr>
      </w:pPr>
      <w:bookmarkStart w:id="655" w:name="_Toc30097"/>
      <w:bookmarkStart w:id="656" w:name="bookmark1270"/>
      <w:r>
        <w:rPr>
          <w:color w:val="auto"/>
          <w:sz w:val="24"/>
          <w:szCs w:val="24"/>
          <w:highlight w:val="none"/>
          <w:lang w:eastAsia="zh-CN"/>
        </w:rPr>
        <w:t>15.1变更的范围和内容</w:t>
      </w:r>
      <w:bookmarkEnd w:id="653"/>
      <w:bookmarkEnd w:id="654"/>
      <w:bookmarkEnd w:id="655"/>
      <w:bookmarkEnd w:id="656"/>
    </w:p>
    <w:p>
      <w:pPr>
        <w:pStyle w:val="47"/>
        <w:spacing w:line="360" w:lineRule="exact"/>
        <w:ind w:firstLine="440"/>
        <w:jc w:val="both"/>
        <w:rPr>
          <w:color w:val="auto"/>
          <w:sz w:val="24"/>
          <w:szCs w:val="24"/>
          <w:highlight w:val="none"/>
        </w:rPr>
      </w:pPr>
      <w:r>
        <w:rPr>
          <w:color w:val="auto"/>
          <w:sz w:val="24"/>
          <w:szCs w:val="24"/>
          <w:highlight w:val="none"/>
        </w:rPr>
        <w:t>在履行合同中发生以下情形之一，应按照本条规定进行变更。</w:t>
      </w:r>
    </w:p>
    <w:p>
      <w:pPr>
        <w:pStyle w:val="47"/>
        <w:numPr>
          <w:ilvl w:val="0"/>
          <w:numId w:val="12"/>
        </w:numPr>
        <w:tabs>
          <w:tab w:val="left" w:pos="923"/>
        </w:tabs>
        <w:spacing w:line="360" w:lineRule="exact"/>
        <w:ind w:firstLine="440"/>
        <w:jc w:val="both"/>
        <w:rPr>
          <w:color w:val="auto"/>
          <w:sz w:val="24"/>
          <w:szCs w:val="24"/>
          <w:highlight w:val="none"/>
        </w:rPr>
      </w:pPr>
      <w:bookmarkStart w:id="657" w:name="bookmark1271"/>
      <w:bookmarkEnd w:id="657"/>
      <w:r>
        <w:rPr>
          <w:color w:val="auto"/>
          <w:sz w:val="24"/>
          <w:szCs w:val="24"/>
          <w:highlight w:val="none"/>
        </w:rPr>
        <w:t>取消合同中任何一项工作，但被取消的工作不能转由发包人或其它人实施；</w:t>
      </w:r>
    </w:p>
    <w:p>
      <w:pPr>
        <w:pStyle w:val="47"/>
        <w:numPr>
          <w:ilvl w:val="0"/>
          <w:numId w:val="12"/>
        </w:numPr>
        <w:tabs>
          <w:tab w:val="left" w:pos="923"/>
        </w:tabs>
        <w:spacing w:line="360" w:lineRule="exact"/>
        <w:ind w:firstLine="440"/>
        <w:jc w:val="both"/>
        <w:rPr>
          <w:color w:val="auto"/>
          <w:sz w:val="24"/>
          <w:szCs w:val="24"/>
          <w:highlight w:val="none"/>
        </w:rPr>
      </w:pPr>
      <w:bookmarkStart w:id="658" w:name="bookmark1272"/>
      <w:bookmarkEnd w:id="658"/>
      <w:r>
        <w:rPr>
          <w:color w:val="auto"/>
          <w:sz w:val="24"/>
          <w:szCs w:val="24"/>
          <w:highlight w:val="none"/>
        </w:rPr>
        <w:t>改变合同中任何一项工作的质量或其它特性；</w:t>
      </w:r>
    </w:p>
    <w:p>
      <w:pPr>
        <w:pStyle w:val="47"/>
        <w:numPr>
          <w:ilvl w:val="0"/>
          <w:numId w:val="12"/>
        </w:numPr>
        <w:tabs>
          <w:tab w:val="left" w:pos="923"/>
        </w:tabs>
        <w:spacing w:line="360" w:lineRule="exact"/>
        <w:ind w:firstLine="440"/>
        <w:jc w:val="both"/>
        <w:rPr>
          <w:color w:val="auto"/>
          <w:sz w:val="24"/>
          <w:szCs w:val="24"/>
          <w:highlight w:val="none"/>
        </w:rPr>
      </w:pPr>
      <w:bookmarkStart w:id="659" w:name="bookmark1273"/>
      <w:bookmarkEnd w:id="659"/>
      <w:r>
        <w:rPr>
          <w:color w:val="auto"/>
          <w:sz w:val="24"/>
          <w:szCs w:val="24"/>
          <w:highlight w:val="none"/>
        </w:rPr>
        <w:t>改变合同工程的基线、标高、位置或尺寸；</w:t>
      </w:r>
    </w:p>
    <w:p>
      <w:pPr>
        <w:pStyle w:val="47"/>
        <w:numPr>
          <w:ilvl w:val="0"/>
          <w:numId w:val="12"/>
        </w:numPr>
        <w:tabs>
          <w:tab w:val="left" w:pos="923"/>
        </w:tabs>
        <w:spacing w:line="365" w:lineRule="exact"/>
        <w:ind w:firstLine="440"/>
        <w:jc w:val="both"/>
        <w:rPr>
          <w:color w:val="auto"/>
          <w:sz w:val="24"/>
          <w:szCs w:val="24"/>
          <w:highlight w:val="none"/>
        </w:rPr>
      </w:pPr>
      <w:bookmarkStart w:id="660" w:name="bookmark1274"/>
      <w:bookmarkEnd w:id="660"/>
      <w:r>
        <w:rPr>
          <w:color w:val="auto"/>
          <w:sz w:val="24"/>
          <w:szCs w:val="24"/>
          <w:highlight w:val="none"/>
        </w:rPr>
        <w:t>改变合同中任何一项工作的施工时间或改变已批准的施工工艺或顺序；</w:t>
      </w:r>
    </w:p>
    <w:p>
      <w:pPr>
        <w:pStyle w:val="47"/>
        <w:numPr>
          <w:ilvl w:val="0"/>
          <w:numId w:val="12"/>
        </w:numPr>
        <w:tabs>
          <w:tab w:val="left" w:pos="923"/>
        </w:tabs>
        <w:spacing w:line="365" w:lineRule="exact"/>
        <w:ind w:firstLine="440"/>
        <w:jc w:val="both"/>
        <w:rPr>
          <w:color w:val="auto"/>
          <w:sz w:val="24"/>
          <w:szCs w:val="24"/>
          <w:highlight w:val="none"/>
        </w:rPr>
      </w:pPr>
      <w:bookmarkStart w:id="661" w:name="bookmark1275"/>
      <w:bookmarkEnd w:id="661"/>
      <w:r>
        <w:rPr>
          <w:color w:val="auto"/>
          <w:sz w:val="24"/>
          <w:szCs w:val="24"/>
          <w:highlight w:val="none"/>
        </w:rPr>
        <w:t>为完成工程需要追加的额外工作；</w:t>
      </w:r>
    </w:p>
    <w:p>
      <w:pPr>
        <w:pStyle w:val="47"/>
        <w:numPr>
          <w:ilvl w:val="0"/>
          <w:numId w:val="12"/>
        </w:numPr>
        <w:tabs>
          <w:tab w:val="left" w:pos="920"/>
        </w:tabs>
        <w:spacing w:line="365" w:lineRule="exact"/>
        <w:ind w:firstLine="440"/>
        <w:jc w:val="both"/>
        <w:rPr>
          <w:color w:val="auto"/>
          <w:sz w:val="24"/>
          <w:szCs w:val="24"/>
          <w:highlight w:val="none"/>
        </w:rPr>
      </w:pPr>
      <w:bookmarkStart w:id="662" w:name="bookmark1276"/>
      <w:bookmarkEnd w:id="662"/>
      <w:r>
        <w:rPr>
          <w:color w:val="auto"/>
          <w:sz w:val="24"/>
          <w:szCs w:val="24"/>
          <w:highlight w:val="none"/>
        </w:rPr>
        <w:t>增加或减少专用合同条款中约定的关键项目工程量超过其工程总量的一定数量的百分比。</w:t>
      </w:r>
    </w:p>
    <w:p>
      <w:pPr>
        <w:pStyle w:val="47"/>
        <w:spacing w:line="365" w:lineRule="exact"/>
        <w:ind w:firstLine="440"/>
        <w:jc w:val="both"/>
        <w:rPr>
          <w:color w:val="auto"/>
          <w:sz w:val="24"/>
          <w:szCs w:val="24"/>
          <w:highlight w:val="none"/>
        </w:rPr>
      </w:pPr>
      <w:r>
        <w:rPr>
          <w:color w:val="auto"/>
          <w:sz w:val="24"/>
          <w:szCs w:val="24"/>
          <w:highlight w:val="none"/>
        </w:rPr>
        <w:t>上述第(</w:t>
      </w:r>
      <w:r>
        <w:rPr>
          <w:rFonts w:ascii="Times New Roman" w:hAnsi="Times New Roman" w:eastAsia="Times New Roman" w:cs="Times New Roman"/>
          <w:color w:val="auto"/>
          <w:sz w:val="24"/>
          <w:szCs w:val="24"/>
          <w:highlight w:val="none"/>
        </w:rPr>
        <w:t>1)~ (6)</w:t>
      </w:r>
      <w:r>
        <w:rPr>
          <w:color w:val="auto"/>
          <w:sz w:val="24"/>
          <w:szCs w:val="24"/>
          <w:highlight w:val="none"/>
        </w:rPr>
        <w:t>目的变更内容引起工程施工组织和进度计划发生实质性变动和影响其原定的价格时，才予调整该项目的单价。第(</w:t>
      </w:r>
      <w:r>
        <w:rPr>
          <w:rFonts w:ascii="Times New Roman" w:hAnsi="Times New Roman" w:eastAsia="Times New Roman" w:cs="Times New Roman"/>
          <w:color w:val="auto"/>
          <w:sz w:val="24"/>
          <w:szCs w:val="24"/>
          <w:highlight w:val="none"/>
        </w:rPr>
        <w:t>6)</w:t>
      </w:r>
      <w:r>
        <w:rPr>
          <w:color w:val="auto"/>
          <w:sz w:val="24"/>
          <w:szCs w:val="24"/>
          <w:highlight w:val="none"/>
        </w:rPr>
        <w:t>目情形下单价调整方式在专用合同条款中约定。</w:t>
      </w:r>
    </w:p>
    <w:p>
      <w:pPr>
        <w:pStyle w:val="5"/>
        <w:ind w:left="0" w:leftChars="0" w:firstLine="0" w:firstLineChars="0"/>
        <w:rPr>
          <w:color w:val="auto"/>
          <w:sz w:val="24"/>
          <w:szCs w:val="24"/>
          <w:highlight w:val="none"/>
          <w:lang w:eastAsia="zh-CN"/>
        </w:rPr>
      </w:pPr>
      <w:bookmarkStart w:id="663" w:name="bookmark1279"/>
      <w:bookmarkStart w:id="664" w:name="bookmark1278"/>
      <w:bookmarkStart w:id="665" w:name="bookmark1277"/>
      <w:bookmarkStart w:id="666" w:name="_Toc25903"/>
      <w:r>
        <w:rPr>
          <w:color w:val="auto"/>
          <w:sz w:val="24"/>
          <w:szCs w:val="24"/>
          <w:highlight w:val="none"/>
          <w:lang w:eastAsia="zh-CN"/>
        </w:rPr>
        <w:t>15.2变更权</w:t>
      </w:r>
      <w:bookmarkEnd w:id="663"/>
      <w:bookmarkEnd w:id="664"/>
      <w:bookmarkEnd w:id="665"/>
      <w:bookmarkEnd w:id="666"/>
    </w:p>
    <w:p>
      <w:pPr>
        <w:pStyle w:val="47"/>
        <w:spacing w:after="240" w:line="374" w:lineRule="exact"/>
        <w:ind w:firstLine="440"/>
        <w:jc w:val="both"/>
        <w:rPr>
          <w:color w:val="auto"/>
          <w:sz w:val="24"/>
          <w:szCs w:val="24"/>
          <w:highlight w:val="none"/>
        </w:rPr>
      </w:pPr>
      <w:r>
        <w:rPr>
          <w:color w:val="auto"/>
          <w:sz w:val="24"/>
          <w:szCs w:val="24"/>
          <w:highlight w:val="none"/>
        </w:rPr>
        <w:t>在履行合同过程中，经</w:t>
      </w:r>
      <w:r>
        <w:rPr>
          <w:rFonts w:hint="eastAsia"/>
          <w:color w:val="auto"/>
          <w:sz w:val="24"/>
          <w:szCs w:val="24"/>
          <w:highlight w:val="none"/>
          <w:lang w:eastAsia="zh-CN"/>
        </w:rPr>
        <w:t>发包人书面同意</w:t>
      </w:r>
      <w:r>
        <w:rPr>
          <w:color w:val="auto"/>
          <w:sz w:val="24"/>
          <w:szCs w:val="24"/>
          <w:highlight w:val="none"/>
        </w:rPr>
        <w:t>，监理人可按第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3</w:t>
      </w:r>
      <w:r>
        <w:rPr>
          <w:color w:val="auto"/>
          <w:sz w:val="24"/>
          <w:szCs w:val="24"/>
          <w:highlight w:val="none"/>
        </w:rPr>
        <w:t>款约定的变更程序向承包人作出变更指示，承包人应遵照执行。没有监理人的变更指示，承包人不得擅自变更。</w:t>
      </w:r>
    </w:p>
    <w:p>
      <w:pPr>
        <w:pStyle w:val="5"/>
        <w:ind w:left="0" w:leftChars="0" w:firstLine="0" w:firstLineChars="0"/>
        <w:rPr>
          <w:color w:val="auto"/>
          <w:sz w:val="24"/>
          <w:szCs w:val="24"/>
          <w:highlight w:val="none"/>
          <w:lang w:eastAsia="zh-CN"/>
        </w:rPr>
      </w:pPr>
      <w:bookmarkStart w:id="667" w:name="bookmark1282"/>
      <w:bookmarkStart w:id="668" w:name="bookmark1280"/>
      <w:bookmarkStart w:id="669" w:name="bookmark1281"/>
      <w:bookmarkStart w:id="670" w:name="_Toc24991"/>
      <w:r>
        <w:rPr>
          <w:color w:val="auto"/>
          <w:sz w:val="24"/>
          <w:szCs w:val="24"/>
          <w:highlight w:val="none"/>
          <w:lang w:eastAsia="zh-CN"/>
        </w:rPr>
        <w:t>15.3变更程序</w:t>
      </w:r>
      <w:bookmarkEnd w:id="667"/>
      <w:bookmarkEnd w:id="668"/>
      <w:bookmarkEnd w:id="669"/>
      <w:bookmarkEnd w:id="670"/>
    </w:p>
    <w:p>
      <w:pPr>
        <w:pStyle w:val="47"/>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15.3.1</w:t>
      </w:r>
      <w:r>
        <w:rPr>
          <w:color w:val="auto"/>
          <w:sz w:val="24"/>
          <w:szCs w:val="24"/>
          <w:highlight w:val="none"/>
        </w:rPr>
        <w:t>变更的提出</w:t>
      </w:r>
    </w:p>
    <w:p>
      <w:pPr>
        <w:pStyle w:val="47"/>
        <w:numPr>
          <w:ilvl w:val="0"/>
          <w:numId w:val="13"/>
        </w:numPr>
        <w:tabs>
          <w:tab w:val="left" w:pos="918"/>
        </w:tabs>
        <w:spacing w:line="360" w:lineRule="exact"/>
        <w:ind w:firstLine="440"/>
        <w:jc w:val="both"/>
        <w:rPr>
          <w:color w:val="auto"/>
          <w:sz w:val="24"/>
          <w:szCs w:val="24"/>
          <w:highlight w:val="none"/>
        </w:rPr>
      </w:pPr>
      <w:bookmarkStart w:id="671" w:name="bookmark1283"/>
      <w:bookmarkEnd w:id="671"/>
      <w:r>
        <w:rPr>
          <w:color w:val="auto"/>
          <w:sz w:val="24"/>
          <w:szCs w:val="24"/>
          <w:highlight w:val="none"/>
        </w:rPr>
        <w:t>在合同履行过程中，可能发生第</w:t>
      </w:r>
      <w:r>
        <w:rPr>
          <w:rFonts w:ascii="Times New Roman" w:hAnsi="Times New Roman" w:eastAsia="Times New Roman" w:cs="Times New Roman"/>
          <w:color w:val="auto"/>
          <w:sz w:val="24"/>
          <w:szCs w:val="24"/>
          <w:highlight w:val="none"/>
          <w:lang w:val="en-US" w:bidi="en-US"/>
        </w:rPr>
        <w:t>15.1</w:t>
      </w:r>
      <w:r>
        <w:rPr>
          <w:color w:val="auto"/>
          <w:sz w:val="24"/>
          <w:szCs w:val="24"/>
          <w:highlight w:val="none"/>
        </w:rPr>
        <w:t>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w:t>
      </w:r>
      <w:r>
        <w:rPr>
          <w:rFonts w:hint="eastAsia"/>
          <w:color w:val="auto"/>
          <w:sz w:val="24"/>
          <w:szCs w:val="24"/>
          <w:highlight w:val="none"/>
          <w:lang w:eastAsia="zh-CN"/>
        </w:rPr>
        <w:t>发包人书面同意</w:t>
      </w:r>
      <w:r>
        <w:rPr>
          <w:color w:val="auto"/>
          <w:sz w:val="24"/>
          <w:szCs w:val="24"/>
          <w:highlight w:val="none"/>
        </w:rPr>
        <w:t>承包人根据变更意向书要求提交的变更实施方案的，由监理人按第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lang w:val="en-US" w:eastAsia="en-US" w:bidi="en-US"/>
        </w:rPr>
        <w:t xml:space="preserve">3. </w:t>
      </w:r>
      <w:r>
        <w:rPr>
          <w:rFonts w:ascii="Times New Roman" w:hAnsi="Times New Roman" w:eastAsia="Times New Roman" w:cs="Times New Roman"/>
          <w:color w:val="auto"/>
          <w:sz w:val="24"/>
          <w:szCs w:val="24"/>
          <w:highlight w:val="none"/>
        </w:rPr>
        <w:t>3</w:t>
      </w:r>
      <w:r>
        <w:rPr>
          <w:color w:val="auto"/>
          <w:sz w:val="24"/>
          <w:szCs w:val="24"/>
          <w:highlight w:val="none"/>
        </w:rPr>
        <w:t>项约定发出变更指示。</w:t>
      </w:r>
    </w:p>
    <w:p>
      <w:pPr>
        <w:pStyle w:val="47"/>
        <w:numPr>
          <w:ilvl w:val="0"/>
          <w:numId w:val="13"/>
        </w:numPr>
        <w:tabs>
          <w:tab w:val="left" w:pos="901"/>
        </w:tabs>
        <w:spacing w:line="360" w:lineRule="exact"/>
        <w:ind w:firstLine="440"/>
        <w:jc w:val="both"/>
        <w:rPr>
          <w:color w:val="auto"/>
          <w:sz w:val="24"/>
          <w:szCs w:val="24"/>
          <w:highlight w:val="none"/>
        </w:rPr>
      </w:pPr>
      <w:bookmarkStart w:id="672" w:name="bookmark1284"/>
      <w:bookmarkEnd w:id="672"/>
      <w:r>
        <w:rPr>
          <w:color w:val="auto"/>
          <w:sz w:val="24"/>
          <w:szCs w:val="24"/>
          <w:highlight w:val="none"/>
        </w:rPr>
        <w:t>在合同履行过程中，发生第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1</w:t>
      </w:r>
      <w:r>
        <w:rPr>
          <w:color w:val="auto"/>
          <w:sz w:val="24"/>
          <w:szCs w:val="24"/>
          <w:highlight w:val="none"/>
        </w:rPr>
        <w:t>款约定情形的，监理人应按照第</w:t>
      </w:r>
      <w:r>
        <w:rPr>
          <w:rFonts w:ascii="Times New Roman" w:hAnsi="Times New Roman" w:eastAsia="Times New Roman" w:cs="Times New Roman"/>
          <w:color w:val="auto"/>
          <w:sz w:val="24"/>
          <w:szCs w:val="24"/>
          <w:highlight w:val="none"/>
          <w:lang w:val="en-US" w:bidi="en-US"/>
        </w:rPr>
        <w:t xml:space="preserve">15. 3. </w:t>
      </w:r>
      <w:r>
        <w:rPr>
          <w:rFonts w:ascii="Times New Roman" w:hAnsi="Times New Roman" w:eastAsia="Times New Roman" w:cs="Times New Roman"/>
          <w:color w:val="auto"/>
          <w:sz w:val="24"/>
          <w:szCs w:val="24"/>
          <w:highlight w:val="none"/>
        </w:rPr>
        <w:t>3</w:t>
      </w:r>
      <w:r>
        <w:rPr>
          <w:color w:val="auto"/>
          <w:sz w:val="24"/>
          <w:szCs w:val="24"/>
          <w:highlight w:val="none"/>
        </w:rPr>
        <w:t>项约定向承包人发出变更指示。</w:t>
      </w:r>
    </w:p>
    <w:p>
      <w:pPr>
        <w:pStyle w:val="47"/>
        <w:numPr>
          <w:ilvl w:val="0"/>
          <w:numId w:val="13"/>
        </w:numPr>
        <w:tabs>
          <w:tab w:val="left" w:pos="922"/>
        </w:tabs>
        <w:spacing w:line="360" w:lineRule="exact"/>
        <w:ind w:firstLine="440"/>
        <w:jc w:val="both"/>
        <w:rPr>
          <w:color w:val="auto"/>
          <w:sz w:val="24"/>
          <w:szCs w:val="24"/>
          <w:highlight w:val="none"/>
        </w:rPr>
      </w:pPr>
      <w:bookmarkStart w:id="673" w:name="bookmark1285"/>
      <w:bookmarkEnd w:id="673"/>
      <w:r>
        <w:rPr>
          <w:color w:val="auto"/>
          <w:sz w:val="24"/>
          <w:szCs w:val="24"/>
          <w:highlight w:val="none"/>
        </w:rPr>
        <w:t>承包人收到监理人按合同约定发出的图纸和文件，经检查认为其中存在第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1</w:t>
      </w:r>
      <w:r>
        <w:rPr>
          <w:color w:val="auto"/>
          <w:sz w:val="24"/>
          <w:szCs w:val="24"/>
          <w:highlight w:val="none"/>
        </w:rPr>
        <w:t>款 约定情形的，可向监理人提出书面变更建议。变更建议应阐明要求变更的依据，并附必要的图纸和说明。监理人收到承包人书面建议后，应与发包人共同研究，确认存在变更的，应在收到承包人书面建议后的</w:t>
      </w:r>
      <w:r>
        <w:rPr>
          <w:rFonts w:ascii="Times New Roman" w:hAnsi="Times New Roman" w:eastAsia="Times New Roman" w:cs="Times New Roman"/>
          <w:color w:val="auto"/>
          <w:sz w:val="24"/>
          <w:szCs w:val="24"/>
          <w:highlight w:val="none"/>
        </w:rPr>
        <w:t>14</w:t>
      </w:r>
      <w:r>
        <w:rPr>
          <w:color w:val="auto"/>
          <w:sz w:val="24"/>
          <w:szCs w:val="24"/>
          <w:highlight w:val="none"/>
        </w:rPr>
        <w:t>天内作出变更指示。经研究后不同意作为变更的，应由监理人书面答复承包人。</w:t>
      </w:r>
    </w:p>
    <w:p>
      <w:pPr>
        <w:pStyle w:val="47"/>
        <w:numPr>
          <w:ilvl w:val="0"/>
          <w:numId w:val="13"/>
        </w:numPr>
        <w:tabs>
          <w:tab w:val="left" w:pos="922"/>
        </w:tabs>
        <w:spacing w:after="80" w:line="360" w:lineRule="exact"/>
        <w:ind w:firstLine="440"/>
        <w:jc w:val="both"/>
        <w:rPr>
          <w:color w:val="auto"/>
          <w:sz w:val="24"/>
          <w:szCs w:val="24"/>
          <w:highlight w:val="none"/>
        </w:rPr>
      </w:pPr>
      <w:bookmarkStart w:id="674" w:name="bookmark1286"/>
      <w:bookmarkEnd w:id="674"/>
      <w:r>
        <w:rPr>
          <w:color w:val="auto"/>
          <w:sz w:val="24"/>
          <w:szCs w:val="24"/>
          <w:highlight w:val="none"/>
        </w:rPr>
        <w:t>若承包人收到监理人的变更意向书后认为难以实施此项变更，应立即通知监理人, 说明原因并附详细依据。监理人与承包人和发包人协商后确定撤销、改变或不改变原变更 意向书。</w:t>
      </w:r>
    </w:p>
    <w:p>
      <w:pPr>
        <w:pStyle w:val="48"/>
        <w:spacing w:after="0" w:line="360" w:lineRule="exact"/>
        <w:ind w:firstLine="440"/>
        <w:jc w:val="both"/>
        <w:rPr>
          <w:color w:val="auto"/>
          <w:sz w:val="24"/>
          <w:szCs w:val="24"/>
          <w:highlight w:val="none"/>
        </w:rPr>
      </w:pPr>
      <w:r>
        <w:rPr>
          <w:color w:val="auto"/>
          <w:sz w:val="24"/>
          <w:szCs w:val="24"/>
          <w:highlight w:val="none"/>
        </w:rPr>
        <w:t>15.3.2</w:t>
      </w:r>
      <w:r>
        <w:rPr>
          <w:rFonts w:ascii="宋体" w:hAnsi="宋体" w:cs="宋体"/>
          <w:color w:val="auto"/>
          <w:sz w:val="24"/>
          <w:szCs w:val="24"/>
          <w:highlight w:val="none"/>
          <w:lang w:val="zh-CN" w:eastAsia="zh-CN" w:bidi="zh-CN"/>
        </w:rPr>
        <w:t>变更估价</w:t>
      </w:r>
    </w:p>
    <w:p>
      <w:pPr>
        <w:pStyle w:val="47"/>
        <w:numPr>
          <w:ilvl w:val="0"/>
          <w:numId w:val="14"/>
        </w:numPr>
        <w:spacing w:line="360" w:lineRule="exact"/>
        <w:ind w:firstLine="440"/>
        <w:jc w:val="both"/>
        <w:rPr>
          <w:color w:val="auto"/>
          <w:sz w:val="24"/>
          <w:szCs w:val="24"/>
          <w:highlight w:val="none"/>
        </w:rPr>
      </w:pPr>
      <w:bookmarkStart w:id="675" w:name="bookmark1287"/>
      <w:bookmarkEnd w:id="675"/>
      <w:r>
        <w:rPr>
          <w:color w:val="auto"/>
          <w:sz w:val="24"/>
          <w:szCs w:val="24"/>
          <w:highlight w:val="none"/>
        </w:rPr>
        <w:t>除专用合同条款对期限另有约定外，承包人应在收到变更指示或变更意向书后的</w:t>
      </w:r>
      <w:r>
        <w:rPr>
          <w:rFonts w:ascii="Times New Roman" w:hAnsi="Times New Roman" w:eastAsia="Times New Roman" w:cs="Times New Roman"/>
          <w:color w:val="auto"/>
          <w:sz w:val="24"/>
          <w:szCs w:val="24"/>
          <w:highlight w:val="none"/>
        </w:rPr>
        <w:t>14</w:t>
      </w:r>
      <w:r>
        <w:rPr>
          <w:color w:val="auto"/>
          <w:sz w:val="24"/>
          <w:szCs w:val="24"/>
          <w:highlight w:val="none"/>
        </w:rPr>
        <w:t>天内，向监理人提交变更报价书，报价内容应根据第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4</w:t>
      </w:r>
      <w:r>
        <w:rPr>
          <w:color w:val="auto"/>
          <w:sz w:val="24"/>
          <w:szCs w:val="24"/>
          <w:highlight w:val="none"/>
        </w:rPr>
        <w:t>款约定的估价原则，详细开列变更工作的价格组成及其依据，并附必要的施工方法说明和有关图纸。</w:t>
      </w:r>
    </w:p>
    <w:p>
      <w:pPr>
        <w:pStyle w:val="47"/>
        <w:numPr>
          <w:ilvl w:val="0"/>
          <w:numId w:val="14"/>
        </w:numPr>
        <w:tabs>
          <w:tab w:val="left" w:pos="915"/>
        </w:tabs>
        <w:spacing w:line="360" w:lineRule="exact"/>
        <w:ind w:firstLine="440"/>
        <w:jc w:val="both"/>
        <w:rPr>
          <w:color w:val="auto"/>
          <w:sz w:val="24"/>
          <w:szCs w:val="24"/>
          <w:highlight w:val="none"/>
        </w:rPr>
      </w:pPr>
      <w:bookmarkStart w:id="676" w:name="bookmark1288"/>
      <w:bookmarkEnd w:id="676"/>
      <w:r>
        <w:rPr>
          <w:color w:val="auto"/>
          <w:sz w:val="24"/>
          <w:szCs w:val="24"/>
          <w:highlight w:val="none"/>
        </w:rPr>
        <w:t>变更工作影响工期的，承包人应提出调整工期的具体细节。监理人认为有必要时, 可要求承包人提交要求提前或延长工期的施工进度计划及相应施工措施等详细资料。</w:t>
      </w:r>
    </w:p>
    <w:p>
      <w:pPr>
        <w:pStyle w:val="47"/>
        <w:numPr>
          <w:ilvl w:val="0"/>
          <w:numId w:val="14"/>
        </w:numPr>
        <w:tabs>
          <w:tab w:val="left" w:pos="920"/>
        </w:tabs>
        <w:spacing w:after="120" w:line="360" w:lineRule="exact"/>
        <w:ind w:firstLine="440"/>
        <w:jc w:val="both"/>
        <w:rPr>
          <w:color w:val="auto"/>
          <w:sz w:val="24"/>
          <w:szCs w:val="24"/>
          <w:highlight w:val="none"/>
        </w:rPr>
      </w:pPr>
      <w:bookmarkStart w:id="677" w:name="bookmark1289"/>
      <w:bookmarkEnd w:id="677"/>
      <w:r>
        <w:rPr>
          <w:color w:val="auto"/>
          <w:sz w:val="24"/>
          <w:szCs w:val="24"/>
          <w:highlight w:val="none"/>
        </w:rPr>
        <w:t>除专用合同条款对期限另有约定外，监理人收到承包人变更报价书后的</w:t>
      </w:r>
      <w:r>
        <w:rPr>
          <w:rFonts w:ascii="Times New Roman" w:hAnsi="Times New Roman" w:eastAsia="Times New Roman" w:cs="Times New Roman"/>
          <w:color w:val="auto"/>
          <w:sz w:val="24"/>
          <w:szCs w:val="24"/>
          <w:highlight w:val="none"/>
        </w:rPr>
        <w:t>14</w:t>
      </w:r>
      <w:r>
        <w:rPr>
          <w:color w:val="auto"/>
          <w:sz w:val="24"/>
          <w:szCs w:val="24"/>
          <w:highlight w:val="none"/>
        </w:rPr>
        <w:t>天内，根据第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4</w:t>
      </w:r>
      <w:r>
        <w:rPr>
          <w:color w:val="auto"/>
          <w:sz w:val="24"/>
          <w:szCs w:val="24"/>
          <w:highlight w:val="none"/>
        </w:rPr>
        <w:t>款约定的估价原则，按照第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款商定或确定变更价格。</w:t>
      </w:r>
    </w:p>
    <w:p>
      <w:pPr>
        <w:pStyle w:val="48"/>
        <w:spacing w:after="0" w:line="360" w:lineRule="exact"/>
        <w:ind w:firstLine="440"/>
        <w:jc w:val="both"/>
        <w:rPr>
          <w:color w:val="auto"/>
          <w:sz w:val="24"/>
          <w:szCs w:val="24"/>
          <w:highlight w:val="none"/>
        </w:rPr>
      </w:pPr>
      <w:r>
        <w:rPr>
          <w:color w:val="auto"/>
          <w:sz w:val="24"/>
          <w:szCs w:val="24"/>
          <w:highlight w:val="none"/>
        </w:rPr>
        <w:t>15.3.3</w:t>
      </w:r>
      <w:r>
        <w:rPr>
          <w:rFonts w:ascii="宋体" w:hAnsi="宋体" w:cs="宋体"/>
          <w:color w:val="auto"/>
          <w:sz w:val="24"/>
          <w:szCs w:val="24"/>
          <w:highlight w:val="none"/>
          <w:lang w:val="zh-CN" w:eastAsia="zh-CN" w:bidi="zh-CN"/>
        </w:rPr>
        <w:t>变更指示</w:t>
      </w:r>
    </w:p>
    <w:p>
      <w:pPr>
        <w:pStyle w:val="47"/>
        <w:numPr>
          <w:ilvl w:val="0"/>
          <w:numId w:val="15"/>
        </w:numPr>
        <w:tabs>
          <w:tab w:val="left" w:pos="923"/>
        </w:tabs>
        <w:spacing w:line="360" w:lineRule="exact"/>
        <w:ind w:firstLine="440"/>
        <w:jc w:val="both"/>
        <w:rPr>
          <w:color w:val="auto"/>
          <w:sz w:val="24"/>
          <w:szCs w:val="24"/>
          <w:highlight w:val="none"/>
        </w:rPr>
      </w:pPr>
      <w:bookmarkStart w:id="678" w:name="bookmark1290"/>
      <w:bookmarkEnd w:id="678"/>
      <w:r>
        <w:rPr>
          <w:color w:val="auto"/>
          <w:sz w:val="24"/>
          <w:szCs w:val="24"/>
          <w:highlight w:val="none"/>
        </w:rPr>
        <w:t>变更指示只能由监理人发出。</w:t>
      </w:r>
    </w:p>
    <w:p>
      <w:pPr>
        <w:pStyle w:val="47"/>
        <w:numPr>
          <w:ilvl w:val="0"/>
          <w:numId w:val="15"/>
        </w:numPr>
        <w:tabs>
          <w:tab w:val="left" w:pos="922"/>
        </w:tabs>
        <w:spacing w:after="120" w:line="360" w:lineRule="exact"/>
        <w:ind w:firstLine="440"/>
        <w:jc w:val="both"/>
        <w:rPr>
          <w:color w:val="auto"/>
          <w:sz w:val="24"/>
          <w:szCs w:val="24"/>
          <w:highlight w:val="none"/>
        </w:rPr>
      </w:pPr>
      <w:bookmarkStart w:id="679" w:name="bookmark1291"/>
      <w:bookmarkEnd w:id="679"/>
      <w:r>
        <w:rPr>
          <w:color w:val="auto"/>
          <w:sz w:val="24"/>
          <w:szCs w:val="24"/>
          <w:highlight w:val="none"/>
        </w:rPr>
        <w:t>变更指示应说明变更的目的、范围、变更内容以及变更的工程量及其进度和技术要求，并附有关图纸和文件。承包人收到变更指示后，应按变更指示进行变更工作。</w:t>
      </w:r>
    </w:p>
    <w:p>
      <w:pPr>
        <w:pStyle w:val="5"/>
        <w:ind w:left="0" w:leftChars="0" w:firstLine="0" w:firstLineChars="0"/>
        <w:rPr>
          <w:color w:val="auto"/>
          <w:sz w:val="24"/>
          <w:szCs w:val="24"/>
          <w:highlight w:val="none"/>
          <w:lang w:eastAsia="zh-CN"/>
        </w:rPr>
      </w:pPr>
      <w:bookmarkStart w:id="680" w:name="_Toc9569"/>
      <w:bookmarkStart w:id="681" w:name="bookmark1292"/>
      <w:bookmarkStart w:id="682" w:name="bookmark1294"/>
      <w:bookmarkStart w:id="683" w:name="bookmark1293"/>
      <w:r>
        <w:rPr>
          <w:color w:val="auto"/>
          <w:sz w:val="24"/>
          <w:szCs w:val="24"/>
          <w:highlight w:val="none"/>
          <w:lang w:eastAsia="zh-CN"/>
        </w:rPr>
        <w:t>15.4变更的估价原则</w:t>
      </w:r>
      <w:bookmarkEnd w:id="680"/>
      <w:bookmarkEnd w:id="681"/>
      <w:bookmarkEnd w:id="682"/>
      <w:bookmarkEnd w:id="683"/>
    </w:p>
    <w:p>
      <w:pPr>
        <w:pStyle w:val="47"/>
        <w:spacing w:after="120" w:line="358" w:lineRule="exact"/>
        <w:ind w:firstLine="420"/>
        <w:rPr>
          <w:color w:val="auto"/>
          <w:sz w:val="24"/>
          <w:szCs w:val="24"/>
          <w:highlight w:val="none"/>
        </w:rPr>
      </w:pPr>
      <w:r>
        <w:rPr>
          <w:color w:val="auto"/>
          <w:sz w:val="24"/>
          <w:szCs w:val="24"/>
          <w:highlight w:val="none"/>
        </w:rPr>
        <w:t>除专用合同条款另有约定外，因变更引起的价格调整按照本款约定处理。</w:t>
      </w:r>
    </w:p>
    <w:p>
      <w:pPr>
        <w:pStyle w:val="47"/>
        <w:spacing w:line="374"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15.4.1</w:t>
      </w:r>
      <w:r>
        <w:rPr>
          <w:color w:val="auto"/>
          <w:sz w:val="24"/>
          <w:szCs w:val="24"/>
          <w:highlight w:val="none"/>
        </w:rPr>
        <w:t>已标价工程量清单中有适用于变更工作的子目的，采用该子目的单价。</w:t>
      </w:r>
    </w:p>
    <w:p>
      <w:pPr>
        <w:pStyle w:val="47"/>
        <w:spacing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15.4.2</w:t>
      </w:r>
      <w:r>
        <w:rPr>
          <w:color w:val="auto"/>
          <w:sz w:val="24"/>
          <w:szCs w:val="24"/>
          <w:highlight w:val="none"/>
        </w:rPr>
        <w:t>已标价工程量清单中无适用于变更工作的子目，但有类似子目的，可在合理范围内参照类似子目的单价，由监理人按第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款商定或确定变更工作的单价。</w:t>
      </w:r>
    </w:p>
    <w:p>
      <w:pPr>
        <w:pStyle w:val="47"/>
        <w:spacing w:after="120"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15.4.3</w:t>
      </w:r>
      <w:r>
        <w:rPr>
          <w:color w:val="auto"/>
          <w:sz w:val="24"/>
          <w:szCs w:val="24"/>
          <w:highlight w:val="none"/>
        </w:rPr>
        <w:t>已标价工程量清单中无适用或类似子目的单价，可按照成本加利润的原则，由监理人按第</w:t>
      </w:r>
      <w:r>
        <w:rPr>
          <w:rFonts w:ascii="Times New Roman" w:hAnsi="Times New Roman" w:eastAsia="Times New Roman" w:cs="Times New Roman"/>
          <w:color w:val="auto"/>
          <w:sz w:val="24"/>
          <w:szCs w:val="24"/>
          <w:highlight w:val="none"/>
          <w:lang w:val="en-US" w:bidi="en-US"/>
        </w:rPr>
        <w:t>3.</w:t>
      </w:r>
      <w:r>
        <w:rPr>
          <w:rFonts w:ascii="Times New Roman" w:hAnsi="Times New Roman" w:eastAsia="Times New Roman" w:cs="Times New Roman"/>
          <w:color w:val="auto"/>
          <w:sz w:val="24"/>
          <w:szCs w:val="24"/>
          <w:highlight w:val="none"/>
        </w:rPr>
        <w:t>5</w:t>
      </w:r>
      <w:r>
        <w:rPr>
          <w:color w:val="auto"/>
          <w:sz w:val="24"/>
          <w:szCs w:val="24"/>
          <w:highlight w:val="none"/>
        </w:rPr>
        <w:t>款商定或确定变更工作的单价。</w:t>
      </w:r>
    </w:p>
    <w:p>
      <w:pPr>
        <w:pStyle w:val="5"/>
        <w:ind w:left="0" w:leftChars="0" w:firstLine="0" w:firstLineChars="0"/>
        <w:rPr>
          <w:color w:val="auto"/>
          <w:sz w:val="24"/>
          <w:szCs w:val="24"/>
          <w:highlight w:val="none"/>
          <w:lang w:eastAsia="zh-CN"/>
        </w:rPr>
      </w:pPr>
      <w:bookmarkStart w:id="684" w:name="bookmark1296"/>
      <w:bookmarkStart w:id="685" w:name="bookmark1297"/>
      <w:bookmarkStart w:id="686" w:name="bookmark1295"/>
      <w:r>
        <w:rPr>
          <w:color w:val="auto"/>
          <w:sz w:val="24"/>
          <w:szCs w:val="24"/>
          <w:highlight w:val="none"/>
          <w:lang w:eastAsia="zh-CN"/>
        </w:rPr>
        <w:t>15.5承包人的合理化建议</w:t>
      </w:r>
      <w:bookmarkEnd w:id="684"/>
      <w:bookmarkEnd w:id="685"/>
      <w:bookmarkEnd w:id="686"/>
    </w:p>
    <w:p>
      <w:pPr>
        <w:pStyle w:val="47"/>
        <w:tabs>
          <w:tab w:val="left" w:pos="854"/>
        </w:tabs>
        <w:spacing w:line="365" w:lineRule="exact"/>
        <w:ind w:left="440" w:firstLine="0"/>
        <w:jc w:val="both"/>
        <w:rPr>
          <w:color w:val="auto"/>
          <w:sz w:val="24"/>
          <w:szCs w:val="24"/>
          <w:highlight w:val="none"/>
        </w:rPr>
      </w:pPr>
      <w:bookmarkStart w:id="687" w:name="bookmark1298"/>
      <w:bookmarkEnd w:id="687"/>
      <w:r>
        <w:rPr>
          <w:rFonts w:hint="eastAsia" w:ascii="Times New Roman" w:hAnsi="Times New Roman" w:cs="Times New Roman"/>
          <w:color w:val="auto"/>
          <w:sz w:val="24"/>
          <w:szCs w:val="24"/>
          <w:highlight w:val="none"/>
          <w:lang w:val="en-US" w:bidi="en-US"/>
        </w:rPr>
        <w:t>15.</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1</w:t>
      </w:r>
      <w:r>
        <w:rPr>
          <w:color w:val="auto"/>
          <w:sz w:val="24"/>
          <w:szCs w:val="24"/>
          <w:highlight w:val="none"/>
        </w:rPr>
        <w:t>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w:t>
      </w:r>
      <w:r>
        <w:rPr>
          <w:rFonts w:ascii="Times New Roman" w:hAnsi="Times New Roman" w:eastAsia="Times New Roman" w:cs="Times New Roman"/>
          <w:color w:val="auto"/>
          <w:sz w:val="24"/>
          <w:szCs w:val="24"/>
          <w:highlight w:val="none"/>
          <w:lang w:val="en-US" w:bidi="en-US"/>
        </w:rPr>
        <w:t xml:space="preserve">15. 3. </w:t>
      </w:r>
      <w:r>
        <w:rPr>
          <w:rFonts w:ascii="Times New Roman" w:hAnsi="Times New Roman" w:eastAsia="Times New Roman" w:cs="Times New Roman"/>
          <w:color w:val="auto"/>
          <w:sz w:val="24"/>
          <w:szCs w:val="24"/>
          <w:highlight w:val="none"/>
        </w:rPr>
        <w:t>3</w:t>
      </w:r>
      <w:r>
        <w:rPr>
          <w:color w:val="auto"/>
          <w:sz w:val="24"/>
          <w:szCs w:val="24"/>
          <w:highlight w:val="none"/>
        </w:rPr>
        <w:t>项约定向承包人发出变更指示。</w:t>
      </w:r>
    </w:p>
    <w:p>
      <w:pPr>
        <w:pStyle w:val="47"/>
        <w:spacing w:after="120"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15.5.2</w:t>
      </w:r>
      <w:r>
        <w:rPr>
          <w:color w:val="auto"/>
          <w:sz w:val="24"/>
          <w:szCs w:val="24"/>
          <w:highlight w:val="none"/>
        </w:rPr>
        <w:t>承包人提出的合理化建议降低了合同价格、缩短了工期或者提高了工程经济效益的，发包人可按国家有关规定在专用合同条款中约定给予奖励。</w:t>
      </w:r>
    </w:p>
    <w:p>
      <w:pPr>
        <w:pStyle w:val="5"/>
        <w:ind w:left="0" w:leftChars="0" w:firstLine="0" w:firstLineChars="0"/>
        <w:rPr>
          <w:color w:val="auto"/>
          <w:sz w:val="24"/>
          <w:szCs w:val="24"/>
          <w:highlight w:val="none"/>
          <w:lang w:eastAsia="zh-CN"/>
        </w:rPr>
      </w:pPr>
      <w:bookmarkStart w:id="688" w:name="_Toc7702"/>
      <w:bookmarkStart w:id="689" w:name="bookmark1301"/>
      <w:bookmarkStart w:id="690" w:name="bookmark1299"/>
      <w:bookmarkStart w:id="691" w:name="bookmark1300"/>
      <w:r>
        <w:rPr>
          <w:color w:val="auto"/>
          <w:sz w:val="24"/>
          <w:szCs w:val="24"/>
          <w:highlight w:val="none"/>
          <w:lang w:eastAsia="zh-CN"/>
        </w:rPr>
        <w:t>15.6暂列金额</w:t>
      </w:r>
      <w:bookmarkEnd w:id="688"/>
      <w:bookmarkEnd w:id="689"/>
      <w:bookmarkEnd w:id="690"/>
      <w:bookmarkEnd w:id="691"/>
    </w:p>
    <w:p>
      <w:pPr>
        <w:pStyle w:val="47"/>
        <w:spacing w:after="120" w:line="365" w:lineRule="exact"/>
        <w:ind w:firstLine="420"/>
        <w:rPr>
          <w:color w:val="auto"/>
          <w:sz w:val="24"/>
          <w:szCs w:val="24"/>
          <w:highlight w:val="none"/>
        </w:rPr>
      </w:pPr>
      <w:r>
        <w:rPr>
          <w:color w:val="auto"/>
          <w:sz w:val="24"/>
          <w:szCs w:val="24"/>
          <w:highlight w:val="none"/>
        </w:rPr>
        <w:t>暂列金额只能按照监理人的指示使用，并对合同价格进行相应调整。</w:t>
      </w:r>
    </w:p>
    <w:p>
      <w:pPr>
        <w:pStyle w:val="4"/>
        <w:spacing w:line="360" w:lineRule="exact"/>
        <w:rPr>
          <w:rFonts w:ascii="宋体" w:hAnsi="宋体"/>
          <w:color w:val="auto"/>
          <w:sz w:val="24"/>
          <w:szCs w:val="24"/>
          <w:highlight w:val="none"/>
          <w:lang w:eastAsia="zh-CN"/>
        </w:rPr>
      </w:pPr>
      <w:bookmarkStart w:id="692" w:name="bookmark1303"/>
      <w:bookmarkStart w:id="693" w:name="_Toc31931"/>
      <w:bookmarkStart w:id="694" w:name="_Toc1976762667"/>
      <w:bookmarkStart w:id="695" w:name="_Toc1449902166"/>
      <w:bookmarkStart w:id="696" w:name="bookmark1304"/>
      <w:bookmarkStart w:id="697" w:name="bookmark1302"/>
      <w:bookmarkStart w:id="698" w:name="_Toc23161"/>
      <w:r>
        <w:rPr>
          <w:rFonts w:ascii="宋体" w:hAnsi="宋体"/>
          <w:color w:val="auto"/>
          <w:sz w:val="24"/>
          <w:szCs w:val="24"/>
          <w:highlight w:val="none"/>
          <w:lang w:eastAsia="zh-CN"/>
        </w:rPr>
        <w:t>15.7计日工</w:t>
      </w:r>
      <w:bookmarkEnd w:id="692"/>
      <w:bookmarkEnd w:id="693"/>
      <w:bookmarkEnd w:id="694"/>
      <w:bookmarkEnd w:id="695"/>
      <w:bookmarkEnd w:id="696"/>
      <w:bookmarkEnd w:id="697"/>
      <w:bookmarkEnd w:id="698"/>
    </w:p>
    <w:p>
      <w:pPr>
        <w:pStyle w:val="47"/>
        <w:spacing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15.7.1</w:t>
      </w:r>
      <w:r>
        <w:rPr>
          <w:rFonts w:ascii="Times New Roman" w:hAnsi="Times New Roman" w:cs="Times New Roman"/>
          <w:color w:val="auto"/>
          <w:sz w:val="24"/>
          <w:szCs w:val="24"/>
          <w:highlight w:val="none"/>
        </w:rPr>
        <w:t>发包人认为有必要时，由监理人通知承包人以计日工方式实施变更的零星工作。其价款按列入已标价工程量清单中的计日工计价子目及其单价进行计算。</w:t>
      </w:r>
    </w:p>
    <w:p>
      <w:pPr>
        <w:pStyle w:val="47"/>
        <w:spacing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15.7.2</w:t>
      </w:r>
      <w:r>
        <w:rPr>
          <w:rFonts w:ascii="Times New Roman" w:hAnsi="Times New Roman" w:cs="Times New Roman"/>
          <w:color w:val="auto"/>
          <w:sz w:val="24"/>
          <w:szCs w:val="24"/>
          <w:highlight w:val="none"/>
        </w:rPr>
        <w:t>采用计日工计价的任何一项变更工作，应从暂列金额中支付，承包人应在该项变更的实施过程中，每天提交以下报表和有关凭证报送监理人审批：</w:t>
      </w:r>
    </w:p>
    <w:p>
      <w:pPr>
        <w:pStyle w:val="47"/>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699" w:name="bookmark1305"/>
      <w:bookmarkEnd w:id="699"/>
      <w:r>
        <w:rPr>
          <w:rFonts w:ascii="Times New Roman" w:hAnsi="Times New Roman" w:cs="Times New Roman"/>
          <w:color w:val="auto"/>
          <w:sz w:val="24"/>
          <w:szCs w:val="24"/>
          <w:highlight w:val="none"/>
        </w:rPr>
        <w:t>工作名称、内容和数量；</w:t>
      </w:r>
    </w:p>
    <w:p>
      <w:pPr>
        <w:pStyle w:val="47"/>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700" w:name="bookmark1306"/>
      <w:bookmarkEnd w:id="700"/>
      <w:r>
        <w:rPr>
          <w:rFonts w:ascii="Times New Roman" w:hAnsi="Times New Roman" w:cs="Times New Roman"/>
          <w:color w:val="auto"/>
          <w:sz w:val="24"/>
          <w:szCs w:val="24"/>
          <w:highlight w:val="none"/>
        </w:rPr>
        <w:t>投入该工作所有人员的姓名、工种、级别和耗用工时；</w:t>
      </w:r>
    </w:p>
    <w:p>
      <w:pPr>
        <w:pStyle w:val="47"/>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701" w:name="bookmark1307"/>
      <w:bookmarkEnd w:id="701"/>
      <w:r>
        <w:rPr>
          <w:rFonts w:ascii="Times New Roman" w:hAnsi="Times New Roman" w:cs="Times New Roman"/>
          <w:color w:val="auto"/>
          <w:sz w:val="24"/>
          <w:szCs w:val="24"/>
          <w:highlight w:val="none"/>
        </w:rPr>
        <w:t>投入该工作的材料类别和数量；</w:t>
      </w:r>
    </w:p>
    <w:p>
      <w:pPr>
        <w:pStyle w:val="47"/>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702" w:name="bookmark1308"/>
      <w:bookmarkEnd w:id="702"/>
      <w:r>
        <w:rPr>
          <w:rFonts w:ascii="Times New Roman" w:hAnsi="Times New Roman" w:cs="Times New Roman"/>
          <w:color w:val="auto"/>
          <w:sz w:val="24"/>
          <w:szCs w:val="24"/>
          <w:highlight w:val="none"/>
        </w:rPr>
        <w:t>投入该工作的施工设备型号、台数和耗用台时；</w:t>
      </w:r>
    </w:p>
    <w:p>
      <w:pPr>
        <w:pStyle w:val="47"/>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703" w:name="bookmark1309"/>
      <w:bookmarkEnd w:id="703"/>
      <w:r>
        <w:rPr>
          <w:rFonts w:ascii="Times New Roman" w:hAnsi="Times New Roman" w:cs="Times New Roman"/>
          <w:color w:val="auto"/>
          <w:sz w:val="24"/>
          <w:szCs w:val="24"/>
          <w:highlight w:val="none"/>
        </w:rPr>
        <w:t>监理人要求提交的其他资料和凭证。</w:t>
      </w:r>
    </w:p>
    <w:p>
      <w:pPr>
        <w:pStyle w:val="47"/>
        <w:spacing w:after="80"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15.7.3</w:t>
      </w:r>
      <w:r>
        <w:rPr>
          <w:rFonts w:ascii="Times New Roman" w:hAnsi="Times New Roman" w:cs="Times New Roman"/>
          <w:color w:val="auto"/>
          <w:sz w:val="24"/>
          <w:szCs w:val="24"/>
          <w:highlight w:val="none"/>
        </w:rPr>
        <w:t>计日工由承包人汇总后，按第</w:t>
      </w:r>
      <w:r>
        <w:rPr>
          <w:rFonts w:ascii="Times New Roman" w:hAnsi="Times New Roman" w:eastAsia="Times New Roman" w:cs="Times New Roman"/>
          <w:color w:val="auto"/>
          <w:sz w:val="24"/>
          <w:szCs w:val="24"/>
          <w:highlight w:val="none"/>
          <w:lang w:val="en-US" w:bidi="en-US"/>
        </w:rPr>
        <w:t>17.3.2</w:t>
      </w:r>
      <w:r>
        <w:rPr>
          <w:rFonts w:ascii="Times New Roman" w:hAnsi="Times New Roman" w:cs="Times New Roman"/>
          <w:color w:val="auto"/>
          <w:sz w:val="24"/>
          <w:szCs w:val="24"/>
          <w:highlight w:val="none"/>
        </w:rPr>
        <w:t>项的约定列入进度付款申请单，由监理人复核并经</w:t>
      </w:r>
      <w:r>
        <w:rPr>
          <w:rFonts w:hint="eastAsia" w:ascii="Times New Roman" w:hAnsi="Times New Roman" w:cs="Times New Roman"/>
          <w:color w:val="auto"/>
          <w:sz w:val="24"/>
          <w:szCs w:val="24"/>
          <w:highlight w:val="none"/>
          <w:lang w:eastAsia="zh-CN"/>
        </w:rPr>
        <w:t>发包人书面同意</w:t>
      </w:r>
      <w:r>
        <w:rPr>
          <w:rFonts w:ascii="Times New Roman" w:hAnsi="Times New Roman" w:cs="Times New Roman"/>
          <w:color w:val="auto"/>
          <w:sz w:val="24"/>
          <w:szCs w:val="24"/>
          <w:highlight w:val="none"/>
        </w:rPr>
        <w:t>后列入进度付款。</w:t>
      </w:r>
    </w:p>
    <w:p>
      <w:pPr>
        <w:pStyle w:val="5"/>
        <w:ind w:left="0" w:leftChars="0" w:firstLine="0" w:firstLineChars="0"/>
        <w:rPr>
          <w:color w:val="auto"/>
          <w:sz w:val="24"/>
          <w:szCs w:val="24"/>
          <w:highlight w:val="none"/>
          <w:lang w:eastAsia="zh-CN"/>
        </w:rPr>
      </w:pPr>
      <w:bookmarkStart w:id="704" w:name="_Toc6776"/>
      <w:bookmarkStart w:id="705" w:name="bookmark1311"/>
      <w:bookmarkStart w:id="706" w:name="bookmark1310"/>
      <w:bookmarkStart w:id="707" w:name="bookmark1312"/>
      <w:r>
        <w:rPr>
          <w:color w:val="auto"/>
          <w:sz w:val="24"/>
          <w:szCs w:val="24"/>
          <w:highlight w:val="none"/>
          <w:lang w:eastAsia="zh-CN"/>
        </w:rPr>
        <w:t>15.8暂估价</w:t>
      </w:r>
      <w:bookmarkEnd w:id="704"/>
      <w:bookmarkEnd w:id="705"/>
      <w:bookmarkEnd w:id="706"/>
      <w:bookmarkEnd w:id="707"/>
    </w:p>
    <w:p>
      <w:pPr>
        <w:pStyle w:val="47"/>
        <w:spacing w:after="80" w:line="374" w:lineRule="exact"/>
        <w:ind w:firstLine="440"/>
        <w:jc w:val="both"/>
        <w:rPr>
          <w:rFonts w:ascii="Times New Roman" w:hAnsi="Times New Roman" w:cs="Times New Roman"/>
          <w:color w:val="auto"/>
          <w:sz w:val="24"/>
          <w:szCs w:val="24"/>
          <w:highlight w:val="none"/>
        </w:rPr>
      </w:pPr>
      <w:bookmarkStart w:id="708" w:name="bookmark1313"/>
      <w:bookmarkEnd w:id="708"/>
      <w:r>
        <w:rPr>
          <w:rFonts w:ascii="Times New Roman" w:hAnsi="Times New Roman" w:cs="Times New Roman"/>
          <w:color w:val="auto"/>
          <w:sz w:val="24"/>
          <w:szCs w:val="24"/>
          <w:highlight w:val="none"/>
        </w:rPr>
        <w:t>15.8.1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 量清单中所列金额差以及相应的税金等其他费用列入合同价格。必须招标的暂估价项目招标组织形式、发包人和承包人组织招标时双方的权利义务关系在专用合同条款中约定。</w:t>
      </w:r>
    </w:p>
    <w:p>
      <w:pPr>
        <w:pStyle w:val="47"/>
        <w:spacing w:after="80" w:line="374" w:lineRule="exact"/>
        <w:ind w:firstLine="440"/>
        <w:jc w:val="both"/>
        <w:rPr>
          <w:rFonts w:ascii="Times New Roman" w:hAnsi="Times New Roman" w:cs="Times New Roman"/>
          <w:color w:val="auto"/>
          <w:sz w:val="24"/>
          <w:szCs w:val="24"/>
          <w:highlight w:val="none"/>
        </w:rPr>
      </w:pPr>
      <w:bookmarkStart w:id="709" w:name="bookmark1314"/>
      <w:bookmarkEnd w:id="709"/>
      <w:r>
        <w:rPr>
          <w:rFonts w:ascii="Times New Roman" w:hAnsi="Times New Roman" w:cs="Times New Roman"/>
          <w:color w:val="auto"/>
          <w:sz w:val="24"/>
          <w:szCs w:val="24"/>
          <w:highlight w:val="none"/>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pPr>
        <w:pStyle w:val="47"/>
        <w:spacing w:after="80" w:line="374" w:lineRule="exact"/>
        <w:ind w:firstLine="440"/>
        <w:jc w:val="both"/>
        <w:rPr>
          <w:rFonts w:ascii="Times New Roman" w:hAnsi="Times New Roman" w:cs="Times New Roman"/>
          <w:color w:val="auto"/>
          <w:sz w:val="24"/>
          <w:szCs w:val="24"/>
          <w:highlight w:val="none"/>
        </w:rPr>
      </w:pPr>
      <w:bookmarkStart w:id="710" w:name="bookmark1315"/>
      <w:bookmarkEnd w:id="710"/>
      <w:r>
        <w:rPr>
          <w:rFonts w:ascii="Times New Roman" w:hAnsi="Times New Roman" w:cs="Times New Roman"/>
          <w:color w:val="auto"/>
          <w:sz w:val="24"/>
          <w:szCs w:val="24"/>
          <w:highlight w:val="none"/>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pPr>
        <w:pStyle w:val="4"/>
        <w:spacing w:line="360" w:lineRule="exact"/>
        <w:rPr>
          <w:rFonts w:hint="eastAsia"/>
          <w:color w:val="auto"/>
          <w:sz w:val="24"/>
          <w:szCs w:val="24"/>
          <w:highlight w:val="none"/>
          <w:lang w:eastAsia="zh-CN"/>
        </w:rPr>
      </w:pPr>
      <w:bookmarkStart w:id="711" w:name="_Toc2081"/>
      <w:bookmarkStart w:id="712" w:name="_Toc190018465"/>
      <w:bookmarkStart w:id="713" w:name="bookmark1318"/>
      <w:bookmarkStart w:id="714" w:name="bookmark1316"/>
      <w:bookmarkStart w:id="715" w:name="_Toc242"/>
      <w:bookmarkStart w:id="716" w:name="bookmark1317"/>
      <w:r>
        <w:rPr>
          <w:rFonts w:hint="eastAsia"/>
          <w:color w:val="auto"/>
          <w:sz w:val="24"/>
          <w:szCs w:val="24"/>
          <w:highlight w:val="none"/>
          <w:lang w:eastAsia="zh-CN"/>
        </w:rPr>
        <w:t>16 .价格调整</w:t>
      </w:r>
      <w:bookmarkEnd w:id="711"/>
      <w:bookmarkEnd w:id="712"/>
      <w:bookmarkEnd w:id="713"/>
      <w:bookmarkEnd w:id="714"/>
      <w:bookmarkEnd w:id="715"/>
      <w:bookmarkEnd w:id="716"/>
    </w:p>
    <w:p>
      <w:pPr>
        <w:pStyle w:val="5"/>
        <w:ind w:left="0" w:leftChars="0" w:firstLine="0" w:firstLineChars="0"/>
        <w:rPr>
          <w:color w:val="auto"/>
          <w:sz w:val="24"/>
          <w:szCs w:val="24"/>
          <w:highlight w:val="none"/>
          <w:lang w:eastAsia="zh-CN"/>
        </w:rPr>
      </w:pPr>
      <w:bookmarkStart w:id="717" w:name="_Toc2131"/>
      <w:bookmarkStart w:id="718" w:name="bookmark1320"/>
      <w:bookmarkStart w:id="719" w:name="bookmark1321"/>
      <w:bookmarkStart w:id="720" w:name="bookmark1319"/>
      <w:r>
        <w:rPr>
          <w:color w:val="auto"/>
          <w:sz w:val="24"/>
          <w:szCs w:val="24"/>
          <w:highlight w:val="none"/>
          <w:lang w:eastAsia="zh-CN"/>
        </w:rPr>
        <w:t>16.1物价波动引起的价格调整</w:t>
      </w:r>
      <w:bookmarkEnd w:id="717"/>
      <w:bookmarkEnd w:id="718"/>
      <w:bookmarkEnd w:id="719"/>
      <w:bookmarkEnd w:id="720"/>
    </w:p>
    <w:p>
      <w:pPr>
        <w:pStyle w:val="47"/>
        <w:spacing w:line="347" w:lineRule="exact"/>
        <w:ind w:firstLine="420"/>
        <w:jc w:val="both"/>
        <w:rPr>
          <w:color w:val="auto"/>
          <w:sz w:val="24"/>
          <w:szCs w:val="24"/>
          <w:highlight w:val="none"/>
        </w:rPr>
      </w:pPr>
      <w:r>
        <w:rPr>
          <w:color w:val="auto"/>
          <w:sz w:val="24"/>
          <w:szCs w:val="24"/>
          <w:highlight w:val="none"/>
        </w:rPr>
        <w:t>由于物价波动原因引起合同价格需要调整的，其价格调整方式在专用合同条款中约定</w:t>
      </w:r>
      <w:r>
        <w:rPr>
          <w:rFonts w:hint="eastAsia"/>
          <w:color w:val="auto"/>
          <w:sz w:val="24"/>
          <w:szCs w:val="24"/>
          <w:highlight w:val="none"/>
        </w:rPr>
        <w:t>；</w:t>
      </w:r>
      <w:r>
        <w:rPr>
          <w:color w:val="auto"/>
          <w:sz w:val="24"/>
          <w:szCs w:val="24"/>
          <w:highlight w:val="none"/>
        </w:rPr>
        <w:t>除专用合同条款另有约定外，因物价波动引起的价格调整按照本款约定处理。</w:t>
      </w:r>
    </w:p>
    <w:p>
      <w:pPr>
        <w:pStyle w:val="47"/>
        <w:tabs>
          <w:tab w:val="left" w:pos="839"/>
        </w:tabs>
        <w:spacing w:line="347" w:lineRule="exact"/>
        <w:ind w:left="420" w:firstLine="0"/>
        <w:jc w:val="both"/>
        <w:rPr>
          <w:color w:val="auto"/>
          <w:sz w:val="24"/>
          <w:szCs w:val="24"/>
          <w:highlight w:val="none"/>
        </w:rPr>
      </w:pPr>
      <w:bookmarkStart w:id="721" w:name="bookmark1322"/>
      <w:bookmarkEnd w:id="721"/>
      <w:r>
        <w:rPr>
          <w:rFonts w:hint="eastAsia" w:ascii="Times New Roman" w:hAnsi="Times New Roman" w:cs="Times New Roman"/>
          <w:color w:val="auto"/>
          <w:sz w:val="24"/>
          <w:szCs w:val="24"/>
          <w:highlight w:val="none"/>
          <w:lang w:val="en-US" w:bidi="en-US"/>
        </w:rPr>
        <w:t>16.</w:t>
      </w:r>
      <w:r>
        <w:rPr>
          <w:rFonts w:ascii="Times New Roman" w:hAnsi="Times New Roman" w:eastAsia="Times New Roman" w:cs="Times New Roman"/>
          <w:color w:val="auto"/>
          <w:sz w:val="24"/>
          <w:szCs w:val="24"/>
          <w:highlight w:val="none"/>
          <w:lang w:val="en-US" w:bidi="en-US"/>
        </w:rPr>
        <w:t xml:space="preserve">1. </w:t>
      </w:r>
      <w:r>
        <w:rPr>
          <w:rFonts w:ascii="Times New Roman" w:hAnsi="Times New Roman" w:eastAsia="Times New Roman" w:cs="Times New Roman"/>
          <w:color w:val="auto"/>
          <w:sz w:val="24"/>
          <w:szCs w:val="24"/>
          <w:highlight w:val="none"/>
        </w:rPr>
        <w:t>1</w:t>
      </w:r>
      <w:r>
        <w:rPr>
          <w:color w:val="auto"/>
          <w:sz w:val="24"/>
          <w:szCs w:val="24"/>
          <w:highlight w:val="none"/>
        </w:rPr>
        <w:t>采用价格指数调整价格差额</w:t>
      </w:r>
    </w:p>
    <w:p>
      <w:pPr>
        <w:pStyle w:val="48"/>
        <w:tabs>
          <w:tab w:val="left" w:pos="839"/>
        </w:tabs>
        <w:spacing w:after="0" w:line="347" w:lineRule="exact"/>
        <w:ind w:left="420" w:firstLine="0"/>
        <w:jc w:val="both"/>
        <w:rPr>
          <w:color w:val="auto"/>
          <w:sz w:val="24"/>
          <w:szCs w:val="24"/>
          <w:highlight w:val="none"/>
          <w:lang w:eastAsia="zh-CN"/>
        </w:rPr>
      </w:pPr>
      <w:bookmarkStart w:id="722" w:name="bookmark1323"/>
      <w:bookmarkEnd w:id="722"/>
      <w:r>
        <w:rPr>
          <w:rFonts w:hint="eastAsia"/>
          <w:color w:val="auto"/>
          <w:sz w:val="24"/>
          <w:szCs w:val="24"/>
          <w:highlight w:val="none"/>
          <w:lang w:eastAsia="zh-CN"/>
        </w:rPr>
        <w:t xml:space="preserve">16. </w:t>
      </w:r>
      <w:r>
        <w:rPr>
          <w:color w:val="auto"/>
          <w:sz w:val="24"/>
          <w:szCs w:val="24"/>
          <w:highlight w:val="none"/>
          <w:lang w:eastAsia="zh-CN"/>
        </w:rPr>
        <w:t xml:space="preserve">1. 1. </w:t>
      </w:r>
      <w:r>
        <w:rPr>
          <w:color w:val="auto"/>
          <w:sz w:val="24"/>
          <w:szCs w:val="24"/>
          <w:highlight w:val="none"/>
          <w:lang w:val="zh-CN" w:eastAsia="zh-CN" w:bidi="zh-CN"/>
        </w:rPr>
        <w:t>1</w:t>
      </w:r>
      <w:r>
        <w:rPr>
          <w:rFonts w:ascii="宋体" w:hAnsi="宋体" w:cs="宋体"/>
          <w:color w:val="auto"/>
          <w:sz w:val="24"/>
          <w:szCs w:val="24"/>
          <w:highlight w:val="none"/>
          <w:lang w:val="zh-CN" w:eastAsia="zh-CN" w:bidi="zh-CN"/>
        </w:rPr>
        <w:t>价格调整公式</w:t>
      </w:r>
    </w:p>
    <w:p>
      <w:pPr>
        <w:pStyle w:val="47"/>
        <w:spacing w:after="140" w:line="347" w:lineRule="exact"/>
        <w:ind w:firstLine="420"/>
        <w:jc w:val="both"/>
        <w:rPr>
          <w:color w:val="auto"/>
          <w:sz w:val="24"/>
          <w:szCs w:val="24"/>
          <w:highlight w:val="none"/>
        </w:rPr>
      </w:pPr>
      <w:r>
        <w:rPr>
          <w:color w:val="auto"/>
          <w:sz w:val="24"/>
          <w:szCs w:val="24"/>
          <w:highlight w:val="none"/>
        </w:rPr>
        <w:t>因人工、材料和设备等价格波动影响合同价格时，根据投标函附录中的价格指数和权重表约定的数据，按以下公式计算差额并调整合同价格。</w:t>
      </w:r>
    </w:p>
    <w:p>
      <w:pPr>
        <w:pStyle w:val="47"/>
        <w:spacing w:line="240" w:lineRule="auto"/>
        <w:ind w:firstLine="420"/>
        <w:rPr>
          <w:color w:val="auto"/>
          <w:sz w:val="24"/>
          <w:szCs w:val="24"/>
          <w:highlight w:val="none"/>
          <w:lang w:val="en-US"/>
        </w:rPr>
      </w:pPr>
      <w:r>
        <w:rPr>
          <w:rFonts w:hint="eastAsia"/>
          <w:color w:val="auto"/>
          <w:position w:val="-34"/>
          <w:sz w:val="24"/>
          <w:szCs w:val="24"/>
          <w:highlight w:val="none"/>
        </w:rPr>
        <w:object>
          <v:shape id="_x0000_i1025" o:spt="75" type="#_x0000_t75" style="height:49.5pt;width:324.05pt;" o:ole="t" filled="f" o:preferrelative="t" stroked="f" coordsize="21600,21600">
            <v:path/>
            <v:fill on="f" focussize="0,0"/>
            <v:stroke on="f"/>
            <v:imagedata r:id="rId24" o:title=""/>
            <o:lock v:ext="edit" aspectratio="t"/>
            <w10:wrap type="none"/>
            <w10:anchorlock/>
          </v:shape>
          <o:OLEObject Type="Embed" ProgID="Equation.3" ShapeID="_x0000_i1025" DrawAspect="Content" ObjectID="_1468075725" r:id="rId23">
            <o:LockedField>false</o:LockedField>
          </o:OLEObject>
        </w:object>
      </w:r>
    </w:p>
    <w:p>
      <w:pPr>
        <w:pStyle w:val="47"/>
        <w:spacing w:line="374" w:lineRule="exact"/>
        <w:ind w:firstLine="420"/>
        <w:rPr>
          <w:color w:val="auto"/>
          <w:sz w:val="24"/>
          <w:szCs w:val="24"/>
          <w:highlight w:val="none"/>
          <w:lang w:val="en-US"/>
        </w:rPr>
      </w:pPr>
    </w:p>
    <w:p>
      <w:pPr>
        <w:pStyle w:val="47"/>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式中： △P -- 需调整的价格差额；</w:t>
      </w:r>
    </w:p>
    <w:p>
      <w:pPr>
        <w:pStyle w:val="47"/>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P0 --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pPr>
        <w:pStyle w:val="47"/>
        <w:spacing w:line="374" w:lineRule="exact"/>
        <w:ind w:firstLine="420"/>
        <w:rPr>
          <w:rFonts w:ascii="Times New Roman" w:hAnsi="Times New Roman" w:cs="Times New Roman"/>
          <w:color w:val="auto"/>
          <w:sz w:val="24"/>
          <w:szCs w:val="24"/>
          <w:highlight w:val="none"/>
          <w:lang w:val="en-US"/>
        </w:rPr>
      </w:pPr>
      <w:bookmarkStart w:id="723" w:name="_Toc152042495"/>
      <w:bookmarkStart w:id="724" w:name="_Toc144974686"/>
      <w:r>
        <w:rPr>
          <w:rFonts w:ascii="Times New Roman" w:hAnsi="Times New Roman" w:cs="Times New Roman"/>
          <w:color w:val="auto"/>
          <w:sz w:val="24"/>
          <w:szCs w:val="24"/>
          <w:highlight w:val="none"/>
          <w:lang w:val="en-US"/>
        </w:rPr>
        <w:t>A -- 定值权重(即不调部分的权重)；</w:t>
      </w:r>
      <w:bookmarkEnd w:id="723"/>
      <w:bookmarkEnd w:id="724"/>
    </w:p>
    <w:p>
      <w:pPr>
        <w:pStyle w:val="47"/>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B1；B2；B3·····Bn -- 各可调因子的变值权重(即可调部分的权重)为各可调因子在投标函投标总报价中所占的比例；</w:t>
      </w:r>
    </w:p>
    <w:p>
      <w:pPr>
        <w:pStyle w:val="47"/>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Ft1；Ft2；Ft3·····Ftn -- 各可调因子的现行价格指数，指第17.3.3项、第17.5.2项和第17.6.2项约定的付款证书相关周期最后一天的前42天的各可调因子的价格指数；</w:t>
      </w:r>
    </w:p>
    <w:p>
      <w:pPr>
        <w:pStyle w:val="47"/>
        <w:spacing w:line="374" w:lineRule="exact"/>
        <w:ind w:firstLine="420"/>
        <w:jc w:val="both"/>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Fo1；Fo2; Fo3·····Fon -- 各可调因子的基本价格指数，指基准日期的各可调因子的价格指数。</w:t>
      </w:r>
    </w:p>
    <w:p>
      <w:pPr>
        <w:pStyle w:val="47"/>
        <w:spacing w:after="120" w:line="353" w:lineRule="exact"/>
        <w:ind w:firstLine="420"/>
        <w:jc w:val="both"/>
        <w:rPr>
          <w:color w:val="auto"/>
          <w:sz w:val="24"/>
          <w:szCs w:val="24"/>
          <w:highlight w:val="none"/>
        </w:rPr>
      </w:pPr>
      <w:r>
        <w:rPr>
          <w:rFonts w:ascii="Times New Roman" w:hAnsi="Times New Roman" w:cs="Times New Roman"/>
          <w:color w:val="auto"/>
          <w:sz w:val="24"/>
          <w:szCs w:val="24"/>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pStyle w:val="47"/>
        <w:spacing w:line="379"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16.1.1.2</w:t>
      </w:r>
      <w:r>
        <w:rPr>
          <w:color w:val="auto"/>
          <w:sz w:val="24"/>
          <w:szCs w:val="24"/>
          <w:highlight w:val="none"/>
        </w:rPr>
        <w:t>暂时确定调整差额</w:t>
      </w:r>
    </w:p>
    <w:p>
      <w:pPr>
        <w:pStyle w:val="47"/>
        <w:spacing w:after="120" w:line="362" w:lineRule="exact"/>
        <w:ind w:firstLine="440"/>
        <w:jc w:val="both"/>
        <w:rPr>
          <w:color w:val="auto"/>
          <w:sz w:val="24"/>
          <w:szCs w:val="24"/>
          <w:highlight w:val="none"/>
        </w:rPr>
      </w:pPr>
      <w:r>
        <w:rPr>
          <w:color w:val="auto"/>
          <w:sz w:val="24"/>
          <w:szCs w:val="24"/>
          <w:highlight w:val="none"/>
        </w:rPr>
        <w:t>在计算调整差额时得不到现行价格指数的，可暂用上一次价格指数计算，并在以后的付款中再按实际价格指数进行调整。</w:t>
      </w:r>
    </w:p>
    <w:p>
      <w:pPr>
        <w:pStyle w:val="48"/>
        <w:spacing w:after="0" w:line="386" w:lineRule="auto"/>
        <w:ind w:firstLine="440"/>
        <w:jc w:val="both"/>
        <w:rPr>
          <w:color w:val="auto"/>
          <w:sz w:val="24"/>
          <w:szCs w:val="24"/>
          <w:highlight w:val="none"/>
          <w:lang w:eastAsia="zh-CN"/>
        </w:rPr>
      </w:pPr>
      <w:r>
        <w:rPr>
          <w:color w:val="auto"/>
          <w:sz w:val="24"/>
          <w:szCs w:val="24"/>
          <w:highlight w:val="none"/>
          <w:lang w:eastAsia="zh-CN"/>
        </w:rPr>
        <w:t>16.1.1.3</w:t>
      </w:r>
      <w:r>
        <w:rPr>
          <w:rFonts w:ascii="宋体" w:hAnsi="宋体" w:cs="宋体"/>
          <w:color w:val="auto"/>
          <w:sz w:val="24"/>
          <w:szCs w:val="24"/>
          <w:highlight w:val="none"/>
          <w:lang w:val="zh-CN" w:eastAsia="zh-CN" w:bidi="zh-CN"/>
        </w:rPr>
        <w:t>权重的调整</w:t>
      </w:r>
    </w:p>
    <w:p>
      <w:pPr>
        <w:pStyle w:val="47"/>
        <w:spacing w:after="120" w:line="370" w:lineRule="exact"/>
        <w:ind w:firstLine="440"/>
        <w:jc w:val="both"/>
        <w:rPr>
          <w:color w:val="auto"/>
          <w:sz w:val="24"/>
          <w:szCs w:val="24"/>
          <w:highlight w:val="none"/>
        </w:rPr>
      </w:pPr>
      <w:r>
        <w:rPr>
          <w:color w:val="auto"/>
          <w:sz w:val="24"/>
          <w:szCs w:val="24"/>
          <w:highlight w:val="none"/>
        </w:rPr>
        <w:t>按第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1</w:t>
      </w:r>
      <w:r>
        <w:rPr>
          <w:color w:val="auto"/>
          <w:sz w:val="24"/>
          <w:szCs w:val="24"/>
          <w:highlight w:val="none"/>
        </w:rPr>
        <w:t>款约定的变更导致原定合同中的权重不合理时，由监理人与承包人和发包人协商后进行调整。</w:t>
      </w:r>
    </w:p>
    <w:p>
      <w:pPr>
        <w:pStyle w:val="47"/>
        <w:spacing w:line="374"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16.1.1.4</w:t>
      </w:r>
      <w:r>
        <w:rPr>
          <w:color w:val="auto"/>
          <w:sz w:val="24"/>
          <w:szCs w:val="24"/>
          <w:highlight w:val="none"/>
        </w:rPr>
        <w:t>承包人工期延误后的价格调整</w:t>
      </w:r>
    </w:p>
    <w:p>
      <w:pPr>
        <w:pStyle w:val="47"/>
        <w:spacing w:after="120" w:line="356" w:lineRule="exact"/>
        <w:ind w:firstLine="440"/>
        <w:jc w:val="both"/>
        <w:rPr>
          <w:color w:val="auto"/>
          <w:sz w:val="24"/>
          <w:szCs w:val="24"/>
          <w:highlight w:val="none"/>
        </w:rPr>
      </w:pPr>
      <w:r>
        <w:rPr>
          <w:color w:val="auto"/>
          <w:sz w:val="24"/>
          <w:szCs w:val="24"/>
          <w:highlight w:val="none"/>
        </w:rPr>
        <w:t>由于承包人原因未在约定的工期内竣工的，则对原约定竣工日期后继续施工的工程, 在使用第</w:t>
      </w:r>
      <w:r>
        <w:rPr>
          <w:rFonts w:ascii="Times New Roman" w:hAnsi="Times New Roman" w:eastAsia="Times New Roman" w:cs="Times New Roman"/>
          <w:color w:val="auto"/>
          <w:sz w:val="24"/>
          <w:szCs w:val="24"/>
          <w:highlight w:val="none"/>
          <w:lang w:val="en-US" w:bidi="en-US"/>
        </w:rPr>
        <w:t xml:space="preserve">16. 1. 1. </w:t>
      </w:r>
      <w:r>
        <w:rPr>
          <w:rFonts w:ascii="Times New Roman" w:hAnsi="Times New Roman" w:eastAsia="Times New Roman" w:cs="Times New Roman"/>
          <w:color w:val="auto"/>
          <w:sz w:val="24"/>
          <w:szCs w:val="24"/>
          <w:highlight w:val="none"/>
        </w:rPr>
        <w:t>1</w:t>
      </w:r>
      <w:r>
        <w:rPr>
          <w:color w:val="auto"/>
          <w:sz w:val="24"/>
          <w:szCs w:val="24"/>
          <w:highlight w:val="none"/>
        </w:rPr>
        <w:t>目价格调整公式时，应采用原约定竣工日期与实际竣工日期的两个价格指数中较低的一个作为现行价格指数。</w:t>
      </w:r>
    </w:p>
    <w:p>
      <w:pPr>
        <w:pStyle w:val="47"/>
        <w:tabs>
          <w:tab w:val="left" w:pos="861"/>
        </w:tabs>
        <w:spacing w:line="374" w:lineRule="auto"/>
        <w:ind w:firstLine="0"/>
        <w:jc w:val="both"/>
        <w:rPr>
          <w:color w:val="auto"/>
          <w:sz w:val="24"/>
          <w:szCs w:val="24"/>
          <w:highlight w:val="none"/>
        </w:rPr>
      </w:pPr>
      <w:bookmarkStart w:id="725" w:name="bookmark1325"/>
      <w:bookmarkEnd w:id="725"/>
      <w:r>
        <w:rPr>
          <w:rFonts w:hint="eastAsia" w:ascii="Times New Roman" w:hAnsi="Times New Roman" w:cs="Times New Roman"/>
          <w:color w:val="auto"/>
          <w:sz w:val="24"/>
          <w:szCs w:val="24"/>
          <w:highlight w:val="none"/>
          <w:lang w:val="en-US" w:bidi="en-US"/>
        </w:rPr>
        <w:t>16.</w:t>
      </w:r>
      <w:r>
        <w:rPr>
          <w:rFonts w:ascii="Times New Roman" w:hAnsi="Times New Roman" w:eastAsia="Times New Roman" w:cs="Times New Roman"/>
          <w:color w:val="auto"/>
          <w:sz w:val="24"/>
          <w:szCs w:val="24"/>
          <w:highlight w:val="none"/>
          <w:lang w:val="en-US" w:bidi="en-US"/>
        </w:rPr>
        <w:t xml:space="preserve">1. </w:t>
      </w:r>
      <w:r>
        <w:rPr>
          <w:rFonts w:ascii="Times New Roman" w:hAnsi="Times New Roman" w:eastAsia="Times New Roman" w:cs="Times New Roman"/>
          <w:color w:val="auto"/>
          <w:sz w:val="24"/>
          <w:szCs w:val="24"/>
          <w:highlight w:val="none"/>
        </w:rPr>
        <w:t>2</w:t>
      </w:r>
      <w:r>
        <w:rPr>
          <w:color w:val="auto"/>
          <w:sz w:val="24"/>
          <w:szCs w:val="24"/>
          <w:highlight w:val="none"/>
        </w:rPr>
        <w:t>采用造价信息调整价格差额</w:t>
      </w:r>
    </w:p>
    <w:p>
      <w:pPr>
        <w:pStyle w:val="47"/>
        <w:spacing w:line="359" w:lineRule="exact"/>
        <w:ind w:firstLine="440"/>
        <w:jc w:val="both"/>
        <w:rPr>
          <w:color w:val="auto"/>
          <w:sz w:val="24"/>
          <w:szCs w:val="24"/>
          <w:highlight w:val="none"/>
        </w:rPr>
      </w:pPr>
      <w:r>
        <w:rPr>
          <w:color w:val="auto"/>
          <w:sz w:val="24"/>
          <w:szCs w:val="24"/>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 数量，作为调整工程合同价格差额的依据。</w:t>
      </w:r>
    </w:p>
    <w:p>
      <w:pPr>
        <w:pStyle w:val="47"/>
        <w:spacing w:after="160" w:line="359" w:lineRule="exact"/>
        <w:ind w:firstLine="420"/>
        <w:rPr>
          <w:color w:val="auto"/>
          <w:sz w:val="24"/>
          <w:szCs w:val="24"/>
          <w:highlight w:val="none"/>
        </w:rPr>
      </w:pPr>
      <w:r>
        <w:rPr>
          <w:color w:val="auto"/>
          <w:sz w:val="24"/>
          <w:szCs w:val="24"/>
          <w:highlight w:val="none"/>
        </w:rPr>
        <w:t>工程造价信息的来源以及价格调整的项目和系数在专用合同条款中约定。</w:t>
      </w:r>
    </w:p>
    <w:p>
      <w:pPr>
        <w:pStyle w:val="5"/>
        <w:ind w:left="0" w:leftChars="0" w:firstLine="0" w:firstLineChars="0"/>
        <w:rPr>
          <w:color w:val="auto"/>
          <w:sz w:val="24"/>
          <w:szCs w:val="24"/>
          <w:highlight w:val="none"/>
          <w:lang w:eastAsia="zh-CN"/>
        </w:rPr>
      </w:pPr>
      <w:bookmarkStart w:id="726" w:name="bookmark1327"/>
      <w:bookmarkStart w:id="727" w:name="bookmark1326"/>
      <w:bookmarkStart w:id="728" w:name="bookmark1328"/>
      <w:bookmarkStart w:id="729" w:name="_Toc30516"/>
      <w:r>
        <w:rPr>
          <w:color w:val="auto"/>
          <w:sz w:val="24"/>
          <w:szCs w:val="24"/>
          <w:highlight w:val="none"/>
          <w:lang w:eastAsia="zh-CN"/>
        </w:rPr>
        <w:t>16.2法律变化引起的价格调整</w:t>
      </w:r>
      <w:bookmarkEnd w:id="726"/>
      <w:bookmarkEnd w:id="727"/>
      <w:bookmarkEnd w:id="728"/>
      <w:bookmarkEnd w:id="729"/>
    </w:p>
    <w:p>
      <w:pPr>
        <w:pStyle w:val="47"/>
        <w:spacing w:after="300" w:line="348" w:lineRule="exact"/>
        <w:ind w:firstLine="440"/>
        <w:jc w:val="both"/>
        <w:rPr>
          <w:color w:val="auto"/>
          <w:sz w:val="24"/>
          <w:szCs w:val="24"/>
          <w:highlight w:val="none"/>
        </w:rPr>
      </w:pPr>
      <w:r>
        <w:rPr>
          <w:color w:val="auto"/>
          <w:sz w:val="24"/>
          <w:szCs w:val="24"/>
          <w:highlight w:val="none"/>
        </w:rPr>
        <w:t>在基准日后，因法律变化导致承包人在合同履行中所需要的工程费用发生除第</w:t>
      </w:r>
      <w:r>
        <w:rPr>
          <w:rFonts w:ascii="Times New Roman" w:hAnsi="Times New Roman" w:eastAsia="Times New Roman" w:cs="Times New Roman"/>
          <w:color w:val="auto"/>
          <w:sz w:val="24"/>
          <w:szCs w:val="24"/>
          <w:highlight w:val="none"/>
          <w:lang w:val="en-US" w:bidi="en-US"/>
        </w:rPr>
        <w:t xml:space="preserve">16. </w:t>
      </w:r>
      <w:r>
        <w:rPr>
          <w:rFonts w:ascii="Times New Roman" w:hAnsi="Times New Roman" w:eastAsia="Times New Roman" w:cs="Times New Roman"/>
          <w:color w:val="auto"/>
          <w:sz w:val="24"/>
          <w:szCs w:val="24"/>
          <w:highlight w:val="none"/>
        </w:rPr>
        <w:t>1</w:t>
      </w:r>
      <w:r>
        <w:rPr>
          <w:color w:val="auto"/>
          <w:sz w:val="24"/>
          <w:szCs w:val="24"/>
          <w:highlight w:val="none"/>
        </w:rPr>
        <w:t>款约定以外的增减时，监理人应根据法律、国家或省、自治区、直辖市有关部门的规定，按第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款商定或确定需调整的合同价款。</w:t>
      </w:r>
    </w:p>
    <w:p>
      <w:pPr>
        <w:pStyle w:val="4"/>
        <w:spacing w:line="360" w:lineRule="exact"/>
        <w:rPr>
          <w:rFonts w:hint="eastAsia"/>
          <w:color w:val="auto"/>
          <w:sz w:val="24"/>
          <w:szCs w:val="24"/>
          <w:highlight w:val="none"/>
          <w:lang w:eastAsia="zh-CN"/>
        </w:rPr>
      </w:pPr>
      <w:bookmarkStart w:id="730" w:name="_Toc1918800147"/>
      <w:bookmarkStart w:id="731" w:name="bookmark1329"/>
      <w:bookmarkStart w:id="732" w:name="bookmark1331"/>
      <w:bookmarkStart w:id="733" w:name="_Toc15158"/>
      <w:bookmarkStart w:id="734" w:name="bookmark1330"/>
      <w:bookmarkStart w:id="735" w:name="_Toc10610"/>
      <w:r>
        <w:rPr>
          <w:rFonts w:hint="eastAsia"/>
          <w:color w:val="auto"/>
          <w:sz w:val="24"/>
          <w:szCs w:val="24"/>
          <w:highlight w:val="none"/>
          <w:lang w:eastAsia="zh-CN"/>
        </w:rPr>
        <w:t>17.计量与支付</w:t>
      </w:r>
      <w:bookmarkEnd w:id="730"/>
      <w:bookmarkEnd w:id="731"/>
      <w:bookmarkEnd w:id="732"/>
      <w:bookmarkEnd w:id="733"/>
      <w:bookmarkEnd w:id="734"/>
      <w:bookmarkEnd w:id="735"/>
    </w:p>
    <w:p>
      <w:pPr>
        <w:pStyle w:val="5"/>
        <w:ind w:left="0" w:leftChars="0" w:firstLine="0" w:firstLineChars="0"/>
        <w:rPr>
          <w:color w:val="auto"/>
          <w:sz w:val="24"/>
          <w:szCs w:val="24"/>
          <w:highlight w:val="none"/>
          <w:lang w:eastAsia="zh-CN"/>
        </w:rPr>
      </w:pPr>
      <w:bookmarkStart w:id="736" w:name="bookmark1334"/>
      <w:bookmarkStart w:id="737" w:name="bookmark1332"/>
      <w:bookmarkStart w:id="738" w:name="bookmark1333"/>
      <w:bookmarkStart w:id="739" w:name="_Toc7733"/>
      <w:r>
        <w:rPr>
          <w:color w:val="auto"/>
          <w:sz w:val="24"/>
          <w:szCs w:val="24"/>
          <w:highlight w:val="none"/>
          <w:lang w:eastAsia="zh-CN"/>
        </w:rPr>
        <w:t>17.1计量</w:t>
      </w:r>
      <w:bookmarkEnd w:id="736"/>
      <w:bookmarkEnd w:id="737"/>
      <w:bookmarkEnd w:id="738"/>
      <w:bookmarkEnd w:id="739"/>
    </w:p>
    <w:p>
      <w:pPr>
        <w:pStyle w:val="48"/>
        <w:tabs>
          <w:tab w:val="left" w:pos="841"/>
        </w:tabs>
        <w:spacing w:after="0" w:line="360" w:lineRule="exact"/>
        <w:ind w:firstLine="0"/>
        <w:rPr>
          <w:rFonts w:ascii="Times New Roman" w:hAnsi="Times New Roman"/>
          <w:color w:val="auto"/>
          <w:sz w:val="24"/>
          <w:szCs w:val="24"/>
          <w:highlight w:val="none"/>
          <w:lang w:eastAsia="zh-CN"/>
        </w:rPr>
      </w:pPr>
      <w:bookmarkStart w:id="740" w:name="bookmark1335"/>
      <w:bookmarkEnd w:id="740"/>
      <w:r>
        <w:rPr>
          <w:rFonts w:ascii="Times New Roman" w:hAnsi="Times New Roman"/>
          <w:color w:val="auto"/>
          <w:sz w:val="24"/>
          <w:szCs w:val="24"/>
          <w:highlight w:val="none"/>
          <w:lang w:eastAsia="zh-CN"/>
        </w:rPr>
        <w:t xml:space="preserve">    17.1. </w:t>
      </w:r>
      <w:r>
        <w:rPr>
          <w:rFonts w:ascii="Times New Roman" w:hAnsi="Times New Roman"/>
          <w:color w:val="auto"/>
          <w:sz w:val="24"/>
          <w:szCs w:val="24"/>
          <w:highlight w:val="none"/>
          <w:lang w:val="zh-CN" w:eastAsia="zh-CN" w:bidi="zh-CN"/>
        </w:rPr>
        <w:t>1计量单位</w:t>
      </w:r>
    </w:p>
    <w:p>
      <w:pPr>
        <w:pStyle w:val="47"/>
        <w:spacing w:after="120"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计量采用国家法定的计量单位。</w:t>
      </w:r>
    </w:p>
    <w:p>
      <w:pPr>
        <w:pStyle w:val="47"/>
        <w:tabs>
          <w:tab w:val="left" w:pos="841"/>
        </w:tabs>
        <w:spacing w:line="360" w:lineRule="exact"/>
        <w:ind w:left="420" w:firstLine="0"/>
        <w:rPr>
          <w:rFonts w:ascii="Times New Roman" w:hAnsi="Times New Roman" w:cs="Times New Roman"/>
          <w:color w:val="auto"/>
          <w:sz w:val="24"/>
          <w:szCs w:val="24"/>
          <w:highlight w:val="none"/>
        </w:rPr>
      </w:pPr>
      <w:bookmarkStart w:id="741" w:name="bookmark1336"/>
      <w:bookmarkEnd w:id="741"/>
      <w:r>
        <w:rPr>
          <w:rFonts w:hint="eastAsia" w:ascii="Times New Roman" w:hAnsi="Times New Roman" w:cs="Times New Roman"/>
          <w:color w:val="auto"/>
          <w:sz w:val="24"/>
          <w:szCs w:val="24"/>
          <w:highlight w:val="none"/>
          <w:lang w:val="en-US" w:bidi="en-US"/>
        </w:rPr>
        <w:t>17.</w:t>
      </w:r>
      <w:r>
        <w:rPr>
          <w:rFonts w:ascii="Times New Roman" w:hAnsi="Times New Roman" w:eastAsia="Times New Roman" w:cs="Times New Roman"/>
          <w:color w:val="auto"/>
          <w:sz w:val="24"/>
          <w:szCs w:val="24"/>
          <w:highlight w:val="none"/>
          <w:lang w:val="en-US" w:bidi="en-US"/>
        </w:rPr>
        <w:t xml:space="preserve">1.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计量方法</w:t>
      </w:r>
    </w:p>
    <w:p>
      <w:pPr>
        <w:pStyle w:val="47"/>
        <w:spacing w:after="120"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结算工程量应按工程量清单中约定的方法计算。</w:t>
      </w:r>
    </w:p>
    <w:p>
      <w:pPr>
        <w:pStyle w:val="48"/>
        <w:spacing w:after="0" w:line="360" w:lineRule="exact"/>
        <w:rPr>
          <w:rFonts w:ascii="Times New Roman" w:hAnsi="Times New Roman"/>
          <w:color w:val="auto"/>
          <w:sz w:val="24"/>
          <w:szCs w:val="24"/>
          <w:highlight w:val="none"/>
          <w:lang w:eastAsia="zh-CN"/>
        </w:rPr>
      </w:pPr>
      <w:r>
        <w:rPr>
          <w:rFonts w:ascii="Times New Roman" w:hAnsi="Times New Roman"/>
          <w:color w:val="auto"/>
          <w:sz w:val="24"/>
          <w:szCs w:val="24"/>
          <w:highlight w:val="none"/>
          <w:lang w:eastAsia="zh-CN"/>
        </w:rPr>
        <w:t>17.1.</w:t>
      </w:r>
      <w:r>
        <w:rPr>
          <w:rFonts w:ascii="Times New Roman" w:hAnsi="Times New Roman"/>
          <w:color w:val="auto"/>
          <w:sz w:val="24"/>
          <w:szCs w:val="24"/>
          <w:highlight w:val="none"/>
          <w:lang w:val="zh-CN" w:eastAsia="zh-CN" w:bidi="zh-CN"/>
        </w:rPr>
        <w:t>3计量周期</w:t>
      </w:r>
    </w:p>
    <w:p>
      <w:pPr>
        <w:pStyle w:val="47"/>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除专用合同条款另有约定外，单价子目已完成工程量按月计量，总价子目的计量周期 按批准的支付分解报告确定。</w:t>
      </w:r>
    </w:p>
    <w:p>
      <w:pPr>
        <w:pStyle w:val="47"/>
        <w:spacing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17.1.4</w:t>
      </w:r>
      <w:r>
        <w:rPr>
          <w:rFonts w:ascii="Times New Roman" w:hAnsi="Times New Roman" w:cs="Times New Roman"/>
          <w:color w:val="auto"/>
          <w:sz w:val="24"/>
          <w:szCs w:val="24"/>
          <w:highlight w:val="none"/>
        </w:rPr>
        <w:t>单价子目的计量</w:t>
      </w:r>
    </w:p>
    <w:p>
      <w:pPr>
        <w:pStyle w:val="47"/>
        <w:numPr>
          <w:ilvl w:val="0"/>
          <w:numId w:val="17"/>
        </w:numPr>
        <w:tabs>
          <w:tab w:val="left" w:pos="920"/>
        </w:tabs>
        <w:spacing w:line="360" w:lineRule="exact"/>
        <w:ind w:firstLine="440"/>
        <w:jc w:val="both"/>
        <w:rPr>
          <w:rFonts w:ascii="Times New Roman" w:hAnsi="Times New Roman" w:cs="Times New Roman"/>
          <w:color w:val="auto"/>
          <w:sz w:val="24"/>
          <w:szCs w:val="24"/>
          <w:highlight w:val="none"/>
        </w:rPr>
      </w:pPr>
      <w:bookmarkStart w:id="742" w:name="bookmark1337"/>
      <w:bookmarkEnd w:id="742"/>
      <w:r>
        <w:rPr>
          <w:rFonts w:ascii="Times New Roman" w:hAnsi="Times New Roman" w:cs="Times New Roman"/>
          <w:color w:val="auto"/>
          <w:sz w:val="24"/>
          <w:szCs w:val="24"/>
          <w:highlight w:val="none"/>
        </w:rPr>
        <w:t>已标价工程量清单中的单价子目工程量为估算工程量。结算工程量是承包人实际完成的，并按合同约定的计量方法进行计量的工程量。</w:t>
      </w:r>
    </w:p>
    <w:p>
      <w:pPr>
        <w:pStyle w:val="47"/>
        <w:numPr>
          <w:ilvl w:val="0"/>
          <w:numId w:val="17"/>
        </w:numPr>
        <w:tabs>
          <w:tab w:val="left" w:pos="920"/>
        </w:tabs>
        <w:spacing w:line="360" w:lineRule="exact"/>
        <w:ind w:firstLine="440"/>
        <w:jc w:val="both"/>
        <w:rPr>
          <w:rFonts w:ascii="Times New Roman" w:hAnsi="Times New Roman" w:cs="Times New Roman"/>
          <w:color w:val="auto"/>
          <w:sz w:val="24"/>
          <w:szCs w:val="24"/>
          <w:highlight w:val="none"/>
        </w:rPr>
      </w:pPr>
      <w:bookmarkStart w:id="743" w:name="bookmark1338"/>
      <w:bookmarkEnd w:id="743"/>
      <w:r>
        <w:rPr>
          <w:rFonts w:ascii="Times New Roman" w:hAnsi="Times New Roman" w:cs="Times New Roman"/>
          <w:color w:val="auto"/>
          <w:sz w:val="24"/>
          <w:szCs w:val="24"/>
          <w:highlight w:val="none"/>
        </w:rPr>
        <w:t>承包人对已完成的工程进行计量，向监理人提交进度付款申请单、已完成工程量报表和有关计量资料。</w:t>
      </w:r>
    </w:p>
    <w:p>
      <w:pPr>
        <w:pStyle w:val="47"/>
        <w:numPr>
          <w:ilvl w:val="0"/>
          <w:numId w:val="17"/>
        </w:numPr>
        <w:tabs>
          <w:tab w:val="left" w:pos="483"/>
        </w:tabs>
        <w:spacing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监理人对承包人提交的工程量报表进行复核，以确定实际完成的工程量。对数量</w:t>
      </w:r>
      <w:bookmarkStart w:id="744" w:name="bookmark1339"/>
      <w:bookmarkEnd w:id="744"/>
      <w:r>
        <w:rPr>
          <w:rFonts w:ascii="Times New Roman" w:hAnsi="Times New Roman" w:cs="Times New Roman"/>
          <w:color w:val="auto"/>
          <w:sz w:val="24"/>
          <w:szCs w:val="24"/>
          <w:highlight w:val="none"/>
        </w:rPr>
        <w:t>有异议的，可要求承包人按第</w:t>
      </w:r>
      <w:r>
        <w:rPr>
          <w:rFonts w:ascii="Times New Roman" w:hAnsi="Times New Roman" w:eastAsia="Times New Roman" w:cs="Times New Roman"/>
          <w:color w:val="auto"/>
          <w:sz w:val="24"/>
          <w:szCs w:val="24"/>
          <w:highlight w:val="none"/>
          <w:lang w:val="en-US" w:bidi="en-US"/>
        </w:rPr>
        <w:t xml:space="preserve">8.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款约定进行共同复核和抽样复测。承包人应协助监理人进行复核并按监理人要求提供补充计量资料。承包人未按监理人要求参加复核，监理人复核或修正的工程量视为承包人实际完成的工程量。</w:t>
      </w:r>
    </w:p>
    <w:p>
      <w:pPr>
        <w:pStyle w:val="47"/>
        <w:numPr>
          <w:ilvl w:val="0"/>
          <w:numId w:val="17"/>
        </w:numPr>
        <w:tabs>
          <w:tab w:val="left" w:pos="899"/>
        </w:tabs>
        <w:spacing w:line="360" w:lineRule="exact"/>
        <w:ind w:firstLine="440"/>
        <w:jc w:val="both"/>
        <w:rPr>
          <w:rFonts w:ascii="Times New Roman" w:hAnsi="Times New Roman" w:cs="Times New Roman"/>
          <w:color w:val="auto"/>
          <w:sz w:val="24"/>
          <w:szCs w:val="24"/>
          <w:highlight w:val="none"/>
        </w:rPr>
      </w:pPr>
      <w:bookmarkStart w:id="745" w:name="bookmark1340"/>
      <w:bookmarkEnd w:id="745"/>
      <w:r>
        <w:rPr>
          <w:rFonts w:ascii="Times New Roman" w:hAnsi="Times New Roman" w:cs="Times New Roman"/>
          <w:color w:val="auto"/>
          <w:sz w:val="24"/>
          <w:szCs w:val="24"/>
          <w:highlight w:val="none"/>
        </w:rPr>
        <w:t>监理人认为有必要时，可通知承包人共同进行联合测量、计量，承包人应遵照执行。</w:t>
      </w:r>
    </w:p>
    <w:p>
      <w:pPr>
        <w:pStyle w:val="47"/>
        <w:numPr>
          <w:ilvl w:val="0"/>
          <w:numId w:val="17"/>
        </w:numPr>
        <w:tabs>
          <w:tab w:val="left" w:pos="902"/>
        </w:tabs>
        <w:spacing w:line="360" w:lineRule="exact"/>
        <w:ind w:firstLine="440"/>
        <w:jc w:val="both"/>
        <w:rPr>
          <w:rFonts w:ascii="Times New Roman" w:hAnsi="Times New Roman" w:cs="Times New Roman"/>
          <w:color w:val="auto"/>
          <w:sz w:val="24"/>
          <w:szCs w:val="24"/>
          <w:highlight w:val="none"/>
        </w:rPr>
      </w:pPr>
      <w:bookmarkStart w:id="746" w:name="bookmark1341"/>
      <w:bookmarkEnd w:id="746"/>
      <w:r>
        <w:rPr>
          <w:rFonts w:ascii="Times New Roman" w:hAnsi="Times New Roman" w:cs="Times New Roman"/>
          <w:color w:val="auto"/>
          <w:sz w:val="24"/>
          <w:szCs w:val="24"/>
          <w:highlight w:val="none"/>
        </w:rPr>
        <w:t>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pStyle w:val="47"/>
        <w:numPr>
          <w:ilvl w:val="0"/>
          <w:numId w:val="17"/>
        </w:numPr>
        <w:tabs>
          <w:tab w:val="left" w:pos="902"/>
        </w:tabs>
        <w:spacing w:line="360" w:lineRule="exact"/>
        <w:ind w:firstLine="440"/>
        <w:jc w:val="both"/>
        <w:rPr>
          <w:rFonts w:ascii="Times New Roman" w:hAnsi="Times New Roman" w:cs="Times New Roman"/>
          <w:color w:val="auto"/>
          <w:sz w:val="24"/>
          <w:szCs w:val="24"/>
          <w:highlight w:val="none"/>
        </w:rPr>
      </w:pPr>
      <w:bookmarkStart w:id="747" w:name="bookmark1342"/>
      <w:bookmarkEnd w:id="747"/>
      <w:r>
        <w:rPr>
          <w:rFonts w:ascii="Times New Roman" w:hAnsi="Times New Roman" w:cs="Times New Roman"/>
          <w:color w:val="auto"/>
          <w:sz w:val="24"/>
          <w:szCs w:val="24"/>
          <w:highlight w:val="none"/>
        </w:rPr>
        <w:t>监理人应在收到承包人提交的工程量报表后的</w:t>
      </w:r>
      <w:r>
        <w:rPr>
          <w:rFonts w:ascii="Times New Roman" w:hAnsi="Times New Roman" w:eastAsia="Times New Roman" w:cs="Times New Roman"/>
          <w:color w:val="auto"/>
          <w:sz w:val="24"/>
          <w:szCs w:val="24"/>
          <w:highlight w:val="none"/>
        </w:rPr>
        <w:t>7</w:t>
      </w:r>
      <w:r>
        <w:rPr>
          <w:rFonts w:ascii="Times New Roman" w:hAnsi="Times New Roman" w:cs="Times New Roman"/>
          <w:color w:val="auto"/>
          <w:sz w:val="24"/>
          <w:szCs w:val="24"/>
          <w:highlight w:val="none"/>
        </w:rPr>
        <w:t>天内进行复核，监理人未在约定时间内复核的，承包人提交的工程量报表中的工程量视为承包人实际完成的工程量，据此计算工程价款。</w:t>
      </w:r>
    </w:p>
    <w:p>
      <w:pPr>
        <w:pStyle w:val="47"/>
        <w:spacing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17.1.5</w:t>
      </w:r>
      <w:r>
        <w:rPr>
          <w:rFonts w:ascii="Times New Roman" w:hAnsi="Times New Roman" w:cs="Times New Roman"/>
          <w:color w:val="auto"/>
          <w:sz w:val="24"/>
          <w:szCs w:val="24"/>
          <w:highlight w:val="none"/>
        </w:rPr>
        <w:t>总价子目的计量</w:t>
      </w:r>
    </w:p>
    <w:p>
      <w:pPr>
        <w:pStyle w:val="47"/>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总价子目的分解和计量按照下述约定进行。</w:t>
      </w:r>
    </w:p>
    <w:p>
      <w:pPr>
        <w:pStyle w:val="47"/>
        <w:numPr>
          <w:ilvl w:val="0"/>
          <w:numId w:val="18"/>
        </w:numPr>
        <w:tabs>
          <w:tab w:val="left" w:pos="899"/>
        </w:tabs>
        <w:spacing w:line="360" w:lineRule="exact"/>
        <w:ind w:firstLine="440"/>
        <w:jc w:val="both"/>
        <w:rPr>
          <w:rFonts w:ascii="Times New Roman" w:hAnsi="Times New Roman" w:cs="Times New Roman"/>
          <w:color w:val="auto"/>
          <w:sz w:val="24"/>
          <w:szCs w:val="24"/>
          <w:highlight w:val="none"/>
        </w:rPr>
      </w:pPr>
      <w:bookmarkStart w:id="748" w:name="bookmark1343"/>
      <w:bookmarkEnd w:id="748"/>
      <w:r>
        <w:rPr>
          <w:rFonts w:ascii="Times New Roman" w:hAnsi="Times New Roman" w:cs="Times New Roman"/>
          <w:color w:val="auto"/>
          <w:sz w:val="24"/>
          <w:szCs w:val="24"/>
          <w:highlight w:val="none"/>
        </w:rPr>
        <w:t>总价子目的计量和支付应以总价为基础，不因第</w:t>
      </w:r>
      <w:r>
        <w:rPr>
          <w:rFonts w:ascii="Times New Roman" w:hAnsi="Times New Roman" w:eastAsia="Times New Roman" w:cs="Times New Roman"/>
          <w:color w:val="auto"/>
          <w:sz w:val="24"/>
          <w:szCs w:val="24"/>
          <w:highlight w:val="none"/>
          <w:lang w:val="en-US" w:bidi="en-US"/>
        </w:rPr>
        <w:t>16.1</w:t>
      </w:r>
      <w:r>
        <w:rPr>
          <w:rFonts w:ascii="Times New Roman" w:hAnsi="Times New Roman" w:cs="Times New Roman"/>
          <w:color w:val="auto"/>
          <w:sz w:val="24"/>
          <w:szCs w:val="24"/>
          <w:highlight w:val="none"/>
        </w:rPr>
        <w:t>款中的因素而进行调整。承包人实际完成的工程量，是进行工程目标管理和控制进度支付的依据。</w:t>
      </w:r>
    </w:p>
    <w:p>
      <w:pPr>
        <w:pStyle w:val="47"/>
        <w:numPr>
          <w:ilvl w:val="0"/>
          <w:numId w:val="18"/>
        </w:numPr>
        <w:tabs>
          <w:tab w:val="left" w:pos="899"/>
        </w:tabs>
        <w:spacing w:line="360" w:lineRule="exact"/>
        <w:ind w:firstLine="440"/>
        <w:jc w:val="both"/>
        <w:rPr>
          <w:rFonts w:ascii="Times New Roman" w:hAnsi="Times New Roman" w:cs="Times New Roman"/>
          <w:color w:val="auto"/>
          <w:sz w:val="24"/>
          <w:szCs w:val="24"/>
          <w:highlight w:val="none"/>
        </w:rPr>
      </w:pPr>
      <w:bookmarkStart w:id="749" w:name="bookmark1344"/>
      <w:bookmarkEnd w:id="749"/>
      <w:r>
        <w:rPr>
          <w:rFonts w:ascii="Times New Roman" w:hAnsi="Times New Roman" w:cs="Times New Roman"/>
          <w:color w:val="auto"/>
          <w:sz w:val="24"/>
          <w:szCs w:val="24"/>
          <w:highlight w:val="none"/>
        </w:rPr>
        <w:t>承包人应按工程量清单的要求对总价子目进行分解，并在签订协议书后的</w:t>
      </w:r>
      <w:r>
        <w:rPr>
          <w:rFonts w:ascii="Times New Roman" w:hAnsi="Times New Roman" w:eastAsia="Times New Roman" w:cs="Times New Roman"/>
          <w:color w:val="auto"/>
          <w:sz w:val="24"/>
          <w:szCs w:val="24"/>
          <w:highlight w:val="none"/>
        </w:rPr>
        <w:t>28</w:t>
      </w:r>
      <w:r>
        <w:rPr>
          <w:rFonts w:ascii="Times New Roman" w:hAnsi="Times New Roman" w:cs="Times New Roman"/>
          <w:color w:val="auto"/>
          <w:sz w:val="24"/>
          <w:szCs w:val="24"/>
          <w:highlight w:val="none"/>
        </w:rPr>
        <w:t>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pPr>
        <w:pStyle w:val="47"/>
        <w:numPr>
          <w:ilvl w:val="0"/>
          <w:numId w:val="18"/>
        </w:numPr>
        <w:tabs>
          <w:tab w:val="left" w:pos="899"/>
        </w:tabs>
        <w:spacing w:line="360" w:lineRule="exact"/>
        <w:ind w:firstLine="440"/>
        <w:jc w:val="both"/>
        <w:rPr>
          <w:rFonts w:ascii="Times New Roman" w:hAnsi="Times New Roman" w:cs="Times New Roman"/>
          <w:color w:val="auto"/>
          <w:sz w:val="24"/>
          <w:szCs w:val="24"/>
          <w:highlight w:val="none"/>
        </w:rPr>
      </w:pPr>
      <w:bookmarkStart w:id="750" w:name="bookmark1345"/>
      <w:bookmarkEnd w:id="750"/>
      <w:r>
        <w:rPr>
          <w:rFonts w:ascii="Times New Roman" w:hAnsi="Times New Roman" w:cs="Times New Roman"/>
          <w:color w:val="auto"/>
          <w:sz w:val="24"/>
          <w:szCs w:val="24"/>
          <w:highlight w:val="none"/>
        </w:rPr>
        <w:t>监理人对承包人提交的上述资料进行复核，以确定分阶段实际完成的工程量和工程形象目标。对其有异议的，可要求承包人按第</w:t>
      </w:r>
      <w:r>
        <w:rPr>
          <w:rFonts w:ascii="Times New Roman" w:hAnsi="Times New Roman" w:eastAsia="Times New Roman" w:cs="Times New Roman"/>
          <w:color w:val="auto"/>
          <w:sz w:val="24"/>
          <w:szCs w:val="24"/>
          <w:highlight w:val="none"/>
          <w:lang w:val="en-US" w:bidi="en-US"/>
        </w:rPr>
        <w:t xml:space="preserve">8.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款约定进行共同复核和抽样复测。</w:t>
      </w:r>
    </w:p>
    <w:p>
      <w:pPr>
        <w:pStyle w:val="47"/>
        <w:numPr>
          <w:ilvl w:val="0"/>
          <w:numId w:val="18"/>
        </w:numPr>
        <w:tabs>
          <w:tab w:val="left" w:pos="899"/>
        </w:tabs>
        <w:spacing w:after="140" w:line="360" w:lineRule="exact"/>
        <w:ind w:firstLine="440"/>
        <w:jc w:val="both"/>
        <w:rPr>
          <w:rFonts w:ascii="Times New Roman" w:hAnsi="Times New Roman" w:cs="Times New Roman"/>
          <w:color w:val="auto"/>
          <w:sz w:val="24"/>
          <w:szCs w:val="24"/>
          <w:highlight w:val="none"/>
        </w:rPr>
      </w:pPr>
      <w:bookmarkStart w:id="751" w:name="bookmark1346"/>
      <w:bookmarkEnd w:id="751"/>
      <w:r>
        <w:rPr>
          <w:rFonts w:ascii="Times New Roman" w:hAnsi="Times New Roman" w:cs="Times New Roman"/>
          <w:color w:val="auto"/>
          <w:sz w:val="24"/>
          <w:szCs w:val="24"/>
          <w:highlight w:val="none"/>
        </w:rPr>
        <w:t>除按照第</w:t>
      </w:r>
      <w:r>
        <w:rPr>
          <w:rFonts w:ascii="Times New Roman" w:hAnsi="Times New Roman" w:eastAsia="Times New Roman" w:cs="Times New Roman"/>
          <w:color w:val="auto"/>
          <w:sz w:val="24"/>
          <w:szCs w:val="24"/>
          <w:highlight w:val="none"/>
        </w:rPr>
        <w:t>15</w:t>
      </w:r>
      <w:r>
        <w:rPr>
          <w:rFonts w:ascii="Times New Roman" w:hAnsi="Times New Roman" w:cs="Times New Roman"/>
          <w:color w:val="auto"/>
          <w:sz w:val="24"/>
          <w:szCs w:val="24"/>
          <w:highlight w:val="none"/>
        </w:rPr>
        <w:t>条约定的变更外，总价子目的工程量是承包人用于结算的最终工程量。</w:t>
      </w:r>
    </w:p>
    <w:p>
      <w:pPr>
        <w:pStyle w:val="5"/>
        <w:ind w:left="0" w:leftChars="0" w:firstLine="0" w:firstLineChars="0"/>
        <w:rPr>
          <w:color w:val="auto"/>
          <w:sz w:val="24"/>
          <w:szCs w:val="24"/>
          <w:highlight w:val="none"/>
          <w:lang w:eastAsia="zh-CN"/>
        </w:rPr>
      </w:pPr>
      <w:bookmarkStart w:id="752" w:name="bookmark1349"/>
      <w:bookmarkStart w:id="753" w:name="bookmark1347"/>
      <w:bookmarkStart w:id="754" w:name="_Toc1366"/>
      <w:bookmarkStart w:id="755" w:name="bookmark1348"/>
      <w:r>
        <w:rPr>
          <w:color w:val="auto"/>
          <w:sz w:val="24"/>
          <w:szCs w:val="24"/>
          <w:highlight w:val="none"/>
          <w:lang w:eastAsia="zh-CN"/>
        </w:rPr>
        <w:t>17.2预付款</w:t>
      </w:r>
      <w:bookmarkEnd w:id="752"/>
      <w:bookmarkEnd w:id="753"/>
      <w:bookmarkEnd w:id="754"/>
      <w:bookmarkEnd w:id="755"/>
    </w:p>
    <w:p>
      <w:pPr>
        <w:pStyle w:val="48"/>
        <w:spacing w:after="0" w:line="394" w:lineRule="auto"/>
        <w:ind w:firstLine="440"/>
        <w:jc w:val="both"/>
        <w:rPr>
          <w:color w:val="auto"/>
          <w:sz w:val="24"/>
          <w:szCs w:val="24"/>
          <w:highlight w:val="none"/>
          <w:lang w:eastAsia="zh-CN"/>
        </w:rPr>
      </w:pPr>
      <w:r>
        <w:rPr>
          <w:color w:val="auto"/>
          <w:sz w:val="24"/>
          <w:szCs w:val="24"/>
          <w:highlight w:val="none"/>
          <w:lang w:eastAsia="zh-CN"/>
        </w:rPr>
        <w:t>17.2.1</w:t>
      </w:r>
      <w:r>
        <w:rPr>
          <w:rFonts w:ascii="宋体" w:hAnsi="宋体" w:cs="宋体"/>
          <w:color w:val="auto"/>
          <w:sz w:val="24"/>
          <w:szCs w:val="24"/>
          <w:highlight w:val="none"/>
          <w:lang w:val="zh-CN" w:eastAsia="zh-CN" w:bidi="zh-CN"/>
        </w:rPr>
        <w:t>预付款</w:t>
      </w:r>
    </w:p>
    <w:p>
      <w:pPr>
        <w:pStyle w:val="47"/>
        <w:spacing w:line="349" w:lineRule="exact"/>
        <w:ind w:firstLine="440"/>
        <w:jc w:val="both"/>
        <w:rPr>
          <w:color w:val="auto"/>
          <w:sz w:val="24"/>
          <w:szCs w:val="24"/>
          <w:highlight w:val="none"/>
        </w:rPr>
      </w:pPr>
      <w:r>
        <w:rPr>
          <w:color w:val="auto"/>
          <w:sz w:val="24"/>
          <w:szCs w:val="24"/>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pPr>
        <w:pStyle w:val="47"/>
        <w:spacing w:line="35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17.2.2</w:t>
      </w:r>
      <w:r>
        <w:rPr>
          <w:color w:val="auto"/>
          <w:sz w:val="24"/>
          <w:szCs w:val="24"/>
          <w:highlight w:val="none"/>
        </w:rPr>
        <w:t>预付款保函(担保)</w:t>
      </w:r>
    </w:p>
    <w:p>
      <w:pPr>
        <w:pStyle w:val="47"/>
        <w:numPr>
          <w:ilvl w:val="0"/>
          <w:numId w:val="0"/>
        </w:numPr>
        <w:tabs>
          <w:tab w:val="left" w:pos="883"/>
        </w:tabs>
        <w:spacing w:line="352" w:lineRule="exact"/>
        <w:ind w:firstLine="480" w:firstLineChars="200"/>
        <w:rPr>
          <w:rFonts w:hint="eastAsia"/>
          <w:color w:val="auto"/>
          <w:sz w:val="24"/>
          <w:szCs w:val="24"/>
          <w:highlight w:val="none"/>
        </w:rPr>
      </w:pPr>
      <w:bookmarkStart w:id="756" w:name="bookmark1350"/>
      <w:bookmarkEnd w:id="756"/>
      <w:r>
        <w:rPr>
          <w:rFonts w:hint="eastAsia"/>
          <w:color w:val="auto"/>
          <w:sz w:val="24"/>
          <w:szCs w:val="24"/>
          <w:highlight w:val="none"/>
        </w:rPr>
        <w:t>根据《国务院办公厅关于清理规范工程建设领域保证金的通知》(国办发(2016)</w:t>
      </w:r>
    </w:p>
    <w:p>
      <w:pPr>
        <w:pStyle w:val="47"/>
        <w:numPr>
          <w:ilvl w:val="0"/>
          <w:numId w:val="0"/>
        </w:numPr>
        <w:tabs>
          <w:tab w:val="left" w:pos="883"/>
        </w:tabs>
        <w:spacing w:line="352" w:lineRule="exact"/>
        <w:rPr>
          <w:color w:val="auto"/>
          <w:sz w:val="24"/>
          <w:szCs w:val="24"/>
          <w:highlight w:val="none"/>
        </w:rPr>
      </w:pPr>
      <w:r>
        <w:rPr>
          <w:rFonts w:hint="eastAsia"/>
          <w:color w:val="auto"/>
          <w:sz w:val="24"/>
          <w:szCs w:val="24"/>
          <w:highlight w:val="none"/>
        </w:rPr>
        <w:t>49号)等规定，不收取预付款保函(担保)。</w:t>
      </w:r>
    </w:p>
    <w:p>
      <w:pPr>
        <w:pStyle w:val="47"/>
        <w:spacing w:line="35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17.2.3</w:t>
      </w:r>
      <w:r>
        <w:rPr>
          <w:color w:val="auto"/>
          <w:sz w:val="24"/>
          <w:szCs w:val="24"/>
          <w:highlight w:val="none"/>
        </w:rPr>
        <w:t>预付款的扣回与还清</w:t>
      </w:r>
    </w:p>
    <w:p>
      <w:pPr>
        <w:pStyle w:val="47"/>
        <w:spacing w:after="240" w:line="352" w:lineRule="exact"/>
        <w:ind w:firstLine="440"/>
        <w:jc w:val="both"/>
        <w:rPr>
          <w:color w:val="auto"/>
          <w:sz w:val="24"/>
          <w:szCs w:val="24"/>
          <w:highlight w:val="none"/>
        </w:rPr>
      </w:pPr>
      <w:r>
        <w:rPr>
          <w:color w:val="auto"/>
          <w:sz w:val="24"/>
          <w:szCs w:val="24"/>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pPr>
        <w:pStyle w:val="5"/>
        <w:ind w:left="0" w:leftChars="0" w:firstLine="0" w:firstLineChars="0"/>
        <w:rPr>
          <w:color w:val="auto"/>
          <w:sz w:val="24"/>
          <w:szCs w:val="24"/>
          <w:highlight w:val="none"/>
          <w:lang w:eastAsia="zh-CN"/>
        </w:rPr>
      </w:pPr>
      <w:bookmarkStart w:id="757" w:name="bookmark1355"/>
      <w:bookmarkStart w:id="758" w:name="bookmark1353"/>
      <w:bookmarkStart w:id="759" w:name="bookmark1354"/>
      <w:bookmarkStart w:id="760" w:name="_Toc2053"/>
      <w:r>
        <w:rPr>
          <w:color w:val="auto"/>
          <w:sz w:val="24"/>
          <w:szCs w:val="24"/>
          <w:highlight w:val="none"/>
          <w:lang w:eastAsia="zh-CN"/>
        </w:rPr>
        <w:t>17.3工程进度付款</w:t>
      </w:r>
      <w:bookmarkEnd w:id="757"/>
      <w:bookmarkEnd w:id="758"/>
      <w:bookmarkEnd w:id="759"/>
      <w:bookmarkEnd w:id="760"/>
    </w:p>
    <w:p>
      <w:pPr>
        <w:pStyle w:val="48"/>
        <w:spacing w:after="0" w:line="377" w:lineRule="auto"/>
        <w:rPr>
          <w:color w:val="auto"/>
          <w:sz w:val="24"/>
          <w:szCs w:val="24"/>
          <w:highlight w:val="none"/>
          <w:lang w:eastAsia="zh-CN"/>
        </w:rPr>
      </w:pPr>
      <w:r>
        <w:rPr>
          <w:color w:val="auto"/>
          <w:sz w:val="24"/>
          <w:szCs w:val="24"/>
          <w:highlight w:val="none"/>
          <w:lang w:eastAsia="zh-CN"/>
        </w:rPr>
        <w:t>17.3.1</w:t>
      </w:r>
      <w:r>
        <w:rPr>
          <w:rFonts w:ascii="宋体" w:hAnsi="宋体" w:cs="宋体"/>
          <w:color w:val="auto"/>
          <w:sz w:val="24"/>
          <w:szCs w:val="24"/>
          <w:highlight w:val="none"/>
          <w:lang w:val="zh-CN" w:eastAsia="zh-CN" w:bidi="zh-CN"/>
        </w:rPr>
        <w:t>付款周期</w:t>
      </w:r>
    </w:p>
    <w:p>
      <w:pPr>
        <w:pStyle w:val="47"/>
        <w:spacing w:line="240" w:lineRule="auto"/>
        <w:ind w:firstLine="420"/>
        <w:rPr>
          <w:color w:val="auto"/>
          <w:sz w:val="24"/>
          <w:szCs w:val="24"/>
          <w:highlight w:val="none"/>
        </w:rPr>
      </w:pPr>
      <w:r>
        <w:rPr>
          <w:color w:val="auto"/>
          <w:sz w:val="24"/>
          <w:szCs w:val="24"/>
          <w:highlight w:val="none"/>
        </w:rPr>
        <w:t>付款周期同计量周期。</w:t>
      </w:r>
    </w:p>
    <w:p>
      <w:pPr>
        <w:pStyle w:val="47"/>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17.3.2</w:t>
      </w:r>
      <w:r>
        <w:rPr>
          <w:color w:val="auto"/>
          <w:sz w:val="24"/>
          <w:szCs w:val="24"/>
          <w:highlight w:val="none"/>
        </w:rPr>
        <w:t>进度付款申请单</w:t>
      </w:r>
    </w:p>
    <w:p>
      <w:pPr>
        <w:pStyle w:val="47"/>
        <w:spacing w:line="360" w:lineRule="exact"/>
        <w:ind w:firstLine="440"/>
        <w:jc w:val="both"/>
        <w:rPr>
          <w:color w:val="auto"/>
          <w:sz w:val="24"/>
          <w:szCs w:val="24"/>
          <w:highlight w:val="none"/>
        </w:rPr>
      </w:pPr>
      <w:r>
        <w:rPr>
          <w:color w:val="auto"/>
          <w:sz w:val="24"/>
          <w:szCs w:val="24"/>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pPr>
        <w:pStyle w:val="47"/>
        <w:numPr>
          <w:ilvl w:val="0"/>
          <w:numId w:val="19"/>
        </w:numPr>
        <w:tabs>
          <w:tab w:val="left" w:pos="903"/>
        </w:tabs>
        <w:spacing w:line="360" w:lineRule="exact"/>
        <w:ind w:firstLine="420"/>
        <w:rPr>
          <w:color w:val="auto"/>
          <w:sz w:val="24"/>
          <w:szCs w:val="24"/>
          <w:highlight w:val="none"/>
        </w:rPr>
      </w:pPr>
      <w:bookmarkStart w:id="761" w:name="bookmark1356"/>
      <w:bookmarkEnd w:id="761"/>
      <w:r>
        <w:rPr>
          <w:color w:val="auto"/>
          <w:sz w:val="24"/>
          <w:szCs w:val="24"/>
          <w:highlight w:val="none"/>
        </w:rPr>
        <w:t>截至本次付款周期末已实施工程的价款；</w:t>
      </w:r>
    </w:p>
    <w:p>
      <w:pPr>
        <w:pStyle w:val="47"/>
        <w:numPr>
          <w:ilvl w:val="0"/>
          <w:numId w:val="19"/>
        </w:numPr>
        <w:tabs>
          <w:tab w:val="left" w:pos="903"/>
        </w:tabs>
        <w:spacing w:line="358" w:lineRule="exact"/>
        <w:ind w:firstLine="420"/>
        <w:rPr>
          <w:color w:val="auto"/>
          <w:sz w:val="24"/>
          <w:szCs w:val="24"/>
          <w:highlight w:val="none"/>
        </w:rPr>
      </w:pPr>
      <w:bookmarkStart w:id="762" w:name="bookmark1357"/>
      <w:bookmarkEnd w:id="762"/>
      <w:r>
        <w:rPr>
          <w:color w:val="auto"/>
          <w:sz w:val="24"/>
          <w:szCs w:val="24"/>
          <w:highlight w:val="none"/>
        </w:rPr>
        <w:t>根据第</w:t>
      </w:r>
      <w:r>
        <w:rPr>
          <w:rFonts w:ascii="Times New Roman" w:hAnsi="Times New Roman" w:eastAsia="Times New Roman" w:cs="Times New Roman"/>
          <w:color w:val="auto"/>
          <w:sz w:val="24"/>
          <w:szCs w:val="24"/>
          <w:highlight w:val="none"/>
        </w:rPr>
        <w:t>15</w:t>
      </w:r>
      <w:r>
        <w:rPr>
          <w:color w:val="auto"/>
          <w:sz w:val="24"/>
          <w:szCs w:val="24"/>
          <w:highlight w:val="none"/>
        </w:rPr>
        <w:t>条应增加和扣减的变更金额；</w:t>
      </w:r>
    </w:p>
    <w:p>
      <w:pPr>
        <w:pStyle w:val="47"/>
        <w:numPr>
          <w:ilvl w:val="0"/>
          <w:numId w:val="19"/>
        </w:numPr>
        <w:tabs>
          <w:tab w:val="left" w:pos="903"/>
        </w:tabs>
        <w:spacing w:line="358" w:lineRule="exact"/>
        <w:ind w:firstLine="420"/>
        <w:rPr>
          <w:color w:val="auto"/>
          <w:sz w:val="24"/>
          <w:szCs w:val="24"/>
          <w:highlight w:val="none"/>
        </w:rPr>
      </w:pPr>
      <w:bookmarkStart w:id="763" w:name="bookmark1358"/>
      <w:bookmarkEnd w:id="763"/>
      <w:r>
        <w:rPr>
          <w:color w:val="auto"/>
          <w:sz w:val="24"/>
          <w:szCs w:val="24"/>
          <w:highlight w:val="none"/>
        </w:rPr>
        <w:t>根据第</w:t>
      </w:r>
      <w:r>
        <w:rPr>
          <w:rFonts w:ascii="Times New Roman" w:hAnsi="Times New Roman" w:eastAsia="Times New Roman" w:cs="Times New Roman"/>
          <w:color w:val="auto"/>
          <w:sz w:val="24"/>
          <w:szCs w:val="24"/>
          <w:highlight w:val="none"/>
        </w:rPr>
        <w:t>23</w:t>
      </w:r>
      <w:r>
        <w:rPr>
          <w:color w:val="auto"/>
          <w:sz w:val="24"/>
          <w:szCs w:val="24"/>
          <w:highlight w:val="none"/>
        </w:rPr>
        <w:t>条应增加和扣减的索赔金额；</w:t>
      </w:r>
    </w:p>
    <w:p>
      <w:pPr>
        <w:pStyle w:val="47"/>
        <w:numPr>
          <w:ilvl w:val="0"/>
          <w:numId w:val="19"/>
        </w:numPr>
        <w:tabs>
          <w:tab w:val="left" w:pos="903"/>
        </w:tabs>
        <w:spacing w:line="358" w:lineRule="exact"/>
        <w:ind w:firstLine="420"/>
        <w:rPr>
          <w:color w:val="auto"/>
          <w:sz w:val="24"/>
          <w:szCs w:val="24"/>
          <w:highlight w:val="none"/>
        </w:rPr>
      </w:pPr>
      <w:bookmarkStart w:id="764" w:name="bookmark1359"/>
      <w:bookmarkEnd w:id="764"/>
      <w:r>
        <w:rPr>
          <w:color w:val="auto"/>
          <w:sz w:val="24"/>
          <w:szCs w:val="24"/>
          <w:highlight w:val="none"/>
        </w:rPr>
        <w:t>根据第</w:t>
      </w:r>
      <w:r>
        <w:rPr>
          <w:rFonts w:ascii="Times New Roman" w:hAnsi="Times New Roman" w:eastAsia="Times New Roman" w:cs="Times New Roman"/>
          <w:color w:val="auto"/>
          <w:sz w:val="24"/>
          <w:szCs w:val="24"/>
          <w:highlight w:val="none"/>
          <w:lang w:val="en-US" w:bidi="en-US"/>
        </w:rPr>
        <w:t xml:space="preserve">17. </w:t>
      </w:r>
      <w:r>
        <w:rPr>
          <w:rFonts w:ascii="Times New Roman" w:hAnsi="Times New Roman" w:eastAsia="Times New Roman" w:cs="Times New Roman"/>
          <w:color w:val="auto"/>
          <w:sz w:val="24"/>
          <w:szCs w:val="24"/>
          <w:highlight w:val="none"/>
        </w:rPr>
        <w:t>2</w:t>
      </w:r>
      <w:r>
        <w:rPr>
          <w:color w:val="auto"/>
          <w:sz w:val="24"/>
          <w:szCs w:val="24"/>
          <w:highlight w:val="none"/>
        </w:rPr>
        <w:t>款约定应支付的预付款和扣减的返还预付款；</w:t>
      </w:r>
    </w:p>
    <w:p>
      <w:pPr>
        <w:pStyle w:val="47"/>
        <w:numPr>
          <w:ilvl w:val="0"/>
          <w:numId w:val="19"/>
        </w:numPr>
        <w:tabs>
          <w:tab w:val="left" w:pos="903"/>
        </w:tabs>
        <w:spacing w:line="358" w:lineRule="exact"/>
        <w:ind w:firstLine="420"/>
        <w:rPr>
          <w:color w:val="auto"/>
          <w:sz w:val="24"/>
          <w:szCs w:val="24"/>
          <w:highlight w:val="none"/>
        </w:rPr>
      </w:pPr>
      <w:bookmarkStart w:id="765" w:name="bookmark1360"/>
      <w:bookmarkEnd w:id="765"/>
      <w:r>
        <w:rPr>
          <w:color w:val="auto"/>
          <w:sz w:val="24"/>
          <w:szCs w:val="24"/>
          <w:highlight w:val="none"/>
        </w:rPr>
        <w:t>根据第</w:t>
      </w:r>
      <w:r>
        <w:rPr>
          <w:rFonts w:ascii="Times New Roman" w:hAnsi="Times New Roman" w:eastAsia="Times New Roman" w:cs="Times New Roman"/>
          <w:color w:val="auto"/>
          <w:sz w:val="24"/>
          <w:szCs w:val="24"/>
          <w:highlight w:val="none"/>
          <w:lang w:val="en-US" w:bidi="en-US"/>
        </w:rPr>
        <w:t xml:space="preserve">17.4. </w:t>
      </w:r>
      <w:r>
        <w:rPr>
          <w:rFonts w:ascii="Times New Roman" w:hAnsi="Times New Roman" w:eastAsia="Times New Roman" w:cs="Times New Roman"/>
          <w:color w:val="auto"/>
          <w:sz w:val="24"/>
          <w:szCs w:val="24"/>
          <w:highlight w:val="none"/>
        </w:rPr>
        <w:t>1</w:t>
      </w:r>
      <w:r>
        <w:rPr>
          <w:color w:val="auto"/>
          <w:sz w:val="24"/>
          <w:szCs w:val="24"/>
          <w:highlight w:val="none"/>
        </w:rPr>
        <w:t>项约定应扣减的质量保证金；</w:t>
      </w:r>
    </w:p>
    <w:p>
      <w:pPr>
        <w:pStyle w:val="47"/>
        <w:numPr>
          <w:ilvl w:val="0"/>
          <w:numId w:val="19"/>
        </w:numPr>
        <w:tabs>
          <w:tab w:val="left" w:pos="903"/>
        </w:tabs>
        <w:spacing w:line="358" w:lineRule="exact"/>
        <w:ind w:firstLine="420"/>
        <w:rPr>
          <w:color w:val="auto"/>
          <w:sz w:val="24"/>
          <w:szCs w:val="24"/>
          <w:highlight w:val="none"/>
        </w:rPr>
      </w:pPr>
      <w:bookmarkStart w:id="766" w:name="bookmark1361"/>
      <w:bookmarkEnd w:id="766"/>
      <w:r>
        <w:rPr>
          <w:color w:val="auto"/>
          <w:sz w:val="24"/>
          <w:szCs w:val="24"/>
          <w:highlight w:val="none"/>
        </w:rPr>
        <w:t>根据合同应增加和扣减的其他金额。</w:t>
      </w:r>
    </w:p>
    <w:p>
      <w:pPr>
        <w:pStyle w:val="47"/>
        <w:spacing w:line="358"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17.3.3</w:t>
      </w:r>
      <w:r>
        <w:rPr>
          <w:color w:val="auto"/>
          <w:sz w:val="24"/>
          <w:szCs w:val="24"/>
          <w:highlight w:val="none"/>
        </w:rPr>
        <w:t>进度付款证书和支付时间</w:t>
      </w:r>
    </w:p>
    <w:p>
      <w:pPr>
        <w:pStyle w:val="47"/>
        <w:numPr>
          <w:ilvl w:val="0"/>
          <w:numId w:val="20"/>
        </w:numPr>
        <w:tabs>
          <w:tab w:val="left" w:pos="920"/>
        </w:tabs>
        <w:spacing w:line="358" w:lineRule="exact"/>
        <w:ind w:firstLine="440"/>
        <w:jc w:val="both"/>
        <w:rPr>
          <w:color w:val="auto"/>
          <w:sz w:val="24"/>
          <w:szCs w:val="24"/>
          <w:highlight w:val="none"/>
        </w:rPr>
      </w:pPr>
      <w:bookmarkStart w:id="767" w:name="bookmark1362"/>
      <w:bookmarkEnd w:id="767"/>
      <w:r>
        <w:rPr>
          <w:color w:val="auto"/>
          <w:sz w:val="24"/>
          <w:szCs w:val="24"/>
          <w:highlight w:val="none"/>
        </w:rPr>
        <w:t>监理人在收到承包人进度付款申请单以及相应的支持性证明文件后的</w:t>
      </w:r>
      <w:r>
        <w:rPr>
          <w:rFonts w:ascii="Times New Roman" w:hAnsi="Times New Roman" w:eastAsia="Times New Roman" w:cs="Times New Roman"/>
          <w:color w:val="auto"/>
          <w:sz w:val="24"/>
          <w:szCs w:val="24"/>
          <w:highlight w:val="none"/>
        </w:rPr>
        <w:t>14</w:t>
      </w:r>
      <w:r>
        <w:rPr>
          <w:color w:val="auto"/>
          <w:sz w:val="24"/>
          <w:szCs w:val="24"/>
          <w:highlight w:val="none"/>
        </w:rPr>
        <w:t>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pStyle w:val="47"/>
        <w:numPr>
          <w:ilvl w:val="0"/>
          <w:numId w:val="20"/>
        </w:numPr>
        <w:tabs>
          <w:tab w:val="left" w:pos="922"/>
        </w:tabs>
        <w:spacing w:line="367" w:lineRule="exact"/>
        <w:ind w:firstLine="440"/>
        <w:jc w:val="both"/>
        <w:rPr>
          <w:color w:val="auto"/>
          <w:sz w:val="24"/>
          <w:szCs w:val="24"/>
          <w:highlight w:val="none"/>
        </w:rPr>
      </w:pPr>
      <w:bookmarkStart w:id="768" w:name="bookmark1363"/>
      <w:bookmarkEnd w:id="768"/>
      <w:r>
        <w:rPr>
          <w:color w:val="auto"/>
          <w:sz w:val="24"/>
          <w:szCs w:val="24"/>
          <w:highlight w:val="none"/>
        </w:rPr>
        <w:t>发包人应在监理人收到进度付款申请单后的</w:t>
      </w:r>
      <w:r>
        <w:rPr>
          <w:rFonts w:ascii="Times New Roman" w:hAnsi="Times New Roman" w:eastAsia="Times New Roman" w:cs="Times New Roman"/>
          <w:color w:val="auto"/>
          <w:sz w:val="24"/>
          <w:szCs w:val="24"/>
          <w:highlight w:val="none"/>
        </w:rPr>
        <w:t>28</w:t>
      </w:r>
      <w:r>
        <w:rPr>
          <w:color w:val="auto"/>
          <w:sz w:val="24"/>
          <w:szCs w:val="24"/>
          <w:highlight w:val="none"/>
        </w:rPr>
        <w:t>天内，将进度应付款支付给承包人。发包人不按期支付的，按专用合同条款的约定支付逾期付款违约金。</w:t>
      </w:r>
    </w:p>
    <w:p>
      <w:pPr>
        <w:pStyle w:val="47"/>
        <w:numPr>
          <w:ilvl w:val="0"/>
          <w:numId w:val="20"/>
        </w:numPr>
        <w:tabs>
          <w:tab w:val="left" w:pos="922"/>
        </w:tabs>
        <w:spacing w:line="367" w:lineRule="exact"/>
        <w:ind w:firstLine="440"/>
        <w:jc w:val="both"/>
        <w:rPr>
          <w:color w:val="auto"/>
          <w:sz w:val="24"/>
          <w:szCs w:val="24"/>
          <w:highlight w:val="none"/>
        </w:rPr>
      </w:pPr>
      <w:bookmarkStart w:id="769" w:name="bookmark1364"/>
      <w:bookmarkEnd w:id="769"/>
      <w:r>
        <w:rPr>
          <w:color w:val="auto"/>
          <w:sz w:val="24"/>
          <w:szCs w:val="24"/>
          <w:highlight w:val="none"/>
        </w:rPr>
        <w:t>监理人出具进度付款证书，不应视为监理人已同意、批准或接受了承包人完成的该部分工作。</w:t>
      </w:r>
    </w:p>
    <w:p>
      <w:pPr>
        <w:pStyle w:val="47"/>
        <w:numPr>
          <w:ilvl w:val="0"/>
          <w:numId w:val="20"/>
        </w:numPr>
        <w:tabs>
          <w:tab w:val="left" w:pos="918"/>
        </w:tabs>
        <w:spacing w:line="367" w:lineRule="exact"/>
        <w:ind w:firstLine="440"/>
        <w:jc w:val="both"/>
        <w:rPr>
          <w:color w:val="auto"/>
          <w:sz w:val="24"/>
          <w:szCs w:val="24"/>
          <w:highlight w:val="none"/>
        </w:rPr>
      </w:pPr>
      <w:bookmarkStart w:id="770" w:name="bookmark1365"/>
      <w:bookmarkEnd w:id="770"/>
      <w:r>
        <w:rPr>
          <w:color w:val="auto"/>
          <w:sz w:val="24"/>
          <w:szCs w:val="24"/>
          <w:highlight w:val="none"/>
        </w:rPr>
        <w:t>进度付款涉及政府投资资金的，按照国库集中支付等国家相关规定和专用合同条款的约定办理。</w:t>
      </w:r>
    </w:p>
    <w:p>
      <w:pPr>
        <w:pStyle w:val="47"/>
        <w:spacing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17.3.4</w:t>
      </w:r>
      <w:r>
        <w:rPr>
          <w:color w:val="auto"/>
          <w:sz w:val="24"/>
          <w:szCs w:val="24"/>
          <w:highlight w:val="none"/>
        </w:rPr>
        <w:t>工程进度付款的修正</w:t>
      </w:r>
    </w:p>
    <w:p>
      <w:pPr>
        <w:pStyle w:val="47"/>
        <w:spacing w:after="120" w:line="361" w:lineRule="exact"/>
        <w:ind w:firstLine="440"/>
        <w:jc w:val="both"/>
        <w:rPr>
          <w:color w:val="auto"/>
          <w:sz w:val="24"/>
          <w:szCs w:val="24"/>
          <w:highlight w:val="none"/>
        </w:rPr>
      </w:pPr>
      <w:r>
        <w:rPr>
          <w:color w:val="auto"/>
          <w:sz w:val="24"/>
          <w:szCs w:val="24"/>
          <w:highlight w:val="none"/>
        </w:rPr>
        <w:t>在对以往历次已签发的进度付款证书进行汇总和复核中发现错、漏或重复的，监理人有权予以修正，承包人也有权提出修正申请。经双方复核同意的修正，应在本次进度付款中支付或扣除。</w:t>
      </w:r>
    </w:p>
    <w:p>
      <w:pPr>
        <w:pStyle w:val="5"/>
        <w:ind w:left="0" w:leftChars="0" w:firstLine="0" w:firstLineChars="0"/>
        <w:rPr>
          <w:color w:val="auto"/>
          <w:sz w:val="24"/>
          <w:szCs w:val="24"/>
          <w:highlight w:val="none"/>
          <w:lang w:eastAsia="zh-CN"/>
        </w:rPr>
      </w:pPr>
      <w:bookmarkStart w:id="771" w:name="bookmark1368"/>
      <w:bookmarkStart w:id="772" w:name="bookmark1367"/>
      <w:bookmarkStart w:id="773" w:name="bookmark1366"/>
      <w:bookmarkStart w:id="774" w:name="_Toc24179"/>
      <w:r>
        <w:rPr>
          <w:color w:val="auto"/>
          <w:sz w:val="24"/>
          <w:szCs w:val="24"/>
          <w:highlight w:val="none"/>
          <w:lang w:eastAsia="zh-CN"/>
        </w:rPr>
        <w:t>17.4质量保证金</w:t>
      </w:r>
      <w:bookmarkEnd w:id="771"/>
      <w:bookmarkEnd w:id="772"/>
      <w:bookmarkEnd w:id="773"/>
      <w:bookmarkEnd w:id="774"/>
    </w:p>
    <w:p>
      <w:pPr>
        <w:pStyle w:val="47"/>
        <w:spacing w:line="36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17.4.1</w:t>
      </w:r>
      <w:r>
        <w:rPr>
          <w:color w:val="auto"/>
          <w:sz w:val="24"/>
          <w:szCs w:val="24"/>
          <w:highlight w:val="none"/>
        </w:rPr>
        <w:t>监理人应从第一个工程进度付款周期开始，在发包人的进度付款中，按专用合同条款约定扣留质量保证金，直至扣留的工程质量保证金总额达到专用合同条款约定的金额或比例为止。质量保证金的计算额度不包括预付款的支付与扣回金额。</w:t>
      </w:r>
    </w:p>
    <w:p>
      <w:pPr>
        <w:pStyle w:val="47"/>
        <w:spacing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17.4.2</w:t>
      </w:r>
      <w:r>
        <w:rPr>
          <w:color w:val="auto"/>
          <w:sz w:val="24"/>
          <w:szCs w:val="24"/>
          <w:highlight w:val="none"/>
        </w:rPr>
        <w:t>在第</w:t>
      </w:r>
      <w:r>
        <w:rPr>
          <w:rFonts w:ascii="Times New Roman" w:hAnsi="Times New Roman" w:eastAsia="Times New Roman" w:cs="Times New Roman"/>
          <w:color w:val="auto"/>
          <w:sz w:val="24"/>
          <w:szCs w:val="24"/>
          <w:highlight w:val="none"/>
          <w:lang w:val="en-US" w:bidi="en-US"/>
        </w:rPr>
        <w:t xml:space="preserve">1.1. 4. </w:t>
      </w:r>
      <w:r>
        <w:rPr>
          <w:rFonts w:ascii="Times New Roman" w:hAnsi="Times New Roman" w:eastAsia="Times New Roman" w:cs="Times New Roman"/>
          <w:color w:val="auto"/>
          <w:sz w:val="24"/>
          <w:szCs w:val="24"/>
          <w:highlight w:val="none"/>
        </w:rPr>
        <w:t>5</w:t>
      </w:r>
      <w:r>
        <w:rPr>
          <w:color w:val="auto"/>
          <w:sz w:val="24"/>
          <w:szCs w:val="24"/>
          <w:highlight w:val="none"/>
        </w:rPr>
        <w:t>目约定的缺陷责任期(工程质量保修期)满时，发包人将在</w:t>
      </w:r>
      <w:r>
        <w:rPr>
          <w:rFonts w:ascii="Times New Roman" w:hAnsi="Times New Roman" w:eastAsia="Times New Roman" w:cs="Times New Roman"/>
          <w:color w:val="auto"/>
          <w:sz w:val="24"/>
          <w:szCs w:val="24"/>
          <w:highlight w:val="none"/>
        </w:rPr>
        <w:t>30</w:t>
      </w:r>
      <w:r>
        <w:rPr>
          <w:color w:val="auto"/>
          <w:sz w:val="24"/>
          <w:szCs w:val="24"/>
          <w:highlight w:val="none"/>
        </w:rPr>
        <w:t>个工作日内会同承包人按照合同约定的内容核实承包人是否完成保修责任。如无异议，发包人应当在核实后将质量保证金支付给承包人。</w:t>
      </w:r>
    </w:p>
    <w:p>
      <w:pPr>
        <w:pStyle w:val="47"/>
        <w:spacing w:after="12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17.4.3</w:t>
      </w:r>
      <w:r>
        <w:rPr>
          <w:color w:val="auto"/>
          <w:sz w:val="24"/>
          <w:szCs w:val="24"/>
          <w:highlight w:val="none"/>
        </w:rPr>
        <w:t>在第</w:t>
      </w:r>
      <w:r>
        <w:rPr>
          <w:rFonts w:ascii="Times New Roman" w:hAnsi="Times New Roman" w:eastAsia="Times New Roman" w:cs="Times New Roman"/>
          <w:color w:val="auto"/>
          <w:sz w:val="24"/>
          <w:szCs w:val="24"/>
          <w:highlight w:val="none"/>
          <w:lang w:val="en-US" w:bidi="en-US"/>
        </w:rPr>
        <w:t>1.1.4.</w:t>
      </w:r>
      <w:r>
        <w:rPr>
          <w:rFonts w:ascii="Times New Roman" w:hAnsi="Times New Roman" w:eastAsia="Times New Roman" w:cs="Times New Roman"/>
          <w:color w:val="auto"/>
          <w:sz w:val="24"/>
          <w:szCs w:val="24"/>
          <w:highlight w:val="none"/>
        </w:rPr>
        <w:t>5</w:t>
      </w:r>
      <w:r>
        <w:rPr>
          <w:color w:val="auto"/>
          <w:sz w:val="24"/>
          <w:szCs w:val="24"/>
          <w:highlight w:val="none"/>
        </w:rPr>
        <w:t>目约定的缺陷责任期满时，承包人没有完成缺陷责任的，发包人有权扣留与未履行责任剩余工作所需金额相应的质量保证金余额，并有权根据第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3</w:t>
      </w:r>
      <w:r>
        <w:rPr>
          <w:color w:val="auto"/>
          <w:sz w:val="24"/>
          <w:szCs w:val="24"/>
          <w:highlight w:val="none"/>
        </w:rPr>
        <w:t>款约定要求延长缺陷责任期，直至完成剩余工作为止。</w:t>
      </w:r>
    </w:p>
    <w:p>
      <w:pPr>
        <w:pStyle w:val="5"/>
        <w:ind w:left="0" w:leftChars="0" w:firstLine="0" w:firstLineChars="0"/>
        <w:rPr>
          <w:color w:val="auto"/>
          <w:sz w:val="24"/>
          <w:szCs w:val="24"/>
          <w:highlight w:val="none"/>
          <w:lang w:eastAsia="zh-CN"/>
        </w:rPr>
      </w:pPr>
      <w:bookmarkStart w:id="775" w:name="bookmark1370"/>
      <w:bookmarkStart w:id="776" w:name="bookmark1369"/>
      <w:bookmarkStart w:id="777" w:name="bookmark1371"/>
      <w:bookmarkStart w:id="778" w:name="_Toc27561"/>
      <w:r>
        <w:rPr>
          <w:color w:val="auto"/>
          <w:sz w:val="24"/>
          <w:szCs w:val="24"/>
          <w:highlight w:val="none"/>
          <w:lang w:eastAsia="zh-CN"/>
        </w:rPr>
        <w:t>17.5竣工结算(完工结算)</w:t>
      </w:r>
      <w:bookmarkEnd w:id="775"/>
      <w:bookmarkEnd w:id="776"/>
      <w:bookmarkEnd w:id="777"/>
      <w:bookmarkEnd w:id="778"/>
    </w:p>
    <w:p>
      <w:pPr>
        <w:pStyle w:val="47"/>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17.5.1</w:t>
      </w:r>
      <w:r>
        <w:rPr>
          <w:color w:val="auto"/>
          <w:sz w:val="24"/>
          <w:szCs w:val="24"/>
          <w:highlight w:val="none"/>
        </w:rPr>
        <w:t>竣工(完工)付款申请单</w:t>
      </w:r>
    </w:p>
    <w:p>
      <w:pPr>
        <w:pStyle w:val="47"/>
        <w:numPr>
          <w:ilvl w:val="0"/>
          <w:numId w:val="21"/>
        </w:numPr>
        <w:tabs>
          <w:tab w:val="left" w:pos="918"/>
        </w:tabs>
        <w:spacing w:line="352" w:lineRule="exact"/>
        <w:ind w:firstLine="440"/>
        <w:jc w:val="both"/>
        <w:rPr>
          <w:color w:val="auto"/>
          <w:sz w:val="24"/>
          <w:szCs w:val="24"/>
          <w:highlight w:val="none"/>
        </w:rPr>
      </w:pPr>
      <w:bookmarkStart w:id="779" w:name="bookmark1372"/>
      <w:bookmarkEnd w:id="779"/>
      <w:r>
        <w:rPr>
          <w:color w:val="auto"/>
          <w:sz w:val="24"/>
          <w:szCs w:val="24"/>
          <w:highlight w:val="none"/>
        </w:rPr>
        <w:t>承包人应在合同工程完工证书颁发后</w:t>
      </w:r>
      <w:r>
        <w:rPr>
          <w:rFonts w:ascii="Times New Roman" w:hAnsi="Times New Roman" w:eastAsia="Times New Roman" w:cs="Times New Roman"/>
          <w:color w:val="auto"/>
          <w:sz w:val="24"/>
          <w:szCs w:val="24"/>
          <w:highlight w:val="none"/>
        </w:rPr>
        <w:t>28</w:t>
      </w:r>
      <w:r>
        <w:rPr>
          <w:color w:val="auto"/>
          <w:sz w:val="24"/>
          <w:szCs w:val="24"/>
          <w:highlight w:val="none"/>
        </w:rPr>
        <w:t>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pPr>
        <w:pStyle w:val="47"/>
        <w:numPr>
          <w:ilvl w:val="0"/>
          <w:numId w:val="21"/>
        </w:numPr>
        <w:tabs>
          <w:tab w:val="left" w:pos="916"/>
        </w:tabs>
        <w:spacing w:after="120" w:line="352" w:lineRule="exact"/>
        <w:ind w:firstLine="440"/>
        <w:jc w:val="both"/>
        <w:rPr>
          <w:color w:val="auto"/>
          <w:sz w:val="24"/>
          <w:szCs w:val="24"/>
          <w:highlight w:val="none"/>
        </w:rPr>
      </w:pPr>
      <w:bookmarkStart w:id="780" w:name="bookmark1373"/>
      <w:bookmarkEnd w:id="780"/>
      <w:r>
        <w:rPr>
          <w:color w:val="auto"/>
          <w:sz w:val="24"/>
          <w:szCs w:val="24"/>
          <w:highlight w:val="none"/>
        </w:rPr>
        <w:t>监理人对完工付款申请单有异议的，有权要求承包人进行修正和提供补充资料。经监理人和承包人协商后，由承包人向监理人提交修正后的完工付款申请单。</w:t>
      </w:r>
    </w:p>
    <w:p>
      <w:pPr>
        <w:pStyle w:val="47"/>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17.5.2</w:t>
      </w:r>
      <w:r>
        <w:rPr>
          <w:color w:val="auto"/>
          <w:sz w:val="24"/>
          <w:szCs w:val="24"/>
          <w:highlight w:val="none"/>
        </w:rPr>
        <w:t>竣工(完工)付款证书及支付时间</w:t>
      </w:r>
    </w:p>
    <w:p>
      <w:pPr>
        <w:pStyle w:val="47"/>
        <w:numPr>
          <w:ilvl w:val="0"/>
          <w:numId w:val="22"/>
        </w:numPr>
        <w:tabs>
          <w:tab w:val="left" w:pos="918"/>
        </w:tabs>
        <w:spacing w:line="360" w:lineRule="exact"/>
        <w:ind w:firstLine="440"/>
        <w:jc w:val="both"/>
        <w:rPr>
          <w:color w:val="auto"/>
          <w:sz w:val="24"/>
          <w:szCs w:val="24"/>
          <w:highlight w:val="none"/>
        </w:rPr>
      </w:pPr>
      <w:bookmarkStart w:id="781" w:name="bookmark1374"/>
      <w:bookmarkEnd w:id="781"/>
      <w:r>
        <w:rPr>
          <w:color w:val="auto"/>
          <w:sz w:val="24"/>
          <w:szCs w:val="24"/>
          <w:highlight w:val="none"/>
        </w:rPr>
        <w:t>监理人在收到承包人提交的完工付款申请单后的</w:t>
      </w:r>
      <w:r>
        <w:rPr>
          <w:rFonts w:ascii="Times New Roman" w:hAnsi="Times New Roman" w:eastAsia="Times New Roman" w:cs="Times New Roman"/>
          <w:color w:val="auto"/>
          <w:sz w:val="24"/>
          <w:szCs w:val="24"/>
          <w:highlight w:val="none"/>
        </w:rPr>
        <w:t>14</w:t>
      </w:r>
      <w:r>
        <w:rPr>
          <w:color w:val="auto"/>
          <w:sz w:val="24"/>
          <w:szCs w:val="24"/>
          <w:highlight w:val="none"/>
        </w:rPr>
        <w:t>天内完成核查，提出发包人到期应支付给承包人的价款送发包人审核并抄送承包人。发包人应在收到后</w:t>
      </w:r>
      <w:r>
        <w:rPr>
          <w:rFonts w:ascii="Times New Roman" w:hAnsi="Times New Roman" w:eastAsia="Times New Roman" w:cs="Times New Roman"/>
          <w:color w:val="auto"/>
          <w:sz w:val="24"/>
          <w:szCs w:val="24"/>
          <w:highlight w:val="none"/>
        </w:rPr>
        <w:t>14</w:t>
      </w:r>
      <w:r>
        <w:rPr>
          <w:color w:val="auto"/>
          <w:sz w:val="24"/>
          <w:szCs w:val="24"/>
          <w:highlight w:val="none"/>
        </w:rPr>
        <w:t>天内审核完毕，由监理人向承包人出具经发包人签认的完工付款证书。监理人未在约定时间内核查, 又未提出具体意见的，视为承包人提交的完工付款申请单已经监理人核查同意。发包人未 在约定时间内审核又未提出具体意见的，监理人提出发包人到期应支付给承包人的价款视 为已经</w:t>
      </w:r>
      <w:r>
        <w:rPr>
          <w:rFonts w:hint="eastAsia"/>
          <w:color w:val="auto"/>
          <w:sz w:val="24"/>
          <w:szCs w:val="24"/>
          <w:highlight w:val="none"/>
          <w:lang w:eastAsia="zh-CN"/>
        </w:rPr>
        <w:t>发包人书面同意</w:t>
      </w:r>
      <w:r>
        <w:rPr>
          <w:color w:val="auto"/>
          <w:sz w:val="24"/>
          <w:szCs w:val="24"/>
          <w:highlight w:val="none"/>
        </w:rPr>
        <w:t>。</w:t>
      </w:r>
    </w:p>
    <w:p>
      <w:pPr>
        <w:pStyle w:val="47"/>
        <w:numPr>
          <w:ilvl w:val="0"/>
          <w:numId w:val="22"/>
        </w:numPr>
        <w:tabs>
          <w:tab w:val="left" w:pos="918"/>
        </w:tabs>
        <w:spacing w:line="360" w:lineRule="exact"/>
        <w:ind w:firstLine="440"/>
        <w:jc w:val="both"/>
        <w:rPr>
          <w:color w:val="auto"/>
          <w:sz w:val="24"/>
          <w:szCs w:val="24"/>
          <w:highlight w:val="none"/>
        </w:rPr>
      </w:pPr>
      <w:bookmarkStart w:id="782" w:name="bookmark1375"/>
      <w:bookmarkEnd w:id="782"/>
      <w:r>
        <w:rPr>
          <w:color w:val="auto"/>
          <w:sz w:val="24"/>
          <w:szCs w:val="24"/>
          <w:highlight w:val="none"/>
        </w:rPr>
        <w:t>发包人应在监理人出具完工付款证书后的</w:t>
      </w:r>
      <w:r>
        <w:rPr>
          <w:rFonts w:ascii="Times New Roman" w:hAnsi="Times New Roman" w:eastAsia="Times New Roman" w:cs="Times New Roman"/>
          <w:color w:val="auto"/>
          <w:sz w:val="24"/>
          <w:szCs w:val="24"/>
          <w:highlight w:val="none"/>
        </w:rPr>
        <w:t>14</w:t>
      </w:r>
      <w:r>
        <w:rPr>
          <w:color w:val="auto"/>
          <w:sz w:val="24"/>
          <w:szCs w:val="24"/>
          <w:highlight w:val="none"/>
        </w:rPr>
        <w:t>天内，将应支付款支付给承包人。发包人不按期支付的，按第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(2)</w:t>
      </w:r>
      <w:r>
        <w:rPr>
          <w:color w:val="auto"/>
          <w:sz w:val="24"/>
          <w:szCs w:val="24"/>
          <w:highlight w:val="none"/>
        </w:rPr>
        <w:t>目的约定，将逾期付款违约金支付给承包人。</w:t>
      </w:r>
    </w:p>
    <w:p>
      <w:pPr>
        <w:pStyle w:val="47"/>
        <w:numPr>
          <w:ilvl w:val="0"/>
          <w:numId w:val="22"/>
        </w:numPr>
        <w:tabs>
          <w:tab w:val="left" w:pos="914"/>
        </w:tabs>
        <w:spacing w:after="120" w:line="360" w:lineRule="exact"/>
        <w:ind w:firstLine="440"/>
        <w:jc w:val="both"/>
        <w:rPr>
          <w:color w:val="auto"/>
          <w:sz w:val="24"/>
          <w:szCs w:val="24"/>
          <w:highlight w:val="none"/>
        </w:rPr>
      </w:pPr>
      <w:bookmarkStart w:id="783" w:name="bookmark1376"/>
      <w:bookmarkEnd w:id="783"/>
      <w:r>
        <w:rPr>
          <w:color w:val="auto"/>
          <w:sz w:val="24"/>
          <w:szCs w:val="24"/>
          <w:highlight w:val="none"/>
        </w:rPr>
        <w:t>承包人对发包人签认的完工付款证书有异议的，发包人可出具完工付款申请单中承包人已同意部分的临时付款证书。存在争议的部分，按第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pPr>
        <w:pStyle w:val="47"/>
        <w:numPr>
          <w:ilvl w:val="0"/>
          <w:numId w:val="22"/>
        </w:numPr>
        <w:tabs>
          <w:tab w:val="left" w:pos="922"/>
        </w:tabs>
        <w:spacing w:line="360" w:lineRule="exact"/>
        <w:ind w:firstLine="440"/>
        <w:jc w:val="both"/>
        <w:rPr>
          <w:color w:val="auto"/>
          <w:sz w:val="24"/>
          <w:szCs w:val="24"/>
          <w:highlight w:val="none"/>
        </w:rPr>
      </w:pPr>
      <w:bookmarkStart w:id="784" w:name="bookmark1377"/>
      <w:bookmarkEnd w:id="784"/>
      <w:r>
        <w:rPr>
          <w:color w:val="auto"/>
          <w:sz w:val="24"/>
          <w:szCs w:val="24"/>
          <w:highlight w:val="none"/>
        </w:rPr>
        <w:t>完工付款涉及政府投资资金的，按第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(4)</w:t>
      </w:r>
      <w:r>
        <w:rPr>
          <w:color w:val="auto"/>
          <w:sz w:val="24"/>
          <w:szCs w:val="24"/>
          <w:highlight w:val="none"/>
        </w:rPr>
        <w:t>目的约定办理。</w:t>
      </w:r>
    </w:p>
    <w:p>
      <w:pPr>
        <w:pStyle w:val="5"/>
        <w:ind w:left="0" w:leftChars="0" w:firstLine="0" w:firstLineChars="0"/>
        <w:rPr>
          <w:color w:val="auto"/>
          <w:sz w:val="24"/>
          <w:szCs w:val="24"/>
          <w:highlight w:val="none"/>
          <w:lang w:eastAsia="zh-CN"/>
        </w:rPr>
      </w:pPr>
      <w:bookmarkStart w:id="785" w:name="bookmark1380"/>
      <w:bookmarkStart w:id="786" w:name="bookmark1379"/>
      <w:bookmarkStart w:id="787" w:name="_Toc20149"/>
      <w:bookmarkStart w:id="788" w:name="bookmark1378"/>
      <w:r>
        <w:rPr>
          <w:color w:val="auto"/>
          <w:sz w:val="24"/>
          <w:szCs w:val="24"/>
          <w:highlight w:val="none"/>
          <w:lang w:eastAsia="zh-CN"/>
        </w:rPr>
        <w:t>17.6最终结清</w:t>
      </w:r>
      <w:bookmarkEnd w:id="785"/>
      <w:bookmarkEnd w:id="786"/>
      <w:bookmarkEnd w:id="787"/>
      <w:bookmarkEnd w:id="788"/>
    </w:p>
    <w:p>
      <w:pPr>
        <w:pStyle w:val="47"/>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17.6.1</w:t>
      </w:r>
      <w:r>
        <w:rPr>
          <w:color w:val="auto"/>
          <w:sz w:val="24"/>
          <w:szCs w:val="24"/>
          <w:highlight w:val="none"/>
        </w:rPr>
        <w:t>最终结清申请单</w:t>
      </w:r>
    </w:p>
    <w:p>
      <w:pPr>
        <w:pStyle w:val="47"/>
        <w:numPr>
          <w:ilvl w:val="0"/>
          <w:numId w:val="23"/>
        </w:numPr>
        <w:tabs>
          <w:tab w:val="left" w:pos="894"/>
        </w:tabs>
        <w:spacing w:line="346" w:lineRule="exact"/>
        <w:ind w:firstLine="440"/>
        <w:jc w:val="both"/>
        <w:rPr>
          <w:color w:val="auto"/>
          <w:sz w:val="24"/>
          <w:szCs w:val="24"/>
          <w:highlight w:val="none"/>
        </w:rPr>
      </w:pPr>
      <w:bookmarkStart w:id="789" w:name="bookmark1381"/>
      <w:bookmarkEnd w:id="789"/>
      <w:r>
        <w:rPr>
          <w:color w:val="auto"/>
          <w:sz w:val="24"/>
          <w:szCs w:val="24"/>
          <w:highlight w:val="none"/>
        </w:rPr>
        <w:t>工程质量保修责任终止证书签发后，承包人应按监理人批准的格式提交最终结清申请单。提交最终结清申请单的份数在专用合同条款中约定。</w:t>
      </w:r>
    </w:p>
    <w:p>
      <w:pPr>
        <w:pStyle w:val="47"/>
        <w:numPr>
          <w:ilvl w:val="0"/>
          <w:numId w:val="23"/>
        </w:numPr>
        <w:tabs>
          <w:tab w:val="left" w:pos="918"/>
        </w:tabs>
        <w:spacing w:after="120" w:line="346" w:lineRule="exact"/>
        <w:ind w:firstLine="440"/>
        <w:jc w:val="both"/>
        <w:rPr>
          <w:color w:val="auto"/>
          <w:sz w:val="24"/>
          <w:szCs w:val="24"/>
          <w:highlight w:val="none"/>
        </w:rPr>
      </w:pPr>
      <w:bookmarkStart w:id="790" w:name="bookmark1382"/>
      <w:bookmarkEnd w:id="790"/>
      <w:r>
        <w:rPr>
          <w:color w:val="auto"/>
          <w:sz w:val="24"/>
          <w:szCs w:val="24"/>
          <w:highlight w:val="none"/>
        </w:rPr>
        <w:t>发包人对最终结清申请单内容有异议的，有权要求承包人进行修正和提供补充资料，由承包人向监理人提交修正后的最终结清申请单。</w:t>
      </w:r>
    </w:p>
    <w:p>
      <w:pPr>
        <w:pStyle w:val="47"/>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17.6.2</w:t>
      </w:r>
      <w:r>
        <w:rPr>
          <w:color w:val="auto"/>
          <w:sz w:val="24"/>
          <w:szCs w:val="24"/>
          <w:highlight w:val="none"/>
        </w:rPr>
        <w:t>最终结清证书和支付时间</w:t>
      </w:r>
    </w:p>
    <w:p>
      <w:pPr>
        <w:pStyle w:val="47"/>
        <w:numPr>
          <w:ilvl w:val="0"/>
          <w:numId w:val="24"/>
        </w:numPr>
        <w:tabs>
          <w:tab w:val="left" w:pos="918"/>
        </w:tabs>
        <w:spacing w:line="346" w:lineRule="exact"/>
        <w:ind w:firstLine="440"/>
        <w:jc w:val="both"/>
        <w:rPr>
          <w:color w:val="auto"/>
          <w:sz w:val="24"/>
          <w:szCs w:val="24"/>
          <w:highlight w:val="none"/>
        </w:rPr>
      </w:pPr>
      <w:bookmarkStart w:id="791" w:name="bookmark1383"/>
      <w:bookmarkEnd w:id="791"/>
      <w:r>
        <w:rPr>
          <w:color w:val="auto"/>
          <w:sz w:val="24"/>
          <w:szCs w:val="24"/>
          <w:highlight w:val="none"/>
        </w:rPr>
        <w:t>监理人收到承包人提交的最终结清申请单后的</w:t>
      </w:r>
      <w:r>
        <w:rPr>
          <w:rFonts w:ascii="Times New Roman" w:hAnsi="Times New Roman" w:eastAsia="Times New Roman" w:cs="Times New Roman"/>
          <w:color w:val="auto"/>
          <w:sz w:val="24"/>
          <w:szCs w:val="24"/>
          <w:highlight w:val="none"/>
        </w:rPr>
        <w:t>14</w:t>
      </w:r>
      <w:r>
        <w:rPr>
          <w:color w:val="auto"/>
          <w:sz w:val="24"/>
          <w:szCs w:val="24"/>
          <w:highlight w:val="none"/>
        </w:rPr>
        <w:t>天内，提出发包人应支付给承包人的价款送发包人审核并抄送承包人。发包人应在收到后</w:t>
      </w:r>
      <w:r>
        <w:rPr>
          <w:rFonts w:ascii="Times New Roman" w:hAnsi="Times New Roman" w:eastAsia="Times New Roman" w:cs="Times New Roman"/>
          <w:color w:val="auto"/>
          <w:sz w:val="24"/>
          <w:szCs w:val="24"/>
          <w:highlight w:val="none"/>
        </w:rPr>
        <w:t>14</w:t>
      </w:r>
      <w:r>
        <w:rPr>
          <w:color w:val="auto"/>
          <w:sz w:val="24"/>
          <w:szCs w:val="24"/>
          <w:highlight w:val="none"/>
        </w:rPr>
        <w:t>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w:t>
      </w:r>
      <w:r>
        <w:rPr>
          <w:rFonts w:hint="eastAsia"/>
          <w:color w:val="auto"/>
          <w:sz w:val="24"/>
          <w:szCs w:val="24"/>
          <w:highlight w:val="none"/>
          <w:lang w:eastAsia="zh-CN"/>
        </w:rPr>
        <w:t>发包人书面同意</w:t>
      </w:r>
      <w:r>
        <w:rPr>
          <w:color w:val="auto"/>
          <w:sz w:val="24"/>
          <w:szCs w:val="24"/>
          <w:highlight w:val="none"/>
        </w:rPr>
        <w:t>。</w:t>
      </w:r>
    </w:p>
    <w:p>
      <w:pPr>
        <w:pStyle w:val="47"/>
        <w:numPr>
          <w:ilvl w:val="0"/>
          <w:numId w:val="24"/>
        </w:numPr>
        <w:tabs>
          <w:tab w:val="left" w:pos="918"/>
        </w:tabs>
        <w:spacing w:line="346" w:lineRule="exact"/>
        <w:ind w:firstLine="440"/>
        <w:jc w:val="both"/>
        <w:rPr>
          <w:color w:val="auto"/>
          <w:sz w:val="24"/>
          <w:szCs w:val="24"/>
          <w:highlight w:val="none"/>
        </w:rPr>
      </w:pPr>
      <w:bookmarkStart w:id="792" w:name="bookmark1384"/>
      <w:bookmarkEnd w:id="792"/>
      <w:r>
        <w:rPr>
          <w:color w:val="auto"/>
          <w:sz w:val="24"/>
          <w:szCs w:val="24"/>
          <w:highlight w:val="none"/>
        </w:rPr>
        <w:t>发包人应在监理人出具最终结清证书后的</w:t>
      </w:r>
      <w:r>
        <w:rPr>
          <w:rFonts w:ascii="Times New Roman" w:hAnsi="Times New Roman" w:eastAsia="Times New Roman" w:cs="Times New Roman"/>
          <w:color w:val="auto"/>
          <w:sz w:val="24"/>
          <w:szCs w:val="24"/>
          <w:highlight w:val="none"/>
        </w:rPr>
        <w:t>14</w:t>
      </w:r>
      <w:r>
        <w:rPr>
          <w:color w:val="auto"/>
          <w:sz w:val="24"/>
          <w:szCs w:val="24"/>
          <w:highlight w:val="none"/>
        </w:rPr>
        <w:t>天内，将应支付款支付给承包人。发包人不按期支付的，按第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(2)</w:t>
      </w:r>
      <w:r>
        <w:rPr>
          <w:color w:val="auto"/>
          <w:sz w:val="24"/>
          <w:szCs w:val="24"/>
          <w:highlight w:val="none"/>
        </w:rPr>
        <w:t>目的约定，将逾期付款违约金支付给承包人。</w:t>
      </w:r>
    </w:p>
    <w:p>
      <w:pPr>
        <w:pStyle w:val="47"/>
        <w:numPr>
          <w:ilvl w:val="0"/>
          <w:numId w:val="24"/>
        </w:numPr>
        <w:tabs>
          <w:tab w:val="left" w:pos="922"/>
        </w:tabs>
        <w:spacing w:line="346" w:lineRule="exact"/>
        <w:ind w:firstLine="440"/>
        <w:jc w:val="both"/>
        <w:rPr>
          <w:color w:val="auto"/>
          <w:sz w:val="24"/>
          <w:szCs w:val="24"/>
          <w:highlight w:val="none"/>
        </w:rPr>
      </w:pPr>
      <w:bookmarkStart w:id="793" w:name="bookmark1385"/>
      <w:bookmarkEnd w:id="793"/>
      <w:r>
        <w:rPr>
          <w:color w:val="auto"/>
          <w:sz w:val="24"/>
          <w:szCs w:val="24"/>
          <w:highlight w:val="none"/>
        </w:rPr>
        <w:t>承包人对发包人签认的最终结清证书有异议的，按第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pPr>
        <w:pStyle w:val="47"/>
        <w:numPr>
          <w:ilvl w:val="0"/>
          <w:numId w:val="24"/>
        </w:numPr>
        <w:tabs>
          <w:tab w:val="left" w:pos="922"/>
        </w:tabs>
        <w:spacing w:after="120" w:line="346" w:lineRule="exact"/>
        <w:ind w:firstLine="440"/>
        <w:jc w:val="both"/>
        <w:rPr>
          <w:color w:val="auto"/>
          <w:sz w:val="24"/>
          <w:szCs w:val="24"/>
          <w:highlight w:val="none"/>
        </w:rPr>
      </w:pPr>
      <w:bookmarkStart w:id="794" w:name="bookmark1386"/>
      <w:bookmarkEnd w:id="794"/>
      <w:r>
        <w:rPr>
          <w:color w:val="auto"/>
          <w:sz w:val="24"/>
          <w:szCs w:val="24"/>
          <w:highlight w:val="none"/>
        </w:rPr>
        <w:t>最终结清付款涉及政府投资资金的，按第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(4)</w:t>
      </w:r>
      <w:r>
        <w:rPr>
          <w:color w:val="auto"/>
          <w:sz w:val="24"/>
          <w:szCs w:val="24"/>
          <w:highlight w:val="none"/>
        </w:rPr>
        <w:t>目的约定办理。</w:t>
      </w:r>
    </w:p>
    <w:p>
      <w:pPr>
        <w:pStyle w:val="5"/>
        <w:ind w:left="0" w:leftChars="0" w:firstLine="0" w:firstLineChars="0"/>
        <w:rPr>
          <w:color w:val="auto"/>
          <w:sz w:val="24"/>
          <w:szCs w:val="24"/>
          <w:highlight w:val="none"/>
          <w:lang w:eastAsia="zh-CN"/>
        </w:rPr>
      </w:pPr>
      <w:bookmarkStart w:id="795" w:name="bookmark1387"/>
      <w:bookmarkStart w:id="796" w:name="bookmark1388"/>
      <w:bookmarkStart w:id="797" w:name="_Toc4347"/>
      <w:bookmarkStart w:id="798" w:name="bookmark1389"/>
      <w:r>
        <w:rPr>
          <w:color w:val="auto"/>
          <w:sz w:val="24"/>
          <w:szCs w:val="24"/>
          <w:highlight w:val="none"/>
          <w:lang w:eastAsia="zh-CN"/>
        </w:rPr>
        <w:t>17.7竣工财务决算</w:t>
      </w:r>
      <w:bookmarkEnd w:id="795"/>
      <w:bookmarkEnd w:id="796"/>
      <w:bookmarkEnd w:id="797"/>
      <w:bookmarkEnd w:id="798"/>
    </w:p>
    <w:p>
      <w:pPr>
        <w:pStyle w:val="47"/>
        <w:spacing w:after="160" w:line="346" w:lineRule="exact"/>
        <w:ind w:firstLine="420"/>
        <w:jc w:val="both"/>
        <w:rPr>
          <w:color w:val="auto"/>
          <w:sz w:val="24"/>
          <w:szCs w:val="24"/>
          <w:highlight w:val="none"/>
        </w:rPr>
      </w:pPr>
      <w:r>
        <w:rPr>
          <w:color w:val="auto"/>
          <w:sz w:val="24"/>
          <w:szCs w:val="24"/>
          <w:highlight w:val="none"/>
        </w:rPr>
        <w:t>发包人负责编制本工程项目竣工财务决算，承包人应按专用合同条款的约定提供竣工财务决算编制所需的相关材料。</w:t>
      </w:r>
    </w:p>
    <w:p>
      <w:pPr>
        <w:pStyle w:val="5"/>
        <w:ind w:left="0" w:leftChars="0" w:firstLine="0" w:firstLineChars="0"/>
        <w:rPr>
          <w:color w:val="auto"/>
          <w:sz w:val="24"/>
          <w:szCs w:val="24"/>
          <w:highlight w:val="none"/>
          <w:lang w:eastAsia="zh-CN"/>
        </w:rPr>
      </w:pPr>
      <w:bookmarkStart w:id="799" w:name="_Toc9623"/>
      <w:bookmarkStart w:id="800" w:name="bookmark1391"/>
      <w:bookmarkStart w:id="801" w:name="bookmark1390"/>
      <w:bookmarkStart w:id="802" w:name="bookmark1392"/>
      <w:r>
        <w:rPr>
          <w:color w:val="auto"/>
          <w:sz w:val="24"/>
          <w:szCs w:val="24"/>
          <w:highlight w:val="none"/>
          <w:lang w:eastAsia="zh-CN"/>
        </w:rPr>
        <w:t>17.8竣工审计</w:t>
      </w:r>
      <w:bookmarkEnd w:id="799"/>
      <w:bookmarkEnd w:id="800"/>
      <w:bookmarkEnd w:id="801"/>
      <w:bookmarkEnd w:id="802"/>
    </w:p>
    <w:p>
      <w:pPr>
        <w:pStyle w:val="47"/>
        <w:spacing w:after="300" w:line="362" w:lineRule="exact"/>
        <w:ind w:firstLine="420"/>
        <w:rPr>
          <w:color w:val="auto"/>
          <w:sz w:val="24"/>
          <w:szCs w:val="24"/>
          <w:highlight w:val="none"/>
        </w:rPr>
      </w:pPr>
      <w:r>
        <w:rPr>
          <w:color w:val="auto"/>
          <w:sz w:val="24"/>
          <w:szCs w:val="24"/>
          <w:highlight w:val="none"/>
        </w:rPr>
        <w:t>发包人负责完成本工程竣工审计手续，承包人应完成相关配合工作。</w:t>
      </w:r>
    </w:p>
    <w:p>
      <w:pPr>
        <w:pStyle w:val="4"/>
        <w:spacing w:line="360" w:lineRule="exact"/>
        <w:rPr>
          <w:rFonts w:hint="eastAsia"/>
          <w:color w:val="auto"/>
          <w:sz w:val="24"/>
          <w:szCs w:val="24"/>
          <w:highlight w:val="none"/>
          <w:lang w:eastAsia="zh-CN"/>
        </w:rPr>
      </w:pPr>
      <w:bookmarkStart w:id="803" w:name="_Toc28198"/>
      <w:bookmarkStart w:id="804" w:name="bookmark1394"/>
      <w:bookmarkStart w:id="805" w:name="bookmark1393"/>
      <w:bookmarkStart w:id="806" w:name="_Toc15468"/>
      <w:bookmarkStart w:id="807" w:name="bookmark1395"/>
      <w:bookmarkStart w:id="808" w:name="_Toc245565770"/>
      <w:r>
        <w:rPr>
          <w:rFonts w:hint="eastAsia"/>
          <w:color w:val="auto"/>
          <w:sz w:val="24"/>
          <w:szCs w:val="24"/>
          <w:highlight w:val="none"/>
          <w:lang w:eastAsia="zh-CN"/>
        </w:rPr>
        <w:t>18.竣工验收（验收）</w:t>
      </w:r>
      <w:bookmarkEnd w:id="803"/>
      <w:bookmarkEnd w:id="804"/>
      <w:bookmarkEnd w:id="805"/>
      <w:bookmarkEnd w:id="806"/>
      <w:bookmarkEnd w:id="807"/>
      <w:bookmarkEnd w:id="808"/>
    </w:p>
    <w:p>
      <w:pPr>
        <w:pStyle w:val="5"/>
        <w:ind w:left="0" w:leftChars="0" w:firstLine="0" w:firstLineChars="0"/>
        <w:rPr>
          <w:color w:val="auto"/>
          <w:sz w:val="24"/>
          <w:szCs w:val="24"/>
          <w:highlight w:val="none"/>
          <w:lang w:eastAsia="zh-CN"/>
        </w:rPr>
      </w:pPr>
      <w:bookmarkStart w:id="809" w:name="bookmark1396"/>
      <w:bookmarkStart w:id="810" w:name="bookmark1398"/>
      <w:bookmarkStart w:id="811" w:name="_Toc1314"/>
      <w:bookmarkStart w:id="812" w:name="bookmark1397"/>
      <w:r>
        <w:rPr>
          <w:color w:val="auto"/>
          <w:sz w:val="24"/>
          <w:szCs w:val="24"/>
          <w:highlight w:val="none"/>
          <w:lang w:eastAsia="zh-CN"/>
        </w:rPr>
        <w:t>18.1验收工作分类</w:t>
      </w:r>
      <w:bookmarkEnd w:id="809"/>
      <w:bookmarkEnd w:id="810"/>
      <w:bookmarkEnd w:id="811"/>
      <w:bookmarkEnd w:id="812"/>
    </w:p>
    <w:p>
      <w:pPr>
        <w:pStyle w:val="47"/>
        <w:spacing w:after="160" w:line="358" w:lineRule="exact"/>
        <w:ind w:firstLine="440"/>
        <w:jc w:val="both"/>
        <w:rPr>
          <w:color w:val="auto"/>
          <w:sz w:val="24"/>
          <w:szCs w:val="24"/>
          <w:highlight w:val="none"/>
        </w:rPr>
      </w:pPr>
      <w:r>
        <w:rPr>
          <w:color w:val="auto"/>
          <w:sz w:val="24"/>
          <w:szCs w:val="24"/>
          <w:highlight w:val="none"/>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pPr>
        <w:pStyle w:val="5"/>
        <w:ind w:left="0" w:leftChars="0" w:firstLine="0" w:firstLineChars="0"/>
        <w:rPr>
          <w:color w:val="auto"/>
          <w:sz w:val="24"/>
          <w:szCs w:val="24"/>
          <w:highlight w:val="none"/>
          <w:lang w:eastAsia="zh-CN"/>
        </w:rPr>
      </w:pPr>
      <w:bookmarkStart w:id="813" w:name="bookmark1399"/>
      <w:bookmarkStart w:id="814" w:name="bookmark1401"/>
      <w:bookmarkStart w:id="815" w:name="_Toc8655"/>
      <w:bookmarkStart w:id="816" w:name="bookmark1400"/>
      <w:r>
        <w:rPr>
          <w:color w:val="auto"/>
          <w:sz w:val="24"/>
          <w:szCs w:val="24"/>
          <w:highlight w:val="none"/>
          <w:lang w:eastAsia="zh-CN"/>
        </w:rPr>
        <w:t>18.2分部工程验收</w:t>
      </w:r>
      <w:bookmarkEnd w:id="813"/>
      <w:bookmarkEnd w:id="814"/>
      <w:bookmarkEnd w:id="815"/>
      <w:bookmarkEnd w:id="816"/>
    </w:p>
    <w:p>
      <w:pPr>
        <w:pStyle w:val="47"/>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18.2.1</w:t>
      </w:r>
      <w:r>
        <w:rPr>
          <w:color w:val="auto"/>
          <w:sz w:val="24"/>
          <w:szCs w:val="24"/>
          <w:highlight w:val="none"/>
        </w:rPr>
        <w:t>分部工程具备验收条件时，承包人应向发包人提交验收申请报告，发包人应在收到验收申请报告之日起</w:t>
      </w:r>
      <w:r>
        <w:rPr>
          <w:rFonts w:ascii="Times New Roman" w:hAnsi="Times New Roman" w:eastAsia="Times New Roman" w:cs="Times New Roman"/>
          <w:color w:val="auto"/>
          <w:sz w:val="24"/>
          <w:szCs w:val="24"/>
          <w:highlight w:val="none"/>
        </w:rPr>
        <w:t>10</w:t>
      </w:r>
      <w:r>
        <w:rPr>
          <w:color w:val="auto"/>
          <w:sz w:val="24"/>
          <w:szCs w:val="24"/>
          <w:highlight w:val="none"/>
        </w:rPr>
        <w:t>个工作日内决定是否同意进行验收。</w:t>
      </w:r>
    </w:p>
    <w:p>
      <w:pPr>
        <w:pStyle w:val="47"/>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18.2.2</w:t>
      </w:r>
      <w:r>
        <w:rPr>
          <w:color w:val="auto"/>
          <w:sz w:val="24"/>
          <w:szCs w:val="24"/>
          <w:highlight w:val="none"/>
        </w:rPr>
        <w:t>除专用合同条款另有约定外，监理人主持分部工程验收，承包人应派符合条件的代表参加验收工作组。</w:t>
      </w:r>
    </w:p>
    <w:p>
      <w:pPr>
        <w:pStyle w:val="47"/>
        <w:spacing w:after="16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18.2.3</w:t>
      </w:r>
      <w:r>
        <w:rPr>
          <w:color w:val="auto"/>
          <w:sz w:val="24"/>
          <w:szCs w:val="24"/>
          <w:highlight w:val="none"/>
        </w:rPr>
        <w:t>分部工程验收通过后，发包人向承包人发送分部工程验收鉴定书。承包人应及时完成分部工程验收鉴定书载明应由承包人处理的遗留问题。</w:t>
      </w:r>
    </w:p>
    <w:p>
      <w:pPr>
        <w:pStyle w:val="5"/>
        <w:ind w:left="0" w:leftChars="0" w:firstLine="0" w:firstLineChars="0"/>
        <w:rPr>
          <w:color w:val="auto"/>
          <w:sz w:val="24"/>
          <w:szCs w:val="24"/>
          <w:highlight w:val="none"/>
          <w:lang w:eastAsia="zh-CN"/>
        </w:rPr>
      </w:pPr>
      <w:bookmarkStart w:id="817" w:name="bookmark1402"/>
      <w:bookmarkStart w:id="818" w:name="bookmark1403"/>
      <w:bookmarkStart w:id="819" w:name="bookmark1404"/>
      <w:bookmarkStart w:id="820" w:name="_Toc19460"/>
      <w:r>
        <w:rPr>
          <w:color w:val="auto"/>
          <w:sz w:val="24"/>
          <w:szCs w:val="24"/>
          <w:highlight w:val="none"/>
          <w:lang w:eastAsia="zh-CN"/>
        </w:rPr>
        <w:t>18.3单位工程验收</w:t>
      </w:r>
      <w:bookmarkEnd w:id="817"/>
      <w:bookmarkEnd w:id="818"/>
      <w:bookmarkEnd w:id="819"/>
      <w:bookmarkEnd w:id="820"/>
    </w:p>
    <w:p>
      <w:pPr>
        <w:pStyle w:val="47"/>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18.3.1</w:t>
      </w:r>
      <w:r>
        <w:rPr>
          <w:color w:val="auto"/>
          <w:sz w:val="24"/>
          <w:szCs w:val="24"/>
          <w:highlight w:val="none"/>
        </w:rPr>
        <w:t>单位工程具备验收条件时，承包人应向发包人提交验收申请报告，发包人应在收到验收申请报告之日起</w:t>
      </w:r>
      <w:r>
        <w:rPr>
          <w:rFonts w:ascii="Times New Roman" w:hAnsi="Times New Roman" w:eastAsia="Times New Roman" w:cs="Times New Roman"/>
          <w:color w:val="auto"/>
          <w:sz w:val="24"/>
          <w:szCs w:val="24"/>
          <w:highlight w:val="none"/>
        </w:rPr>
        <w:t>10</w:t>
      </w:r>
      <w:r>
        <w:rPr>
          <w:color w:val="auto"/>
          <w:sz w:val="24"/>
          <w:szCs w:val="24"/>
          <w:highlight w:val="none"/>
        </w:rPr>
        <w:t>个工作日内决定是否同意进行验收。</w:t>
      </w:r>
    </w:p>
    <w:p>
      <w:pPr>
        <w:pStyle w:val="47"/>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18.3.2</w:t>
      </w:r>
      <w:r>
        <w:rPr>
          <w:color w:val="auto"/>
          <w:sz w:val="24"/>
          <w:szCs w:val="24"/>
          <w:highlight w:val="none"/>
        </w:rPr>
        <w:t>发包人主持单位工程验收，承包人应派符合条件的代表参加验收工作组。</w:t>
      </w:r>
    </w:p>
    <w:p>
      <w:pPr>
        <w:pStyle w:val="47"/>
        <w:spacing w:after="10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18.3.3</w:t>
      </w:r>
      <w:r>
        <w:rPr>
          <w:color w:val="auto"/>
          <w:sz w:val="24"/>
          <w:szCs w:val="24"/>
          <w:highlight w:val="none"/>
        </w:rPr>
        <w:t>单位工程验收通过后，发包人向承包人发送单位工程验收鉴定书。承包人应及时完成单位工程验收鉴定书载明应由承包人处理的遗留问题。</w:t>
      </w:r>
    </w:p>
    <w:p>
      <w:pPr>
        <w:pStyle w:val="47"/>
        <w:spacing w:after="160" w:line="240"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18.3.4</w:t>
      </w:r>
      <w:r>
        <w:rPr>
          <w:color w:val="auto"/>
          <w:sz w:val="24"/>
          <w:szCs w:val="24"/>
          <w:highlight w:val="none"/>
        </w:rPr>
        <w:t>需提前投入使用的单位工程在专用合同条款中明确。</w:t>
      </w:r>
    </w:p>
    <w:p>
      <w:pPr>
        <w:pStyle w:val="5"/>
        <w:ind w:left="0" w:leftChars="0" w:firstLine="0" w:firstLineChars="0"/>
        <w:rPr>
          <w:color w:val="auto"/>
          <w:sz w:val="24"/>
          <w:szCs w:val="24"/>
          <w:highlight w:val="none"/>
          <w:lang w:eastAsia="zh-CN"/>
        </w:rPr>
      </w:pPr>
      <w:bookmarkStart w:id="821" w:name="bookmark1407"/>
      <w:bookmarkStart w:id="822" w:name="bookmark1406"/>
      <w:bookmarkStart w:id="823" w:name="_Toc24227"/>
      <w:bookmarkStart w:id="824" w:name="bookmark1405"/>
      <w:r>
        <w:rPr>
          <w:color w:val="auto"/>
          <w:sz w:val="24"/>
          <w:szCs w:val="24"/>
          <w:highlight w:val="none"/>
          <w:lang w:eastAsia="zh-CN"/>
        </w:rPr>
        <w:t>18.4合同工程完工验收</w:t>
      </w:r>
      <w:bookmarkEnd w:id="821"/>
      <w:bookmarkEnd w:id="822"/>
      <w:bookmarkEnd w:id="823"/>
      <w:bookmarkEnd w:id="824"/>
    </w:p>
    <w:p>
      <w:pPr>
        <w:pStyle w:val="47"/>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18.4.1</w:t>
      </w:r>
      <w:r>
        <w:rPr>
          <w:color w:val="auto"/>
          <w:sz w:val="24"/>
          <w:szCs w:val="24"/>
          <w:highlight w:val="none"/>
        </w:rPr>
        <w:t>合同工程具备验收条件时，承包人应向发包人提交验收申请报告，发包人应在收到验收申请报告之日起</w:t>
      </w:r>
      <w:r>
        <w:rPr>
          <w:rFonts w:ascii="Times New Roman" w:hAnsi="Times New Roman" w:eastAsia="Times New Roman" w:cs="Times New Roman"/>
          <w:color w:val="auto"/>
          <w:sz w:val="24"/>
          <w:szCs w:val="24"/>
          <w:highlight w:val="none"/>
        </w:rPr>
        <w:t>20</w:t>
      </w:r>
      <w:r>
        <w:rPr>
          <w:color w:val="auto"/>
          <w:sz w:val="24"/>
          <w:szCs w:val="24"/>
          <w:highlight w:val="none"/>
        </w:rPr>
        <w:t>个工作日内决定是否同意进行验收。</w:t>
      </w:r>
    </w:p>
    <w:p>
      <w:pPr>
        <w:pStyle w:val="47"/>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18.4.2</w:t>
      </w:r>
      <w:r>
        <w:rPr>
          <w:color w:val="auto"/>
          <w:sz w:val="24"/>
          <w:szCs w:val="24"/>
          <w:highlight w:val="none"/>
        </w:rPr>
        <w:t>发包人主持合同工程完工验收，承包人应派项目经理参加验收工作组。</w:t>
      </w:r>
    </w:p>
    <w:p>
      <w:pPr>
        <w:pStyle w:val="47"/>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18.4.3</w:t>
      </w:r>
      <w:r>
        <w:rPr>
          <w:color w:val="auto"/>
          <w:sz w:val="24"/>
          <w:szCs w:val="24"/>
          <w:highlight w:val="none"/>
        </w:rPr>
        <w:t>合同工程完工验收通过后，发包人向承包人发送合同工程完工验收鉴定书。承包人应及时完成合同工程完工验收鉴定书载明应由承包人处理的遗留问题。</w:t>
      </w:r>
    </w:p>
    <w:p>
      <w:pPr>
        <w:pStyle w:val="47"/>
        <w:spacing w:after="160"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18.4.4</w:t>
      </w:r>
      <w:r>
        <w:rPr>
          <w:color w:val="auto"/>
          <w:sz w:val="24"/>
          <w:szCs w:val="24"/>
          <w:highlight w:val="none"/>
        </w:rPr>
        <w:t>合同工程完工验收通过后，发包人与承包人应在</w:t>
      </w:r>
      <w:r>
        <w:rPr>
          <w:rFonts w:ascii="Times New Roman" w:hAnsi="Times New Roman" w:eastAsia="Times New Roman" w:cs="Times New Roman"/>
          <w:color w:val="auto"/>
          <w:sz w:val="24"/>
          <w:szCs w:val="24"/>
          <w:highlight w:val="none"/>
        </w:rPr>
        <w:t>30</w:t>
      </w:r>
      <w:r>
        <w:rPr>
          <w:color w:val="auto"/>
          <w:sz w:val="24"/>
          <w:szCs w:val="24"/>
          <w:highlight w:val="none"/>
        </w:rPr>
        <w:t>个工作日内组织专人负责工程交接，双方交接负责人应在交接记录上签字。承包人应按验收鉴定书约定的时间及时 移交工程及其档案资料。工程移交时，承包人应向发包人递交工程质量保修书。在承包人 递交了工程质量保修书、完成施工场地清理以及提交有关资料后，发包人应</w:t>
      </w:r>
      <w:r>
        <w:rPr>
          <w:rFonts w:ascii="Times New Roman" w:hAnsi="Times New Roman" w:eastAsia="Times New Roman" w:cs="Times New Roman"/>
          <w:color w:val="auto"/>
          <w:sz w:val="24"/>
          <w:szCs w:val="24"/>
          <w:highlight w:val="none"/>
        </w:rPr>
        <w:t>30</w:t>
      </w:r>
      <w:r>
        <w:rPr>
          <w:color w:val="auto"/>
          <w:sz w:val="24"/>
          <w:szCs w:val="24"/>
          <w:highlight w:val="none"/>
        </w:rPr>
        <w:t>个工作日内 向承包人颁发合同工程完工证书。</w:t>
      </w:r>
    </w:p>
    <w:p>
      <w:pPr>
        <w:pStyle w:val="5"/>
        <w:ind w:left="0" w:leftChars="0" w:firstLine="0" w:firstLineChars="0"/>
        <w:rPr>
          <w:color w:val="auto"/>
          <w:sz w:val="24"/>
          <w:szCs w:val="24"/>
          <w:highlight w:val="none"/>
          <w:lang w:eastAsia="zh-CN"/>
        </w:rPr>
      </w:pPr>
      <w:bookmarkStart w:id="825" w:name="bookmark1408"/>
      <w:bookmarkStart w:id="826" w:name="bookmark1409"/>
      <w:bookmarkStart w:id="827" w:name="_Toc32064"/>
      <w:bookmarkStart w:id="828" w:name="bookmark1410"/>
      <w:r>
        <w:rPr>
          <w:color w:val="auto"/>
          <w:sz w:val="24"/>
          <w:szCs w:val="24"/>
          <w:highlight w:val="none"/>
          <w:lang w:eastAsia="zh-CN"/>
        </w:rPr>
        <w:t>18.5阶段验收</w:t>
      </w:r>
      <w:bookmarkEnd w:id="825"/>
      <w:bookmarkEnd w:id="826"/>
      <w:bookmarkEnd w:id="827"/>
      <w:bookmarkEnd w:id="828"/>
    </w:p>
    <w:p>
      <w:pPr>
        <w:pStyle w:val="47"/>
        <w:spacing w:line="372" w:lineRule="exact"/>
        <w:ind w:firstLine="511" w:firstLineChars="213"/>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18.5.1</w:t>
      </w:r>
      <w:r>
        <w:rPr>
          <w:color w:val="auto"/>
          <w:sz w:val="24"/>
          <w:szCs w:val="24"/>
          <w:highlight w:val="none"/>
        </w:rPr>
        <w:t>工程建设具备阶段验收条件时，发包人负责提出阶段验收申请报告。承包人应派代表参加阶段验收，并作为被验收单位在验收鉴定书上签字。阶段验收的具体类别在专用合同条款中约定。</w:t>
      </w:r>
    </w:p>
    <w:p>
      <w:pPr>
        <w:pStyle w:val="47"/>
        <w:tabs>
          <w:tab w:val="left" w:pos="841"/>
        </w:tabs>
        <w:spacing w:after="140" w:line="355" w:lineRule="exact"/>
        <w:ind w:left="420" w:firstLine="0"/>
        <w:rPr>
          <w:color w:val="auto"/>
          <w:sz w:val="24"/>
          <w:szCs w:val="24"/>
          <w:highlight w:val="none"/>
        </w:rPr>
      </w:pPr>
      <w:r>
        <w:rPr>
          <w:rFonts w:hint="eastAsia" w:ascii="Times New Roman" w:hAnsi="Times New Roman" w:cs="Times New Roman"/>
          <w:color w:val="auto"/>
          <w:sz w:val="24"/>
          <w:szCs w:val="24"/>
          <w:highlight w:val="none"/>
          <w:lang w:val="en-US" w:bidi="en-US"/>
        </w:rPr>
        <w:t>18.</w:t>
      </w:r>
      <w:r>
        <w:rPr>
          <w:rFonts w:ascii="Times New Roman" w:hAnsi="Times New Roman" w:eastAsia="Times New Roman" w:cs="Times New Roman"/>
          <w:color w:val="auto"/>
          <w:sz w:val="24"/>
          <w:szCs w:val="24"/>
          <w:highlight w:val="none"/>
          <w:lang w:val="en-US" w:bidi="en-US"/>
        </w:rPr>
        <w:t>5.</w:t>
      </w:r>
      <w:r>
        <w:rPr>
          <w:rFonts w:ascii="Times New Roman" w:hAnsi="Times New Roman" w:eastAsia="Times New Roman" w:cs="Times New Roman"/>
          <w:color w:val="auto"/>
          <w:sz w:val="24"/>
          <w:szCs w:val="24"/>
          <w:highlight w:val="none"/>
        </w:rPr>
        <w:t>2</w:t>
      </w:r>
      <w:r>
        <w:rPr>
          <w:color w:val="auto"/>
          <w:sz w:val="24"/>
          <w:szCs w:val="24"/>
          <w:highlight w:val="none"/>
        </w:rPr>
        <w:t>承包人应及时完成阶段验收鉴定书载明应由承包人处理的遗留问题。</w:t>
      </w:r>
    </w:p>
    <w:p>
      <w:pPr>
        <w:pStyle w:val="5"/>
        <w:ind w:left="0" w:leftChars="0" w:firstLine="0" w:firstLineChars="0"/>
        <w:rPr>
          <w:color w:val="auto"/>
          <w:sz w:val="24"/>
          <w:szCs w:val="24"/>
          <w:highlight w:val="none"/>
          <w:lang w:eastAsia="zh-CN"/>
        </w:rPr>
      </w:pPr>
      <w:bookmarkStart w:id="829" w:name="bookmark1414"/>
      <w:bookmarkStart w:id="830" w:name="bookmark1412"/>
      <w:bookmarkStart w:id="831" w:name="_Toc16235"/>
      <w:bookmarkStart w:id="832" w:name="bookmark1413"/>
      <w:r>
        <w:rPr>
          <w:color w:val="auto"/>
          <w:sz w:val="24"/>
          <w:szCs w:val="24"/>
          <w:highlight w:val="none"/>
          <w:lang w:eastAsia="zh-CN"/>
        </w:rPr>
        <w:t>18.6专项验收</w:t>
      </w:r>
      <w:bookmarkEnd w:id="829"/>
      <w:bookmarkEnd w:id="830"/>
      <w:bookmarkEnd w:id="831"/>
      <w:bookmarkEnd w:id="832"/>
    </w:p>
    <w:p>
      <w:pPr>
        <w:pStyle w:val="47"/>
        <w:spacing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18.6.1</w:t>
      </w:r>
      <w:r>
        <w:rPr>
          <w:color w:val="auto"/>
          <w:sz w:val="24"/>
          <w:szCs w:val="24"/>
          <w:highlight w:val="none"/>
        </w:rPr>
        <w:t>发包人负责提出专项验收申请报告。承包人应按专项验收的相关规定参加专项验收。专项验收的具体类别在专用合同条款中约定。</w:t>
      </w:r>
    </w:p>
    <w:p>
      <w:pPr>
        <w:pStyle w:val="47"/>
        <w:spacing w:after="140" w:line="355"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18.6.</w:t>
      </w:r>
      <w:r>
        <w:rPr>
          <w:rFonts w:ascii="Times New Roman" w:hAnsi="Times New Roman" w:eastAsia="Times New Roman" w:cs="Times New Roman"/>
          <w:color w:val="auto"/>
          <w:sz w:val="24"/>
          <w:szCs w:val="24"/>
          <w:highlight w:val="none"/>
        </w:rPr>
        <w:t>2</w:t>
      </w:r>
      <w:r>
        <w:rPr>
          <w:color w:val="auto"/>
          <w:sz w:val="24"/>
          <w:szCs w:val="24"/>
          <w:highlight w:val="none"/>
        </w:rPr>
        <w:t>承包应及时完成专项验收成果性文件载明应由承包人处理的遗留问题。</w:t>
      </w:r>
    </w:p>
    <w:p>
      <w:pPr>
        <w:pStyle w:val="5"/>
        <w:ind w:left="0" w:leftChars="0" w:firstLine="0" w:firstLineChars="0"/>
        <w:rPr>
          <w:color w:val="auto"/>
          <w:sz w:val="24"/>
          <w:szCs w:val="24"/>
          <w:highlight w:val="none"/>
          <w:lang w:eastAsia="zh-CN"/>
        </w:rPr>
      </w:pPr>
      <w:bookmarkStart w:id="833" w:name="_Toc31377"/>
      <w:bookmarkStart w:id="834" w:name="bookmark1416"/>
      <w:bookmarkStart w:id="835" w:name="bookmark1417"/>
      <w:bookmarkStart w:id="836" w:name="bookmark1415"/>
      <w:r>
        <w:rPr>
          <w:color w:val="auto"/>
          <w:sz w:val="24"/>
          <w:szCs w:val="24"/>
          <w:highlight w:val="none"/>
          <w:lang w:eastAsia="zh-CN"/>
        </w:rPr>
        <w:t>18.7竣工验收</w:t>
      </w:r>
      <w:bookmarkEnd w:id="833"/>
      <w:bookmarkEnd w:id="834"/>
      <w:bookmarkEnd w:id="835"/>
      <w:bookmarkEnd w:id="836"/>
    </w:p>
    <w:p>
      <w:pPr>
        <w:pStyle w:val="47"/>
        <w:spacing w:line="355"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18.7.1</w:t>
      </w:r>
      <w:r>
        <w:rPr>
          <w:rFonts w:ascii="Times New Roman" w:hAnsi="Times New Roman" w:cs="Times New Roman"/>
          <w:color w:val="auto"/>
          <w:sz w:val="24"/>
          <w:szCs w:val="24"/>
          <w:highlight w:val="none"/>
        </w:rPr>
        <w:t>申请竣工验收前，发包人组织竣工验收自查，承包人应派项目经理或技术负责人参加。</w:t>
      </w:r>
    </w:p>
    <w:p>
      <w:pPr>
        <w:pStyle w:val="47"/>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18.7.2</w:t>
      </w:r>
      <w:r>
        <w:rPr>
          <w:color w:val="auto"/>
          <w:sz w:val="24"/>
          <w:szCs w:val="24"/>
          <w:highlight w:val="none"/>
        </w:rPr>
        <w:t>竣工验收分为竣工技术预验收和竣工验收两个阶段，发包人应通知承包人派法定代表人或项目经理参加技术预验收和竣工验收。</w:t>
      </w:r>
    </w:p>
    <w:p>
      <w:pPr>
        <w:pStyle w:val="47"/>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18.7.3</w:t>
      </w:r>
      <w:r>
        <w:rPr>
          <w:color w:val="auto"/>
          <w:sz w:val="24"/>
          <w:szCs w:val="24"/>
          <w:highlight w:val="none"/>
        </w:rPr>
        <w:t>专用合同条款约定工程需要进行技术鉴定的，承包人应提交有关资料并完成配合工作。</w:t>
      </w:r>
    </w:p>
    <w:p>
      <w:pPr>
        <w:pStyle w:val="47"/>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18.7.4</w:t>
      </w:r>
      <w:r>
        <w:rPr>
          <w:color w:val="auto"/>
          <w:sz w:val="24"/>
          <w:szCs w:val="24"/>
          <w:highlight w:val="none"/>
        </w:rPr>
        <w:t>竣工验收需要进行质量检测的，所需费用由发包人承担，但因承包人原因造成质量不合格的除外。</w:t>
      </w:r>
    </w:p>
    <w:p>
      <w:pPr>
        <w:pStyle w:val="47"/>
        <w:spacing w:after="140" w:line="35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18.7.5</w:t>
      </w:r>
      <w:r>
        <w:rPr>
          <w:color w:val="auto"/>
          <w:sz w:val="24"/>
          <w:szCs w:val="24"/>
          <w:highlight w:val="none"/>
        </w:rPr>
        <w:t>工程质量保修期满以及竣工验收遗留问题和尾工处理完成并通过验收后，发包人负责将处理情况和验收成果报送竣工验收主持单位，申请领取工程竣工证书，并发送承包人。</w:t>
      </w:r>
    </w:p>
    <w:p>
      <w:pPr>
        <w:pStyle w:val="5"/>
        <w:ind w:left="0" w:leftChars="0" w:firstLine="0" w:firstLineChars="0"/>
        <w:rPr>
          <w:color w:val="auto"/>
          <w:sz w:val="24"/>
          <w:szCs w:val="24"/>
          <w:highlight w:val="none"/>
          <w:lang w:eastAsia="zh-CN"/>
        </w:rPr>
      </w:pPr>
      <w:bookmarkStart w:id="837" w:name="bookmark1419"/>
      <w:bookmarkStart w:id="838" w:name="_Toc28956"/>
      <w:bookmarkStart w:id="839" w:name="bookmark1418"/>
      <w:bookmarkStart w:id="840" w:name="bookmark1420"/>
      <w:r>
        <w:rPr>
          <w:color w:val="auto"/>
          <w:sz w:val="24"/>
          <w:szCs w:val="24"/>
          <w:highlight w:val="none"/>
          <w:lang w:eastAsia="zh-CN"/>
        </w:rPr>
        <w:t>18.8施工期运行</w:t>
      </w:r>
      <w:bookmarkEnd w:id="837"/>
      <w:bookmarkEnd w:id="838"/>
      <w:bookmarkEnd w:id="839"/>
      <w:bookmarkEnd w:id="840"/>
    </w:p>
    <w:p>
      <w:pPr>
        <w:pStyle w:val="47"/>
        <w:spacing w:line="35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18.8.1</w:t>
      </w:r>
      <w:r>
        <w:rPr>
          <w:color w:val="auto"/>
          <w:sz w:val="24"/>
          <w:szCs w:val="24"/>
          <w:highlight w:val="none"/>
        </w:rPr>
        <w:t>施工期运行是指合同工程尚未全部完工，其中某单位工程或部分工程已完工, 需要投入施工期运行的，经发包人按第</w:t>
      </w:r>
      <w:r>
        <w:rPr>
          <w:rFonts w:ascii="Times New Roman" w:hAnsi="Times New Roman" w:eastAsia="Times New Roman" w:cs="Times New Roman"/>
          <w:color w:val="auto"/>
          <w:sz w:val="24"/>
          <w:szCs w:val="24"/>
          <w:highlight w:val="none"/>
          <w:lang w:val="en-US" w:bidi="en-US"/>
        </w:rPr>
        <w:t xml:space="preserve">18. </w:t>
      </w:r>
      <w:r>
        <w:rPr>
          <w:rFonts w:ascii="Times New Roman" w:hAnsi="Times New Roman" w:eastAsia="Times New Roman" w:cs="Times New Roman"/>
          <w:color w:val="auto"/>
          <w:sz w:val="24"/>
          <w:szCs w:val="24"/>
          <w:highlight w:val="none"/>
        </w:rPr>
        <w:t>2</w:t>
      </w:r>
      <w:r>
        <w:rPr>
          <w:color w:val="auto"/>
          <w:sz w:val="24"/>
          <w:szCs w:val="24"/>
          <w:highlight w:val="none"/>
        </w:rPr>
        <w:t>款或第</w:t>
      </w:r>
      <w:r>
        <w:rPr>
          <w:rFonts w:ascii="Times New Roman" w:hAnsi="Times New Roman" w:eastAsia="Times New Roman" w:cs="Times New Roman"/>
          <w:color w:val="auto"/>
          <w:sz w:val="24"/>
          <w:szCs w:val="24"/>
          <w:highlight w:val="none"/>
          <w:lang w:val="en-US" w:bidi="en-US"/>
        </w:rPr>
        <w:t xml:space="preserve">18. </w:t>
      </w:r>
      <w:r>
        <w:rPr>
          <w:rFonts w:ascii="Times New Roman" w:hAnsi="Times New Roman" w:eastAsia="Times New Roman" w:cs="Times New Roman"/>
          <w:color w:val="auto"/>
          <w:sz w:val="24"/>
          <w:szCs w:val="24"/>
          <w:highlight w:val="none"/>
        </w:rPr>
        <w:t>3</w:t>
      </w:r>
      <w:r>
        <w:rPr>
          <w:color w:val="auto"/>
          <w:sz w:val="24"/>
          <w:szCs w:val="24"/>
          <w:highlight w:val="none"/>
        </w:rPr>
        <w:t>款的约定验收合格，证明能确保安全后，才能在施工期投入运行。需要在施工期运行的单位工程或部分工程在专用合同条款中约定。</w:t>
      </w:r>
    </w:p>
    <w:p>
      <w:pPr>
        <w:pStyle w:val="47"/>
        <w:spacing w:after="14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18.8.2</w:t>
      </w:r>
      <w:r>
        <w:rPr>
          <w:color w:val="auto"/>
          <w:sz w:val="24"/>
          <w:szCs w:val="24"/>
          <w:highlight w:val="none"/>
        </w:rPr>
        <w:t>在施工期运行中发现工程或工程设备损坏或存在缺陷的，由承包人按第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 xml:space="preserve">2 </w:t>
      </w:r>
      <w:r>
        <w:rPr>
          <w:color w:val="auto"/>
          <w:sz w:val="24"/>
          <w:szCs w:val="24"/>
          <w:highlight w:val="none"/>
        </w:rPr>
        <w:t>款约定进行修复。</w:t>
      </w:r>
    </w:p>
    <w:p>
      <w:pPr>
        <w:pStyle w:val="5"/>
        <w:ind w:left="0" w:leftChars="0" w:firstLine="0" w:firstLineChars="0"/>
        <w:rPr>
          <w:color w:val="auto"/>
          <w:sz w:val="24"/>
          <w:szCs w:val="24"/>
          <w:highlight w:val="none"/>
          <w:lang w:eastAsia="zh-CN"/>
        </w:rPr>
      </w:pPr>
      <w:bookmarkStart w:id="841" w:name="bookmark1422"/>
      <w:bookmarkStart w:id="842" w:name="_Toc20150"/>
      <w:bookmarkStart w:id="843" w:name="bookmark1423"/>
      <w:bookmarkStart w:id="844" w:name="bookmark1421"/>
      <w:r>
        <w:rPr>
          <w:color w:val="auto"/>
          <w:sz w:val="24"/>
          <w:szCs w:val="24"/>
          <w:highlight w:val="none"/>
          <w:lang w:eastAsia="zh-CN"/>
        </w:rPr>
        <w:t>18.9试运行</w:t>
      </w:r>
      <w:bookmarkEnd w:id="841"/>
      <w:bookmarkEnd w:id="842"/>
      <w:bookmarkEnd w:id="843"/>
      <w:bookmarkEnd w:id="844"/>
    </w:p>
    <w:p>
      <w:pPr>
        <w:pStyle w:val="47"/>
        <w:spacing w:line="35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18.9.1</w:t>
      </w:r>
      <w:r>
        <w:rPr>
          <w:color w:val="auto"/>
          <w:sz w:val="24"/>
          <w:szCs w:val="24"/>
          <w:highlight w:val="none"/>
        </w:rPr>
        <w:t>除专用合同条款另有约定外，承包人应按规定进行工程及工程设备试运行, 负责提供试运行所需的人员、器材和必要的条件，并承担全部试运行费用。</w:t>
      </w:r>
    </w:p>
    <w:p>
      <w:pPr>
        <w:pStyle w:val="47"/>
        <w:spacing w:after="240" w:line="372" w:lineRule="exact"/>
        <w:ind w:firstLine="511" w:firstLineChars="213"/>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18.9.2</w:t>
      </w:r>
      <w:r>
        <w:rPr>
          <w:color w:val="auto"/>
          <w:sz w:val="24"/>
          <w:szCs w:val="24"/>
          <w:highlight w:val="none"/>
        </w:rPr>
        <w:t>由于承包人的原因导致试运行失败的，承包人应采取措施保证试运行合格, 并承担相应费用。由于发包人的原因导致试运行失败的，承包人应当采取措施保证试运行合格，发包人应承担由此产生的费用，并支付承包人合理利润。</w:t>
      </w:r>
      <w:bookmarkStart w:id="845" w:name="bookmark1411"/>
      <w:bookmarkEnd w:id="845"/>
    </w:p>
    <w:p>
      <w:pPr>
        <w:pStyle w:val="5"/>
        <w:ind w:left="0" w:leftChars="0" w:firstLine="0" w:firstLineChars="0"/>
        <w:rPr>
          <w:color w:val="auto"/>
          <w:sz w:val="24"/>
          <w:szCs w:val="24"/>
          <w:highlight w:val="none"/>
          <w:lang w:eastAsia="zh-CN"/>
        </w:rPr>
      </w:pPr>
      <w:bookmarkStart w:id="846" w:name="bookmark1426"/>
      <w:bookmarkStart w:id="847" w:name="bookmark1425"/>
      <w:bookmarkStart w:id="848" w:name="_Toc1706"/>
      <w:bookmarkStart w:id="849" w:name="bookmark1424"/>
      <w:r>
        <w:rPr>
          <w:color w:val="auto"/>
          <w:sz w:val="24"/>
          <w:szCs w:val="24"/>
          <w:highlight w:val="none"/>
          <w:lang w:eastAsia="zh-CN"/>
        </w:rPr>
        <w:t>18.10竣工（完工）清场</w:t>
      </w:r>
      <w:bookmarkEnd w:id="846"/>
      <w:bookmarkEnd w:id="847"/>
      <w:bookmarkEnd w:id="848"/>
      <w:bookmarkEnd w:id="849"/>
    </w:p>
    <w:p>
      <w:pPr>
        <w:pStyle w:val="47"/>
        <w:spacing w:line="355"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18.10.1</w:t>
      </w:r>
      <w:r>
        <w:rPr>
          <w:rFonts w:ascii="Times New Roman" w:hAnsi="Times New Roman" w:cs="Times New Roman"/>
          <w:color w:val="auto"/>
          <w:sz w:val="24"/>
          <w:szCs w:val="24"/>
          <w:highlight w:val="none"/>
        </w:rPr>
        <w:t>工程项目竣工（完工）清场的工作范围和内容在技术标准和要求（合同技术条款）中约定。</w:t>
      </w:r>
    </w:p>
    <w:p>
      <w:pPr>
        <w:pStyle w:val="47"/>
        <w:spacing w:after="240"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18.10.2</w:t>
      </w:r>
      <w:r>
        <w:rPr>
          <w:color w:val="auto"/>
          <w:sz w:val="24"/>
          <w:szCs w:val="24"/>
          <w:highlight w:val="none"/>
        </w:rPr>
        <w:t>承包未按监理人的要求恢复临时占地，或者场地清理未达到合同约定的，发包人有权委托其它人恢复或清理，所发生的金额从拟支付给承包人的款项中扣除。</w:t>
      </w:r>
    </w:p>
    <w:p>
      <w:pPr>
        <w:pStyle w:val="5"/>
        <w:ind w:left="0" w:leftChars="0" w:firstLine="0" w:firstLineChars="0"/>
        <w:rPr>
          <w:color w:val="auto"/>
          <w:sz w:val="24"/>
          <w:szCs w:val="24"/>
          <w:highlight w:val="none"/>
          <w:lang w:eastAsia="zh-CN"/>
        </w:rPr>
      </w:pPr>
      <w:bookmarkStart w:id="850" w:name="bookmark1429"/>
      <w:bookmarkStart w:id="851" w:name="bookmark1427"/>
      <w:bookmarkStart w:id="852" w:name="bookmark1428"/>
      <w:bookmarkStart w:id="853" w:name="_Toc28474"/>
      <w:r>
        <w:rPr>
          <w:color w:val="auto"/>
          <w:sz w:val="24"/>
          <w:szCs w:val="24"/>
          <w:highlight w:val="none"/>
          <w:lang w:eastAsia="zh-CN"/>
        </w:rPr>
        <w:t>18.11施工队伍的撤离</w:t>
      </w:r>
      <w:bookmarkEnd w:id="850"/>
      <w:bookmarkEnd w:id="851"/>
      <w:bookmarkEnd w:id="852"/>
      <w:bookmarkEnd w:id="853"/>
    </w:p>
    <w:p>
      <w:pPr>
        <w:pStyle w:val="47"/>
        <w:spacing w:after="300" w:line="355" w:lineRule="exact"/>
        <w:ind w:firstLine="420"/>
        <w:jc w:val="both"/>
        <w:rPr>
          <w:color w:val="auto"/>
          <w:sz w:val="24"/>
          <w:szCs w:val="24"/>
          <w:highlight w:val="none"/>
        </w:rPr>
      </w:pPr>
      <w:r>
        <w:rPr>
          <w:color w:val="auto"/>
          <w:sz w:val="24"/>
          <w:szCs w:val="24"/>
          <w:highlight w:val="none"/>
        </w:rPr>
        <w:t>合同工程完工证书颁发后的</w:t>
      </w:r>
      <w:r>
        <w:rPr>
          <w:rFonts w:ascii="Times New Roman" w:hAnsi="Times New Roman" w:eastAsia="Times New Roman" w:cs="Times New Roman"/>
          <w:color w:val="auto"/>
          <w:sz w:val="24"/>
          <w:szCs w:val="24"/>
          <w:highlight w:val="none"/>
        </w:rPr>
        <w:t>56</w:t>
      </w:r>
      <w:r>
        <w:rPr>
          <w:color w:val="auto"/>
          <w:sz w:val="24"/>
          <w:szCs w:val="24"/>
          <w:highlight w:val="none"/>
        </w:rPr>
        <w:t>天内，除了经监理人同意需在缺陷责任期（工程质量保修期）内继续工作和使用的人员、施工设备和临时工程外，其余的人员、施工设备和临时工程均应撤离施工场地或拆除。除合同另有约定外，缺陷责任期（工程质量保修期）满时, 承包人的人员和施工设备应全部撤离施工场地。</w:t>
      </w:r>
    </w:p>
    <w:p>
      <w:pPr>
        <w:pStyle w:val="4"/>
        <w:spacing w:line="360" w:lineRule="exact"/>
        <w:rPr>
          <w:rFonts w:hint="eastAsia"/>
          <w:color w:val="auto"/>
          <w:sz w:val="24"/>
          <w:szCs w:val="24"/>
          <w:highlight w:val="none"/>
          <w:lang w:eastAsia="zh-CN"/>
        </w:rPr>
      </w:pPr>
      <w:bookmarkStart w:id="854" w:name="_Toc695152116"/>
      <w:bookmarkStart w:id="855" w:name="bookmark1431"/>
      <w:bookmarkStart w:id="856" w:name="_Toc3205"/>
      <w:bookmarkStart w:id="857" w:name="bookmark1432"/>
      <w:bookmarkStart w:id="858" w:name="bookmark1430"/>
      <w:bookmarkStart w:id="859" w:name="_Toc15410"/>
      <w:r>
        <w:rPr>
          <w:rFonts w:hint="eastAsia"/>
          <w:color w:val="auto"/>
          <w:sz w:val="24"/>
          <w:szCs w:val="24"/>
          <w:highlight w:val="none"/>
          <w:lang w:eastAsia="zh-CN"/>
        </w:rPr>
        <w:t>19.缺陷责任与保修责任</w:t>
      </w:r>
      <w:bookmarkEnd w:id="854"/>
      <w:bookmarkEnd w:id="855"/>
      <w:bookmarkEnd w:id="856"/>
      <w:bookmarkEnd w:id="857"/>
      <w:bookmarkEnd w:id="858"/>
      <w:bookmarkEnd w:id="859"/>
    </w:p>
    <w:p>
      <w:pPr>
        <w:pStyle w:val="5"/>
        <w:ind w:left="0" w:leftChars="0" w:firstLine="0" w:firstLineChars="0"/>
        <w:rPr>
          <w:color w:val="auto"/>
          <w:sz w:val="24"/>
          <w:szCs w:val="24"/>
          <w:highlight w:val="none"/>
          <w:lang w:eastAsia="zh-CN"/>
        </w:rPr>
      </w:pPr>
      <w:bookmarkStart w:id="860" w:name="bookmark1433"/>
      <w:bookmarkStart w:id="861" w:name="bookmark1434"/>
      <w:bookmarkStart w:id="862" w:name="bookmark1435"/>
      <w:bookmarkStart w:id="863" w:name="_Toc22913"/>
      <w:r>
        <w:rPr>
          <w:color w:val="auto"/>
          <w:sz w:val="24"/>
          <w:szCs w:val="24"/>
          <w:highlight w:val="none"/>
          <w:lang w:eastAsia="zh-CN"/>
        </w:rPr>
        <w:t>19.1缺陷责任期（工程质量保修期）的起算时间</w:t>
      </w:r>
      <w:bookmarkEnd w:id="860"/>
      <w:bookmarkEnd w:id="861"/>
      <w:bookmarkEnd w:id="862"/>
      <w:bookmarkEnd w:id="863"/>
    </w:p>
    <w:p>
      <w:pPr>
        <w:pStyle w:val="47"/>
        <w:spacing w:after="160" w:line="354" w:lineRule="exact"/>
        <w:ind w:firstLine="440"/>
        <w:jc w:val="both"/>
        <w:rPr>
          <w:color w:val="auto"/>
          <w:sz w:val="24"/>
          <w:szCs w:val="24"/>
          <w:highlight w:val="none"/>
        </w:rPr>
      </w:pPr>
      <w:r>
        <w:rPr>
          <w:color w:val="auto"/>
          <w:sz w:val="24"/>
          <w:szCs w:val="24"/>
          <w:highlight w:val="none"/>
        </w:rPr>
        <w:t>除专用合同条款另有约定外，缺陷责任期（工程质量保修期）从工程通过合同工程完 工验收后开始计算。在合同工程完工验收前，已经发包人提前验收的单位工程或部分工程, 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pPr>
        <w:pStyle w:val="5"/>
        <w:ind w:left="0" w:leftChars="0" w:firstLine="0" w:firstLineChars="0"/>
        <w:rPr>
          <w:color w:val="auto"/>
          <w:sz w:val="24"/>
          <w:szCs w:val="24"/>
          <w:highlight w:val="none"/>
          <w:lang w:eastAsia="zh-CN"/>
        </w:rPr>
      </w:pPr>
      <w:bookmarkStart w:id="864" w:name="bookmark1437"/>
      <w:bookmarkStart w:id="865" w:name="bookmark1438"/>
      <w:bookmarkStart w:id="866" w:name="bookmark1436"/>
      <w:bookmarkStart w:id="867" w:name="_Toc27743"/>
      <w:r>
        <w:rPr>
          <w:color w:val="auto"/>
          <w:sz w:val="24"/>
          <w:szCs w:val="24"/>
          <w:highlight w:val="none"/>
          <w:lang w:eastAsia="zh-CN"/>
        </w:rPr>
        <w:t>19.2缺陷责任</w:t>
      </w:r>
      <w:bookmarkEnd w:id="864"/>
      <w:bookmarkEnd w:id="865"/>
      <w:bookmarkEnd w:id="866"/>
      <w:bookmarkEnd w:id="867"/>
    </w:p>
    <w:p>
      <w:pPr>
        <w:pStyle w:val="47"/>
        <w:tabs>
          <w:tab w:val="left" w:pos="853"/>
        </w:tabs>
        <w:spacing w:line="360" w:lineRule="exact"/>
        <w:ind w:left="440" w:firstLine="0"/>
        <w:jc w:val="both"/>
        <w:rPr>
          <w:color w:val="auto"/>
          <w:sz w:val="24"/>
          <w:szCs w:val="24"/>
          <w:highlight w:val="none"/>
        </w:rPr>
      </w:pPr>
      <w:bookmarkStart w:id="868" w:name="bookmark1439"/>
      <w:bookmarkEnd w:id="868"/>
      <w:r>
        <w:rPr>
          <w:rFonts w:hint="eastAsia" w:ascii="Times New Roman" w:hAnsi="Times New Roman" w:cs="Times New Roman"/>
          <w:color w:val="auto"/>
          <w:sz w:val="24"/>
          <w:szCs w:val="24"/>
          <w:highlight w:val="none"/>
          <w:lang w:val="en-US" w:bidi="en-US"/>
        </w:rPr>
        <w:t>19.</w:t>
      </w:r>
      <w:r>
        <w:rPr>
          <w:rFonts w:ascii="Times New Roman" w:hAnsi="Times New Roman" w:eastAsia="Times New Roman" w:cs="Times New Roman"/>
          <w:color w:val="auto"/>
          <w:sz w:val="24"/>
          <w:szCs w:val="24"/>
          <w:highlight w:val="none"/>
          <w:lang w:val="en-US" w:bidi="en-US"/>
        </w:rPr>
        <w:t xml:space="preserve">2. </w:t>
      </w:r>
      <w:r>
        <w:rPr>
          <w:rFonts w:ascii="Times New Roman" w:hAnsi="Times New Roman" w:eastAsia="Times New Roman" w:cs="Times New Roman"/>
          <w:color w:val="auto"/>
          <w:sz w:val="24"/>
          <w:szCs w:val="24"/>
          <w:highlight w:val="none"/>
        </w:rPr>
        <w:t>1</w:t>
      </w:r>
      <w:r>
        <w:rPr>
          <w:color w:val="auto"/>
          <w:sz w:val="24"/>
          <w:szCs w:val="24"/>
          <w:highlight w:val="none"/>
        </w:rPr>
        <w:t>承包人应在缺陷责任期内对已交付使用的工程承担缺陷责任。</w:t>
      </w:r>
    </w:p>
    <w:p>
      <w:pPr>
        <w:pStyle w:val="47"/>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19.2.2</w:t>
      </w:r>
      <w:r>
        <w:rPr>
          <w:color w:val="auto"/>
          <w:sz w:val="24"/>
          <w:szCs w:val="24"/>
          <w:highlight w:val="none"/>
        </w:rPr>
        <w:t>缺陷责任期内，发包人对已接收使用的工程负责日常维护工作。发包人在使用过程中，发现已接收的工程存在新的缺陷或已修复的缺陷部位或部件又遭损坏的，承包人应负责修复，直至检验合格为止。</w:t>
      </w:r>
    </w:p>
    <w:p>
      <w:pPr>
        <w:pStyle w:val="47"/>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19.2.3</w:t>
      </w:r>
      <w:r>
        <w:rPr>
          <w:color w:val="auto"/>
          <w:sz w:val="24"/>
          <w:szCs w:val="24"/>
          <w:highlight w:val="none"/>
        </w:rPr>
        <w:t>监理人和承包人应共同查清缺陷和（或）损坏的原因。经查明属承包人原因造成的，应由承包人承担修复和查验的费用。经查验属发包人原因造成的，发包人应承担修复和查验的费用，并支付承包人合理利润。</w:t>
      </w:r>
    </w:p>
    <w:p>
      <w:pPr>
        <w:pStyle w:val="47"/>
        <w:spacing w:after="160"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19.2.4</w:t>
      </w:r>
      <w:r>
        <w:rPr>
          <w:color w:val="auto"/>
          <w:sz w:val="24"/>
          <w:szCs w:val="24"/>
          <w:highlight w:val="none"/>
        </w:rPr>
        <w:t>承包人不能在合理时间内修复缺陷的，发包人可自行修复或委托其他人修复, 所需费用和利润的承担，按第</w:t>
      </w:r>
      <w:r>
        <w:rPr>
          <w:rFonts w:ascii="Times New Roman" w:hAnsi="Times New Roman" w:eastAsia="Times New Roman" w:cs="Times New Roman"/>
          <w:color w:val="auto"/>
          <w:sz w:val="24"/>
          <w:szCs w:val="24"/>
          <w:highlight w:val="none"/>
          <w:lang w:val="en-US" w:bidi="en-US"/>
        </w:rPr>
        <w:t xml:space="preserve">19. 2. </w:t>
      </w:r>
      <w:r>
        <w:rPr>
          <w:rFonts w:ascii="Times New Roman" w:hAnsi="Times New Roman" w:eastAsia="Times New Roman" w:cs="Times New Roman"/>
          <w:color w:val="auto"/>
          <w:sz w:val="24"/>
          <w:szCs w:val="24"/>
          <w:highlight w:val="none"/>
        </w:rPr>
        <w:t>3</w:t>
      </w:r>
      <w:r>
        <w:rPr>
          <w:color w:val="auto"/>
          <w:sz w:val="24"/>
          <w:szCs w:val="24"/>
          <w:highlight w:val="none"/>
        </w:rPr>
        <w:t>项约定办理。</w:t>
      </w:r>
    </w:p>
    <w:p>
      <w:pPr>
        <w:pStyle w:val="5"/>
        <w:ind w:left="0" w:leftChars="0" w:firstLine="0" w:firstLineChars="0"/>
        <w:rPr>
          <w:color w:val="auto"/>
          <w:sz w:val="24"/>
          <w:szCs w:val="24"/>
          <w:highlight w:val="none"/>
          <w:lang w:eastAsia="zh-CN"/>
        </w:rPr>
      </w:pPr>
      <w:bookmarkStart w:id="869" w:name="bookmark1445"/>
      <w:bookmarkStart w:id="870" w:name="bookmark1443"/>
      <w:bookmarkStart w:id="871" w:name="_Toc4593"/>
      <w:bookmarkStart w:id="872" w:name="bookmark1444"/>
      <w:r>
        <w:rPr>
          <w:color w:val="auto"/>
          <w:sz w:val="24"/>
          <w:szCs w:val="24"/>
          <w:highlight w:val="none"/>
          <w:lang w:eastAsia="zh-CN"/>
        </w:rPr>
        <w:t>19.</w:t>
      </w:r>
      <w:r>
        <w:rPr>
          <w:rFonts w:hint="eastAsia"/>
          <w:color w:val="auto"/>
          <w:sz w:val="24"/>
          <w:szCs w:val="24"/>
          <w:highlight w:val="none"/>
          <w:lang w:val="en-US" w:eastAsia="zh-CN"/>
        </w:rPr>
        <w:t>3</w:t>
      </w:r>
      <w:r>
        <w:rPr>
          <w:color w:val="auto"/>
          <w:sz w:val="24"/>
          <w:szCs w:val="24"/>
          <w:highlight w:val="none"/>
          <w:lang w:eastAsia="zh-CN"/>
        </w:rPr>
        <w:t>进一步试验和试运行</w:t>
      </w:r>
      <w:bookmarkEnd w:id="869"/>
      <w:bookmarkEnd w:id="870"/>
      <w:bookmarkEnd w:id="871"/>
      <w:bookmarkEnd w:id="872"/>
    </w:p>
    <w:p>
      <w:pPr>
        <w:pStyle w:val="47"/>
        <w:spacing w:after="160" w:line="360" w:lineRule="exact"/>
        <w:ind w:firstLine="440"/>
        <w:jc w:val="both"/>
        <w:rPr>
          <w:color w:val="auto"/>
          <w:sz w:val="24"/>
          <w:szCs w:val="24"/>
          <w:highlight w:val="none"/>
        </w:rPr>
      </w:pPr>
      <w:r>
        <w:rPr>
          <w:color w:val="auto"/>
          <w:sz w:val="24"/>
          <w:szCs w:val="24"/>
          <w:highlight w:val="none"/>
        </w:rPr>
        <w:t>任何一项缺陷或损坏修复后，经检查证明其影响了工程或工程设备的使用性能，承包人应重新进行合同约定的试验和试运行，试验和试运行的全部费用应由责任方承担。</w:t>
      </w:r>
    </w:p>
    <w:p>
      <w:pPr>
        <w:pStyle w:val="5"/>
        <w:ind w:left="0" w:leftChars="0" w:firstLine="0" w:firstLineChars="0"/>
        <w:rPr>
          <w:color w:val="auto"/>
          <w:sz w:val="24"/>
          <w:szCs w:val="24"/>
          <w:highlight w:val="none"/>
          <w:lang w:eastAsia="zh-CN"/>
        </w:rPr>
      </w:pPr>
      <w:bookmarkStart w:id="873" w:name="_Toc19734"/>
      <w:bookmarkStart w:id="874" w:name="bookmark1441"/>
      <w:bookmarkStart w:id="875" w:name="bookmark1440"/>
      <w:bookmarkStart w:id="876" w:name="bookmark1442"/>
      <w:bookmarkStart w:id="877" w:name="bookmark1446"/>
      <w:bookmarkStart w:id="878" w:name="_Toc13710"/>
      <w:bookmarkStart w:id="879" w:name="bookmark1447"/>
      <w:bookmarkStart w:id="880" w:name="bookmark1448"/>
      <w:r>
        <w:rPr>
          <w:color w:val="auto"/>
          <w:sz w:val="24"/>
          <w:szCs w:val="24"/>
          <w:highlight w:val="none"/>
          <w:lang w:eastAsia="zh-CN"/>
        </w:rPr>
        <w:t>19.</w:t>
      </w:r>
      <w:r>
        <w:rPr>
          <w:rFonts w:hint="eastAsia"/>
          <w:color w:val="auto"/>
          <w:sz w:val="24"/>
          <w:szCs w:val="24"/>
          <w:highlight w:val="none"/>
          <w:lang w:val="en-US" w:eastAsia="zh-CN"/>
        </w:rPr>
        <w:t>4</w:t>
      </w:r>
      <w:r>
        <w:rPr>
          <w:color w:val="auto"/>
          <w:sz w:val="24"/>
          <w:szCs w:val="24"/>
          <w:highlight w:val="none"/>
          <w:lang w:eastAsia="zh-CN"/>
        </w:rPr>
        <w:t>缺陷责任期的延长</w:t>
      </w:r>
      <w:bookmarkEnd w:id="873"/>
      <w:bookmarkEnd w:id="874"/>
      <w:bookmarkEnd w:id="875"/>
      <w:bookmarkEnd w:id="876"/>
    </w:p>
    <w:p>
      <w:pPr>
        <w:pStyle w:val="47"/>
        <w:spacing w:after="160" w:line="343" w:lineRule="exact"/>
        <w:ind w:firstLine="440"/>
        <w:jc w:val="both"/>
        <w:rPr>
          <w:color w:val="auto"/>
          <w:sz w:val="24"/>
          <w:szCs w:val="24"/>
          <w:highlight w:val="none"/>
        </w:rPr>
      </w:pPr>
      <w:r>
        <w:rPr>
          <w:color w:val="auto"/>
          <w:sz w:val="24"/>
          <w:szCs w:val="24"/>
          <w:highlight w:val="none"/>
        </w:rPr>
        <w:t>由于承包人原因造成某项缺陷或损坏使某项工程或工程设备不能按原定目标使用而需要再次检查、检验和修复的，发包人有权要求承包人相应延长缺陷责任期，但缺陷责任期最长不超过</w:t>
      </w:r>
      <w:r>
        <w:rPr>
          <w:rFonts w:ascii="Times New Roman" w:hAnsi="Times New Roman" w:eastAsia="Times New Roman" w:cs="Times New Roman"/>
          <w:color w:val="auto"/>
          <w:sz w:val="24"/>
          <w:szCs w:val="24"/>
          <w:highlight w:val="none"/>
        </w:rPr>
        <w:t>2</w:t>
      </w:r>
      <w:r>
        <w:rPr>
          <w:color w:val="auto"/>
          <w:sz w:val="24"/>
          <w:szCs w:val="24"/>
          <w:highlight w:val="none"/>
        </w:rPr>
        <w:t>年。</w:t>
      </w:r>
    </w:p>
    <w:p>
      <w:pPr>
        <w:pStyle w:val="5"/>
        <w:ind w:left="0" w:leftChars="0" w:firstLine="0" w:firstLineChars="0"/>
        <w:rPr>
          <w:color w:val="auto"/>
          <w:sz w:val="24"/>
          <w:szCs w:val="24"/>
          <w:highlight w:val="none"/>
          <w:lang w:eastAsia="zh-CN"/>
        </w:rPr>
      </w:pPr>
      <w:r>
        <w:rPr>
          <w:color w:val="auto"/>
          <w:sz w:val="24"/>
          <w:szCs w:val="24"/>
          <w:highlight w:val="none"/>
          <w:lang w:eastAsia="zh-CN"/>
        </w:rPr>
        <w:t>19.5承包人的进入权</w:t>
      </w:r>
      <w:bookmarkEnd w:id="877"/>
      <w:bookmarkEnd w:id="878"/>
      <w:bookmarkEnd w:id="879"/>
      <w:bookmarkEnd w:id="880"/>
    </w:p>
    <w:p>
      <w:pPr>
        <w:pStyle w:val="47"/>
        <w:spacing w:after="160" w:line="362" w:lineRule="exact"/>
        <w:ind w:firstLine="440"/>
        <w:jc w:val="both"/>
        <w:rPr>
          <w:color w:val="auto"/>
          <w:sz w:val="24"/>
          <w:szCs w:val="24"/>
          <w:highlight w:val="none"/>
        </w:rPr>
      </w:pPr>
      <w:r>
        <w:rPr>
          <w:color w:val="auto"/>
          <w:sz w:val="24"/>
          <w:szCs w:val="24"/>
          <w:highlight w:val="none"/>
        </w:rPr>
        <w:t>缺陷责任期内承包人为缺陷修复工作需要，有权进入工程现场，但应遵守发包人的保安和保密规定。</w:t>
      </w:r>
    </w:p>
    <w:p>
      <w:pPr>
        <w:pStyle w:val="5"/>
        <w:ind w:left="0" w:leftChars="0" w:firstLine="0" w:firstLineChars="0"/>
        <w:rPr>
          <w:color w:val="auto"/>
          <w:sz w:val="24"/>
          <w:szCs w:val="24"/>
          <w:highlight w:val="none"/>
          <w:lang w:eastAsia="zh-CN"/>
        </w:rPr>
      </w:pPr>
      <w:bookmarkStart w:id="881" w:name="bookmark1449"/>
      <w:bookmarkStart w:id="882" w:name="bookmark1450"/>
      <w:bookmarkStart w:id="883" w:name="_Toc16024"/>
      <w:bookmarkStart w:id="884" w:name="bookmark1451"/>
      <w:r>
        <w:rPr>
          <w:color w:val="auto"/>
          <w:sz w:val="24"/>
          <w:szCs w:val="24"/>
          <w:highlight w:val="none"/>
          <w:lang w:eastAsia="zh-CN"/>
        </w:rPr>
        <w:t>19.6缺陷责任期终止证书（工程质量保修责任终止证书）</w:t>
      </w:r>
      <w:bookmarkEnd w:id="881"/>
      <w:bookmarkEnd w:id="882"/>
      <w:bookmarkEnd w:id="883"/>
      <w:bookmarkEnd w:id="884"/>
    </w:p>
    <w:p>
      <w:pPr>
        <w:pStyle w:val="47"/>
        <w:spacing w:line="362" w:lineRule="exact"/>
        <w:ind w:firstLine="440"/>
        <w:jc w:val="both"/>
        <w:rPr>
          <w:color w:val="auto"/>
          <w:sz w:val="24"/>
          <w:szCs w:val="24"/>
          <w:highlight w:val="none"/>
        </w:rPr>
      </w:pPr>
      <w:r>
        <w:rPr>
          <w:color w:val="auto"/>
          <w:sz w:val="24"/>
          <w:szCs w:val="24"/>
          <w:highlight w:val="none"/>
        </w:rPr>
        <w:t>合同工程完工验收后，发包人与承包人应办理工程交接手续，承包人应向发包人递交工程质量保修书。</w:t>
      </w:r>
    </w:p>
    <w:p>
      <w:pPr>
        <w:pStyle w:val="47"/>
        <w:spacing w:after="160" w:line="361" w:lineRule="exact"/>
        <w:ind w:firstLine="440"/>
        <w:jc w:val="both"/>
        <w:rPr>
          <w:color w:val="auto"/>
          <w:sz w:val="24"/>
          <w:szCs w:val="24"/>
          <w:highlight w:val="none"/>
        </w:rPr>
      </w:pPr>
      <w:r>
        <w:rPr>
          <w:color w:val="auto"/>
          <w:sz w:val="24"/>
          <w:szCs w:val="24"/>
          <w:highlight w:val="none"/>
        </w:rPr>
        <w:t>缺陷责任期（工程质量保修期）满后</w:t>
      </w:r>
      <w:r>
        <w:rPr>
          <w:rFonts w:ascii="Times New Roman" w:hAnsi="Times New Roman" w:eastAsia="Times New Roman" w:cs="Times New Roman"/>
          <w:color w:val="auto"/>
          <w:sz w:val="24"/>
          <w:szCs w:val="24"/>
          <w:highlight w:val="none"/>
        </w:rPr>
        <w:t>30</w:t>
      </w:r>
      <w:r>
        <w:rPr>
          <w:color w:val="auto"/>
          <w:sz w:val="24"/>
          <w:szCs w:val="24"/>
          <w:highlight w:val="none"/>
        </w:rPr>
        <w:t>个工作日内，发包人应向承包人颁发工程质量保修责任终止证书，并退还剩余的质量保证金，但保修责任范围内的质量缺陷未处理完成的应除外。</w:t>
      </w:r>
    </w:p>
    <w:p>
      <w:pPr>
        <w:pStyle w:val="5"/>
        <w:ind w:left="0" w:leftChars="0" w:firstLine="0" w:firstLineChars="0"/>
        <w:rPr>
          <w:color w:val="auto"/>
          <w:sz w:val="24"/>
          <w:szCs w:val="24"/>
          <w:highlight w:val="none"/>
          <w:lang w:eastAsia="zh-CN"/>
        </w:rPr>
      </w:pPr>
      <w:bookmarkStart w:id="885" w:name="bookmark1452"/>
      <w:bookmarkStart w:id="886" w:name="bookmark1453"/>
      <w:bookmarkStart w:id="887" w:name="_Toc10377"/>
      <w:bookmarkStart w:id="888" w:name="bookmark1454"/>
      <w:r>
        <w:rPr>
          <w:color w:val="auto"/>
          <w:sz w:val="24"/>
          <w:szCs w:val="24"/>
          <w:highlight w:val="none"/>
          <w:lang w:eastAsia="zh-CN"/>
        </w:rPr>
        <w:t>19.7保修责任</w:t>
      </w:r>
      <w:bookmarkEnd w:id="885"/>
      <w:bookmarkEnd w:id="886"/>
      <w:bookmarkEnd w:id="887"/>
      <w:bookmarkEnd w:id="888"/>
    </w:p>
    <w:p>
      <w:pPr>
        <w:pStyle w:val="47"/>
        <w:spacing w:after="260" w:line="347" w:lineRule="exact"/>
        <w:ind w:firstLine="440"/>
        <w:jc w:val="both"/>
        <w:rPr>
          <w:color w:val="auto"/>
          <w:sz w:val="24"/>
          <w:szCs w:val="24"/>
          <w:highlight w:val="none"/>
        </w:rPr>
      </w:pPr>
      <w:r>
        <w:rPr>
          <w:color w:val="auto"/>
          <w:sz w:val="24"/>
          <w:szCs w:val="24"/>
          <w:highlight w:val="none"/>
        </w:rPr>
        <w:t>合同当事人根据有关法律规定，在专用合同条款中约定工程质量保修范围、期限和责任。保修期自实际完工验收日期起计算。在全部工程竣工验收前，已经发包人提前验收的单位工程，其保修期的起算日期相应提前。</w:t>
      </w:r>
    </w:p>
    <w:p>
      <w:pPr>
        <w:pStyle w:val="4"/>
        <w:spacing w:line="360" w:lineRule="exact"/>
        <w:rPr>
          <w:rFonts w:hint="eastAsia"/>
          <w:color w:val="auto"/>
          <w:sz w:val="24"/>
          <w:szCs w:val="24"/>
          <w:highlight w:val="none"/>
          <w:lang w:eastAsia="zh-CN"/>
        </w:rPr>
      </w:pPr>
      <w:bookmarkStart w:id="889" w:name="_Toc1962875816"/>
      <w:bookmarkStart w:id="890" w:name="bookmark1457"/>
      <w:bookmarkStart w:id="891" w:name="_Toc30886"/>
      <w:bookmarkStart w:id="892" w:name="_Toc31099"/>
      <w:bookmarkStart w:id="893" w:name="bookmark1456"/>
      <w:bookmarkStart w:id="894" w:name="bookmark1455"/>
      <w:r>
        <w:rPr>
          <w:rFonts w:hint="eastAsia"/>
          <w:color w:val="auto"/>
          <w:sz w:val="24"/>
          <w:szCs w:val="24"/>
          <w:highlight w:val="none"/>
          <w:lang w:eastAsia="zh-CN"/>
        </w:rPr>
        <w:t>20.保险</w:t>
      </w:r>
      <w:bookmarkEnd w:id="889"/>
      <w:bookmarkEnd w:id="890"/>
      <w:bookmarkEnd w:id="891"/>
      <w:bookmarkEnd w:id="892"/>
    </w:p>
    <w:p>
      <w:pPr>
        <w:pStyle w:val="5"/>
        <w:ind w:left="0" w:leftChars="0" w:firstLine="0" w:firstLineChars="0"/>
        <w:rPr>
          <w:color w:val="auto"/>
          <w:sz w:val="24"/>
          <w:szCs w:val="24"/>
          <w:highlight w:val="none"/>
          <w:lang w:eastAsia="zh-CN"/>
        </w:rPr>
      </w:pPr>
      <w:bookmarkStart w:id="895" w:name="_Toc16520"/>
      <w:bookmarkStart w:id="896" w:name="bookmark1458"/>
      <w:r>
        <w:rPr>
          <w:color w:val="auto"/>
          <w:sz w:val="24"/>
          <w:szCs w:val="24"/>
          <w:highlight w:val="none"/>
          <w:lang w:eastAsia="zh-CN"/>
        </w:rPr>
        <w:t>20.1工程保险</w:t>
      </w:r>
      <w:bookmarkEnd w:id="893"/>
      <w:bookmarkEnd w:id="894"/>
      <w:bookmarkEnd w:id="895"/>
      <w:bookmarkEnd w:id="896"/>
    </w:p>
    <w:p>
      <w:pPr>
        <w:pStyle w:val="47"/>
        <w:spacing w:after="120" w:line="348" w:lineRule="exact"/>
        <w:ind w:firstLine="440"/>
        <w:jc w:val="both"/>
        <w:rPr>
          <w:color w:val="auto"/>
          <w:sz w:val="24"/>
          <w:szCs w:val="24"/>
          <w:highlight w:val="none"/>
        </w:rPr>
      </w:pPr>
      <w:r>
        <w:rPr>
          <w:color w:val="auto"/>
          <w:sz w:val="24"/>
          <w:szCs w:val="24"/>
          <w:highlight w:val="none"/>
        </w:rPr>
        <w:t>除专用合同条款另有约定外，承包人应以发包人和承包人的共同名义向双方同意的保险人投保建筑工程一切险、安装工程一切险。其具体的投保内容、保险金额、保险费率、 保险期限等有关内容在专用合同条款中约定。</w:t>
      </w:r>
    </w:p>
    <w:p>
      <w:pPr>
        <w:pStyle w:val="5"/>
        <w:ind w:left="0" w:leftChars="0" w:firstLine="0" w:firstLineChars="0"/>
        <w:rPr>
          <w:color w:val="auto"/>
          <w:sz w:val="24"/>
          <w:szCs w:val="24"/>
          <w:highlight w:val="none"/>
          <w:lang w:eastAsia="zh-CN"/>
        </w:rPr>
      </w:pPr>
      <w:bookmarkStart w:id="897" w:name="bookmark1459"/>
      <w:bookmarkStart w:id="898" w:name="bookmark1460"/>
      <w:bookmarkStart w:id="899" w:name="_Toc19236"/>
      <w:bookmarkStart w:id="900" w:name="bookmark1461"/>
      <w:r>
        <w:rPr>
          <w:color w:val="auto"/>
          <w:sz w:val="24"/>
          <w:szCs w:val="24"/>
          <w:highlight w:val="none"/>
          <w:lang w:eastAsia="zh-CN"/>
        </w:rPr>
        <w:t>20.2人员工伤事故的保险</w:t>
      </w:r>
      <w:bookmarkEnd w:id="897"/>
      <w:bookmarkEnd w:id="898"/>
      <w:bookmarkEnd w:id="899"/>
      <w:bookmarkEnd w:id="900"/>
    </w:p>
    <w:p>
      <w:pPr>
        <w:pStyle w:val="47"/>
        <w:tabs>
          <w:tab w:val="left" w:pos="878"/>
        </w:tabs>
        <w:spacing w:line="353" w:lineRule="exact"/>
        <w:ind w:left="440" w:firstLine="0"/>
        <w:jc w:val="both"/>
        <w:rPr>
          <w:color w:val="auto"/>
          <w:sz w:val="24"/>
          <w:szCs w:val="24"/>
          <w:highlight w:val="none"/>
        </w:rPr>
      </w:pPr>
      <w:bookmarkStart w:id="901" w:name="bookmark1462"/>
      <w:bookmarkEnd w:id="901"/>
      <w:r>
        <w:rPr>
          <w:rFonts w:hint="eastAsia" w:ascii="Times New Roman" w:hAnsi="Times New Roman" w:cs="Times New Roman"/>
          <w:color w:val="auto"/>
          <w:sz w:val="24"/>
          <w:szCs w:val="24"/>
          <w:highlight w:val="none"/>
          <w:lang w:val="en-US" w:bidi="en-US"/>
        </w:rPr>
        <w:t>20.</w:t>
      </w:r>
      <w:r>
        <w:rPr>
          <w:rFonts w:ascii="Times New Roman" w:hAnsi="Times New Roman" w:eastAsia="Times New Roman" w:cs="Times New Roman"/>
          <w:color w:val="auto"/>
          <w:sz w:val="24"/>
          <w:szCs w:val="24"/>
          <w:highlight w:val="none"/>
          <w:lang w:val="en-US" w:bidi="en-US"/>
        </w:rPr>
        <w:t>2.</w:t>
      </w:r>
      <w:r>
        <w:rPr>
          <w:rFonts w:ascii="Times New Roman" w:hAnsi="Times New Roman" w:eastAsia="Times New Roman" w:cs="Times New Roman"/>
          <w:color w:val="auto"/>
          <w:sz w:val="24"/>
          <w:szCs w:val="24"/>
          <w:highlight w:val="none"/>
        </w:rPr>
        <w:t>1</w:t>
      </w:r>
      <w:r>
        <w:rPr>
          <w:color w:val="auto"/>
          <w:sz w:val="24"/>
          <w:szCs w:val="24"/>
          <w:highlight w:val="none"/>
        </w:rPr>
        <w:t>承包人员工伤事故的保险</w:t>
      </w:r>
    </w:p>
    <w:p>
      <w:pPr>
        <w:pStyle w:val="47"/>
        <w:spacing w:line="353" w:lineRule="exact"/>
        <w:ind w:firstLine="440"/>
        <w:jc w:val="both"/>
        <w:rPr>
          <w:color w:val="auto"/>
          <w:sz w:val="24"/>
          <w:szCs w:val="24"/>
          <w:highlight w:val="none"/>
        </w:rPr>
      </w:pPr>
      <w:r>
        <w:rPr>
          <w:color w:val="auto"/>
          <w:sz w:val="24"/>
          <w:szCs w:val="24"/>
          <w:highlight w:val="none"/>
        </w:rPr>
        <w:t>承包人应依照有关法律规定参加工伤保险，为其履行合同所雇佣的全部人员，缴纳工 伤保险费，并要求其分包人也进行此项保险。</w:t>
      </w:r>
    </w:p>
    <w:p>
      <w:pPr>
        <w:pStyle w:val="47"/>
        <w:spacing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20.2.</w:t>
      </w:r>
      <w:r>
        <w:rPr>
          <w:rFonts w:ascii="Times New Roman" w:hAnsi="Times New Roman" w:eastAsia="Times New Roman" w:cs="Times New Roman"/>
          <w:color w:val="auto"/>
          <w:sz w:val="24"/>
          <w:szCs w:val="24"/>
          <w:highlight w:val="none"/>
        </w:rPr>
        <w:t>2</w:t>
      </w:r>
      <w:r>
        <w:rPr>
          <w:color w:val="auto"/>
          <w:sz w:val="24"/>
          <w:szCs w:val="24"/>
          <w:highlight w:val="none"/>
        </w:rPr>
        <w:t>发包人员工伤事故的保险</w:t>
      </w:r>
    </w:p>
    <w:p>
      <w:pPr>
        <w:pStyle w:val="47"/>
        <w:spacing w:after="120" w:line="358" w:lineRule="exact"/>
        <w:ind w:firstLine="440"/>
        <w:jc w:val="both"/>
        <w:rPr>
          <w:color w:val="auto"/>
          <w:sz w:val="24"/>
          <w:szCs w:val="24"/>
          <w:highlight w:val="none"/>
        </w:rPr>
      </w:pPr>
      <w:r>
        <w:rPr>
          <w:color w:val="auto"/>
          <w:sz w:val="24"/>
          <w:szCs w:val="24"/>
          <w:highlight w:val="none"/>
        </w:rPr>
        <w:t>发包人应依照有关法律规定参加工伤保险，为其现场机构雇佣的全部人员，缴纳工伤保险费，并要求其监理人也进行此项保险。</w:t>
      </w:r>
    </w:p>
    <w:p>
      <w:pPr>
        <w:pStyle w:val="5"/>
        <w:ind w:left="0" w:leftChars="0" w:firstLine="0" w:firstLineChars="0"/>
        <w:rPr>
          <w:color w:val="auto"/>
          <w:sz w:val="24"/>
          <w:szCs w:val="24"/>
          <w:highlight w:val="none"/>
          <w:lang w:eastAsia="zh-CN"/>
        </w:rPr>
      </w:pPr>
      <w:bookmarkStart w:id="902" w:name="_Toc9146"/>
      <w:bookmarkStart w:id="903" w:name="bookmark1465"/>
      <w:bookmarkStart w:id="904" w:name="bookmark1463"/>
      <w:bookmarkStart w:id="905" w:name="bookmark1464"/>
      <w:r>
        <w:rPr>
          <w:color w:val="auto"/>
          <w:sz w:val="24"/>
          <w:szCs w:val="24"/>
          <w:highlight w:val="none"/>
          <w:lang w:eastAsia="zh-CN"/>
        </w:rPr>
        <w:t>20.3人身意外伤害险</w:t>
      </w:r>
      <w:bookmarkEnd w:id="902"/>
      <w:bookmarkEnd w:id="903"/>
      <w:bookmarkEnd w:id="904"/>
      <w:bookmarkEnd w:id="905"/>
    </w:p>
    <w:p>
      <w:pPr>
        <w:pStyle w:val="47"/>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20.3.1</w:t>
      </w:r>
      <w:r>
        <w:rPr>
          <w:color w:val="auto"/>
          <w:sz w:val="24"/>
          <w:szCs w:val="24"/>
          <w:highlight w:val="none"/>
        </w:rPr>
        <w:t>发包人应在整个施工期间为其现场机构雇用的全部人员，投保人身意外伤害险，缴纳保险费，并要求其监理人也进行此项保险。</w:t>
      </w:r>
    </w:p>
    <w:p>
      <w:pPr>
        <w:pStyle w:val="47"/>
        <w:spacing w:after="120"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20.3.2</w:t>
      </w:r>
      <w:r>
        <w:rPr>
          <w:color w:val="auto"/>
          <w:sz w:val="24"/>
          <w:szCs w:val="24"/>
          <w:highlight w:val="none"/>
        </w:rPr>
        <w:t>承包人应在整个施工期间为其现场机构雇用的全部人员，投保人身意外伤害险，缴纳保险费，并要求其分包人也进行此项保险。</w:t>
      </w:r>
    </w:p>
    <w:p>
      <w:pPr>
        <w:pStyle w:val="5"/>
        <w:ind w:left="0" w:leftChars="0" w:firstLine="0" w:firstLineChars="0"/>
        <w:rPr>
          <w:color w:val="auto"/>
          <w:sz w:val="24"/>
          <w:szCs w:val="24"/>
          <w:highlight w:val="none"/>
          <w:lang w:eastAsia="zh-CN"/>
        </w:rPr>
      </w:pPr>
      <w:bookmarkStart w:id="906" w:name="bookmark1467"/>
      <w:bookmarkStart w:id="907" w:name="bookmark1466"/>
      <w:bookmarkStart w:id="908" w:name="_Toc10666"/>
      <w:bookmarkStart w:id="909" w:name="bookmark1468"/>
      <w:r>
        <w:rPr>
          <w:color w:val="auto"/>
          <w:sz w:val="24"/>
          <w:szCs w:val="24"/>
          <w:highlight w:val="none"/>
          <w:lang w:eastAsia="zh-CN"/>
        </w:rPr>
        <w:t>20.4第三者责任险</w:t>
      </w:r>
      <w:bookmarkEnd w:id="906"/>
      <w:bookmarkEnd w:id="907"/>
      <w:bookmarkEnd w:id="908"/>
      <w:bookmarkEnd w:id="909"/>
    </w:p>
    <w:p>
      <w:pPr>
        <w:pStyle w:val="47"/>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20.4.1</w:t>
      </w:r>
      <w:r>
        <w:rPr>
          <w:color w:val="auto"/>
          <w:sz w:val="24"/>
          <w:szCs w:val="24"/>
          <w:highlight w:val="none"/>
        </w:rPr>
        <w:t>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pPr>
        <w:pStyle w:val="47"/>
        <w:spacing w:after="120"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20.4.2</w:t>
      </w:r>
      <w:r>
        <w:rPr>
          <w:color w:val="auto"/>
          <w:sz w:val="24"/>
          <w:szCs w:val="24"/>
          <w:highlight w:val="none"/>
        </w:rPr>
        <w:t>在缺陷责任期终止证书颁发前，承包人应以承包人和发包人的共同名义，投保第</w:t>
      </w:r>
      <w:r>
        <w:rPr>
          <w:rFonts w:ascii="Times New Roman" w:hAnsi="Times New Roman" w:eastAsia="Times New Roman" w:cs="Times New Roman"/>
          <w:color w:val="auto"/>
          <w:sz w:val="24"/>
          <w:szCs w:val="24"/>
          <w:highlight w:val="none"/>
          <w:lang w:val="en-US" w:bidi="en-US"/>
        </w:rPr>
        <w:t>20. 4.1</w:t>
      </w:r>
      <w:r>
        <w:rPr>
          <w:color w:val="auto"/>
          <w:sz w:val="24"/>
          <w:szCs w:val="24"/>
          <w:highlight w:val="none"/>
        </w:rPr>
        <w:t>项约定的第三者责任险，其保险费率、保险金额等有关内容在专用合同条款中约定。</w:t>
      </w:r>
    </w:p>
    <w:p>
      <w:pPr>
        <w:pStyle w:val="5"/>
        <w:ind w:left="0" w:leftChars="0" w:firstLine="0" w:firstLineChars="0"/>
        <w:rPr>
          <w:color w:val="auto"/>
          <w:sz w:val="24"/>
          <w:szCs w:val="24"/>
          <w:highlight w:val="none"/>
          <w:lang w:eastAsia="zh-CN"/>
        </w:rPr>
      </w:pPr>
      <w:bookmarkStart w:id="910" w:name="bookmark1470"/>
      <w:bookmarkStart w:id="911" w:name="_Toc15855"/>
      <w:bookmarkStart w:id="912" w:name="bookmark1471"/>
      <w:bookmarkStart w:id="913" w:name="bookmark1469"/>
      <w:r>
        <w:rPr>
          <w:color w:val="auto"/>
          <w:sz w:val="24"/>
          <w:szCs w:val="24"/>
          <w:highlight w:val="none"/>
          <w:lang w:eastAsia="zh-CN"/>
        </w:rPr>
        <w:t>20.5其他保险</w:t>
      </w:r>
      <w:bookmarkEnd w:id="910"/>
      <w:bookmarkEnd w:id="911"/>
      <w:bookmarkEnd w:id="912"/>
      <w:bookmarkEnd w:id="913"/>
    </w:p>
    <w:p>
      <w:pPr>
        <w:pStyle w:val="47"/>
        <w:spacing w:after="120" w:line="350" w:lineRule="exact"/>
        <w:ind w:firstLine="440"/>
        <w:jc w:val="both"/>
        <w:rPr>
          <w:color w:val="auto"/>
          <w:sz w:val="24"/>
          <w:szCs w:val="24"/>
          <w:highlight w:val="none"/>
        </w:rPr>
      </w:pPr>
      <w:r>
        <w:rPr>
          <w:color w:val="auto"/>
          <w:sz w:val="24"/>
          <w:szCs w:val="24"/>
          <w:highlight w:val="none"/>
        </w:rPr>
        <w:t>除专用合同条款另有约定外，承包人应为其施工设备、进场的材料和工程设备等办理保险。</w:t>
      </w:r>
    </w:p>
    <w:p>
      <w:pPr>
        <w:pStyle w:val="5"/>
        <w:ind w:left="0" w:leftChars="0" w:firstLine="0" w:firstLineChars="0"/>
        <w:rPr>
          <w:color w:val="auto"/>
          <w:sz w:val="24"/>
          <w:szCs w:val="24"/>
          <w:highlight w:val="none"/>
          <w:lang w:eastAsia="zh-CN"/>
        </w:rPr>
      </w:pPr>
      <w:bookmarkStart w:id="914" w:name="_Toc20306"/>
      <w:bookmarkStart w:id="915" w:name="bookmark1473"/>
      <w:bookmarkStart w:id="916" w:name="bookmark1472"/>
      <w:bookmarkStart w:id="917" w:name="bookmark1474"/>
      <w:r>
        <w:rPr>
          <w:color w:val="auto"/>
          <w:sz w:val="24"/>
          <w:szCs w:val="24"/>
          <w:highlight w:val="none"/>
          <w:lang w:eastAsia="zh-CN"/>
        </w:rPr>
        <w:t>20.6对各项保险的一般要求</w:t>
      </w:r>
      <w:bookmarkEnd w:id="914"/>
      <w:bookmarkEnd w:id="915"/>
      <w:bookmarkEnd w:id="916"/>
      <w:bookmarkEnd w:id="917"/>
    </w:p>
    <w:p>
      <w:pPr>
        <w:pStyle w:val="48"/>
        <w:spacing w:after="0" w:line="360" w:lineRule="exact"/>
        <w:ind w:firstLine="442"/>
        <w:jc w:val="both"/>
        <w:rPr>
          <w:color w:val="auto"/>
          <w:sz w:val="24"/>
          <w:szCs w:val="24"/>
          <w:highlight w:val="none"/>
          <w:lang w:eastAsia="zh-CN"/>
        </w:rPr>
      </w:pPr>
      <w:r>
        <w:rPr>
          <w:color w:val="auto"/>
          <w:sz w:val="24"/>
          <w:szCs w:val="24"/>
          <w:highlight w:val="none"/>
          <w:lang w:eastAsia="zh-CN"/>
        </w:rPr>
        <w:t>20. 6.</w:t>
      </w:r>
      <w:r>
        <w:rPr>
          <w:color w:val="auto"/>
          <w:sz w:val="24"/>
          <w:szCs w:val="24"/>
          <w:highlight w:val="none"/>
          <w:lang w:val="zh-CN" w:eastAsia="zh-CN" w:bidi="zh-CN"/>
        </w:rPr>
        <w:t>1</w:t>
      </w:r>
      <w:r>
        <w:rPr>
          <w:rFonts w:ascii="宋体" w:hAnsi="宋体" w:cs="宋体"/>
          <w:color w:val="auto"/>
          <w:sz w:val="24"/>
          <w:szCs w:val="24"/>
          <w:highlight w:val="none"/>
          <w:lang w:val="zh-CN" w:eastAsia="zh-CN" w:bidi="zh-CN"/>
        </w:rPr>
        <w:t>保险凭证</w:t>
      </w:r>
    </w:p>
    <w:p>
      <w:pPr>
        <w:pStyle w:val="47"/>
        <w:spacing w:line="360" w:lineRule="exact"/>
        <w:ind w:firstLine="442"/>
        <w:jc w:val="both"/>
        <w:rPr>
          <w:color w:val="auto"/>
          <w:sz w:val="24"/>
          <w:szCs w:val="24"/>
          <w:highlight w:val="none"/>
        </w:rPr>
      </w:pPr>
      <w:r>
        <w:rPr>
          <w:color w:val="auto"/>
          <w:sz w:val="24"/>
          <w:szCs w:val="24"/>
          <w:highlight w:val="none"/>
        </w:rPr>
        <w:t>承包人应在专用合同条款约定的期限内向发包人提交各项保险生效的证据和保险单副本，保险单必须与专用合同条款约定的条件保持一致。</w:t>
      </w:r>
    </w:p>
    <w:p>
      <w:pPr>
        <w:pStyle w:val="47"/>
        <w:spacing w:line="360" w:lineRule="exact"/>
        <w:ind w:firstLine="442"/>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20.6.2</w:t>
      </w:r>
      <w:r>
        <w:rPr>
          <w:color w:val="auto"/>
          <w:sz w:val="24"/>
          <w:szCs w:val="24"/>
          <w:highlight w:val="none"/>
        </w:rPr>
        <w:t>保险合同条款的变动</w:t>
      </w:r>
    </w:p>
    <w:p>
      <w:pPr>
        <w:pStyle w:val="47"/>
        <w:spacing w:after="120" w:line="360" w:lineRule="exact"/>
        <w:ind w:firstLine="442"/>
        <w:jc w:val="both"/>
        <w:rPr>
          <w:color w:val="auto"/>
          <w:sz w:val="24"/>
          <w:szCs w:val="24"/>
          <w:highlight w:val="none"/>
        </w:rPr>
      </w:pPr>
      <w:r>
        <w:rPr>
          <w:color w:val="auto"/>
          <w:sz w:val="24"/>
          <w:szCs w:val="24"/>
          <w:highlight w:val="none"/>
        </w:rPr>
        <w:t>承包人需要变动保险合同条款时，应事先征得</w:t>
      </w:r>
      <w:r>
        <w:rPr>
          <w:rFonts w:hint="eastAsia"/>
          <w:color w:val="auto"/>
          <w:sz w:val="24"/>
          <w:szCs w:val="24"/>
          <w:highlight w:val="none"/>
          <w:lang w:eastAsia="zh-CN"/>
        </w:rPr>
        <w:t>发包人书面同意</w:t>
      </w:r>
      <w:r>
        <w:rPr>
          <w:color w:val="auto"/>
          <w:sz w:val="24"/>
          <w:szCs w:val="24"/>
          <w:highlight w:val="none"/>
        </w:rPr>
        <w:t>，并通知监理人。保险人作出变动的，承包人应在收到保险人通知后立即通知发包人和监理人。</w:t>
      </w:r>
    </w:p>
    <w:p>
      <w:pPr>
        <w:pStyle w:val="48"/>
        <w:spacing w:after="0" w:line="360" w:lineRule="exact"/>
        <w:ind w:firstLine="442"/>
        <w:jc w:val="both"/>
        <w:rPr>
          <w:color w:val="auto"/>
          <w:sz w:val="24"/>
          <w:szCs w:val="24"/>
          <w:highlight w:val="none"/>
          <w:lang w:eastAsia="zh-CN"/>
        </w:rPr>
      </w:pPr>
      <w:r>
        <w:rPr>
          <w:color w:val="auto"/>
          <w:sz w:val="24"/>
          <w:szCs w:val="24"/>
          <w:highlight w:val="none"/>
          <w:lang w:eastAsia="zh-CN"/>
        </w:rPr>
        <w:t>20.6.</w:t>
      </w:r>
      <w:r>
        <w:rPr>
          <w:color w:val="auto"/>
          <w:sz w:val="24"/>
          <w:szCs w:val="24"/>
          <w:highlight w:val="none"/>
          <w:lang w:val="zh-CN" w:eastAsia="zh-CN" w:bidi="zh-CN"/>
        </w:rPr>
        <w:t>3</w:t>
      </w:r>
      <w:r>
        <w:rPr>
          <w:rFonts w:ascii="宋体" w:hAnsi="宋体" w:cs="宋体"/>
          <w:color w:val="auto"/>
          <w:sz w:val="24"/>
          <w:szCs w:val="24"/>
          <w:highlight w:val="none"/>
          <w:lang w:val="zh-CN" w:eastAsia="zh-CN" w:bidi="zh-CN"/>
        </w:rPr>
        <w:t>持续保险</w:t>
      </w:r>
    </w:p>
    <w:p>
      <w:pPr>
        <w:pStyle w:val="47"/>
        <w:spacing w:line="360" w:lineRule="exact"/>
        <w:ind w:firstLine="442"/>
        <w:jc w:val="both"/>
        <w:rPr>
          <w:color w:val="auto"/>
          <w:sz w:val="24"/>
          <w:szCs w:val="24"/>
          <w:highlight w:val="none"/>
        </w:rPr>
      </w:pPr>
      <w:r>
        <w:rPr>
          <w:color w:val="auto"/>
          <w:sz w:val="24"/>
          <w:szCs w:val="24"/>
          <w:highlight w:val="none"/>
        </w:rPr>
        <w:t>承包人应与保险人保持联系，使保险人能够随时了解工程实施中的变动，并确保按保险合同条款要求持续保险。</w:t>
      </w:r>
    </w:p>
    <w:p>
      <w:pPr>
        <w:pStyle w:val="47"/>
        <w:spacing w:line="360" w:lineRule="exact"/>
        <w:ind w:firstLine="442"/>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20.6.4</w:t>
      </w:r>
      <w:r>
        <w:rPr>
          <w:color w:val="auto"/>
          <w:sz w:val="24"/>
          <w:szCs w:val="24"/>
          <w:highlight w:val="none"/>
        </w:rPr>
        <w:t>保险金不足的补偿</w:t>
      </w:r>
    </w:p>
    <w:p>
      <w:pPr>
        <w:pStyle w:val="47"/>
        <w:spacing w:after="120" w:line="360" w:lineRule="exact"/>
        <w:ind w:firstLine="442"/>
        <w:jc w:val="both"/>
        <w:rPr>
          <w:color w:val="auto"/>
          <w:sz w:val="24"/>
          <w:szCs w:val="24"/>
          <w:highlight w:val="none"/>
        </w:rPr>
      </w:pPr>
      <w:r>
        <w:rPr>
          <w:color w:val="auto"/>
          <w:sz w:val="24"/>
          <w:szCs w:val="24"/>
          <w:highlight w:val="none"/>
        </w:rPr>
        <w:t>保险金不足以补偿损失时，应由承包人和发包人各自负责补偿的范围和金额在专用合 同条款中约定。</w:t>
      </w:r>
    </w:p>
    <w:p>
      <w:pPr>
        <w:pStyle w:val="47"/>
        <w:spacing w:line="360" w:lineRule="exact"/>
        <w:ind w:firstLine="442"/>
        <w:jc w:val="both"/>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20. 6.</w:t>
      </w:r>
      <w:r>
        <w:rPr>
          <w:rFonts w:ascii="Times New Roman" w:hAnsi="Times New Roman" w:eastAsia="Times New Roman" w:cs="Times New Roman"/>
          <w:color w:val="auto"/>
          <w:sz w:val="24"/>
          <w:szCs w:val="24"/>
          <w:highlight w:val="none"/>
        </w:rPr>
        <w:t>5</w:t>
      </w:r>
      <w:r>
        <w:rPr>
          <w:color w:val="auto"/>
          <w:sz w:val="24"/>
          <w:szCs w:val="24"/>
          <w:highlight w:val="none"/>
        </w:rPr>
        <w:t>未按约定投保的补救</w:t>
      </w:r>
    </w:p>
    <w:p>
      <w:pPr>
        <w:pStyle w:val="47"/>
        <w:numPr>
          <w:ilvl w:val="0"/>
          <w:numId w:val="25"/>
        </w:numPr>
        <w:tabs>
          <w:tab w:val="left" w:pos="903"/>
        </w:tabs>
        <w:spacing w:line="352" w:lineRule="exact"/>
        <w:ind w:firstLine="440"/>
        <w:jc w:val="both"/>
        <w:rPr>
          <w:color w:val="auto"/>
          <w:sz w:val="24"/>
          <w:szCs w:val="24"/>
          <w:highlight w:val="none"/>
        </w:rPr>
      </w:pPr>
      <w:bookmarkStart w:id="918" w:name="bookmark1475"/>
      <w:bookmarkEnd w:id="918"/>
      <w:r>
        <w:rPr>
          <w:color w:val="auto"/>
          <w:sz w:val="24"/>
          <w:szCs w:val="24"/>
          <w:highlight w:val="none"/>
        </w:rPr>
        <w:t>由于负有投保义务的一方当事人未按合同约定办理保险，或未能使保险持续有效的，另一方当事人可代为办理，所需费用由对方当事人承担。</w:t>
      </w:r>
    </w:p>
    <w:p>
      <w:pPr>
        <w:pStyle w:val="47"/>
        <w:numPr>
          <w:ilvl w:val="0"/>
          <w:numId w:val="25"/>
        </w:numPr>
        <w:tabs>
          <w:tab w:val="left" w:pos="915"/>
        </w:tabs>
        <w:spacing w:line="352" w:lineRule="exact"/>
        <w:ind w:firstLine="440"/>
        <w:jc w:val="both"/>
        <w:rPr>
          <w:color w:val="auto"/>
          <w:sz w:val="24"/>
          <w:szCs w:val="24"/>
          <w:highlight w:val="none"/>
        </w:rPr>
      </w:pPr>
      <w:bookmarkStart w:id="919" w:name="bookmark1476"/>
      <w:bookmarkEnd w:id="919"/>
      <w:r>
        <w:rPr>
          <w:color w:val="auto"/>
          <w:sz w:val="24"/>
          <w:szCs w:val="24"/>
          <w:highlight w:val="none"/>
        </w:rPr>
        <w:t>由于负有投保义务的一方当事人未按合同约定办理某项保险，导致受益人未能得到保险人的赔偿，原应从该项保险得到的保险金应由负有投保义务的一方当事人支付。</w:t>
      </w:r>
    </w:p>
    <w:p>
      <w:pPr>
        <w:pStyle w:val="48"/>
        <w:spacing w:after="0" w:line="353" w:lineRule="exact"/>
        <w:jc w:val="both"/>
        <w:rPr>
          <w:color w:val="auto"/>
          <w:sz w:val="24"/>
          <w:szCs w:val="24"/>
          <w:highlight w:val="none"/>
          <w:lang w:eastAsia="zh-CN"/>
        </w:rPr>
      </w:pPr>
      <w:r>
        <w:rPr>
          <w:color w:val="auto"/>
          <w:sz w:val="24"/>
          <w:szCs w:val="24"/>
          <w:highlight w:val="none"/>
          <w:lang w:eastAsia="zh-CN"/>
        </w:rPr>
        <w:t>20.6.6</w:t>
      </w:r>
      <w:r>
        <w:rPr>
          <w:rFonts w:ascii="宋体" w:hAnsi="宋体" w:cs="宋体"/>
          <w:color w:val="auto"/>
          <w:sz w:val="24"/>
          <w:szCs w:val="24"/>
          <w:highlight w:val="none"/>
          <w:lang w:val="zh-CN" w:eastAsia="zh-CN" w:bidi="zh-CN"/>
        </w:rPr>
        <w:t>报告义务</w:t>
      </w:r>
    </w:p>
    <w:p>
      <w:pPr>
        <w:pStyle w:val="47"/>
        <w:spacing w:after="120" w:line="353" w:lineRule="exact"/>
        <w:ind w:firstLine="420"/>
        <w:jc w:val="both"/>
        <w:rPr>
          <w:color w:val="auto"/>
          <w:sz w:val="24"/>
          <w:szCs w:val="24"/>
          <w:highlight w:val="none"/>
        </w:rPr>
      </w:pPr>
      <w:r>
        <w:rPr>
          <w:color w:val="auto"/>
          <w:sz w:val="24"/>
          <w:szCs w:val="24"/>
          <w:highlight w:val="none"/>
        </w:rPr>
        <w:t>当保险事故发生时，投保人应按照保险单规定的条件和期限及时向保险人报告。</w:t>
      </w:r>
    </w:p>
    <w:p>
      <w:pPr>
        <w:pStyle w:val="5"/>
        <w:ind w:left="0" w:leftChars="0" w:firstLine="0" w:firstLineChars="0"/>
        <w:rPr>
          <w:color w:val="auto"/>
          <w:sz w:val="24"/>
          <w:szCs w:val="24"/>
          <w:highlight w:val="none"/>
          <w:lang w:eastAsia="zh-CN"/>
        </w:rPr>
      </w:pPr>
      <w:bookmarkStart w:id="920" w:name="bookmark1479"/>
      <w:bookmarkStart w:id="921" w:name="bookmark1477"/>
      <w:bookmarkStart w:id="922" w:name="bookmark1478"/>
      <w:bookmarkStart w:id="923" w:name="_Toc12103"/>
      <w:r>
        <w:rPr>
          <w:color w:val="auto"/>
          <w:sz w:val="24"/>
          <w:szCs w:val="24"/>
          <w:highlight w:val="none"/>
          <w:lang w:eastAsia="zh-CN"/>
        </w:rPr>
        <w:t>20.7风险责任的转移</w:t>
      </w:r>
      <w:bookmarkEnd w:id="920"/>
      <w:bookmarkEnd w:id="921"/>
      <w:bookmarkEnd w:id="922"/>
      <w:bookmarkEnd w:id="923"/>
    </w:p>
    <w:p>
      <w:pPr>
        <w:pStyle w:val="47"/>
        <w:spacing w:after="260" w:line="353" w:lineRule="exact"/>
        <w:ind w:firstLine="440"/>
        <w:jc w:val="both"/>
        <w:rPr>
          <w:color w:val="auto"/>
          <w:sz w:val="24"/>
          <w:szCs w:val="24"/>
          <w:highlight w:val="none"/>
        </w:rPr>
      </w:pPr>
      <w:r>
        <w:rPr>
          <w:color w:val="auto"/>
          <w:sz w:val="24"/>
          <w:szCs w:val="24"/>
          <w:highlight w:val="none"/>
        </w:rPr>
        <w:t>工程通过合同工程完工验收并移交给发包人后，原由承包人应承担的风险责任，以及保险的责任、权利和义务同时转移给发包人，但承包人在缺陷责任期(工程质量保修期) 前造成损失和损坏情形除外</w:t>
      </w:r>
      <w:r>
        <w:rPr>
          <w:color w:val="auto"/>
          <w:sz w:val="24"/>
          <w:szCs w:val="24"/>
          <w:highlight w:val="none"/>
          <w:lang w:val="en-US" w:bidi="en-US"/>
        </w:rPr>
        <w:t>。</w:t>
      </w:r>
    </w:p>
    <w:p>
      <w:pPr>
        <w:pStyle w:val="4"/>
        <w:spacing w:line="360" w:lineRule="exact"/>
        <w:rPr>
          <w:rFonts w:hint="eastAsia"/>
          <w:color w:val="auto"/>
          <w:sz w:val="24"/>
          <w:szCs w:val="24"/>
          <w:highlight w:val="none"/>
          <w:lang w:eastAsia="zh-CN"/>
        </w:rPr>
      </w:pPr>
      <w:bookmarkStart w:id="924" w:name="_Toc5879"/>
      <w:bookmarkStart w:id="925" w:name="bookmark1481"/>
      <w:bookmarkStart w:id="926" w:name="bookmark1482"/>
      <w:bookmarkStart w:id="927" w:name="bookmark1480"/>
      <w:bookmarkStart w:id="928" w:name="_Toc1105309634"/>
      <w:bookmarkStart w:id="929" w:name="_Toc30841"/>
      <w:r>
        <w:rPr>
          <w:rFonts w:hint="eastAsia"/>
          <w:color w:val="auto"/>
          <w:sz w:val="24"/>
          <w:szCs w:val="24"/>
          <w:highlight w:val="none"/>
          <w:lang w:eastAsia="zh-CN"/>
        </w:rPr>
        <w:t>21.不可抗力</w:t>
      </w:r>
      <w:bookmarkEnd w:id="924"/>
      <w:bookmarkEnd w:id="925"/>
      <w:bookmarkEnd w:id="926"/>
      <w:bookmarkEnd w:id="927"/>
      <w:bookmarkEnd w:id="928"/>
      <w:bookmarkEnd w:id="929"/>
    </w:p>
    <w:p>
      <w:pPr>
        <w:pStyle w:val="5"/>
        <w:ind w:left="0" w:leftChars="0" w:firstLine="0" w:firstLineChars="0"/>
        <w:rPr>
          <w:color w:val="auto"/>
          <w:sz w:val="24"/>
          <w:szCs w:val="24"/>
          <w:highlight w:val="none"/>
          <w:lang w:eastAsia="zh-CN"/>
        </w:rPr>
      </w:pPr>
      <w:bookmarkStart w:id="930" w:name="bookmark1485"/>
      <w:bookmarkStart w:id="931" w:name="bookmark1483"/>
      <w:bookmarkStart w:id="932" w:name="_Toc15722"/>
      <w:bookmarkStart w:id="933" w:name="bookmark1484"/>
      <w:r>
        <w:rPr>
          <w:color w:val="auto"/>
          <w:sz w:val="24"/>
          <w:szCs w:val="24"/>
          <w:highlight w:val="none"/>
          <w:lang w:eastAsia="zh-CN"/>
        </w:rPr>
        <w:t>21.1不可抗力的确认</w:t>
      </w:r>
      <w:bookmarkEnd w:id="930"/>
      <w:bookmarkEnd w:id="931"/>
      <w:bookmarkEnd w:id="932"/>
      <w:bookmarkEnd w:id="933"/>
    </w:p>
    <w:p>
      <w:pPr>
        <w:pStyle w:val="47"/>
        <w:spacing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21.1.1</w:t>
      </w:r>
      <w:r>
        <w:rPr>
          <w:color w:val="auto"/>
          <w:sz w:val="24"/>
          <w:szCs w:val="24"/>
          <w:highlight w:val="none"/>
        </w:rPr>
        <w:t>不可抗力是指承包人和发包人在订立合同时不可预见，在工程施工过程中不可避免发生并不能克服的自然灾害和社会性突发事件，如地震、海啸、瘟疫、水灾、骚乱、 暴动、战争和专用合同条款约定的其他情形。</w:t>
      </w:r>
    </w:p>
    <w:p>
      <w:pPr>
        <w:pStyle w:val="47"/>
        <w:spacing w:after="120"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21.1.2</w:t>
      </w:r>
      <w:r>
        <w:rPr>
          <w:color w:val="auto"/>
          <w:sz w:val="24"/>
          <w:szCs w:val="24"/>
          <w:highlight w:val="none"/>
        </w:rPr>
        <w:t>不可抗力发生后，发包人和承包人应及时认真统计所造成的损失，收集不可抗力造成损失的证据。合同双方对是否属于不可抗力或其损失的意见不一致的，由监理人按第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款商定或确定。发生争议时，按第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pPr>
        <w:pStyle w:val="5"/>
        <w:ind w:left="0" w:leftChars="0" w:firstLine="0" w:firstLineChars="0"/>
        <w:rPr>
          <w:color w:val="auto"/>
          <w:sz w:val="24"/>
          <w:szCs w:val="24"/>
          <w:highlight w:val="none"/>
          <w:lang w:eastAsia="zh-CN"/>
        </w:rPr>
      </w:pPr>
      <w:bookmarkStart w:id="934" w:name="_Toc5372"/>
      <w:bookmarkStart w:id="935" w:name="bookmark1486"/>
      <w:bookmarkStart w:id="936" w:name="bookmark1487"/>
      <w:bookmarkStart w:id="937" w:name="bookmark1488"/>
      <w:r>
        <w:rPr>
          <w:color w:val="auto"/>
          <w:sz w:val="24"/>
          <w:szCs w:val="24"/>
          <w:highlight w:val="none"/>
          <w:lang w:eastAsia="zh-CN"/>
        </w:rPr>
        <w:t>21.2不可抗力的通知</w:t>
      </w:r>
      <w:bookmarkEnd w:id="934"/>
      <w:bookmarkEnd w:id="935"/>
      <w:bookmarkEnd w:id="936"/>
      <w:bookmarkEnd w:id="937"/>
    </w:p>
    <w:p>
      <w:pPr>
        <w:pStyle w:val="47"/>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21.2.1</w:t>
      </w:r>
      <w:r>
        <w:rPr>
          <w:color w:val="auto"/>
          <w:sz w:val="24"/>
          <w:szCs w:val="24"/>
          <w:highlight w:val="none"/>
        </w:rPr>
        <w:t>合同一方当事人遇到不可抗力事件，使其履行合同义务受到阻碍时，应立即通知合同另一方当事人和监理人，书面说明不可抗力和受阻碍的详细情况，并提供必要的证明。</w:t>
      </w:r>
    </w:p>
    <w:p>
      <w:pPr>
        <w:pStyle w:val="47"/>
        <w:spacing w:after="240"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21.2.2</w:t>
      </w:r>
      <w:r>
        <w:rPr>
          <w:color w:val="auto"/>
          <w:sz w:val="24"/>
          <w:szCs w:val="24"/>
          <w:highlight w:val="none"/>
        </w:rPr>
        <w:t>如不可抗力持续发生，合同一方当事人应及时向合同另一方当事人和监理人提交中间报告，说明不可抗力和履行合同受阻的情况，并于不可抗力事件结束后</w:t>
      </w:r>
      <w:r>
        <w:rPr>
          <w:rFonts w:ascii="Times New Roman" w:hAnsi="Times New Roman" w:eastAsia="Times New Roman" w:cs="Times New Roman"/>
          <w:color w:val="auto"/>
          <w:sz w:val="24"/>
          <w:szCs w:val="24"/>
          <w:highlight w:val="none"/>
        </w:rPr>
        <w:t>28</w:t>
      </w:r>
      <w:r>
        <w:rPr>
          <w:color w:val="auto"/>
          <w:sz w:val="24"/>
          <w:szCs w:val="24"/>
          <w:highlight w:val="none"/>
        </w:rPr>
        <w:t>天内提交最终报告及有关资料。</w:t>
      </w:r>
    </w:p>
    <w:p>
      <w:pPr>
        <w:pStyle w:val="5"/>
        <w:ind w:left="0" w:leftChars="0" w:firstLine="0" w:firstLineChars="0"/>
        <w:rPr>
          <w:color w:val="auto"/>
          <w:sz w:val="24"/>
          <w:szCs w:val="24"/>
          <w:highlight w:val="none"/>
          <w:lang w:eastAsia="zh-CN"/>
        </w:rPr>
      </w:pPr>
      <w:bookmarkStart w:id="938" w:name="bookmark1491"/>
      <w:bookmarkStart w:id="939" w:name="_Toc17208"/>
      <w:bookmarkStart w:id="940" w:name="bookmark1489"/>
      <w:bookmarkStart w:id="941" w:name="bookmark1490"/>
      <w:r>
        <w:rPr>
          <w:color w:val="auto"/>
          <w:sz w:val="24"/>
          <w:szCs w:val="24"/>
          <w:highlight w:val="none"/>
          <w:lang w:eastAsia="zh-CN"/>
        </w:rPr>
        <w:t>21.3不可抗力后果及其处理</w:t>
      </w:r>
      <w:bookmarkEnd w:id="938"/>
      <w:bookmarkEnd w:id="939"/>
      <w:bookmarkEnd w:id="940"/>
      <w:bookmarkEnd w:id="941"/>
    </w:p>
    <w:p>
      <w:pPr>
        <w:pStyle w:val="47"/>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21.3.1</w:t>
      </w:r>
      <w:r>
        <w:rPr>
          <w:color w:val="auto"/>
          <w:sz w:val="24"/>
          <w:szCs w:val="24"/>
          <w:highlight w:val="none"/>
        </w:rPr>
        <w:t>不可抗力造成损害的责任</w:t>
      </w:r>
    </w:p>
    <w:p>
      <w:pPr>
        <w:pStyle w:val="47"/>
        <w:spacing w:line="349" w:lineRule="exact"/>
        <w:ind w:firstLine="440"/>
        <w:jc w:val="both"/>
        <w:rPr>
          <w:color w:val="auto"/>
          <w:sz w:val="24"/>
          <w:szCs w:val="24"/>
          <w:highlight w:val="none"/>
        </w:rPr>
      </w:pPr>
      <w:r>
        <w:rPr>
          <w:color w:val="auto"/>
          <w:sz w:val="24"/>
          <w:szCs w:val="24"/>
          <w:highlight w:val="none"/>
        </w:rPr>
        <w:t>除专用合同条款另有约定外，不可抗力导致的人员伤亡、财产损失、费用增加和(或) 工期延误等后果，由合同双方按以下原则承担：</w:t>
      </w:r>
    </w:p>
    <w:p>
      <w:pPr>
        <w:pStyle w:val="47"/>
        <w:numPr>
          <w:ilvl w:val="0"/>
          <w:numId w:val="26"/>
        </w:numPr>
        <w:tabs>
          <w:tab w:val="left" w:pos="903"/>
        </w:tabs>
        <w:spacing w:line="349" w:lineRule="exact"/>
        <w:ind w:firstLine="440"/>
        <w:jc w:val="both"/>
        <w:rPr>
          <w:color w:val="auto"/>
          <w:sz w:val="24"/>
          <w:szCs w:val="24"/>
          <w:highlight w:val="none"/>
        </w:rPr>
      </w:pPr>
      <w:bookmarkStart w:id="942" w:name="bookmark1492"/>
      <w:bookmarkEnd w:id="942"/>
      <w:r>
        <w:rPr>
          <w:color w:val="auto"/>
          <w:sz w:val="24"/>
          <w:szCs w:val="24"/>
          <w:highlight w:val="none"/>
        </w:rPr>
        <w:t>永久工程，包括已运至施工场地的材料和工程设备的损害，以及因工程损害造成的第三者人员伤亡和财产损失由发包人承担；</w:t>
      </w:r>
    </w:p>
    <w:p>
      <w:pPr>
        <w:pStyle w:val="47"/>
        <w:numPr>
          <w:ilvl w:val="0"/>
          <w:numId w:val="26"/>
        </w:numPr>
        <w:tabs>
          <w:tab w:val="left" w:pos="923"/>
        </w:tabs>
        <w:spacing w:line="349" w:lineRule="exact"/>
        <w:ind w:firstLine="440"/>
        <w:jc w:val="both"/>
        <w:rPr>
          <w:color w:val="auto"/>
          <w:sz w:val="24"/>
          <w:szCs w:val="24"/>
          <w:highlight w:val="none"/>
        </w:rPr>
      </w:pPr>
      <w:bookmarkStart w:id="943" w:name="bookmark1493"/>
      <w:bookmarkEnd w:id="943"/>
      <w:r>
        <w:rPr>
          <w:color w:val="auto"/>
          <w:sz w:val="24"/>
          <w:szCs w:val="24"/>
          <w:highlight w:val="none"/>
        </w:rPr>
        <w:t>承包人设备的损坏由承包人承担；</w:t>
      </w:r>
    </w:p>
    <w:p>
      <w:pPr>
        <w:pStyle w:val="47"/>
        <w:numPr>
          <w:ilvl w:val="0"/>
          <w:numId w:val="26"/>
        </w:numPr>
        <w:tabs>
          <w:tab w:val="left" w:pos="923"/>
        </w:tabs>
        <w:spacing w:line="362" w:lineRule="exact"/>
        <w:ind w:firstLine="440"/>
        <w:jc w:val="both"/>
        <w:rPr>
          <w:color w:val="auto"/>
          <w:sz w:val="24"/>
          <w:szCs w:val="24"/>
          <w:highlight w:val="none"/>
        </w:rPr>
      </w:pPr>
      <w:bookmarkStart w:id="944" w:name="bookmark1494"/>
      <w:bookmarkEnd w:id="944"/>
      <w:r>
        <w:rPr>
          <w:color w:val="auto"/>
          <w:sz w:val="24"/>
          <w:szCs w:val="24"/>
          <w:highlight w:val="none"/>
        </w:rPr>
        <w:t>发包人和承包人各自承担其人员伤亡和其他财产损失及其相关费用；</w:t>
      </w:r>
    </w:p>
    <w:p>
      <w:pPr>
        <w:pStyle w:val="47"/>
        <w:numPr>
          <w:ilvl w:val="0"/>
          <w:numId w:val="26"/>
        </w:numPr>
        <w:tabs>
          <w:tab w:val="left" w:pos="915"/>
        </w:tabs>
        <w:spacing w:line="362" w:lineRule="exact"/>
        <w:ind w:firstLine="440"/>
        <w:jc w:val="both"/>
        <w:rPr>
          <w:color w:val="auto"/>
          <w:sz w:val="24"/>
          <w:szCs w:val="24"/>
          <w:highlight w:val="none"/>
        </w:rPr>
      </w:pPr>
      <w:bookmarkStart w:id="945" w:name="bookmark1495"/>
      <w:bookmarkEnd w:id="945"/>
      <w:r>
        <w:rPr>
          <w:color w:val="auto"/>
          <w:sz w:val="24"/>
          <w:szCs w:val="24"/>
          <w:highlight w:val="none"/>
        </w:rPr>
        <w:t>承包人的停工损失由承包人承担，但停工期间应监理人要求照管工程和清理、修复工程的金额由发包人承担；</w:t>
      </w:r>
    </w:p>
    <w:p>
      <w:pPr>
        <w:pStyle w:val="47"/>
        <w:numPr>
          <w:ilvl w:val="0"/>
          <w:numId w:val="26"/>
        </w:numPr>
        <w:tabs>
          <w:tab w:val="left" w:pos="920"/>
        </w:tabs>
        <w:spacing w:line="362" w:lineRule="exact"/>
        <w:ind w:firstLine="440"/>
        <w:jc w:val="both"/>
        <w:rPr>
          <w:color w:val="auto"/>
          <w:sz w:val="24"/>
          <w:szCs w:val="24"/>
          <w:highlight w:val="none"/>
        </w:rPr>
      </w:pPr>
      <w:bookmarkStart w:id="946" w:name="bookmark1496"/>
      <w:bookmarkEnd w:id="946"/>
      <w:r>
        <w:rPr>
          <w:color w:val="auto"/>
          <w:sz w:val="24"/>
          <w:szCs w:val="24"/>
          <w:highlight w:val="none"/>
        </w:rPr>
        <w:t>不能按期竣工的，应合理延长工期，承包人不需支付逾期竣工违约金。发包人要求赶工的，承包人应采取赶工措施，赶工费用由发包人承担。</w:t>
      </w:r>
    </w:p>
    <w:p>
      <w:pPr>
        <w:pStyle w:val="47"/>
        <w:spacing w:line="362"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21.3.2</w:t>
      </w:r>
      <w:r>
        <w:rPr>
          <w:rFonts w:ascii="Times New Roman" w:hAnsi="Times New Roman" w:cs="Times New Roman"/>
          <w:color w:val="auto"/>
          <w:sz w:val="24"/>
          <w:szCs w:val="24"/>
          <w:highlight w:val="none"/>
        </w:rPr>
        <w:t>延迟履行期间发生的不可抗力</w:t>
      </w:r>
    </w:p>
    <w:p>
      <w:pPr>
        <w:pStyle w:val="47"/>
        <w:spacing w:line="362"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合同一方当事人延迟履行，在延迟履行期间发生不可抗力的，不免除其责任。</w:t>
      </w:r>
    </w:p>
    <w:p>
      <w:pPr>
        <w:pStyle w:val="47"/>
        <w:spacing w:line="362"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21.3.3</w:t>
      </w:r>
      <w:r>
        <w:rPr>
          <w:rFonts w:ascii="Times New Roman" w:hAnsi="Times New Roman" w:cs="Times New Roman"/>
          <w:color w:val="auto"/>
          <w:sz w:val="24"/>
          <w:szCs w:val="24"/>
          <w:highlight w:val="none"/>
        </w:rPr>
        <w:t>避免和减少不可抗力损失</w:t>
      </w:r>
    </w:p>
    <w:p>
      <w:pPr>
        <w:pStyle w:val="47"/>
        <w:spacing w:line="358"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不可抗力发生后，发包人和承包人均应采取措施尽量避免和减少损失的扩大，任何一 方没有采取有效措施导致损失扩大的，应对扩大的损失承担责任。</w:t>
      </w:r>
    </w:p>
    <w:p>
      <w:pPr>
        <w:pStyle w:val="47"/>
        <w:spacing w:line="362" w:lineRule="exact"/>
        <w:ind w:firstLine="440"/>
        <w:jc w:val="both"/>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21.3.4因不可抗力解除合同</w:t>
      </w:r>
    </w:p>
    <w:p>
      <w:pPr>
        <w:pStyle w:val="47"/>
        <w:spacing w:after="280" w:line="349" w:lineRule="exact"/>
        <w:ind w:firstLine="440"/>
        <w:jc w:val="both"/>
        <w:rPr>
          <w:color w:val="auto"/>
          <w:sz w:val="24"/>
          <w:szCs w:val="24"/>
          <w:highlight w:val="none"/>
        </w:rPr>
      </w:pPr>
      <w:r>
        <w:rPr>
          <w:rFonts w:ascii="Times New Roman" w:hAnsi="Times New Roman" w:cs="Times New Roman"/>
          <w:color w:val="auto"/>
          <w:sz w:val="24"/>
          <w:szCs w:val="24"/>
          <w:highlight w:val="none"/>
        </w:rPr>
        <w:t>合同一</w:t>
      </w:r>
      <w:r>
        <w:rPr>
          <w:color w:val="auto"/>
          <w:sz w:val="24"/>
          <w:szCs w:val="24"/>
          <w:highlight w:val="none"/>
        </w:rPr>
        <w:t>方当事人因不可抗力不能履行合同的，应当及时通知对方解除合同。合同解除后，承包人应按照第</w:t>
      </w:r>
      <w:r>
        <w:rPr>
          <w:rFonts w:ascii="Times New Roman" w:hAnsi="Times New Roman" w:eastAsia="Times New Roman" w:cs="Times New Roman"/>
          <w:color w:val="auto"/>
          <w:sz w:val="24"/>
          <w:szCs w:val="24"/>
          <w:highlight w:val="none"/>
          <w:lang w:val="en-US" w:bidi="en-US"/>
        </w:rPr>
        <w:t>22.2.5</w:t>
      </w:r>
      <w:r>
        <w:rPr>
          <w:color w:val="auto"/>
          <w:sz w:val="24"/>
          <w:szCs w:val="24"/>
          <w:highlight w:val="none"/>
        </w:rPr>
        <w:t>项约定撤离施工场地。已经订货的材料、设备由订货方负责退货或解除订货合同，不能退还的货款和因退货、解除订货合同发生的费用，由发包人承担, 因未及时退货造成的损失由责任方承担。合同解除后的付款，参照第</w:t>
      </w:r>
      <w:r>
        <w:rPr>
          <w:rFonts w:ascii="Times New Roman" w:hAnsi="Times New Roman" w:eastAsia="Times New Roman" w:cs="Times New Roman"/>
          <w:color w:val="auto"/>
          <w:sz w:val="24"/>
          <w:szCs w:val="24"/>
          <w:highlight w:val="none"/>
          <w:lang w:val="en-US" w:bidi="en-US"/>
        </w:rPr>
        <w:t>22. 2.4</w:t>
      </w:r>
      <w:r>
        <w:rPr>
          <w:color w:val="auto"/>
          <w:sz w:val="24"/>
          <w:szCs w:val="24"/>
          <w:highlight w:val="none"/>
        </w:rPr>
        <w:t>项约定，由监理人按第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w:t>
      </w:r>
    </w:p>
    <w:p>
      <w:pPr>
        <w:pStyle w:val="4"/>
        <w:spacing w:line="360" w:lineRule="exact"/>
        <w:rPr>
          <w:rFonts w:hint="eastAsia"/>
          <w:color w:val="auto"/>
          <w:sz w:val="24"/>
          <w:szCs w:val="24"/>
          <w:highlight w:val="none"/>
          <w:lang w:eastAsia="zh-CN"/>
        </w:rPr>
      </w:pPr>
      <w:bookmarkStart w:id="947" w:name="bookmark1499"/>
      <w:bookmarkStart w:id="948" w:name="_Toc6299"/>
      <w:bookmarkStart w:id="949" w:name="_Toc7819"/>
      <w:bookmarkStart w:id="950" w:name="_Toc1370608202"/>
      <w:bookmarkStart w:id="951" w:name="bookmark1498"/>
      <w:bookmarkStart w:id="952" w:name="bookmark1497"/>
      <w:r>
        <w:rPr>
          <w:rFonts w:hint="eastAsia"/>
          <w:color w:val="auto"/>
          <w:sz w:val="24"/>
          <w:szCs w:val="24"/>
          <w:highlight w:val="none"/>
          <w:lang w:eastAsia="zh-CN"/>
        </w:rPr>
        <w:t>22.违约</w:t>
      </w:r>
      <w:bookmarkEnd w:id="947"/>
      <w:bookmarkEnd w:id="948"/>
      <w:bookmarkEnd w:id="949"/>
      <w:bookmarkEnd w:id="950"/>
    </w:p>
    <w:p>
      <w:pPr>
        <w:pStyle w:val="5"/>
        <w:ind w:left="0" w:leftChars="0" w:firstLine="0" w:firstLineChars="0"/>
        <w:rPr>
          <w:color w:val="auto"/>
          <w:sz w:val="24"/>
          <w:szCs w:val="24"/>
          <w:highlight w:val="none"/>
          <w:lang w:eastAsia="zh-CN"/>
        </w:rPr>
      </w:pPr>
      <w:bookmarkStart w:id="953" w:name="_Toc15198"/>
      <w:bookmarkStart w:id="954" w:name="bookmark1500"/>
      <w:r>
        <w:rPr>
          <w:color w:val="auto"/>
          <w:sz w:val="24"/>
          <w:szCs w:val="24"/>
          <w:highlight w:val="none"/>
          <w:lang w:eastAsia="zh-CN"/>
        </w:rPr>
        <w:t>22.1承包人违约</w:t>
      </w:r>
      <w:bookmarkEnd w:id="951"/>
      <w:bookmarkEnd w:id="952"/>
      <w:bookmarkEnd w:id="953"/>
      <w:bookmarkEnd w:id="954"/>
    </w:p>
    <w:p>
      <w:pPr>
        <w:pStyle w:val="47"/>
        <w:spacing w:line="379"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22.1.1</w:t>
      </w:r>
      <w:r>
        <w:rPr>
          <w:color w:val="auto"/>
          <w:sz w:val="24"/>
          <w:szCs w:val="24"/>
          <w:highlight w:val="none"/>
        </w:rPr>
        <w:t>承包人违约的情形</w:t>
      </w:r>
    </w:p>
    <w:p>
      <w:pPr>
        <w:pStyle w:val="47"/>
        <w:spacing w:line="362" w:lineRule="exact"/>
        <w:ind w:firstLine="420"/>
        <w:jc w:val="both"/>
        <w:rPr>
          <w:color w:val="auto"/>
          <w:sz w:val="24"/>
          <w:szCs w:val="24"/>
          <w:highlight w:val="none"/>
        </w:rPr>
      </w:pPr>
      <w:r>
        <w:rPr>
          <w:color w:val="auto"/>
          <w:sz w:val="24"/>
          <w:szCs w:val="24"/>
          <w:highlight w:val="none"/>
        </w:rPr>
        <w:t>在履行合同过程中发生的下列情况属承包人违约：</w:t>
      </w:r>
    </w:p>
    <w:p>
      <w:pPr>
        <w:pStyle w:val="47"/>
        <w:numPr>
          <w:ilvl w:val="0"/>
          <w:numId w:val="27"/>
        </w:numPr>
        <w:tabs>
          <w:tab w:val="left" w:pos="920"/>
        </w:tabs>
        <w:spacing w:line="379" w:lineRule="exact"/>
        <w:ind w:firstLine="440"/>
        <w:jc w:val="both"/>
        <w:rPr>
          <w:color w:val="auto"/>
          <w:sz w:val="24"/>
          <w:szCs w:val="24"/>
          <w:highlight w:val="none"/>
        </w:rPr>
      </w:pPr>
      <w:bookmarkStart w:id="955" w:name="bookmark1501"/>
      <w:bookmarkEnd w:id="955"/>
      <w:r>
        <w:rPr>
          <w:color w:val="auto"/>
          <w:sz w:val="24"/>
          <w:szCs w:val="24"/>
          <w:highlight w:val="none"/>
        </w:rPr>
        <w:t>承包人违反第</w:t>
      </w:r>
      <w:r>
        <w:rPr>
          <w:rFonts w:ascii="Times New Roman" w:hAnsi="Times New Roman" w:eastAsia="Times New Roman" w:cs="Times New Roman"/>
          <w:color w:val="auto"/>
          <w:sz w:val="24"/>
          <w:szCs w:val="24"/>
          <w:highlight w:val="none"/>
          <w:lang w:val="en-US" w:bidi="en-US"/>
        </w:rPr>
        <w:t>1.8</w:t>
      </w:r>
      <w:r>
        <w:rPr>
          <w:color w:val="auto"/>
          <w:sz w:val="24"/>
          <w:szCs w:val="24"/>
          <w:highlight w:val="none"/>
        </w:rPr>
        <w:t>款或第</w:t>
      </w:r>
      <w:r>
        <w:rPr>
          <w:rFonts w:ascii="Times New Roman" w:hAnsi="Times New Roman" w:eastAsia="Times New Roman" w:cs="Times New Roman"/>
          <w:color w:val="auto"/>
          <w:sz w:val="24"/>
          <w:szCs w:val="24"/>
          <w:highlight w:val="none"/>
          <w:lang w:val="en-US" w:bidi="en-US"/>
        </w:rPr>
        <w:t xml:space="preserve">4. </w:t>
      </w:r>
      <w:r>
        <w:rPr>
          <w:rFonts w:ascii="Times New Roman" w:hAnsi="Times New Roman" w:eastAsia="Times New Roman" w:cs="Times New Roman"/>
          <w:color w:val="auto"/>
          <w:sz w:val="24"/>
          <w:szCs w:val="24"/>
          <w:highlight w:val="none"/>
        </w:rPr>
        <w:t>3</w:t>
      </w:r>
      <w:r>
        <w:rPr>
          <w:color w:val="auto"/>
          <w:sz w:val="24"/>
          <w:szCs w:val="24"/>
          <w:highlight w:val="none"/>
        </w:rPr>
        <w:t>款的约定，私自将合同的全部或部分权利转让给其他人，或私自将合同的全部或部分义务转移给其他人；</w:t>
      </w:r>
    </w:p>
    <w:p>
      <w:pPr>
        <w:pStyle w:val="47"/>
        <w:numPr>
          <w:ilvl w:val="0"/>
          <w:numId w:val="27"/>
        </w:numPr>
        <w:tabs>
          <w:tab w:val="left" w:pos="920"/>
        </w:tabs>
        <w:spacing w:line="377" w:lineRule="exact"/>
        <w:ind w:firstLine="440"/>
        <w:jc w:val="both"/>
        <w:rPr>
          <w:color w:val="auto"/>
          <w:sz w:val="24"/>
          <w:szCs w:val="24"/>
          <w:highlight w:val="none"/>
        </w:rPr>
      </w:pPr>
      <w:bookmarkStart w:id="956" w:name="bookmark1502"/>
      <w:bookmarkEnd w:id="956"/>
      <w:r>
        <w:rPr>
          <w:color w:val="auto"/>
          <w:sz w:val="24"/>
          <w:szCs w:val="24"/>
          <w:highlight w:val="none"/>
        </w:rPr>
        <w:t>承包人违反第</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3</w:t>
      </w:r>
      <w:r>
        <w:rPr>
          <w:color w:val="auto"/>
          <w:sz w:val="24"/>
          <w:szCs w:val="24"/>
          <w:highlight w:val="none"/>
        </w:rPr>
        <w:t>款或第</w:t>
      </w:r>
      <w:r>
        <w:rPr>
          <w:rFonts w:ascii="Times New Roman" w:hAnsi="Times New Roman" w:eastAsia="Times New Roman" w:cs="Times New Roman"/>
          <w:color w:val="auto"/>
          <w:sz w:val="24"/>
          <w:szCs w:val="24"/>
          <w:highlight w:val="none"/>
          <w:lang w:val="en-US" w:bidi="en-US"/>
        </w:rPr>
        <w:t xml:space="preserve">6. </w:t>
      </w:r>
      <w:r>
        <w:rPr>
          <w:rFonts w:ascii="Times New Roman" w:hAnsi="Times New Roman" w:eastAsia="Times New Roman" w:cs="Times New Roman"/>
          <w:color w:val="auto"/>
          <w:sz w:val="24"/>
          <w:szCs w:val="24"/>
          <w:highlight w:val="none"/>
        </w:rPr>
        <w:t>4</w:t>
      </w:r>
      <w:r>
        <w:rPr>
          <w:color w:val="auto"/>
          <w:sz w:val="24"/>
          <w:szCs w:val="24"/>
          <w:highlight w:val="none"/>
        </w:rPr>
        <w:t>款的约定，未经监理人批准，私自将已按合同约定进入施工场地的施工设备、临时设施或材料撤离施工场地；</w:t>
      </w:r>
    </w:p>
    <w:p>
      <w:pPr>
        <w:pStyle w:val="47"/>
        <w:numPr>
          <w:ilvl w:val="0"/>
          <w:numId w:val="27"/>
        </w:numPr>
        <w:tabs>
          <w:tab w:val="left" w:pos="922"/>
        </w:tabs>
        <w:spacing w:line="379" w:lineRule="exact"/>
        <w:ind w:firstLine="440"/>
        <w:jc w:val="both"/>
        <w:rPr>
          <w:color w:val="auto"/>
          <w:sz w:val="24"/>
          <w:szCs w:val="24"/>
          <w:highlight w:val="none"/>
        </w:rPr>
      </w:pPr>
      <w:bookmarkStart w:id="957" w:name="bookmark1503"/>
      <w:bookmarkEnd w:id="957"/>
      <w:r>
        <w:rPr>
          <w:color w:val="auto"/>
          <w:sz w:val="24"/>
          <w:szCs w:val="24"/>
          <w:highlight w:val="none"/>
        </w:rPr>
        <w:t>承包人违反第</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4</w:t>
      </w:r>
      <w:r>
        <w:rPr>
          <w:color w:val="auto"/>
          <w:sz w:val="24"/>
          <w:szCs w:val="24"/>
          <w:highlight w:val="none"/>
        </w:rPr>
        <w:t>款的约定使用了不合格材料或工程设备，工程质量达不到标准要求，又拒绝清除不合格工程；</w:t>
      </w:r>
    </w:p>
    <w:p>
      <w:pPr>
        <w:pStyle w:val="47"/>
        <w:numPr>
          <w:ilvl w:val="0"/>
          <w:numId w:val="27"/>
        </w:numPr>
        <w:tabs>
          <w:tab w:val="left" w:pos="922"/>
        </w:tabs>
        <w:spacing w:line="365" w:lineRule="exact"/>
        <w:ind w:firstLine="440"/>
        <w:jc w:val="both"/>
        <w:rPr>
          <w:color w:val="auto"/>
          <w:sz w:val="24"/>
          <w:szCs w:val="24"/>
          <w:highlight w:val="none"/>
        </w:rPr>
      </w:pPr>
      <w:bookmarkStart w:id="958" w:name="bookmark1504"/>
      <w:bookmarkEnd w:id="958"/>
      <w:r>
        <w:rPr>
          <w:color w:val="auto"/>
          <w:sz w:val="24"/>
          <w:szCs w:val="24"/>
          <w:highlight w:val="none"/>
        </w:rPr>
        <w:t>承包人未能按合同进度计划及时完成合同约定的工作，已造成或预期造成工期延误；</w:t>
      </w:r>
    </w:p>
    <w:p>
      <w:pPr>
        <w:pStyle w:val="47"/>
        <w:numPr>
          <w:ilvl w:val="0"/>
          <w:numId w:val="27"/>
        </w:numPr>
        <w:tabs>
          <w:tab w:val="left" w:pos="922"/>
        </w:tabs>
        <w:spacing w:line="362" w:lineRule="exact"/>
        <w:ind w:firstLine="440"/>
        <w:jc w:val="both"/>
        <w:rPr>
          <w:color w:val="auto"/>
          <w:sz w:val="24"/>
          <w:szCs w:val="24"/>
          <w:highlight w:val="none"/>
        </w:rPr>
      </w:pPr>
      <w:bookmarkStart w:id="959" w:name="bookmark1505"/>
      <w:bookmarkEnd w:id="959"/>
      <w:r>
        <w:rPr>
          <w:color w:val="auto"/>
          <w:sz w:val="24"/>
          <w:szCs w:val="24"/>
          <w:highlight w:val="none"/>
        </w:rPr>
        <w:t>承包人在缺陷责任期(工程质量保修期)内，未能对合同工程完工验收鉴定书中所列的缺陷清单的内容或缺陷责任期(工程质量保修期)内发生的缺陷进行修复，而又拒绝按监理人指示再进行修补；</w:t>
      </w:r>
    </w:p>
    <w:p>
      <w:pPr>
        <w:pStyle w:val="47"/>
        <w:numPr>
          <w:ilvl w:val="0"/>
          <w:numId w:val="27"/>
        </w:numPr>
        <w:tabs>
          <w:tab w:val="left" w:pos="903"/>
        </w:tabs>
        <w:spacing w:line="349" w:lineRule="exact"/>
        <w:ind w:firstLine="420"/>
        <w:jc w:val="both"/>
        <w:rPr>
          <w:color w:val="auto"/>
          <w:sz w:val="24"/>
          <w:szCs w:val="24"/>
          <w:highlight w:val="none"/>
        </w:rPr>
      </w:pPr>
      <w:bookmarkStart w:id="960" w:name="bookmark1506"/>
      <w:bookmarkEnd w:id="960"/>
      <w:r>
        <w:rPr>
          <w:color w:val="auto"/>
          <w:sz w:val="24"/>
          <w:szCs w:val="24"/>
          <w:highlight w:val="none"/>
        </w:rPr>
        <w:t>承包人无法继续履行或明确表示不履行或实质上已停止履行合同；</w:t>
      </w:r>
    </w:p>
    <w:p>
      <w:pPr>
        <w:pStyle w:val="47"/>
        <w:numPr>
          <w:ilvl w:val="0"/>
          <w:numId w:val="27"/>
        </w:numPr>
        <w:tabs>
          <w:tab w:val="left" w:pos="903"/>
        </w:tabs>
        <w:spacing w:line="349" w:lineRule="exact"/>
        <w:ind w:firstLine="420"/>
        <w:jc w:val="both"/>
        <w:rPr>
          <w:color w:val="auto"/>
          <w:sz w:val="24"/>
          <w:szCs w:val="24"/>
          <w:highlight w:val="none"/>
        </w:rPr>
      </w:pPr>
      <w:bookmarkStart w:id="961" w:name="bookmark1507"/>
      <w:bookmarkEnd w:id="961"/>
      <w:r>
        <w:rPr>
          <w:color w:val="auto"/>
          <w:sz w:val="24"/>
          <w:szCs w:val="24"/>
          <w:highlight w:val="none"/>
        </w:rPr>
        <w:t>承包人不按合同约定履行义务的其他情况。</w:t>
      </w:r>
    </w:p>
    <w:p>
      <w:pPr>
        <w:pStyle w:val="47"/>
        <w:spacing w:line="34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22.1.2</w:t>
      </w:r>
      <w:r>
        <w:rPr>
          <w:color w:val="auto"/>
          <w:sz w:val="24"/>
          <w:szCs w:val="24"/>
          <w:highlight w:val="none"/>
        </w:rPr>
        <w:t>对承包人违约的处理</w:t>
      </w:r>
    </w:p>
    <w:p>
      <w:pPr>
        <w:pStyle w:val="47"/>
        <w:numPr>
          <w:ilvl w:val="0"/>
          <w:numId w:val="28"/>
        </w:numPr>
        <w:tabs>
          <w:tab w:val="left" w:pos="922"/>
        </w:tabs>
        <w:spacing w:line="349" w:lineRule="exact"/>
        <w:ind w:firstLine="440"/>
        <w:jc w:val="both"/>
        <w:rPr>
          <w:color w:val="auto"/>
          <w:sz w:val="24"/>
          <w:szCs w:val="24"/>
          <w:highlight w:val="none"/>
        </w:rPr>
      </w:pPr>
      <w:bookmarkStart w:id="962" w:name="bookmark1508"/>
      <w:bookmarkEnd w:id="962"/>
      <w:r>
        <w:rPr>
          <w:color w:val="auto"/>
          <w:sz w:val="24"/>
          <w:szCs w:val="24"/>
          <w:highlight w:val="none"/>
        </w:rPr>
        <w:t>承包人发生第</w:t>
      </w:r>
      <w:r>
        <w:rPr>
          <w:rFonts w:ascii="Times New Roman" w:hAnsi="Times New Roman" w:eastAsia="Times New Roman" w:cs="Times New Roman"/>
          <w:color w:val="auto"/>
          <w:sz w:val="24"/>
          <w:szCs w:val="24"/>
          <w:highlight w:val="none"/>
          <w:lang w:val="en-US" w:bidi="en-US"/>
        </w:rPr>
        <w:t xml:space="preserve">22.1.1 </w:t>
      </w:r>
      <w:r>
        <w:rPr>
          <w:rFonts w:ascii="Times New Roman" w:hAnsi="Times New Roman" w:eastAsia="Times New Roman" w:cs="Times New Roman"/>
          <w:color w:val="auto"/>
          <w:sz w:val="24"/>
          <w:szCs w:val="24"/>
          <w:highlight w:val="none"/>
        </w:rPr>
        <w:t>(6)</w:t>
      </w:r>
      <w:r>
        <w:rPr>
          <w:color w:val="auto"/>
          <w:sz w:val="24"/>
          <w:szCs w:val="24"/>
          <w:highlight w:val="none"/>
        </w:rPr>
        <w:t>目约定的违约情况时，发包人可通知承包人立即解除合同，并按有关法律处理。</w:t>
      </w:r>
    </w:p>
    <w:p>
      <w:pPr>
        <w:pStyle w:val="47"/>
        <w:numPr>
          <w:ilvl w:val="0"/>
          <w:numId w:val="28"/>
        </w:numPr>
        <w:tabs>
          <w:tab w:val="left" w:pos="920"/>
        </w:tabs>
        <w:spacing w:line="349" w:lineRule="exact"/>
        <w:ind w:firstLine="440"/>
        <w:jc w:val="both"/>
        <w:rPr>
          <w:color w:val="auto"/>
          <w:sz w:val="24"/>
          <w:szCs w:val="24"/>
          <w:highlight w:val="none"/>
        </w:rPr>
      </w:pPr>
      <w:bookmarkStart w:id="963" w:name="bookmark1509"/>
      <w:bookmarkEnd w:id="963"/>
      <w:r>
        <w:rPr>
          <w:color w:val="auto"/>
          <w:sz w:val="24"/>
          <w:szCs w:val="24"/>
          <w:highlight w:val="none"/>
        </w:rPr>
        <w:t>承包人发生除第</w:t>
      </w:r>
      <w:r>
        <w:rPr>
          <w:rFonts w:ascii="Times New Roman" w:hAnsi="Times New Roman" w:eastAsia="Times New Roman" w:cs="Times New Roman"/>
          <w:color w:val="auto"/>
          <w:sz w:val="24"/>
          <w:szCs w:val="24"/>
          <w:highlight w:val="none"/>
          <w:lang w:val="en-US" w:bidi="en-US"/>
        </w:rPr>
        <w:t xml:space="preserve">22. 1. </w:t>
      </w:r>
      <w:r>
        <w:rPr>
          <w:rFonts w:ascii="Times New Roman" w:hAnsi="Times New Roman" w:eastAsia="Times New Roman" w:cs="Times New Roman"/>
          <w:color w:val="auto"/>
          <w:sz w:val="24"/>
          <w:szCs w:val="24"/>
          <w:highlight w:val="none"/>
        </w:rPr>
        <w:t>1 (6)</w:t>
      </w:r>
      <w:r>
        <w:rPr>
          <w:color w:val="auto"/>
          <w:sz w:val="24"/>
          <w:szCs w:val="24"/>
          <w:highlight w:val="none"/>
        </w:rPr>
        <w:t>目约定以外的其他违约情况时，监理人可向承包人发出整改通知，要求其在指定的期限内改正。承包人应承担其违约所引起的费用增加和 (或)工期延误。</w:t>
      </w:r>
    </w:p>
    <w:p>
      <w:pPr>
        <w:pStyle w:val="47"/>
        <w:numPr>
          <w:ilvl w:val="0"/>
          <w:numId w:val="28"/>
        </w:numPr>
        <w:tabs>
          <w:tab w:val="left" w:pos="922"/>
        </w:tabs>
        <w:spacing w:line="349" w:lineRule="exact"/>
        <w:ind w:firstLine="440"/>
        <w:jc w:val="both"/>
        <w:rPr>
          <w:color w:val="auto"/>
          <w:sz w:val="24"/>
          <w:szCs w:val="24"/>
          <w:highlight w:val="none"/>
        </w:rPr>
      </w:pPr>
      <w:bookmarkStart w:id="964" w:name="bookmark1510"/>
      <w:bookmarkEnd w:id="964"/>
      <w:r>
        <w:rPr>
          <w:color w:val="auto"/>
          <w:sz w:val="24"/>
          <w:szCs w:val="24"/>
          <w:highlight w:val="none"/>
        </w:rPr>
        <w:t>经检查证明承包人已采取了有效措施纠正违约行为，具备复工条件的，可由监理人签发复工通知复工。</w:t>
      </w:r>
    </w:p>
    <w:p>
      <w:pPr>
        <w:pStyle w:val="47"/>
        <w:spacing w:line="349"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22.1.3</w:t>
      </w:r>
      <w:r>
        <w:rPr>
          <w:rFonts w:ascii="Times New Roman" w:hAnsi="Times New Roman" w:cs="Times New Roman"/>
          <w:color w:val="auto"/>
          <w:sz w:val="24"/>
          <w:szCs w:val="24"/>
          <w:highlight w:val="none"/>
        </w:rPr>
        <w:t>承包人违约解除合同</w:t>
      </w:r>
    </w:p>
    <w:p>
      <w:pPr>
        <w:pStyle w:val="47"/>
        <w:spacing w:line="349"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监理人发出整改通知</w:t>
      </w:r>
      <w:r>
        <w:rPr>
          <w:rFonts w:ascii="Times New Roman" w:hAnsi="Times New Roman" w:eastAsia="Times New Roman" w:cs="Times New Roman"/>
          <w:color w:val="auto"/>
          <w:sz w:val="24"/>
          <w:szCs w:val="24"/>
          <w:highlight w:val="none"/>
        </w:rPr>
        <w:t>28</w:t>
      </w:r>
      <w:r>
        <w:rPr>
          <w:rFonts w:ascii="Times New Roman" w:hAnsi="Times New Roman" w:cs="Times New Roman"/>
          <w:color w:val="auto"/>
          <w:sz w:val="24"/>
          <w:szCs w:val="24"/>
          <w:highlight w:val="none"/>
        </w:rPr>
        <w:t>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 定享有的索赔权利。</w:t>
      </w:r>
    </w:p>
    <w:p>
      <w:pPr>
        <w:pStyle w:val="47"/>
        <w:spacing w:line="349"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22.1.4</w:t>
      </w:r>
      <w:r>
        <w:rPr>
          <w:rFonts w:ascii="Times New Roman" w:hAnsi="Times New Roman" w:cs="Times New Roman"/>
          <w:color w:val="auto"/>
          <w:sz w:val="24"/>
          <w:szCs w:val="24"/>
          <w:highlight w:val="none"/>
        </w:rPr>
        <w:t>合同解除后的估价、付款和结清</w:t>
      </w:r>
    </w:p>
    <w:p>
      <w:pPr>
        <w:pStyle w:val="47"/>
        <w:numPr>
          <w:ilvl w:val="0"/>
          <w:numId w:val="29"/>
        </w:numPr>
        <w:tabs>
          <w:tab w:val="left" w:pos="920"/>
        </w:tabs>
        <w:spacing w:line="361" w:lineRule="exact"/>
        <w:ind w:firstLine="440"/>
        <w:jc w:val="both"/>
        <w:rPr>
          <w:rFonts w:ascii="Times New Roman" w:hAnsi="Times New Roman" w:cs="Times New Roman"/>
          <w:color w:val="auto"/>
          <w:sz w:val="24"/>
          <w:szCs w:val="24"/>
          <w:highlight w:val="none"/>
        </w:rPr>
      </w:pPr>
      <w:bookmarkStart w:id="965" w:name="bookmark1511"/>
      <w:bookmarkEnd w:id="965"/>
      <w:r>
        <w:rPr>
          <w:rFonts w:ascii="Times New Roman" w:hAnsi="Times New Roman" w:cs="Times New Roman"/>
          <w:color w:val="auto"/>
          <w:sz w:val="24"/>
          <w:szCs w:val="24"/>
          <w:highlight w:val="none"/>
        </w:rPr>
        <w:t>合同解除后，监理人按第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rFonts w:ascii="Times New Roman" w:hAnsi="Times New Roman" w:cs="Times New Roman"/>
          <w:color w:val="auto"/>
          <w:sz w:val="24"/>
          <w:szCs w:val="24"/>
          <w:highlight w:val="none"/>
        </w:rPr>
        <w:t>款商定或确定承包人实际完成工作的价值，以及承包人已提供的材料、施工设备、工程设备和临时工程等的价值。</w:t>
      </w:r>
    </w:p>
    <w:p>
      <w:pPr>
        <w:pStyle w:val="47"/>
        <w:numPr>
          <w:ilvl w:val="0"/>
          <w:numId w:val="29"/>
        </w:numPr>
        <w:tabs>
          <w:tab w:val="left" w:pos="922"/>
        </w:tabs>
        <w:spacing w:line="361" w:lineRule="exact"/>
        <w:ind w:firstLine="440"/>
        <w:jc w:val="both"/>
        <w:rPr>
          <w:rFonts w:ascii="Times New Roman" w:hAnsi="Times New Roman" w:cs="Times New Roman"/>
          <w:color w:val="auto"/>
          <w:sz w:val="24"/>
          <w:szCs w:val="24"/>
          <w:highlight w:val="none"/>
        </w:rPr>
      </w:pPr>
      <w:bookmarkStart w:id="966" w:name="bookmark1512"/>
      <w:bookmarkEnd w:id="966"/>
      <w:r>
        <w:rPr>
          <w:rFonts w:ascii="Times New Roman" w:hAnsi="Times New Roman" w:cs="Times New Roman"/>
          <w:color w:val="auto"/>
          <w:sz w:val="24"/>
          <w:szCs w:val="24"/>
          <w:highlight w:val="none"/>
        </w:rPr>
        <w:t>合同解除后，发包人应暂停对承包人的一切付款，查清各项付款和已扣款金额, 包括承包人应支付的违约金。</w:t>
      </w:r>
    </w:p>
    <w:p>
      <w:pPr>
        <w:pStyle w:val="47"/>
        <w:numPr>
          <w:ilvl w:val="0"/>
          <w:numId w:val="29"/>
        </w:numPr>
        <w:tabs>
          <w:tab w:val="left" w:pos="920"/>
        </w:tabs>
        <w:spacing w:line="374" w:lineRule="exact"/>
        <w:ind w:firstLine="440"/>
        <w:jc w:val="both"/>
        <w:rPr>
          <w:rFonts w:ascii="Times New Roman" w:hAnsi="Times New Roman" w:cs="Times New Roman"/>
          <w:color w:val="auto"/>
          <w:sz w:val="24"/>
          <w:szCs w:val="24"/>
          <w:highlight w:val="none"/>
        </w:rPr>
      </w:pPr>
      <w:bookmarkStart w:id="967" w:name="bookmark1513"/>
      <w:bookmarkEnd w:id="967"/>
      <w:r>
        <w:rPr>
          <w:rFonts w:ascii="Times New Roman" w:hAnsi="Times New Roman" w:cs="Times New Roman"/>
          <w:color w:val="auto"/>
          <w:sz w:val="24"/>
          <w:szCs w:val="24"/>
          <w:highlight w:val="none"/>
        </w:rPr>
        <w:t>合同解除后，发包人应按第</w:t>
      </w:r>
      <w:r>
        <w:rPr>
          <w:rFonts w:ascii="Times New Roman" w:hAnsi="Times New Roman" w:eastAsia="Times New Roman" w:cs="Times New Roman"/>
          <w:color w:val="auto"/>
          <w:sz w:val="24"/>
          <w:szCs w:val="24"/>
          <w:highlight w:val="none"/>
          <w:lang w:val="en-US" w:bidi="en-US"/>
        </w:rPr>
        <w:t xml:space="preserve">23. </w:t>
      </w:r>
      <w:r>
        <w:rPr>
          <w:rFonts w:ascii="Times New Roman" w:hAnsi="Times New Roman" w:eastAsia="Times New Roman" w:cs="Times New Roman"/>
          <w:color w:val="auto"/>
          <w:sz w:val="24"/>
          <w:szCs w:val="24"/>
          <w:highlight w:val="none"/>
        </w:rPr>
        <w:t>4</w:t>
      </w:r>
      <w:r>
        <w:rPr>
          <w:rFonts w:ascii="Times New Roman" w:hAnsi="Times New Roman" w:cs="Times New Roman"/>
          <w:color w:val="auto"/>
          <w:sz w:val="24"/>
          <w:szCs w:val="24"/>
          <w:highlight w:val="none"/>
        </w:rPr>
        <w:t>款的约定向承包人索赔由于解除合同给发包人造成的损失。</w:t>
      </w:r>
    </w:p>
    <w:p>
      <w:pPr>
        <w:pStyle w:val="47"/>
        <w:numPr>
          <w:ilvl w:val="0"/>
          <w:numId w:val="29"/>
        </w:numPr>
        <w:tabs>
          <w:tab w:val="left" w:pos="903"/>
        </w:tabs>
        <w:spacing w:line="360" w:lineRule="exact"/>
        <w:ind w:firstLine="420"/>
        <w:jc w:val="both"/>
        <w:rPr>
          <w:rFonts w:ascii="Times New Roman" w:hAnsi="Times New Roman" w:cs="Times New Roman"/>
          <w:color w:val="auto"/>
          <w:sz w:val="24"/>
          <w:szCs w:val="24"/>
          <w:highlight w:val="none"/>
        </w:rPr>
      </w:pPr>
      <w:bookmarkStart w:id="968" w:name="bookmark1514"/>
      <w:bookmarkEnd w:id="968"/>
      <w:r>
        <w:rPr>
          <w:rFonts w:ascii="Times New Roman" w:hAnsi="Times New Roman" w:cs="Times New Roman"/>
          <w:color w:val="auto"/>
          <w:sz w:val="24"/>
          <w:szCs w:val="24"/>
          <w:highlight w:val="none"/>
        </w:rPr>
        <w:t>合同双方确认上述往来款项后，出具最终结清付款证书，结清全部合同款项。</w:t>
      </w:r>
    </w:p>
    <w:p>
      <w:pPr>
        <w:pStyle w:val="47"/>
        <w:numPr>
          <w:ilvl w:val="0"/>
          <w:numId w:val="29"/>
        </w:numPr>
        <w:tabs>
          <w:tab w:val="left" w:pos="922"/>
        </w:tabs>
        <w:spacing w:after="120" w:line="360" w:lineRule="exact"/>
        <w:ind w:firstLine="440"/>
        <w:jc w:val="both"/>
        <w:rPr>
          <w:rFonts w:ascii="Times New Roman" w:hAnsi="Times New Roman" w:cs="Times New Roman"/>
          <w:color w:val="auto"/>
          <w:sz w:val="24"/>
          <w:szCs w:val="24"/>
          <w:highlight w:val="none"/>
        </w:rPr>
      </w:pPr>
      <w:bookmarkStart w:id="969" w:name="bookmark1515"/>
      <w:bookmarkEnd w:id="969"/>
      <w:r>
        <w:rPr>
          <w:rFonts w:ascii="Times New Roman" w:hAnsi="Times New Roman" w:cs="Times New Roman"/>
          <w:color w:val="auto"/>
          <w:sz w:val="24"/>
          <w:szCs w:val="24"/>
          <w:highlight w:val="none"/>
        </w:rPr>
        <w:t>发包人和承包人未能就解除合同后的结清达成一致而形成争议的，按第</w:t>
      </w:r>
      <w:r>
        <w:rPr>
          <w:rFonts w:ascii="Times New Roman" w:hAnsi="Times New Roman" w:eastAsia="Times New Roman" w:cs="Times New Roman"/>
          <w:color w:val="auto"/>
          <w:sz w:val="24"/>
          <w:szCs w:val="24"/>
          <w:highlight w:val="none"/>
        </w:rPr>
        <w:t>24</w:t>
      </w:r>
      <w:r>
        <w:rPr>
          <w:rFonts w:ascii="Times New Roman" w:hAnsi="Times New Roman" w:cs="Times New Roman"/>
          <w:color w:val="auto"/>
          <w:sz w:val="24"/>
          <w:szCs w:val="24"/>
          <w:highlight w:val="none"/>
        </w:rPr>
        <w:t>条的约定办理。</w:t>
      </w:r>
    </w:p>
    <w:p>
      <w:pPr>
        <w:pStyle w:val="47"/>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22.1.5</w:t>
      </w:r>
      <w:r>
        <w:rPr>
          <w:rFonts w:ascii="Times New Roman" w:hAnsi="Times New Roman" w:cs="Times New Roman"/>
          <w:color w:val="auto"/>
          <w:sz w:val="24"/>
          <w:szCs w:val="24"/>
          <w:highlight w:val="none"/>
        </w:rPr>
        <w:t>协议利益的转让</w:t>
      </w:r>
    </w:p>
    <w:p>
      <w:pPr>
        <w:pStyle w:val="47"/>
        <w:spacing w:line="351"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因承包人违约解除合同的，发包人有权要求承包人将其为实施合同而签订的材料和设备的订货协议或任何服务协议利益转让给发包人，并在解除合同后的</w:t>
      </w:r>
      <w:r>
        <w:rPr>
          <w:rFonts w:ascii="Times New Roman" w:hAnsi="Times New Roman" w:eastAsia="Times New Roman" w:cs="Times New Roman"/>
          <w:color w:val="auto"/>
          <w:sz w:val="24"/>
          <w:szCs w:val="24"/>
          <w:highlight w:val="none"/>
        </w:rPr>
        <w:t>14</w:t>
      </w:r>
      <w:r>
        <w:rPr>
          <w:rFonts w:ascii="Times New Roman" w:hAnsi="Times New Roman" w:cs="Times New Roman"/>
          <w:color w:val="auto"/>
          <w:sz w:val="24"/>
          <w:szCs w:val="24"/>
          <w:highlight w:val="none"/>
        </w:rPr>
        <w:t>天内，依法办理转让手续。</w:t>
      </w:r>
    </w:p>
    <w:p>
      <w:pPr>
        <w:pStyle w:val="47"/>
        <w:spacing w:line="349" w:lineRule="exact"/>
        <w:ind w:firstLine="440"/>
        <w:jc w:val="both"/>
        <w:rPr>
          <w:color w:val="auto"/>
          <w:sz w:val="24"/>
          <w:szCs w:val="24"/>
          <w:highlight w:val="none"/>
          <w:lang w:val="en-US"/>
        </w:rPr>
      </w:pPr>
      <w:bookmarkStart w:id="970" w:name="bookmark1516"/>
      <w:bookmarkEnd w:id="970"/>
      <w:r>
        <w:rPr>
          <w:rFonts w:ascii="Times New Roman" w:hAnsi="Times New Roman" w:cs="Times New Roman"/>
          <w:color w:val="auto"/>
          <w:sz w:val="24"/>
          <w:szCs w:val="24"/>
          <w:highlight w:val="none"/>
          <w:lang w:val="en-US"/>
        </w:rPr>
        <w:t>22.1.6紧</w:t>
      </w:r>
      <w:r>
        <w:rPr>
          <w:color w:val="auto"/>
          <w:sz w:val="24"/>
          <w:szCs w:val="24"/>
          <w:highlight w:val="none"/>
          <w:lang w:val="en-US"/>
        </w:rPr>
        <w:t>急情况下无能力或不愿进行抢救</w:t>
      </w:r>
    </w:p>
    <w:p>
      <w:pPr>
        <w:pStyle w:val="47"/>
        <w:spacing w:after="120" w:line="351" w:lineRule="exact"/>
        <w:ind w:firstLine="440"/>
        <w:jc w:val="both"/>
        <w:rPr>
          <w:color w:val="auto"/>
          <w:sz w:val="24"/>
          <w:szCs w:val="24"/>
          <w:highlight w:val="none"/>
        </w:rPr>
      </w:pPr>
      <w:r>
        <w:rPr>
          <w:color w:val="auto"/>
          <w:sz w:val="24"/>
          <w:szCs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pPr>
        <w:pStyle w:val="5"/>
        <w:ind w:left="0" w:leftChars="0" w:firstLine="0" w:firstLineChars="0"/>
        <w:rPr>
          <w:color w:val="auto"/>
          <w:sz w:val="24"/>
          <w:szCs w:val="24"/>
          <w:highlight w:val="none"/>
          <w:lang w:eastAsia="zh-CN"/>
        </w:rPr>
      </w:pPr>
      <w:bookmarkStart w:id="971" w:name="bookmark1518"/>
      <w:bookmarkStart w:id="972" w:name="bookmark1519"/>
      <w:bookmarkStart w:id="973" w:name="_Toc24772"/>
      <w:bookmarkStart w:id="974" w:name="bookmark1517"/>
      <w:r>
        <w:rPr>
          <w:color w:val="auto"/>
          <w:sz w:val="24"/>
          <w:szCs w:val="24"/>
          <w:highlight w:val="none"/>
          <w:lang w:eastAsia="zh-CN"/>
        </w:rPr>
        <w:t>22.2发包人违约</w:t>
      </w:r>
      <w:bookmarkEnd w:id="971"/>
      <w:bookmarkEnd w:id="972"/>
      <w:bookmarkEnd w:id="973"/>
      <w:bookmarkEnd w:id="974"/>
    </w:p>
    <w:p>
      <w:pPr>
        <w:pStyle w:val="47"/>
        <w:spacing w:line="35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22.2.1</w:t>
      </w:r>
      <w:r>
        <w:rPr>
          <w:color w:val="auto"/>
          <w:sz w:val="24"/>
          <w:szCs w:val="24"/>
          <w:highlight w:val="none"/>
        </w:rPr>
        <w:t>发包人违约的情形</w:t>
      </w:r>
    </w:p>
    <w:p>
      <w:pPr>
        <w:pStyle w:val="47"/>
        <w:spacing w:line="350" w:lineRule="exact"/>
        <w:ind w:firstLine="420"/>
        <w:jc w:val="both"/>
        <w:rPr>
          <w:color w:val="auto"/>
          <w:sz w:val="24"/>
          <w:szCs w:val="24"/>
          <w:highlight w:val="none"/>
        </w:rPr>
      </w:pPr>
      <w:r>
        <w:rPr>
          <w:color w:val="auto"/>
          <w:sz w:val="24"/>
          <w:szCs w:val="24"/>
          <w:highlight w:val="none"/>
        </w:rPr>
        <w:t>在履行合同过程中发生的下列情形，属发包人违约：</w:t>
      </w:r>
    </w:p>
    <w:p>
      <w:pPr>
        <w:pStyle w:val="47"/>
        <w:numPr>
          <w:ilvl w:val="0"/>
          <w:numId w:val="30"/>
        </w:numPr>
        <w:spacing w:line="350" w:lineRule="exact"/>
        <w:ind w:firstLine="420"/>
        <w:jc w:val="both"/>
        <w:rPr>
          <w:color w:val="auto"/>
          <w:sz w:val="24"/>
          <w:szCs w:val="24"/>
          <w:highlight w:val="none"/>
        </w:rPr>
      </w:pPr>
      <w:bookmarkStart w:id="975" w:name="bookmark1520"/>
      <w:bookmarkEnd w:id="975"/>
      <w:r>
        <w:rPr>
          <w:color w:val="auto"/>
          <w:sz w:val="24"/>
          <w:szCs w:val="24"/>
          <w:highlight w:val="none"/>
        </w:rPr>
        <w:t>发包人未能按合同约定支付预付款或合同价款，或拖延、拒绝批准付款申请和支付凭证，导致付款延误的；</w:t>
      </w:r>
    </w:p>
    <w:p>
      <w:pPr>
        <w:pStyle w:val="47"/>
        <w:numPr>
          <w:ilvl w:val="0"/>
          <w:numId w:val="30"/>
        </w:numPr>
        <w:tabs>
          <w:tab w:val="left" w:pos="903"/>
        </w:tabs>
        <w:spacing w:line="362" w:lineRule="exact"/>
        <w:ind w:firstLine="420"/>
        <w:rPr>
          <w:color w:val="auto"/>
          <w:sz w:val="24"/>
          <w:szCs w:val="24"/>
          <w:highlight w:val="none"/>
        </w:rPr>
      </w:pPr>
      <w:bookmarkStart w:id="976" w:name="bookmark1521"/>
      <w:bookmarkEnd w:id="976"/>
      <w:r>
        <w:rPr>
          <w:color w:val="auto"/>
          <w:sz w:val="24"/>
          <w:szCs w:val="24"/>
          <w:highlight w:val="none"/>
        </w:rPr>
        <w:t>发包人原因造成停工的；</w:t>
      </w:r>
    </w:p>
    <w:p>
      <w:pPr>
        <w:pStyle w:val="47"/>
        <w:numPr>
          <w:ilvl w:val="0"/>
          <w:numId w:val="30"/>
        </w:numPr>
        <w:tabs>
          <w:tab w:val="left" w:pos="903"/>
        </w:tabs>
        <w:spacing w:line="362" w:lineRule="exact"/>
        <w:ind w:firstLine="420"/>
        <w:rPr>
          <w:color w:val="auto"/>
          <w:sz w:val="24"/>
          <w:szCs w:val="24"/>
          <w:highlight w:val="none"/>
        </w:rPr>
      </w:pPr>
      <w:bookmarkStart w:id="977" w:name="bookmark1522"/>
      <w:bookmarkEnd w:id="977"/>
      <w:r>
        <w:rPr>
          <w:color w:val="auto"/>
          <w:sz w:val="24"/>
          <w:szCs w:val="24"/>
          <w:highlight w:val="none"/>
        </w:rPr>
        <w:t>监理人无正当理由没有在约定期限内发出复工指示，导致承包人无法复工的；</w:t>
      </w:r>
    </w:p>
    <w:p>
      <w:pPr>
        <w:pStyle w:val="47"/>
        <w:numPr>
          <w:ilvl w:val="0"/>
          <w:numId w:val="30"/>
        </w:numPr>
        <w:tabs>
          <w:tab w:val="left" w:pos="903"/>
        </w:tabs>
        <w:spacing w:line="362" w:lineRule="exact"/>
        <w:ind w:firstLine="420"/>
        <w:rPr>
          <w:color w:val="auto"/>
          <w:sz w:val="24"/>
          <w:szCs w:val="24"/>
          <w:highlight w:val="none"/>
        </w:rPr>
      </w:pPr>
      <w:bookmarkStart w:id="978" w:name="bookmark1523"/>
      <w:bookmarkEnd w:id="978"/>
      <w:r>
        <w:rPr>
          <w:color w:val="auto"/>
          <w:sz w:val="24"/>
          <w:szCs w:val="24"/>
          <w:highlight w:val="none"/>
        </w:rPr>
        <w:t>发包人无法继续履行或明确表示不履行或实质上已停止履行合同的；</w:t>
      </w:r>
    </w:p>
    <w:p>
      <w:pPr>
        <w:pStyle w:val="47"/>
        <w:numPr>
          <w:ilvl w:val="0"/>
          <w:numId w:val="30"/>
        </w:numPr>
        <w:tabs>
          <w:tab w:val="left" w:pos="903"/>
        </w:tabs>
        <w:spacing w:line="362" w:lineRule="exact"/>
        <w:ind w:firstLine="420"/>
        <w:rPr>
          <w:color w:val="auto"/>
          <w:sz w:val="24"/>
          <w:szCs w:val="24"/>
          <w:highlight w:val="none"/>
        </w:rPr>
      </w:pPr>
      <w:bookmarkStart w:id="979" w:name="bookmark1524"/>
      <w:bookmarkEnd w:id="979"/>
      <w:r>
        <w:rPr>
          <w:color w:val="auto"/>
          <w:sz w:val="24"/>
          <w:szCs w:val="24"/>
          <w:highlight w:val="none"/>
        </w:rPr>
        <w:t>发包人不履行合同约定其他义务的。</w:t>
      </w:r>
    </w:p>
    <w:p>
      <w:pPr>
        <w:pStyle w:val="47"/>
        <w:spacing w:line="36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22.2.2</w:t>
      </w:r>
      <w:r>
        <w:rPr>
          <w:color w:val="auto"/>
          <w:sz w:val="24"/>
          <w:szCs w:val="24"/>
          <w:highlight w:val="none"/>
        </w:rPr>
        <w:t>承包人有权暂停施工</w:t>
      </w:r>
    </w:p>
    <w:p>
      <w:pPr>
        <w:pStyle w:val="47"/>
        <w:spacing w:line="362" w:lineRule="exact"/>
        <w:ind w:firstLine="440"/>
        <w:jc w:val="both"/>
        <w:rPr>
          <w:color w:val="auto"/>
          <w:sz w:val="24"/>
          <w:szCs w:val="24"/>
          <w:highlight w:val="none"/>
        </w:rPr>
      </w:pPr>
      <w:r>
        <w:rPr>
          <w:color w:val="auto"/>
          <w:sz w:val="24"/>
          <w:szCs w:val="24"/>
          <w:highlight w:val="none"/>
        </w:rPr>
        <w:t>发包人发生除第</w:t>
      </w:r>
      <w:r>
        <w:rPr>
          <w:rFonts w:ascii="Times New Roman" w:hAnsi="Times New Roman" w:eastAsia="Times New Roman" w:cs="Times New Roman"/>
          <w:color w:val="auto"/>
          <w:sz w:val="24"/>
          <w:szCs w:val="24"/>
          <w:highlight w:val="none"/>
          <w:lang w:val="en-US" w:bidi="en-US"/>
        </w:rPr>
        <w:t xml:space="preserve">22.2.1 </w:t>
      </w:r>
      <w:r>
        <w:rPr>
          <w:rFonts w:ascii="Times New Roman" w:hAnsi="Times New Roman" w:eastAsia="Times New Roman" w:cs="Times New Roman"/>
          <w:color w:val="auto"/>
          <w:sz w:val="24"/>
          <w:szCs w:val="24"/>
          <w:highlight w:val="none"/>
        </w:rPr>
        <w:t>(4)</w:t>
      </w:r>
      <w:r>
        <w:rPr>
          <w:color w:val="auto"/>
          <w:sz w:val="24"/>
          <w:szCs w:val="24"/>
          <w:highlight w:val="none"/>
        </w:rPr>
        <w:t>目以外的违约情况时，承包人可向发包人发出通知，要求发包人采取有效措施纠正违约行为。发包人收到承包人通知后的</w:t>
      </w:r>
      <w:r>
        <w:rPr>
          <w:rFonts w:ascii="Times New Roman" w:hAnsi="Times New Roman" w:eastAsia="Times New Roman" w:cs="Times New Roman"/>
          <w:color w:val="auto"/>
          <w:sz w:val="24"/>
          <w:szCs w:val="24"/>
          <w:highlight w:val="none"/>
        </w:rPr>
        <w:t>28</w:t>
      </w:r>
      <w:r>
        <w:rPr>
          <w:color w:val="auto"/>
          <w:sz w:val="24"/>
          <w:szCs w:val="24"/>
          <w:highlight w:val="none"/>
        </w:rPr>
        <w:t>天内仍不履行合同义 务，承包人有权暂停施工，并通知监理人，发包人应承担由此增加的费用和(或)工期延误，并支付承包人合理利润。</w:t>
      </w:r>
    </w:p>
    <w:p>
      <w:pPr>
        <w:pStyle w:val="47"/>
        <w:spacing w:line="362" w:lineRule="exact"/>
        <w:ind w:firstLine="420"/>
        <w:rPr>
          <w:color w:val="auto"/>
          <w:sz w:val="24"/>
          <w:szCs w:val="24"/>
          <w:highlight w:val="none"/>
        </w:rPr>
      </w:pPr>
      <w:r>
        <w:rPr>
          <w:color w:val="auto"/>
          <w:sz w:val="24"/>
          <w:szCs w:val="24"/>
          <w:highlight w:val="none"/>
          <w:lang w:val="en-US" w:eastAsia="en-US"/>
        </w:rPr>
        <w:t>22.2.3</w:t>
      </w:r>
      <w:r>
        <w:rPr>
          <w:color w:val="auto"/>
          <w:sz w:val="24"/>
          <w:szCs w:val="24"/>
          <w:highlight w:val="none"/>
        </w:rPr>
        <w:t>发包人违约解除合同</w:t>
      </w:r>
    </w:p>
    <w:p>
      <w:pPr>
        <w:pStyle w:val="47"/>
        <w:numPr>
          <w:ilvl w:val="0"/>
          <w:numId w:val="31"/>
        </w:numPr>
        <w:tabs>
          <w:tab w:val="left" w:pos="923"/>
        </w:tabs>
        <w:spacing w:line="367" w:lineRule="exact"/>
        <w:ind w:firstLine="440"/>
        <w:jc w:val="both"/>
        <w:rPr>
          <w:color w:val="auto"/>
          <w:sz w:val="24"/>
          <w:szCs w:val="24"/>
          <w:highlight w:val="none"/>
        </w:rPr>
      </w:pPr>
      <w:bookmarkStart w:id="980" w:name="bookmark1525"/>
      <w:bookmarkEnd w:id="980"/>
      <w:r>
        <w:rPr>
          <w:color w:val="auto"/>
          <w:sz w:val="24"/>
          <w:szCs w:val="24"/>
          <w:highlight w:val="none"/>
        </w:rPr>
        <w:t>发生第</w:t>
      </w:r>
      <w:r>
        <w:rPr>
          <w:rFonts w:ascii="Times New Roman" w:hAnsi="Times New Roman" w:eastAsia="Times New Roman" w:cs="Times New Roman"/>
          <w:color w:val="auto"/>
          <w:sz w:val="24"/>
          <w:szCs w:val="24"/>
          <w:highlight w:val="none"/>
          <w:lang w:val="en-US" w:bidi="en-US"/>
        </w:rPr>
        <w:t xml:space="preserve">22.2.1 </w:t>
      </w:r>
      <w:r>
        <w:rPr>
          <w:rFonts w:ascii="Times New Roman" w:hAnsi="Times New Roman" w:eastAsia="Times New Roman" w:cs="Times New Roman"/>
          <w:color w:val="auto"/>
          <w:sz w:val="24"/>
          <w:szCs w:val="24"/>
          <w:highlight w:val="none"/>
        </w:rPr>
        <w:t>(4)</w:t>
      </w:r>
      <w:r>
        <w:rPr>
          <w:color w:val="auto"/>
          <w:sz w:val="24"/>
          <w:szCs w:val="24"/>
          <w:highlight w:val="none"/>
        </w:rPr>
        <w:t>目的违约情况时，承包人可书面通知发包人解除合同。</w:t>
      </w:r>
    </w:p>
    <w:p>
      <w:pPr>
        <w:pStyle w:val="47"/>
        <w:numPr>
          <w:ilvl w:val="0"/>
          <w:numId w:val="31"/>
        </w:numPr>
        <w:tabs>
          <w:tab w:val="left" w:pos="920"/>
        </w:tabs>
        <w:spacing w:line="367" w:lineRule="exact"/>
        <w:ind w:firstLine="440"/>
        <w:jc w:val="both"/>
        <w:rPr>
          <w:color w:val="auto"/>
          <w:sz w:val="24"/>
          <w:szCs w:val="24"/>
          <w:highlight w:val="none"/>
        </w:rPr>
      </w:pPr>
      <w:bookmarkStart w:id="981" w:name="bookmark1526"/>
      <w:bookmarkEnd w:id="981"/>
      <w:r>
        <w:rPr>
          <w:color w:val="auto"/>
          <w:sz w:val="24"/>
          <w:szCs w:val="24"/>
          <w:highlight w:val="none"/>
        </w:rPr>
        <w:t>承包人按</w:t>
      </w:r>
      <w:r>
        <w:rPr>
          <w:rFonts w:ascii="Times New Roman" w:hAnsi="Times New Roman" w:eastAsia="Times New Roman" w:cs="Times New Roman"/>
          <w:color w:val="auto"/>
          <w:sz w:val="24"/>
          <w:szCs w:val="24"/>
          <w:highlight w:val="none"/>
          <w:lang w:val="en-US" w:bidi="en-US"/>
        </w:rPr>
        <w:t xml:space="preserve">22. 2. </w:t>
      </w:r>
      <w:r>
        <w:rPr>
          <w:rFonts w:ascii="Times New Roman" w:hAnsi="Times New Roman" w:eastAsia="Times New Roman" w:cs="Times New Roman"/>
          <w:color w:val="auto"/>
          <w:sz w:val="24"/>
          <w:szCs w:val="24"/>
          <w:highlight w:val="none"/>
        </w:rPr>
        <w:t>2</w:t>
      </w:r>
      <w:r>
        <w:rPr>
          <w:color w:val="auto"/>
          <w:sz w:val="24"/>
          <w:szCs w:val="24"/>
          <w:highlight w:val="none"/>
        </w:rPr>
        <w:t>项暂停施工</w:t>
      </w:r>
      <w:r>
        <w:rPr>
          <w:rFonts w:ascii="Times New Roman" w:hAnsi="Times New Roman" w:eastAsia="Times New Roman" w:cs="Times New Roman"/>
          <w:color w:val="auto"/>
          <w:sz w:val="24"/>
          <w:szCs w:val="24"/>
          <w:highlight w:val="none"/>
        </w:rPr>
        <w:t>28</w:t>
      </w:r>
      <w:r>
        <w:rPr>
          <w:color w:val="auto"/>
          <w:sz w:val="24"/>
          <w:szCs w:val="24"/>
          <w:highlight w:val="none"/>
        </w:rPr>
        <w:t>天后，发包人仍不纠正违约行为的，承包人可向发包人发出解除合同通知。但承包人的这一行动不免除发包人承担的违约责任，也不影响承包人根据合同约定享有的索赔权利。</w:t>
      </w:r>
    </w:p>
    <w:p>
      <w:pPr>
        <w:pStyle w:val="47"/>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22.2.4</w:t>
      </w:r>
      <w:r>
        <w:rPr>
          <w:color w:val="auto"/>
          <w:sz w:val="24"/>
          <w:szCs w:val="24"/>
          <w:highlight w:val="none"/>
        </w:rPr>
        <w:t>解除合同后的付款</w:t>
      </w:r>
    </w:p>
    <w:p>
      <w:pPr>
        <w:pStyle w:val="47"/>
        <w:spacing w:line="374" w:lineRule="exact"/>
        <w:ind w:firstLine="440"/>
        <w:jc w:val="both"/>
        <w:rPr>
          <w:color w:val="auto"/>
          <w:sz w:val="24"/>
          <w:szCs w:val="24"/>
          <w:highlight w:val="none"/>
        </w:rPr>
      </w:pPr>
      <w:r>
        <w:rPr>
          <w:color w:val="auto"/>
          <w:sz w:val="24"/>
          <w:szCs w:val="24"/>
          <w:highlight w:val="none"/>
        </w:rPr>
        <w:t>因发包人违约解除合同的，发包人应在解除合同后</w:t>
      </w:r>
      <w:r>
        <w:rPr>
          <w:rFonts w:ascii="Times New Roman" w:hAnsi="Times New Roman" w:eastAsia="Times New Roman" w:cs="Times New Roman"/>
          <w:color w:val="auto"/>
          <w:sz w:val="24"/>
          <w:szCs w:val="24"/>
          <w:highlight w:val="none"/>
        </w:rPr>
        <w:t>28</w:t>
      </w:r>
      <w:r>
        <w:rPr>
          <w:color w:val="auto"/>
          <w:sz w:val="24"/>
          <w:szCs w:val="24"/>
          <w:highlight w:val="none"/>
        </w:rPr>
        <w:t>天内向承包人支付下列金额，承包人应在此期限内及时向发包人提交要求支付下列金额的有关资料和凭证：</w:t>
      </w:r>
    </w:p>
    <w:p>
      <w:pPr>
        <w:pStyle w:val="47"/>
        <w:numPr>
          <w:ilvl w:val="0"/>
          <w:numId w:val="32"/>
        </w:numPr>
        <w:tabs>
          <w:tab w:val="left" w:pos="903"/>
        </w:tabs>
        <w:spacing w:line="374" w:lineRule="exact"/>
        <w:ind w:firstLine="420"/>
        <w:rPr>
          <w:color w:val="auto"/>
          <w:sz w:val="24"/>
          <w:szCs w:val="24"/>
          <w:highlight w:val="none"/>
        </w:rPr>
      </w:pPr>
      <w:bookmarkStart w:id="982" w:name="bookmark1527"/>
      <w:bookmarkEnd w:id="982"/>
      <w:r>
        <w:rPr>
          <w:color w:val="auto"/>
          <w:sz w:val="24"/>
          <w:szCs w:val="24"/>
          <w:highlight w:val="none"/>
        </w:rPr>
        <w:t>合同解除日以前所完成工作的价款；</w:t>
      </w:r>
    </w:p>
    <w:p>
      <w:pPr>
        <w:pStyle w:val="47"/>
        <w:numPr>
          <w:ilvl w:val="0"/>
          <w:numId w:val="32"/>
        </w:numPr>
        <w:tabs>
          <w:tab w:val="left" w:pos="920"/>
        </w:tabs>
        <w:spacing w:line="365" w:lineRule="exact"/>
        <w:ind w:firstLine="440"/>
        <w:jc w:val="both"/>
        <w:rPr>
          <w:color w:val="auto"/>
          <w:sz w:val="24"/>
          <w:szCs w:val="24"/>
          <w:highlight w:val="none"/>
        </w:rPr>
      </w:pPr>
      <w:bookmarkStart w:id="983" w:name="bookmark1528"/>
      <w:bookmarkEnd w:id="983"/>
      <w:r>
        <w:rPr>
          <w:color w:val="auto"/>
          <w:sz w:val="24"/>
          <w:szCs w:val="24"/>
          <w:highlight w:val="none"/>
        </w:rPr>
        <w:t>承包人为该工程施工订购并已付款的材料、工程设备和其他物品的金额。发包人付还后，该材料、工程设备和其他物品归发包人所有；</w:t>
      </w:r>
    </w:p>
    <w:p>
      <w:pPr>
        <w:pStyle w:val="47"/>
        <w:numPr>
          <w:ilvl w:val="0"/>
          <w:numId w:val="32"/>
        </w:numPr>
        <w:tabs>
          <w:tab w:val="left" w:pos="903"/>
        </w:tabs>
        <w:spacing w:line="365" w:lineRule="exact"/>
        <w:ind w:firstLine="420"/>
        <w:rPr>
          <w:color w:val="auto"/>
          <w:sz w:val="24"/>
          <w:szCs w:val="24"/>
          <w:highlight w:val="none"/>
        </w:rPr>
      </w:pPr>
      <w:bookmarkStart w:id="984" w:name="bookmark1529"/>
      <w:bookmarkEnd w:id="984"/>
      <w:r>
        <w:rPr>
          <w:color w:val="auto"/>
          <w:sz w:val="24"/>
          <w:szCs w:val="24"/>
          <w:highlight w:val="none"/>
        </w:rPr>
        <w:t>承包人为完成工程所发生的，而发包人未支付的金额；</w:t>
      </w:r>
    </w:p>
    <w:p>
      <w:pPr>
        <w:pStyle w:val="47"/>
        <w:numPr>
          <w:ilvl w:val="0"/>
          <w:numId w:val="32"/>
        </w:numPr>
        <w:tabs>
          <w:tab w:val="left" w:pos="903"/>
        </w:tabs>
        <w:spacing w:line="358" w:lineRule="exact"/>
        <w:ind w:firstLine="420"/>
        <w:rPr>
          <w:color w:val="auto"/>
          <w:sz w:val="24"/>
          <w:szCs w:val="24"/>
          <w:highlight w:val="none"/>
        </w:rPr>
      </w:pPr>
      <w:bookmarkStart w:id="985" w:name="bookmark1530"/>
      <w:bookmarkEnd w:id="985"/>
      <w:r>
        <w:rPr>
          <w:color w:val="auto"/>
          <w:sz w:val="24"/>
          <w:szCs w:val="24"/>
          <w:highlight w:val="none"/>
        </w:rPr>
        <w:t>承包人撤离施工场地以及遣散承包人人员的金额；</w:t>
      </w:r>
    </w:p>
    <w:p>
      <w:pPr>
        <w:pStyle w:val="47"/>
        <w:numPr>
          <w:ilvl w:val="0"/>
          <w:numId w:val="32"/>
        </w:numPr>
        <w:tabs>
          <w:tab w:val="left" w:pos="903"/>
        </w:tabs>
        <w:spacing w:line="358" w:lineRule="exact"/>
        <w:ind w:firstLine="420"/>
        <w:rPr>
          <w:color w:val="auto"/>
          <w:sz w:val="24"/>
          <w:szCs w:val="24"/>
          <w:highlight w:val="none"/>
        </w:rPr>
      </w:pPr>
      <w:bookmarkStart w:id="986" w:name="bookmark1531"/>
      <w:bookmarkEnd w:id="986"/>
      <w:r>
        <w:rPr>
          <w:color w:val="auto"/>
          <w:sz w:val="24"/>
          <w:szCs w:val="24"/>
          <w:highlight w:val="none"/>
        </w:rPr>
        <w:t>由于解除合同应赔偿的承包人损失；</w:t>
      </w:r>
    </w:p>
    <w:p>
      <w:pPr>
        <w:pStyle w:val="47"/>
        <w:numPr>
          <w:ilvl w:val="0"/>
          <w:numId w:val="32"/>
        </w:numPr>
        <w:tabs>
          <w:tab w:val="left" w:pos="903"/>
        </w:tabs>
        <w:spacing w:line="358" w:lineRule="exact"/>
        <w:ind w:firstLine="420"/>
        <w:rPr>
          <w:color w:val="auto"/>
          <w:sz w:val="24"/>
          <w:szCs w:val="24"/>
          <w:highlight w:val="none"/>
        </w:rPr>
      </w:pPr>
      <w:bookmarkStart w:id="987" w:name="bookmark1532"/>
      <w:bookmarkEnd w:id="987"/>
      <w:r>
        <w:rPr>
          <w:color w:val="auto"/>
          <w:sz w:val="24"/>
          <w:szCs w:val="24"/>
          <w:highlight w:val="none"/>
        </w:rPr>
        <w:t>按合同约定在合同解除日前应支付给承包人的其他金额。</w:t>
      </w:r>
    </w:p>
    <w:p>
      <w:pPr>
        <w:pStyle w:val="47"/>
        <w:spacing w:line="358" w:lineRule="exact"/>
        <w:ind w:firstLine="440"/>
        <w:jc w:val="both"/>
        <w:rPr>
          <w:color w:val="auto"/>
          <w:sz w:val="24"/>
          <w:szCs w:val="24"/>
          <w:highlight w:val="none"/>
        </w:rPr>
      </w:pPr>
      <w:r>
        <w:rPr>
          <w:color w:val="auto"/>
          <w:sz w:val="24"/>
          <w:szCs w:val="24"/>
          <w:highlight w:val="none"/>
        </w:rPr>
        <w:t>发包人应按本项约定支付上述金额并退还质量保证金和履约担保，但有权要求承包人支付应偿还给发包人的各项金额。</w:t>
      </w:r>
    </w:p>
    <w:p>
      <w:pPr>
        <w:pStyle w:val="47"/>
        <w:spacing w:line="362" w:lineRule="exact"/>
        <w:ind w:firstLine="420"/>
        <w:rPr>
          <w:color w:val="auto"/>
          <w:sz w:val="24"/>
          <w:szCs w:val="24"/>
          <w:highlight w:val="none"/>
          <w:lang w:val="en-US"/>
        </w:rPr>
      </w:pPr>
      <w:r>
        <w:rPr>
          <w:color w:val="auto"/>
          <w:sz w:val="24"/>
          <w:szCs w:val="24"/>
          <w:highlight w:val="none"/>
          <w:lang w:val="en-US"/>
        </w:rPr>
        <w:t>22.2.5解除合同后的承包人撤离</w:t>
      </w:r>
    </w:p>
    <w:p>
      <w:pPr>
        <w:pStyle w:val="47"/>
        <w:spacing w:after="180" w:line="348" w:lineRule="exact"/>
        <w:ind w:firstLine="440"/>
        <w:jc w:val="both"/>
        <w:rPr>
          <w:color w:val="auto"/>
          <w:sz w:val="24"/>
          <w:szCs w:val="24"/>
          <w:highlight w:val="none"/>
        </w:rPr>
      </w:pPr>
      <w:r>
        <w:rPr>
          <w:color w:val="auto"/>
          <w:sz w:val="24"/>
          <w:szCs w:val="24"/>
          <w:highlight w:val="none"/>
        </w:rPr>
        <w:t>因发包人违约而解除合同后，承包人应妥善做好已竣工工程和已购材料、设备的保护和移交工作，按发包人要求将承包人设备和人员撤出施工场地。承包人撤出施工场地应遵 守第</w:t>
      </w:r>
      <w:r>
        <w:rPr>
          <w:rFonts w:ascii="Times New Roman" w:hAnsi="Times New Roman" w:eastAsia="Times New Roman" w:cs="Times New Roman"/>
          <w:color w:val="auto"/>
          <w:sz w:val="24"/>
          <w:szCs w:val="24"/>
          <w:highlight w:val="none"/>
          <w:lang w:val="en-US" w:bidi="en-US"/>
        </w:rPr>
        <w:t xml:space="preserve">18. 7. </w:t>
      </w:r>
      <w:r>
        <w:rPr>
          <w:rFonts w:ascii="Times New Roman" w:hAnsi="Times New Roman" w:eastAsia="Times New Roman" w:cs="Times New Roman"/>
          <w:color w:val="auto"/>
          <w:sz w:val="24"/>
          <w:szCs w:val="24"/>
          <w:highlight w:val="none"/>
        </w:rPr>
        <w:t>1</w:t>
      </w:r>
      <w:r>
        <w:rPr>
          <w:color w:val="auto"/>
          <w:sz w:val="24"/>
          <w:szCs w:val="24"/>
          <w:highlight w:val="none"/>
        </w:rPr>
        <w:t>项的约定，发包人应为承包人撤出提供必要条件。</w:t>
      </w:r>
    </w:p>
    <w:p>
      <w:pPr>
        <w:pStyle w:val="5"/>
        <w:ind w:left="0" w:leftChars="0" w:firstLine="0" w:firstLineChars="0"/>
        <w:rPr>
          <w:color w:val="auto"/>
          <w:sz w:val="24"/>
          <w:szCs w:val="24"/>
          <w:highlight w:val="none"/>
          <w:lang w:eastAsia="zh-CN"/>
        </w:rPr>
      </w:pPr>
      <w:bookmarkStart w:id="988" w:name="bookmark1535"/>
      <w:bookmarkStart w:id="989" w:name="bookmark1534"/>
      <w:bookmarkStart w:id="990" w:name="bookmark1533"/>
      <w:bookmarkStart w:id="991" w:name="_Toc9266"/>
      <w:r>
        <w:rPr>
          <w:color w:val="auto"/>
          <w:sz w:val="24"/>
          <w:szCs w:val="24"/>
          <w:highlight w:val="none"/>
          <w:lang w:eastAsia="zh-CN"/>
        </w:rPr>
        <w:t>22.3第三人造成的违约</w:t>
      </w:r>
      <w:bookmarkEnd w:id="988"/>
      <w:bookmarkEnd w:id="989"/>
      <w:bookmarkEnd w:id="990"/>
      <w:bookmarkEnd w:id="991"/>
    </w:p>
    <w:p>
      <w:pPr>
        <w:pStyle w:val="47"/>
        <w:spacing w:after="260" w:line="350" w:lineRule="exact"/>
        <w:ind w:firstLine="440"/>
        <w:jc w:val="both"/>
        <w:rPr>
          <w:color w:val="auto"/>
          <w:sz w:val="24"/>
          <w:szCs w:val="24"/>
          <w:highlight w:val="none"/>
        </w:rPr>
      </w:pPr>
      <w:r>
        <w:rPr>
          <w:color w:val="auto"/>
          <w:sz w:val="24"/>
          <w:szCs w:val="24"/>
          <w:highlight w:val="none"/>
        </w:rPr>
        <w:t>在履行合同过程中，一方当事人因第三人的原因造成违约的，应当向对方当事人承担违约责任。一方当事人和第三人之间的纠纷，依照法律规定或者按照约定解决。</w:t>
      </w:r>
    </w:p>
    <w:p>
      <w:pPr>
        <w:pStyle w:val="4"/>
        <w:rPr>
          <w:rFonts w:hint="eastAsia"/>
          <w:color w:val="auto"/>
          <w:sz w:val="24"/>
          <w:szCs w:val="24"/>
          <w:highlight w:val="none"/>
          <w:lang w:eastAsia="zh-CN"/>
        </w:rPr>
      </w:pPr>
      <w:bookmarkStart w:id="992" w:name="_Toc9507"/>
      <w:bookmarkStart w:id="993" w:name="_Toc26868"/>
      <w:bookmarkStart w:id="994" w:name="_Toc1103187323"/>
      <w:r>
        <w:rPr>
          <w:rFonts w:hint="eastAsia"/>
          <w:color w:val="auto"/>
          <w:sz w:val="24"/>
          <w:szCs w:val="24"/>
          <w:highlight w:val="none"/>
          <w:lang w:eastAsia="zh-CN"/>
        </w:rPr>
        <w:t>23.索赔</w:t>
      </w:r>
      <w:bookmarkEnd w:id="992"/>
      <w:bookmarkEnd w:id="993"/>
      <w:bookmarkEnd w:id="994"/>
    </w:p>
    <w:p>
      <w:pPr>
        <w:pStyle w:val="5"/>
        <w:ind w:left="0" w:leftChars="0" w:firstLine="0" w:firstLineChars="0"/>
        <w:rPr>
          <w:color w:val="auto"/>
          <w:sz w:val="24"/>
          <w:szCs w:val="24"/>
          <w:highlight w:val="none"/>
          <w:lang w:eastAsia="zh-CN"/>
        </w:rPr>
      </w:pPr>
      <w:bookmarkStart w:id="995" w:name="bookmark1536"/>
      <w:bookmarkStart w:id="996" w:name="bookmark1537"/>
      <w:bookmarkStart w:id="997" w:name="bookmark1538"/>
      <w:bookmarkStart w:id="998" w:name="_Toc12223"/>
      <w:r>
        <w:rPr>
          <w:color w:val="auto"/>
          <w:sz w:val="24"/>
          <w:szCs w:val="24"/>
          <w:highlight w:val="none"/>
          <w:lang w:eastAsia="zh-CN"/>
        </w:rPr>
        <w:t>23.1承包人索赔的提出</w:t>
      </w:r>
      <w:bookmarkEnd w:id="995"/>
      <w:bookmarkEnd w:id="996"/>
      <w:bookmarkEnd w:id="997"/>
      <w:bookmarkEnd w:id="998"/>
    </w:p>
    <w:p>
      <w:pPr>
        <w:ind w:firstLine="480" w:firstLineChars="200"/>
        <w:rPr>
          <w:color w:val="auto"/>
          <w:sz w:val="24"/>
          <w:szCs w:val="24"/>
          <w:highlight w:val="none"/>
          <w:lang w:eastAsia="zh-CN"/>
        </w:rPr>
      </w:pPr>
      <w:r>
        <w:rPr>
          <w:color w:val="auto"/>
          <w:sz w:val="24"/>
          <w:szCs w:val="24"/>
          <w:highlight w:val="none"/>
          <w:lang w:eastAsia="zh-CN"/>
        </w:rPr>
        <w:t>根据合同约定，承包人认为有权得到追加付款和(或)延长工期的，应按以下程序向发包人提出索赔：</w:t>
      </w:r>
    </w:p>
    <w:p>
      <w:pPr>
        <w:pStyle w:val="47"/>
        <w:numPr>
          <w:ilvl w:val="0"/>
          <w:numId w:val="33"/>
        </w:numPr>
        <w:tabs>
          <w:tab w:val="left" w:pos="918"/>
        </w:tabs>
        <w:spacing w:line="362" w:lineRule="exact"/>
        <w:ind w:firstLine="440"/>
        <w:jc w:val="both"/>
        <w:rPr>
          <w:color w:val="auto"/>
          <w:sz w:val="24"/>
          <w:szCs w:val="24"/>
          <w:highlight w:val="none"/>
        </w:rPr>
      </w:pPr>
      <w:bookmarkStart w:id="999" w:name="bookmark1539"/>
      <w:bookmarkEnd w:id="999"/>
      <w:r>
        <w:rPr>
          <w:color w:val="auto"/>
          <w:sz w:val="24"/>
          <w:szCs w:val="24"/>
          <w:highlight w:val="none"/>
        </w:rPr>
        <w:t>承包人应在知道或应当知道索赔事件发生后</w:t>
      </w:r>
      <w:r>
        <w:rPr>
          <w:rFonts w:ascii="Times New Roman" w:hAnsi="Times New Roman" w:eastAsia="Times New Roman" w:cs="Times New Roman"/>
          <w:color w:val="auto"/>
          <w:sz w:val="24"/>
          <w:szCs w:val="24"/>
          <w:highlight w:val="none"/>
        </w:rPr>
        <w:t>28</w:t>
      </w:r>
      <w:r>
        <w:rPr>
          <w:color w:val="auto"/>
          <w:sz w:val="24"/>
          <w:szCs w:val="24"/>
          <w:highlight w:val="none"/>
        </w:rPr>
        <w:t>天内，向监理人递交索赔意向通知书，并说明发生索赔事件的事由。承包人未在前述</w:t>
      </w:r>
      <w:r>
        <w:rPr>
          <w:rFonts w:ascii="Times New Roman" w:hAnsi="Times New Roman" w:eastAsia="Times New Roman" w:cs="Times New Roman"/>
          <w:color w:val="auto"/>
          <w:sz w:val="24"/>
          <w:szCs w:val="24"/>
          <w:highlight w:val="none"/>
        </w:rPr>
        <w:t>28</w:t>
      </w:r>
      <w:r>
        <w:rPr>
          <w:color w:val="auto"/>
          <w:sz w:val="24"/>
          <w:szCs w:val="24"/>
          <w:highlight w:val="none"/>
        </w:rPr>
        <w:t>天内发出索赔意向通知书的，丧失要求追加付款和(或)延长工期的权利；</w:t>
      </w:r>
    </w:p>
    <w:p>
      <w:pPr>
        <w:pStyle w:val="47"/>
        <w:numPr>
          <w:ilvl w:val="0"/>
          <w:numId w:val="33"/>
        </w:numPr>
        <w:tabs>
          <w:tab w:val="left" w:pos="918"/>
        </w:tabs>
        <w:spacing w:line="354" w:lineRule="exact"/>
        <w:ind w:firstLine="440"/>
        <w:jc w:val="both"/>
        <w:rPr>
          <w:color w:val="auto"/>
          <w:sz w:val="24"/>
          <w:szCs w:val="24"/>
          <w:highlight w:val="none"/>
        </w:rPr>
      </w:pPr>
      <w:bookmarkStart w:id="1000" w:name="bookmark1540"/>
      <w:bookmarkEnd w:id="1000"/>
      <w:r>
        <w:rPr>
          <w:color w:val="auto"/>
          <w:sz w:val="24"/>
          <w:szCs w:val="24"/>
          <w:highlight w:val="none"/>
        </w:rPr>
        <w:t>承包人应在发出索赔意向通知书后</w:t>
      </w:r>
      <w:r>
        <w:rPr>
          <w:rFonts w:ascii="Times New Roman" w:hAnsi="Times New Roman" w:eastAsia="Times New Roman" w:cs="Times New Roman"/>
          <w:color w:val="auto"/>
          <w:sz w:val="24"/>
          <w:szCs w:val="24"/>
          <w:highlight w:val="none"/>
        </w:rPr>
        <w:t>28</w:t>
      </w:r>
      <w:r>
        <w:rPr>
          <w:color w:val="auto"/>
          <w:sz w:val="24"/>
          <w:szCs w:val="24"/>
          <w:highlight w:val="none"/>
        </w:rPr>
        <w:t>天内，向监理人正式递交索赔通知书。索赔通知书应详细说明索赔理由以及要求追加的付款金额和(或)延长的工期，并附必要的记 录和证明材料；</w:t>
      </w:r>
    </w:p>
    <w:p>
      <w:pPr>
        <w:pStyle w:val="47"/>
        <w:numPr>
          <w:ilvl w:val="0"/>
          <w:numId w:val="33"/>
        </w:numPr>
        <w:tabs>
          <w:tab w:val="left" w:pos="903"/>
        </w:tabs>
        <w:spacing w:line="354" w:lineRule="exact"/>
        <w:ind w:firstLine="440"/>
        <w:jc w:val="both"/>
        <w:rPr>
          <w:color w:val="auto"/>
          <w:sz w:val="24"/>
          <w:szCs w:val="24"/>
          <w:highlight w:val="none"/>
        </w:rPr>
      </w:pPr>
      <w:bookmarkStart w:id="1001" w:name="bookmark1541"/>
      <w:bookmarkEnd w:id="1001"/>
      <w:r>
        <w:rPr>
          <w:color w:val="auto"/>
          <w:sz w:val="24"/>
          <w:szCs w:val="24"/>
          <w:highlight w:val="none"/>
        </w:rPr>
        <w:t>索赔事件具有连续影响的，承包人应按合理时间间隔继续递交延续索赔通知，说明连续影响的实际情况和记录，列出累计的追加付款金额和(或)工期延长天数；</w:t>
      </w:r>
    </w:p>
    <w:p>
      <w:pPr>
        <w:pStyle w:val="47"/>
        <w:numPr>
          <w:ilvl w:val="0"/>
          <w:numId w:val="33"/>
        </w:numPr>
        <w:tabs>
          <w:tab w:val="left" w:pos="920"/>
        </w:tabs>
        <w:spacing w:after="120" w:line="367" w:lineRule="exact"/>
        <w:ind w:firstLine="440"/>
        <w:jc w:val="both"/>
        <w:rPr>
          <w:color w:val="auto"/>
          <w:sz w:val="24"/>
          <w:szCs w:val="24"/>
          <w:highlight w:val="none"/>
        </w:rPr>
      </w:pPr>
      <w:bookmarkStart w:id="1002" w:name="bookmark1542"/>
      <w:bookmarkEnd w:id="1002"/>
      <w:r>
        <w:rPr>
          <w:color w:val="auto"/>
          <w:sz w:val="24"/>
          <w:szCs w:val="24"/>
          <w:highlight w:val="none"/>
        </w:rPr>
        <w:t>在索赔事件影响结束后的</w:t>
      </w:r>
      <w:r>
        <w:rPr>
          <w:rFonts w:ascii="Times New Roman" w:hAnsi="Times New Roman" w:eastAsia="Times New Roman" w:cs="Times New Roman"/>
          <w:color w:val="auto"/>
          <w:sz w:val="24"/>
          <w:szCs w:val="24"/>
          <w:highlight w:val="none"/>
        </w:rPr>
        <w:t>28</w:t>
      </w:r>
      <w:r>
        <w:rPr>
          <w:color w:val="auto"/>
          <w:sz w:val="24"/>
          <w:szCs w:val="24"/>
          <w:highlight w:val="none"/>
        </w:rPr>
        <w:t>天内，承包人应向监理人递交最终索赔通知书，说明最终要求索赔的追加付款金额和延长的工期，并附必要的记录和证明材料。</w:t>
      </w:r>
    </w:p>
    <w:p>
      <w:pPr>
        <w:pStyle w:val="5"/>
        <w:ind w:left="0" w:leftChars="0" w:firstLine="0" w:firstLineChars="0"/>
        <w:rPr>
          <w:color w:val="auto"/>
          <w:sz w:val="24"/>
          <w:szCs w:val="24"/>
          <w:highlight w:val="none"/>
          <w:lang w:eastAsia="zh-CN"/>
        </w:rPr>
      </w:pPr>
      <w:bookmarkStart w:id="1003" w:name="bookmark1545"/>
      <w:bookmarkStart w:id="1004" w:name="_Toc5534"/>
      <w:bookmarkStart w:id="1005" w:name="bookmark1544"/>
      <w:bookmarkStart w:id="1006" w:name="bookmark1543"/>
      <w:r>
        <w:rPr>
          <w:color w:val="auto"/>
          <w:sz w:val="24"/>
          <w:szCs w:val="24"/>
          <w:highlight w:val="none"/>
          <w:lang w:eastAsia="zh-CN"/>
        </w:rPr>
        <w:t>23.2承包人索赔处理程序</w:t>
      </w:r>
      <w:bookmarkEnd w:id="1003"/>
      <w:bookmarkEnd w:id="1004"/>
      <w:bookmarkEnd w:id="1005"/>
      <w:bookmarkEnd w:id="1006"/>
    </w:p>
    <w:p>
      <w:pPr>
        <w:pStyle w:val="47"/>
        <w:numPr>
          <w:ilvl w:val="0"/>
          <w:numId w:val="34"/>
        </w:numPr>
        <w:tabs>
          <w:tab w:val="left" w:pos="922"/>
        </w:tabs>
        <w:spacing w:line="348" w:lineRule="exact"/>
        <w:ind w:firstLine="440"/>
        <w:jc w:val="both"/>
        <w:rPr>
          <w:color w:val="auto"/>
          <w:sz w:val="24"/>
          <w:szCs w:val="24"/>
          <w:highlight w:val="none"/>
        </w:rPr>
      </w:pPr>
      <w:bookmarkStart w:id="1007" w:name="bookmark1546"/>
      <w:bookmarkEnd w:id="1007"/>
      <w:r>
        <w:rPr>
          <w:color w:val="auto"/>
          <w:sz w:val="24"/>
          <w:szCs w:val="24"/>
          <w:highlight w:val="none"/>
        </w:rPr>
        <w:t>监理人收到承包人提交的索赔通知书后，应及时审查索赔通知书的内容、查验承包人的记录和证明材料，必要时监理人可要求承包人提交全部原始记录副本。</w:t>
      </w:r>
    </w:p>
    <w:p>
      <w:pPr>
        <w:pStyle w:val="47"/>
        <w:numPr>
          <w:ilvl w:val="0"/>
          <w:numId w:val="34"/>
        </w:numPr>
        <w:tabs>
          <w:tab w:val="left" w:pos="918"/>
        </w:tabs>
        <w:spacing w:line="361" w:lineRule="exact"/>
        <w:ind w:firstLine="440"/>
        <w:jc w:val="both"/>
        <w:rPr>
          <w:color w:val="auto"/>
          <w:sz w:val="24"/>
          <w:szCs w:val="24"/>
          <w:highlight w:val="none"/>
        </w:rPr>
      </w:pPr>
      <w:bookmarkStart w:id="1008" w:name="bookmark1547"/>
      <w:bookmarkEnd w:id="1008"/>
      <w:r>
        <w:rPr>
          <w:color w:val="auto"/>
          <w:sz w:val="24"/>
          <w:szCs w:val="24"/>
          <w:highlight w:val="none"/>
        </w:rPr>
        <w:t>监理人应按第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款商定或确定追加的付款和(或)延长的工期，并在收到上述索赔通知书或有关索赔的进一步证明材料后的</w:t>
      </w:r>
      <w:r>
        <w:rPr>
          <w:rFonts w:ascii="Times New Roman" w:hAnsi="Times New Roman" w:eastAsia="Times New Roman" w:cs="Times New Roman"/>
          <w:color w:val="auto"/>
          <w:sz w:val="24"/>
          <w:szCs w:val="24"/>
          <w:highlight w:val="none"/>
        </w:rPr>
        <w:t>42</w:t>
      </w:r>
      <w:r>
        <w:rPr>
          <w:color w:val="auto"/>
          <w:sz w:val="24"/>
          <w:szCs w:val="24"/>
          <w:highlight w:val="none"/>
        </w:rPr>
        <w:t>天内，将索赔处理结果答复承包人。</w:t>
      </w:r>
    </w:p>
    <w:p>
      <w:pPr>
        <w:pStyle w:val="47"/>
        <w:numPr>
          <w:ilvl w:val="0"/>
          <w:numId w:val="34"/>
        </w:numPr>
        <w:tabs>
          <w:tab w:val="left" w:pos="920"/>
        </w:tabs>
        <w:spacing w:after="120" w:line="361" w:lineRule="exact"/>
        <w:ind w:firstLine="440"/>
        <w:jc w:val="both"/>
        <w:rPr>
          <w:color w:val="auto"/>
          <w:sz w:val="24"/>
          <w:szCs w:val="24"/>
          <w:highlight w:val="none"/>
        </w:rPr>
      </w:pPr>
      <w:bookmarkStart w:id="1009" w:name="bookmark1548"/>
      <w:bookmarkEnd w:id="1009"/>
      <w:r>
        <w:rPr>
          <w:color w:val="auto"/>
          <w:sz w:val="24"/>
          <w:szCs w:val="24"/>
          <w:highlight w:val="none"/>
        </w:rPr>
        <w:t>承包人接受索赔处理结果的，发包人应在作出索赔处理结果答复后</w:t>
      </w:r>
      <w:r>
        <w:rPr>
          <w:rFonts w:ascii="Times New Roman" w:hAnsi="Times New Roman" w:eastAsia="Times New Roman" w:cs="Times New Roman"/>
          <w:color w:val="auto"/>
          <w:sz w:val="24"/>
          <w:szCs w:val="24"/>
          <w:highlight w:val="none"/>
        </w:rPr>
        <w:t>28</w:t>
      </w:r>
      <w:r>
        <w:rPr>
          <w:color w:val="auto"/>
          <w:sz w:val="24"/>
          <w:szCs w:val="24"/>
          <w:highlight w:val="none"/>
        </w:rPr>
        <w:t>天内完成赔付。承包人不接受索赔处理结果的，按第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pPr>
        <w:pStyle w:val="5"/>
        <w:ind w:left="0" w:leftChars="0" w:firstLine="0" w:firstLineChars="0"/>
        <w:rPr>
          <w:color w:val="auto"/>
          <w:sz w:val="24"/>
          <w:szCs w:val="24"/>
          <w:highlight w:val="none"/>
          <w:lang w:eastAsia="zh-CN"/>
        </w:rPr>
      </w:pPr>
      <w:bookmarkStart w:id="1010" w:name="bookmark1549"/>
      <w:bookmarkStart w:id="1011" w:name="bookmark1550"/>
      <w:bookmarkStart w:id="1012" w:name="_Toc2285"/>
      <w:bookmarkStart w:id="1013" w:name="bookmark1551"/>
      <w:r>
        <w:rPr>
          <w:color w:val="auto"/>
          <w:sz w:val="24"/>
          <w:szCs w:val="24"/>
          <w:highlight w:val="none"/>
          <w:lang w:eastAsia="zh-CN"/>
        </w:rPr>
        <w:t>23.3承包人提出索赔的期限</w:t>
      </w:r>
      <w:bookmarkEnd w:id="1010"/>
      <w:bookmarkEnd w:id="1011"/>
      <w:bookmarkEnd w:id="1012"/>
      <w:bookmarkEnd w:id="1013"/>
    </w:p>
    <w:p>
      <w:pPr>
        <w:pStyle w:val="47"/>
        <w:numPr>
          <w:ilvl w:val="0"/>
          <w:numId w:val="35"/>
        </w:numPr>
        <w:tabs>
          <w:tab w:val="left" w:pos="855"/>
        </w:tabs>
        <w:spacing w:line="362" w:lineRule="exact"/>
        <w:ind w:firstLine="440"/>
        <w:jc w:val="both"/>
        <w:rPr>
          <w:color w:val="auto"/>
          <w:sz w:val="24"/>
          <w:szCs w:val="24"/>
          <w:highlight w:val="none"/>
        </w:rPr>
      </w:pPr>
      <w:bookmarkStart w:id="1014" w:name="bookmark1552"/>
      <w:bookmarkEnd w:id="1014"/>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1</w:t>
      </w:r>
      <w:r>
        <w:rPr>
          <w:color w:val="auto"/>
          <w:sz w:val="24"/>
          <w:szCs w:val="24"/>
          <w:highlight w:val="none"/>
        </w:rPr>
        <w:t>承包人按第</w:t>
      </w:r>
      <w:r>
        <w:rPr>
          <w:rFonts w:ascii="Times New Roman" w:hAnsi="Times New Roman" w:eastAsia="Times New Roman" w:cs="Times New Roman"/>
          <w:color w:val="auto"/>
          <w:sz w:val="24"/>
          <w:szCs w:val="24"/>
          <w:highlight w:val="none"/>
          <w:lang w:val="en-US" w:bidi="en-US"/>
        </w:rPr>
        <w:t xml:space="preserve">17. </w:t>
      </w:r>
      <w:r>
        <w:rPr>
          <w:rFonts w:ascii="Times New Roman" w:hAnsi="Times New Roman" w:eastAsia="Times New Roman" w:cs="Times New Roman"/>
          <w:color w:val="auto"/>
          <w:sz w:val="24"/>
          <w:szCs w:val="24"/>
          <w:highlight w:val="none"/>
        </w:rPr>
        <w:t>5</w:t>
      </w:r>
      <w:r>
        <w:rPr>
          <w:color w:val="auto"/>
          <w:sz w:val="24"/>
          <w:szCs w:val="24"/>
          <w:highlight w:val="none"/>
        </w:rPr>
        <w:t>款的约定接受了完工付款证书后，应被认为已无权再提出在合同工程完工证书颁发前所发生的任何索赔。</w:t>
      </w:r>
    </w:p>
    <w:p>
      <w:pPr>
        <w:pStyle w:val="47"/>
        <w:spacing w:after="120"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23.3.2</w:t>
      </w:r>
      <w:r>
        <w:rPr>
          <w:color w:val="auto"/>
          <w:sz w:val="24"/>
          <w:szCs w:val="24"/>
          <w:highlight w:val="none"/>
        </w:rPr>
        <w:t>承包人按第</w:t>
      </w:r>
      <w:r>
        <w:rPr>
          <w:rFonts w:ascii="Times New Roman" w:hAnsi="Times New Roman" w:eastAsia="Times New Roman" w:cs="Times New Roman"/>
          <w:color w:val="auto"/>
          <w:sz w:val="24"/>
          <w:szCs w:val="24"/>
          <w:highlight w:val="none"/>
          <w:lang w:val="en-US" w:bidi="en-US"/>
        </w:rPr>
        <w:t xml:space="preserve">17. </w:t>
      </w:r>
      <w:r>
        <w:rPr>
          <w:rFonts w:ascii="Times New Roman" w:hAnsi="Times New Roman" w:eastAsia="Times New Roman" w:cs="Times New Roman"/>
          <w:color w:val="auto"/>
          <w:sz w:val="24"/>
          <w:szCs w:val="24"/>
          <w:highlight w:val="none"/>
        </w:rPr>
        <w:t>6</w:t>
      </w:r>
      <w:r>
        <w:rPr>
          <w:color w:val="auto"/>
          <w:sz w:val="24"/>
          <w:szCs w:val="24"/>
          <w:highlight w:val="none"/>
        </w:rPr>
        <w:t>款的约定提交的最终结清申请单中，只限于提出合同工程完工证书颁发后发生的索赔。提出索赔的期限自接受最终结清证书时终止。</w:t>
      </w:r>
    </w:p>
    <w:p>
      <w:pPr>
        <w:pStyle w:val="5"/>
        <w:ind w:left="0" w:leftChars="0" w:firstLine="0" w:firstLineChars="0"/>
        <w:rPr>
          <w:color w:val="auto"/>
          <w:sz w:val="24"/>
          <w:szCs w:val="24"/>
          <w:highlight w:val="none"/>
          <w:lang w:eastAsia="zh-CN"/>
        </w:rPr>
      </w:pPr>
      <w:bookmarkStart w:id="1015" w:name="bookmark1553"/>
      <w:bookmarkStart w:id="1016" w:name="bookmark1554"/>
      <w:bookmarkStart w:id="1017" w:name="bookmark1555"/>
      <w:bookmarkStart w:id="1018" w:name="_Toc1321"/>
      <w:r>
        <w:rPr>
          <w:color w:val="auto"/>
          <w:sz w:val="24"/>
          <w:szCs w:val="24"/>
          <w:highlight w:val="none"/>
          <w:lang w:eastAsia="zh-CN"/>
        </w:rPr>
        <w:t>23.4发包人的索赔</w:t>
      </w:r>
      <w:bookmarkEnd w:id="1015"/>
      <w:bookmarkEnd w:id="1016"/>
      <w:bookmarkEnd w:id="1017"/>
      <w:bookmarkEnd w:id="1018"/>
    </w:p>
    <w:p>
      <w:pPr>
        <w:pStyle w:val="47"/>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23.4.1</w:t>
      </w:r>
      <w:r>
        <w:rPr>
          <w:color w:val="auto"/>
          <w:sz w:val="24"/>
          <w:szCs w:val="24"/>
          <w:highlight w:val="none"/>
        </w:rPr>
        <w:t>发生索赔事件后，监理人应及时书面通知承包人，详细说明发包人有权得到的索赔金额和(或)延长缺陷责任期的细节和依据。发包人提出索赔的期限和要求与第</w:t>
      </w:r>
      <w:bookmarkStart w:id="1019" w:name="bookmark1556"/>
      <w:bookmarkEnd w:id="1019"/>
      <w:r>
        <w:rPr>
          <w:rFonts w:hint="eastAsia"/>
          <w:color w:val="auto"/>
          <w:sz w:val="24"/>
          <w:szCs w:val="24"/>
          <w:highlight w:val="none"/>
          <w:lang w:val="en-US"/>
        </w:rPr>
        <w:t>23.</w:t>
      </w:r>
      <w:r>
        <w:rPr>
          <w:rFonts w:ascii="Times New Roman" w:hAnsi="Times New Roman" w:eastAsia="Times New Roman" w:cs="Times New Roman"/>
          <w:color w:val="auto"/>
          <w:sz w:val="24"/>
          <w:szCs w:val="24"/>
          <w:highlight w:val="none"/>
        </w:rPr>
        <w:t>3</w:t>
      </w:r>
      <w:r>
        <w:rPr>
          <w:color w:val="auto"/>
          <w:sz w:val="24"/>
          <w:szCs w:val="24"/>
          <w:highlight w:val="none"/>
        </w:rPr>
        <w:t>款的约定相同，延长缺陷责任期的通知应在缺陷责任期届满前发出。</w:t>
      </w:r>
    </w:p>
    <w:p>
      <w:pPr>
        <w:pStyle w:val="47"/>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23.4.2</w:t>
      </w:r>
      <w:r>
        <w:rPr>
          <w:color w:val="auto"/>
          <w:sz w:val="24"/>
          <w:szCs w:val="24"/>
          <w:highlight w:val="none"/>
        </w:rPr>
        <w:t>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款商定或确定发包人从承包人处得到赔付的金额和(或)缺陷责任期的延长期。承包人应付给发包人的金额可从拟支付给承包人的合同价款中扣除, 或由承包人以其他方式支付给发包人。</w:t>
      </w:r>
    </w:p>
    <w:p>
      <w:pPr>
        <w:pStyle w:val="47"/>
        <w:spacing w:after="260" w:line="35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23. 4. </w:t>
      </w:r>
      <w:r>
        <w:rPr>
          <w:rFonts w:ascii="Times New Roman" w:hAnsi="Times New Roman" w:eastAsia="Times New Roman" w:cs="Times New Roman"/>
          <w:color w:val="auto"/>
          <w:sz w:val="24"/>
          <w:szCs w:val="24"/>
          <w:highlight w:val="none"/>
        </w:rPr>
        <w:t>3</w:t>
      </w:r>
      <w:r>
        <w:rPr>
          <w:color w:val="auto"/>
          <w:sz w:val="24"/>
          <w:szCs w:val="24"/>
          <w:highlight w:val="none"/>
        </w:rPr>
        <w:t>承包人对监理人按第</w:t>
      </w:r>
      <w:r>
        <w:rPr>
          <w:rFonts w:ascii="Times New Roman" w:hAnsi="Times New Roman" w:eastAsia="Times New Roman" w:cs="Times New Roman"/>
          <w:color w:val="auto"/>
          <w:sz w:val="24"/>
          <w:szCs w:val="24"/>
          <w:highlight w:val="none"/>
          <w:lang w:val="en-US" w:bidi="en-US"/>
        </w:rPr>
        <w:t xml:space="preserve">23.4. </w:t>
      </w:r>
      <w:r>
        <w:rPr>
          <w:rFonts w:ascii="Times New Roman" w:hAnsi="Times New Roman" w:eastAsia="Times New Roman" w:cs="Times New Roman"/>
          <w:color w:val="auto"/>
          <w:sz w:val="24"/>
          <w:szCs w:val="24"/>
          <w:highlight w:val="none"/>
        </w:rPr>
        <w:t>1</w:t>
      </w:r>
      <w:r>
        <w:rPr>
          <w:color w:val="auto"/>
          <w:sz w:val="24"/>
          <w:szCs w:val="24"/>
          <w:highlight w:val="none"/>
        </w:rPr>
        <w:t>项发出的索赔书面通知内容持异议时，应在收到书面通知后的</w:t>
      </w:r>
      <w:r>
        <w:rPr>
          <w:rFonts w:ascii="Times New Roman" w:hAnsi="Times New Roman" w:eastAsia="Times New Roman" w:cs="Times New Roman"/>
          <w:color w:val="auto"/>
          <w:sz w:val="24"/>
          <w:szCs w:val="24"/>
          <w:highlight w:val="none"/>
        </w:rPr>
        <w:t>14</w:t>
      </w:r>
      <w:r>
        <w:rPr>
          <w:color w:val="auto"/>
          <w:sz w:val="24"/>
          <w:szCs w:val="24"/>
          <w:highlight w:val="none"/>
        </w:rPr>
        <w:t>天内，将持有异议的书面报告及其证明材料提交监理人。监理人应在收到 承包人书面报告后的</w:t>
      </w:r>
      <w:r>
        <w:rPr>
          <w:rFonts w:ascii="Times New Roman" w:hAnsi="Times New Roman" w:eastAsia="Times New Roman" w:cs="Times New Roman"/>
          <w:color w:val="auto"/>
          <w:sz w:val="24"/>
          <w:szCs w:val="24"/>
          <w:highlight w:val="none"/>
        </w:rPr>
        <w:t>14</w:t>
      </w:r>
      <w:r>
        <w:rPr>
          <w:color w:val="auto"/>
          <w:sz w:val="24"/>
          <w:szCs w:val="24"/>
          <w:highlight w:val="none"/>
        </w:rPr>
        <w:t>天内，将异议的处理意见通知承包人，并按第</w:t>
      </w:r>
      <w:r>
        <w:rPr>
          <w:rFonts w:ascii="Times New Roman" w:hAnsi="Times New Roman" w:eastAsia="Times New Roman" w:cs="Times New Roman"/>
          <w:color w:val="auto"/>
          <w:sz w:val="24"/>
          <w:szCs w:val="24"/>
          <w:highlight w:val="none"/>
          <w:lang w:val="en-US" w:bidi="en-US"/>
        </w:rPr>
        <w:t>23.4.2</w:t>
      </w:r>
      <w:r>
        <w:rPr>
          <w:color w:val="auto"/>
          <w:sz w:val="24"/>
          <w:szCs w:val="24"/>
          <w:highlight w:val="none"/>
        </w:rPr>
        <w:t>项的约定执 行赔付。若承包人不接受监理人的索赔处理意见，可按本合同第</w:t>
      </w:r>
      <w:r>
        <w:rPr>
          <w:rFonts w:ascii="Times New Roman" w:hAnsi="Times New Roman" w:eastAsia="Times New Roman" w:cs="Times New Roman"/>
          <w:color w:val="auto"/>
          <w:sz w:val="24"/>
          <w:szCs w:val="24"/>
          <w:highlight w:val="none"/>
        </w:rPr>
        <w:t>24</w:t>
      </w:r>
      <w:r>
        <w:rPr>
          <w:color w:val="auto"/>
          <w:sz w:val="24"/>
          <w:szCs w:val="24"/>
          <w:highlight w:val="none"/>
        </w:rPr>
        <w:t>条的规定办理。</w:t>
      </w:r>
    </w:p>
    <w:p>
      <w:pPr>
        <w:pStyle w:val="4"/>
        <w:spacing w:line="360" w:lineRule="exact"/>
        <w:rPr>
          <w:rFonts w:hint="eastAsia"/>
          <w:color w:val="auto"/>
          <w:sz w:val="24"/>
          <w:szCs w:val="24"/>
          <w:highlight w:val="none"/>
          <w:lang w:eastAsia="zh-CN"/>
        </w:rPr>
      </w:pPr>
      <w:bookmarkStart w:id="1020" w:name="bookmark1559"/>
      <w:bookmarkEnd w:id="1020"/>
      <w:bookmarkStart w:id="1021" w:name="_Toc10915"/>
      <w:bookmarkStart w:id="1022" w:name="bookmark1560"/>
      <w:bookmarkStart w:id="1023" w:name="_Toc1226611882"/>
      <w:bookmarkStart w:id="1024" w:name="bookmark1557"/>
      <w:bookmarkStart w:id="1025" w:name="_Toc32550"/>
      <w:bookmarkStart w:id="1026" w:name="bookmark1558"/>
      <w:r>
        <w:rPr>
          <w:rFonts w:hint="eastAsia"/>
          <w:color w:val="auto"/>
          <w:sz w:val="24"/>
          <w:szCs w:val="24"/>
          <w:highlight w:val="none"/>
          <w:lang w:eastAsia="zh-CN"/>
        </w:rPr>
        <w:t>2</w:t>
      </w:r>
      <w:r>
        <w:rPr>
          <w:color w:val="auto"/>
          <w:sz w:val="24"/>
          <w:szCs w:val="24"/>
          <w:highlight w:val="none"/>
          <w:lang w:eastAsia="zh-CN"/>
        </w:rPr>
        <w:t>4.</w:t>
      </w:r>
      <w:r>
        <w:rPr>
          <w:rFonts w:hint="eastAsia"/>
          <w:color w:val="auto"/>
          <w:sz w:val="24"/>
          <w:szCs w:val="24"/>
          <w:highlight w:val="none"/>
          <w:lang w:eastAsia="zh-CN"/>
        </w:rPr>
        <w:t>争议的解决</w:t>
      </w:r>
      <w:bookmarkEnd w:id="1021"/>
      <w:bookmarkEnd w:id="1022"/>
      <w:bookmarkEnd w:id="1023"/>
      <w:bookmarkEnd w:id="1024"/>
      <w:bookmarkEnd w:id="1025"/>
      <w:bookmarkEnd w:id="1026"/>
    </w:p>
    <w:p>
      <w:pPr>
        <w:pStyle w:val="5"/>
        <w:ind w:left="0" w:leftChars="0" w:firstLine="0" w:firstLineChars="0"/>
        <w:rPr>
          <w:color w:val="auto"/>
          <w:sz w:val="24"/>
          <w:szCs w:val="24"/>
          <w:highlight w:val="none"/>
          <w:lang w:eastAsia="zh-CN"/>
        </w:rPr>
      </w:pPr>
      <w:bookmarkStart w:id="1027" w:name="bookmark1562"/>
      <w:bookmarkStart w:id="1028" w:name="bookmark1563"/>
      <w:bookmarkStart w:id="1029" w:name="_Toc12687"/>
      <w:bookmarkStart w:id="1030" w:name="bookmark1561"/>
      <w:r>
        <w:rPr>
          <w:color w:val="auto"/>
          <w:sz w:val="24"/>
          <w:szCs w:val="24"/>
          <w:highlight w:val="none"/>
          <w:lang w:eastAsia="zh-CN"/>
        </w:rPr>
        <w:t>24.1争议的解决方式</w:t>
      </w:r>
      <w:bookmarkEnd w:id="1027"/>
      <w:bookmarkEnd w:id="1028"/>
      <w:bookmarkEnd w:id="1029"/>
      <w:bookmarkEnd w:id="1030"/>
    </w:p>
    <w:p>
      <w:pPr>
        <w:pStyle w:val="47"/>
        <w:keepNext w:val="0"/>
        <w:keepLines w:val="0"/>
        <w:pageBreakBefore w:val="0"/>
        <w:widowControl w:val="0"/>
        <w:kinsoku/>
        <w:wordWrap/>
        <w:overflowPunct/>
        <w:topLinePunct w:val="0"/>
        <w:autoSpaceDE/>
        <w:autoSpaceDN/>
        <w:bidi w:val="0"/>
        <w:adjustRightInd/>
        <w:snapToGrid/>
        <w:spacing w:after="80" w:line="276" w:lineRule="auto"/>
        <w:ind w:firstLine="420"/>
        <w:jc w:val="both"/>
        <w:textAlignment w:val="auto"/>
        <w:rPr>
          <w:color w:val="auto"/>
          <w:sz w:val="24"/>
          <w:szCs w:val="24"/>
          <w:highlight w:val="none"/>
        </w:rPr>
      </w:pPr>
      <w:r>
        <w:rPr>
          <w:color w:val="auto"/>
          <w:sz w:val="24"/>
          <w:szCs w:val="24"/>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pPr>
        <w:pStyle w:val="47"/>
        <w:keepNext w:val="0"/>
        <w:keepLines w:val="0"/>
        <w:pageBreakBefore w:val="0"/>
        <w:widowControl w:val="0"/>
        <w:numPr>
          <w:ilvl w:val="0"/>
          <w:numId w:val="36"/>
        </w:numPr>
        <w:tabs>
          <w:tab w:val="left" w:pos="901"/>
        </w:tabs>
        <w:kinsoku/>
        <w:wordWrap/>
        <w:overflowPunct/>
        <w:topLinePunct w:val="0"/>
        <w:autoSpaceDE/>
        <w:autoSpaceDN/>
        <w:bidi w:val="0"/>
        <w:adjustRightInd/>
        <w:snapToGrid/>
        <w:spacing w:line="276" w:lineRule="auto"/>
        <w:ind w:firstLine="420"/>
        <w:jc w:val="both"/>
        <w:textAlignment w:val="auto"/>
        <w:rPr>
          <w:color w:val="auto"/>
          <w:sz w:val="24"/>
          <w:szCs w:val="24"/>
          <w:highlight w:val="none"/>
        </w:rPr>
      </w:pPr>
      <w:bookmarkStart w:id="1031" w:name="bookmark1564"/>
      <w:bookmarkEnd w:id="1031"/>
      <w:r>
        <w:rPr>
          <w:color w:val="auto"/>
          <w:sz w:val="24"/>
          <w:szCs w:val="24"/>
          <w:highlight w:val="none"/>
        </w:rPr>
        <w:t>向约定的仲裁委员会申请仲裁；</w:t>
      </w:r>
    </w:p>
    <w:p>
      <w:pPr>
        <w:pStyle w:val="47"/>
        <w:keepNext w:val="0"/>
        <w:keepLines w:val="0"/>
        <w:pageBreakBefore w:val="0"/>
        <w:widowControl w:val="0"/>
        <w:numPr>
          <w:ilvl w:val="0"/>
          <w:numId w:val="36"/>
        </w:numPr>
        <w:tabs>
          <w:tab w:val="left" w:pos="901"/>
        </w:tabs>
        <w:kinsoku/>
        <w:wordWrap/>
        <w:overflowPunct/>
        <w:topLinePunct w:val="0"/>
        <w:autoSpaceDE/>
        <w:autoSpaceDN/>
        <w:bidi w:val="0"/>
        <w:adjustRightInd/>
        <w:snapToGrid/>
        <w:spacing w:line="276" w:lineRule="auto"/>
        <w:ind w:firstLine="420"/>
        <w:jc w:val="both"/>
        <w:textAlignment w:val="auto"/>
        <w:rPr>
          <w:color w:val="auto"/>
          <w:sz w:val="24"/>
          <w:szCs w:val="24"/>
          <w:highlight w:val="none"/>
        </w:rPr>
      </w:pPr>
      <w:bookmarkStart w:id="1032" w:name="bookmark1565"/>
      <w:bookmarkEnd w:id="1032"/>
      <w:r>
        <w:rPr>
          <w:color w:val="auto"/>
          <w:sz w:val="24"/>
          <w:szCs w:val="24"/>
          <w:highlight w:val="none"/>
        </w:rPr>
        <w:t>向有管辖权的人民法院提起诉讼。</w:t>
      </w:r>
    </w:p>
    <w:p>
      <w:pPr>
        <w:pStyle w:val="5"/>
        <w:ind w:left="0" w:leftChars="0" w:firstLine="0" w:firstLineChars="0"/>
        <w:rPr>
          <w:color w:val="auto"/>
          <w:sz w:val="24"/>
          <w:szCs w:val="24"/>
          <w:highlight w:val="none"/>
          <w:lang w:eastAsia="zh-CN"/>
        </w:rPr>
      </w:pPr>
      <w:bookmarkStart w:id="1033" w:name="bookmark1568"/>
      <w:bookmarkStart w:id="1034" w:name="bookmark1567"/>
      <w:bookmarkStart w:id="1035" w:name="_Toc13288"/>
      <w:bookmarkStart w:id="1036" w:name="bookmark1566"/>
      <w:r>
        <w:rPr>
          <w:color w:val="auto"/>
          <w:sz w:val="24"/>
          <w:szCs w:val="24"/>
          <w:highlight w:val="none"/>
          <w:lang w:eastAsia="zh-CN"/>
        </w:rPr>
        <w:t>24.2友好解决</w:t>
      </w:r>
      <w:bookmarkEnd w:id="1033"/>
      <w:bookmarkEnd w:id="1034"/>
      <w:bookmarkEnd w:id="1035"/>
      <w:bookmarkEnd w:id="1036"/>
    </w:p>
    <w:p>
      <w:pPr>
        <w:pStyle w:val="47"/>
        <w:spacing w:after="140" w:line="346" w:lineRule="exact"/>
        <w:ind w:firstLine="440"/>
        <w:jc w:val="both"/>
        <w:rPr>
          <w:color w:val="auto"/>
          <w:sz w:val="24"/>
          <w:szCs w:val="24"/>
          <w:highlight w:val="none"/>
        </w:rPr>
      </w:pPr>
      <w:r>
        <w:rPr>
          <w:color w:val="auto"/>
          <w:sz w:val="24"/>
          <w:szCs w:val="24"/>
          <w:highlight w:val="none"/>
        </w:rPr>
        <w:t>在提请争议评审、仲裁或者诉讼前，以及在争议评审、仲裁或诉讼过程中，发包人和承包人均可共同努力友好协商解决争议。</w:t>
      </w:r>
    </w:p>
    <w:p>
      <w:pPr>
        <w:pStyle w:val="5"/>
        <w:ind w:left="0" w:leftChars="0" w:firstLine="0" w:firstLineChars="0"/>
        <w:rPr>
          <w:color w:val="auto"/>
          <w:sz w:val="24"/>
          <w:szCs w:val="24"/>
          <w:highlight w:val="none"/>
          <w:lang w:eastAsia="zh-CN"/>
        </w:rPr>
      </w:pPr>
      <w:bookmarkStart w:id="1037" w:name="_Toc12305"/>
      <w:bookmarkStart w:id="1038" w:name="bookmark1570"/>
      <w:bookmarkStart w:id="1039" w:name="bookmark1569"/>
      <w:bookmarkStart w:id="1040" w:name="bookmark1571"/>
      <w:r>
        <w:rPr>
          <w:color w:val="auto"/>
          <w:sz w:val="24"/>
          <w:szCs w:val="24"/>
          <w:highlight w:val="none"/>
          <w:lang w:eastAsia="zh-CN"/>
        </w:rPr>
        <w:t>24.3争议评审</w:t>
      </w:r>
      <w:bookmarkEnd w:id="1037"/>
      <w:bookmarkEnd w:id="1038"/>
      <w:bookmarkEnd w:id="1039"/>
      <w:bookmarkEnd w:id="1040"/>
    </w:p>
    <w:p>
      <w:pPr>
        <w:pStyle w:val="47"/>
        <w:keepNext w:val="0"/>
        <w:keepLines w:val="0"/>
        <w:pageBreakBefore w:val="0"/>
        <w:widowControl w:val="0"/>
        <w:kinsoku/>
        <w:wordWrap/>
        <w:overflowPunct/>
        <w:topLinePunct w:val="0"/>
        <w:autoSpaceDE/>
        <w:autoSpaceDN/>
        <w:bidi w:val="0"/>
        <w:adjustRightInd/>
        <w:snapToGrid/>
        <w:spacing w:line="276" w:lineRule="auto"/>
        <w:ind w:firstLine="442"/>
        <w:jc w:val="both"/>
        <w:textAlignment w:val="auto"/>
        <w:rPr>
          <w:color w:val="auto"/>
          <w:sz w:val="24"/>
          <w:szCs w:val="24"/>
          <w:highlight w:val="none"/>
        </w:rPr>
      </w:pPr>
      <w:r>
        <w:rPr>
          <w:rFonts w:ascii="Times New Roman" w:hAnsi="Times New Roman" w:eastAsia="Times New Roman" w:cs="Times New Roman"/>
          <w:color w:val="auto"/>
          <w:sz w:val="24"/>
          <w:szCs w:val="24"/>
          <w:highlight w:val="none"/>
          <w:lang w:val="en-US" w:bidi="en-US"/>
        </w:rPr>
        <w:t>24.3.1</w:t>
      </w:r>
      <w:r>
        <w:rPr>
          <w:color w:val="auto"/>
          <w:sz w:val="24"/>
          <w:szCs w:val="24"/>
          <w:highlight w:val="none"/>
        </w:rPr>
        <w:t>采用争议评审的，发包人和承包人应在开工日后的</w:t>
      </w:r>
      <w:r>
        <w:rPr>
          <w:rFonts w:ascii="Times New Roman" w:hAnsi="Times New Roman" w:eastAsia="Times New Roman" w:cs="Times New Roman"/>
          <w:color w:val="auto"/>
          <w:sz w:val="24"/>
          <w:szCs w:val="24"/>
          <w:highlight w:val="none"/>
        </w:rPr>
        <w:t>28</w:t>
      </w:r>
      <w:r>
        <w:rPr>
          <w:color w:val="auto"/>
          <w:sz w:val="24"/>
          <w:szCs w:val="24"/>
          <w:highlight w:val="none"/>
        </w:rPr>
        <w:t>天内或在争议发生后, 协商成立争议评审组。争议评审组由有合同管理和工程实践经验的专家组成。</w:t>
      </w:r>
    </w:p>
    <w:p>
      <w:pPr>
        <w:pStyle w:val="47"/>
        <w:keepNext w:val="0"/>
        <w:keepLines w:val="0"/>
        <w:pageBreakBefore w:val="0"/>
        <w:widowControl w:val="0"/>
        <w:kinsoku/>
        <w:wordWrap/>
        <w:overflowPunct/>
        <w:topLinePunct w:val="0"/>
        <w:autoSpaceDE/>
        <w:autoSpaceDN/>
        <w:bidi w:val="0"/>
        <w:adjustRightInd/>
        <w:snapToGrid/>
        <w:spacing w:line="276" w:lineRule="auto"/>
        <w:ind w:firstLine="442"/>
        <w:jc w:val="both"/>
        <w:textAlignment w:val="auto"/>
        <w:rPr>
          <w:color w:val="auto"/>
          <w:sz w:val="24"/>
          <w:szCs w:val="24"/>
          <w:highlight w:val="none"/>
        </w:rPr>
      </w:pPr>
      <w:r>
        <w:rPr>
          <w:rFonts w:ascii="Times New Roman" w:hAnsi="Times New Roman" w:eastAsia="Times New Roman" w:cs="Times New Roman"/>
          <w:color w:val="auto"/>
          <w:sz w:val="24"/>
          <w:szCs w:val="24"/>
          <w:highlight w:val="none"/>
          <w:lang w:val="en-US" w:bidi="en-US"/>
        </w:rPr>
        <w:t>24.3.2</w:t>
      </w:r>
      <w:r>
        <w:rPr>
          <w:color w:val="auto"/>
          <w:sz w:val="24"/>
          <w:szCs w:val="24"/>
          <w:highlight w:val="none"/>
        </w:rPr>
        <w:t>合同双方的争议，应首先由申请人向争议评审组提交一份详细的评审申请报告，并附必要的文件、图纸和证明材料，申请人还应将上述报告的副本同时提交给被申请人和监理人。</w:t>
      </w:r>
    </w:p>
    <w:p>
      <w:pPr>
        <w:pStyle w:val="47"/>
        <w:keepNext w:val="0"/>
        <w:keepLines w:val="0"/>
        <w:pageBreakBefore w:val="0"/>
        <w:widowControl w:val="0"/>
        <w:kinsoku/>
        <w:wordWrap/>
        <w:overflowPunct/>
        <w:topLinePunct w:val="0"/>
        <w:autoSpaceDE/>
        <w:autoSpaceDN/>
        <w:bidi w:val="0"/>
        <w:adjustRightInd/>
        <w:snapToGrid/>
        <w:spacing w:line="276" w:lineRule="auto"/>
        <w:ind w:firstLine="442"/>
        <w:jc w:val="both"/>
        <w:textAlignment w:val="auto"/>
        <w:rPr>
          <w:color w:val="auto"/>
          <w:sz w:val="24"/>
          <w:szCs w:val="24"/>
          <w:highlight w:val="none"/>
        </w:rPr>
      </w:pPr>
      <w:r>
        <w:rPr>
          <w:rFonts w:ascii="Times New Roman" w:hAnsi="Times New Roman" w:eastAsia="Times New Roman" w:cs="Times New Roman"/>
          <w:color w:val="auto"/>
          <w:sz w:val="24"/>
          <w:szCs w:val="24"/>
          <w:highlight w:val="none"/>
          <w:lang w:val="en-US" w:bidi="en-US"/>
        </w:rPr>
        <w:t>24.3.3</w:t>
      </w:r>
      <w:r>
        <w:rPr>
          <w:color w:val="auto"/>
          <w:sz w:val="24"/>
          <w:szCs w:val="24"/>
          <w:highlight w:val="none"/>
        </w:rPr>
        <w:t>被申请人在收到申请人评审申请报告副本后的</w:t>
      </w:r>
      <w:r>
        <w:rPr>
          <w:rFonts w:ascii="Times New Roman" w:hAnsi="Times New Roman" w:eastAsia="Times New Roman" w:cs="Times New Roman"/>
          <w:color w:val="auto"/>
          <w:sz w:val="24"/>
          <w:szCs w:val="24"/>
          <w:highlight w:val="none"/>
        </w:rPr>
        <w:t>28</w:t>
      </w:r>
      <w:r>
        <w:rPr>
          <w:color w:val="auto"/>
          <w:sz w:val="24"/>
          <w:szCs w:val="24"/>
          <w:highlight w:val="none"/>
        </w:rPr>
        <w:t>天内，向争议评审组提交一份答辩报告，并附证明材料。被申请人应将答辩报告的副本同时提交给申请人和监理人。</w:t>
      </w:r>
    </w:p>
    <w:p>
      <w:pPr>
        <w:pStyle w:val="47"/>
        <w:keepNext w:val="0"/>
        <w:keepLines w:val="0"/>
        <w:pageBreakBefore w:val="0"/>
        <w:widowControl w:val="0"/>
        <w:kinsoku/>
        <w:wordWrap/>
        <w:overflowPunct/>
        <w:topLinePunct w:val="0"/>
        <w:autoSpaceDE/>
        <w:autoSpaceDN/>
        <w:bidi w:val="0"/>
        <w:adjustRightInd/>
        <w:snapToGrid/>
        <w:spacing w:line="276" w:lineRule="auto"/>
        <w:ind w:firstLine="442"/>
        <w:jc w:val="both"/>
        <w:textAlignment w:val="auto"/>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24.3.4</w:t>
      </w:r>
      <w:r>
        <w:rPr>
          <w:color w:val="auto"/>
          <w:sz w:val="24"/>
          <w:szCs w:val="24"/>
          <w:highlight w:val="none"/>
        </w:rPr>
        <w:t>除专用合同条款另有约定外，争议评审组在收到合同双方报告后的</w:t>
      </w:r>
      <w:r>
        <w:rPr>
          <w:rFonts w:ascii="Times New Roman" w:hAnsi="Times New Roman" w:eastAsia="Times New Roman" w:cs="Times New Roman"/>
          <w:color w:val="auto"/>
          <w:sz w:val="24"/>
          <w:szCs w:val="24"/>
          <w:highlight w:val="none"/>
        </w:rPr>
        <w:t>14</w:t>
      </w:r>
      <w:r>
        <w:rPr>
          <w:color w:val="auto"/>
          <w:sz w:val="24"/>
          <w:szCs w:val="24"/>
          <w:highlight w:val="none"/>
        </w:rPr>
        <w:t>天内， 邀请双方代表和有关人员举行调查会，向双方调查争议细节；必要时争议评审组可要求双方进一步提供补</w:t>
      </w:r>
      <w:r>
        <w:rPr>
          <w:rFonts w:ascii="Times New Roman" w:hAnsi="Times New Roman" w:cs="Times New Roman"/>
          <w:color w:val="auto"/>
          <w:sz w:val="24"/>
          <w:szCs w:val="24"/>
          <w:highlight w:val="none"/>
        </w:rPr>
        <w:t>充材料。</w:t>
      </w:r>
    </w:p>
    <w:p>
      <w:pPr>
        <w:pStyle w:val="47"/>
        <w:keepNext w:val="0"/>
        <w:keepLines w:val="0"/>
        <w:pageBreakBefore w:val="0"/>
        <w:widowControl w:val="0"/>
        <w:kinsoku/>
        <w:wordWrap/>
        <w:overflowPunct/>
        <w:topLinePunct w:val="0"/>
        <w:autoSpaceDE/>
        <w:autoSpaceDN/>
        <w:bidi w:val="0"/>
        <w:adjustRightInd/>
        <w:snapToGrid/>
        <w:spacing w:line="276" w:lineRule="auto"/>
        <w:ind w:firstLine="442"/>
        <w:jc w:val="both"/>
        <w:textAlignment w:val="auto"/>
        <w:rPr>
          <w:color w:val="auto"/>
          <w:sz w:val="24"/>
          <w:szCs w:val="24"/>
          <w:highlight w:val="none"/>
        </w:rPr>
      </w:pPr>
      <w:bookmarkStart w:id="1041" w:name="bookmark1572"/>
      <w:bookmarkEnd w:id="1041"/>
      <w:r>
        <w:rPr>
          <w:rFonts w:ascii="Times New Roman" w:hAnsi="Times New Roman" w:cs="Times New Roman"/>
          <w:color w:val="auto"/>
          <w:sz w:val="24"/>
          <w:szCs w:val="24"/>
          <w:highlight w:val="none"/>
        </w:rPr>
        <w:t>24.3.5</w:t>
      </w:r>
      <w:r>
        <w:rPr>
          <w:color w:val="auto"/>
          <w:sz w:val="24"/>
          <w:szCs w:val="24"/>
          <w:highlight w:val="none"/>
        </w:rPr>
        <w:t>除专用合同条款另有约定外，在调查会结束后的14天内，争议评审组应在不受任何干扰的情况下进行独立、公正的评审，作出书面评审意见，并说明理由。在争议评审期间，争议双方暂按总监理工程师的确定执行。</w:t>
      </w:r>
    </w:p>
    <w:p>
      <w:pPr>
        <w:pStyle w:val="47"/>
        <w:keepNext w:val="0"/>
        <w:keepLines w:val="0"/>
        <w:pageBreakBefore w:val="0"/>
        <w:widowControl w:val="0"/>
        <w:kinsoku/>
        <w:wordWrap/>
        <w:overflowPunct/>
        <w:topLinePunct w:val="0"/>
        <w:autoSpaceDE/>
        <w:autoSpaceDN/>
        <w:bidi w:val="0"/>
        <w:adjustRightInd/>
        <w:snapToGrid/>
        <w:spacing w:line="276" w:lineRule="auto"/>
        <w:ind w:firstLine="442"/>
        <w:jc w:val="both"/>
        <w:textAlignment w:val="auto"/>
        <w:rPr>
          <w:color w:val="auto"/>
          <w:sz w:val="24"/>
          <w:szCs w:val="24"/>
          <w:highlight w:val="none"/>
        </w:rPr>
      </w:pPr>
      <w:r>
        <w:rPr>
          <w:rFonts w:ascii="Times New Roman" w:hAnsi="Times New Roman" w:eastAsia="Times New Roman" w:cs="Times New Roman"/>
          <w:color w:val="auto"/>
          <w:sz w:val="24"/>
          <w:szCs w:val="24"/>
          <w:highlight w:val="none"/>
          <w:lang w:val="en-US" w:bidi="en-US"/>
        </w:rPr>
        <w:t>24.3.6</w:t>
      </w:r>
      <w:r>
        <w:rPr>
          <w:color w:val="auto"/>
          <w:sz w:val="24"/>
          <w:szCs w:val="24"/>
          <w:highlight w:val="none"/>
        </w:rPr>
        <w:t>发包人和承包人接受评审意见的，由监理人根据评审意见拟定执行协议，经争议双方签字后作为合同的补充文件，并遵照执行。</w:t>
      </w:r>
    </w:p>
    <w:p>
      <w:pPr>
        <w:pStyle w:val="47"/>
        <w:keepNext w:val="0"/>
        <w:keepLines w:val="0"/>
        <w:pageBreakBefore w:val="0"/>
        <w:widowControl w:val="0"/>
        <w:kinsoku/>
        <w:wordWrap/>
        <w:overflowPunct/>
        <w:topLinePunct w:val="0"/>
        <w:autoSpaceDE/>
        <w:autoSpaceDN/>
        <w:bidi w:val="0"/>
        <w:adjustRightInd/>
        <w:snapToGrid/>
        <w:spacing w:after="140" w:line="276" w:lineRule="auto"/>
        <w:ind w:firstLine="442"/>
        <w:jc w:val="both"/>
        <w:textAlignment w:val="auto"/>
        <w:rPr>
          <w:color w:val="auto"/>
          <w:sz w:val="24"/>
          <w:szCs w:val="24"/>
          <w:highlight w:val="none"/>
        </w:rPr>
      </w:pPr>
      <w:r>
        <w:rPr>
          <w:rFonts w:ascii="Times New Roman" w:hAnsi="Times New Roman" w:eastAsia="Times New Roman" w:cs="Times New Roman"/>
          <w:color w:val="auto"/>
          <w:sz w:val="24"/>
          <w:szCs w:val="24"/>
          <w:highlight w:val="none"/>
          <w:lang w:val="en-US" w:bidi="en-US"/>
        </w:rPr>
        <w:t>24.3.7</w:t>
      </w:r>
      <w:r>
        <w:rPr>
          <w:color w:val="auto"/>
          <w:sz w:val="24"/>
          <w:szCs w:val="24"/>
          <w:highlight w:val="none"/>
        </w:rPr>
        <w:t>发包人或承包人不接受评审意见，并要求提交仲裁或提起诉讼的，应在收到评审意见后的</w:t>
      </w:r>
      <w:r>
        <w:rPr>
          <w:rFonts w:ascii="Times New Roman" w:hAnsi="Times New Roman" w:eastAsia="Times New Roman" w:cs="Times New Roman"/>
          <w:color w:val="auto"/>
          <w:sz w:val="24"/>
          <w:szCs w:val="24"/>
          <w:highlight w:val="none"/>
        </w:rPr>
        <w:t>14</w:t>
      </w:r>
      <w:r>
        <w:rPr>
          <w:color w:val="auto"/>
          <w:sz w:val="24"/>
          <w:szCs w:val="24"/>
          <w:highlight w:val="none"/>
        </w:rPr>
        <w:t>天内将仲裁或起诉意向书面通知另一方，并抄送监理人，但在仲裁或诉讼结束前应暂按总监理工程师的确定执行。</w:t>
      </w:r>
    </w:p>
    <w:p>
      <w:pPr>
        <w:pStyle w:val="5"/>
        <w:ind w:left="0" w:leftChars="0" w:firstLine="0" w:firstLineChars="0"/>
        <w:rPr>
          <w:color w:val="auto"/>
          <w:sz w:val="24"/>
          <w:szCs w:val="24"/>
          <w:highlight w:val="none"/>
          <w:lang w:eastAsia="zh-CN"/>
        </w:rPr>
      </w:pPr>
      <w:bookmarkStart w:id="1042" w:name="bookmark1573"/>
      <w:bookmarkStart w:id="1043" w:name="_Toc548"/>
      <w:bookmarkStart w:id="1044" w:name="bookmark1575"/>
      <w:bookmarkStart w:id="1045" w:name="bookmark1574"/>
      <w:r>
        <w:rPr>
          <w:color w:val="auto"/>
          <w:sz w:val="24"/>
          <w:szCs w:val="24"/>
          <w:highlight w:val="none"/>
          <w:lang w:eastAsia="zh-CN"/>
        </w:rPr>
        <w:t>24.4仲裁</w:t>
      </w:r>
      <w:bookmarkEnd w:id="1042"/>
      <w:bookmarkEnd w:id="1043"/>
      <w:bookmarkEnd w:id="1044"/>
      <w:bookmarkEnd w:id="1045"/>
    </w:p>
    <w:p>
      <w:pPr>
        <w:pStyle w:val="47"/>
        <w:spacing w:line="384"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24.4.1</w:t>
      </w:r>
      <w:r>
        <w:rPr>
          <w:color w:val="auto"/>
          <w:sz w:val="24"/>
          <w:szCs w:val="24"/>
          <w:highlight w:val="none"/>
        </w:rPr>
        <w:t>若合同双方商定直接向仲裁机构申请仲裁，应签订仲裁协议并约定仲裁机构。</w:t>
      </w:r>
    </w:p>
    <w:p>
      <w:pPr>
        <w:pStyle w:val="47"/>
        <w:spacing w:line="384" w:lineRule="auto"/>
        <w:ind w:firstLine="420"/>
        <w:jc w:val="both"/>
        <w:rPr>
          <w:color w:val="auto"/>
          <w:sz w:val="24"/>
          <w:szCs w:val="24"/>
          <w:highlight w:val="none"/>
        </w:rPr>
        <w:sectPr>
          <w:footerReference r:id="rId16" w:type="first"/>
          <w:footerReference r:id="rId15" w:type="default"/>
          <w:pgSz w:w="11910" w:h="16840"/>
          <w:pgMar w:top="1440" w:right="1083" w:bottom="1440" w:left="1083" w:header="720" w:footer="720" w:gutter="0"/>
          <w:pgNumType w:fmt="decimal"/>
          <w:cols w:space="720" w:num="1"/>
        </w:sectPr>
      </w:pPr>
      <w:r>
        <w:rPr>
          <w:rFonts w:ascii="Times New Roman" w:hAnsi="Times New Roman" w:eastAsia="Times New Roman" w:cs="Times New Roman"/>
          <w:color w:val="auto"/>
          <w:sz w:val="24"/>
          <w:szCs w:val="24"/>
          <w:highlight w:val="none"/>
          <w:lang w:val="en-US" w:bidi="en-US"/>
        </w:rPr>
        <w:t>24.4.2</w:t>
      </w:r>
      <w:r>
        <w:rPr>
          <w:color w:val="auto"/>
          <w:sz w:val="24"/>
          <w:szCs w:val="24"/>
          <w:highlight w:val="none"/>
        </w:rPr>
        <w:t>若合同双方未能达成仲裁协议，则本合同的仲裁条款无效，任一方均有权向人民法院提起诉讼。</w:t>
      </w:r>
    </w:p>
    <w:p>
      <w:pPr>
        <w:pStyle w:val="3"/>
        <w:bidi w:val="0"/>
        <w:jc w:val="center"/>
        <w:outlineLvl w:val="1"/>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t>第三节 专用合同条款</w:t>
      </w:r>
      <w:bookmarkEnd w:id="132"/>
      <w:bookmarkEnd w:id="133"/>
    </w:p>
    <w:p>
      <w:pPr>
        <w:pStyle w:val="51"/>
        <w:spacing w:line="360" w:lineRule="auto"/>
        <w:rPr>
          <w:rFonts w:ascii="宋体" w:hAnsi="宋体" w:eastAsia="宋体" w:cs="宋体"/>
          <w:bCs/>
          <w:color w:val="auto"/>
          <w:sz w:val="28"/>
          <w:szCs w:val="32"/>
          <w:lang w:eastAsia="zh-CN"/>
        </w:rPr>
      </w:pPr>
      <w:bookmarkStart w:id="1046" w:name="_Toc222032696"/>
      <w:bookmarkStart w:id="1047" w:name="_Toc222033878"/>
      <w:bookmarkStart w:id="1048" w:name="_Toc221951111"/>
      <w:bookmarkStart w:id="1049" w:name="_Toc2948170"/>
      <w:bookmarkStart w:id="1050" w:name="_Toc229305387"/>
      <w:bookmarkStart w:id="1051" w:name="_Toc2936716"/>
      <w:bookmarkStart w:id="1052" w:name="_Toc2936472"/>
      <w:bookmarkStart w:id="1053" w:name="_Toc256000067"/>
      <w:bookmarkStart w:id="1054" w:name="_Toc222029527"/>
      <w:bookmarkStart w:id="1055" w:name="_Toc222031029"/>
      <w:bookmarkStart w:id="1056" w:name="_Toc15935"/>
      <w:bookmarkStart w:id="1057" w:name="bookmark1865"/>
      <w:bookmarkStart w:id="1058" w:name="_Toc30466"/>
      <w:bookmarkStart w:id="1059" w:name="bookmark1863"/>
      <w:bookmarkStart w:id="1060" w:name="_Toc26089"/>
      <w:bookmarkStart w:id="1061" w:name="bookmark1864"/>
      <w:bookmarkStart w:id="1062" w:name="bookmark1892"/>
      <w:bookmarkStart w:id="1063" w:name="bookmark1891"/>
      <w:bookmarkStart w:id="1064" w:name="_Toc14930"/>
      <w:bookmarkStart w:id="1065" w:name="_Toc10268"/>
      <w:bookmarkStart w:id="1066" w:name="bookmark1893"/>
      <w:r>
        <w:rPr>
          <w:rFonts w:hint="eastAsia" w:ascii="宋体" w:hAnsi="宋体" w:eastAsia="宋体" w:cs="宋体"/>
          <w:bCs/>
          <w:color w:val="auto"/>
          <w:sz w:val="28"/>
          <w:szCs w:val="32"/>
          <w:lang w:eastAsia="zh-CN"/>
        </w:rPr>
        <w:t>1. 一般约定</w:t>
      </w:r>
      <w:bookmarkEnd w:id="1046"/>
      <w:bookmarkEnd w:id="1047"/>
      <w:bookmarkEnd w:id="1048"/>
      <w:bookmarkEnd w:id="1049"/>
      <w:bookmarkEnd w:id="1050"/>
      <w:bookmarkEnd w:id="1051"/>
      <w:bookmarkEnd w:id="1052"/>
      <w:bookmarkEnd w:id="1053"/>
      <w:bookmarkEnd w:id="1054"/>
      <w:bookmarkEnd w:id="1055"/>
      <w:bookmarkEnd w:id="1056"/>
    </w:p>
    <w:p>
      <w:pPr>
        <w:pStyle w:val="16"/>
        <w:spacing w:line="360" w:lineRule="auto"/>
        <w:rPr>
          <w:rFonts w:ascii="宋体" w:hAnsi="宋体" w:eastAsia="宋体" w:cs="宋体"/>
          <w:b/>
          <w:color w:val="auto"/>
          <w:lang w:eastAsia="zh-CN"/>
        </w:rPr>
      </w:pPr>
      <w:bookmarkStart w:id="1067" w:name="_Toc221951112"/>
      <w:bookmarkStart w:id="1068" w:name="_Toc18743"/>
      <w:bookmarkStart w:id="1069" w:name="_Toc13681"/>
      <w:r>
        <w:rPr>
          <w:rFonts w:hint="eastAsia" w:ascii="宋体" w:hAnsi="宋体" w:eastAsia="宋体" w:cs="宋体"/>
          <w:b/>
          <w:color w:val="auto"/>
          <w:lang w:eastAsia="zh-CN"/>
        </w:rPr>
        <w:t>1.1 词语定义</w:t>
      </w:r>
      <w:bookmarkEnd w:id="1067"/>
      <w:bookmarkEnd w:id="1068"/>
      <w:bookmarkEnd w:id="1069"/>
    </w:p>
    <w:p>
      <w:pPr>
        <w:pStyle w:val="16"/>
        <w:spacing w:line="360" w:lineRule="auto"/>
        <w:ind w:firstLine="480" w:firstLineChars="200"/>
        <w:rPr>
          <w:rFonts w:ascii="宋体" w:hAnsi="宋体" w:eastAsia="宋体" w:cs="宋体"/>
          <w:color w:val="auto"/>
          <w:lang w:eastAsia="zh-CN"/>
        </w:rPr>
      </w:pPr>
      <w:bookmarkStart w:id="1070" w:name="_Toc221951113"/>
      <w:r>
        <w:rPr>
          <w:rFonts w:hint="eastAsia" w:ascii="宋体" w:hAnsi="宋体" w:eastAsia="宋体" w:cs="宋体"/>
          <w:color w:val="auto"/>
          <w:lang w:eastAsia="zh-CN"/>
        </w:rPr>
        <w:t>1.1.2  合同当事人和人员</w:t>
      </w:r>
      <w:bookmarkEnd w:id="1070"/>
    </w:p>
    <w:p>
      <w:pPr>
        <w:pStyle w:val="16"/>
        <w:spacing w:line="360" w:lineRule="auto"/>
        <w:ind w:firstLine="480" w:firstLineChars="200"/>
        <w:rPr>
          <w:rFonts w:ascii="宋体" w:hAnsi="宋体" w:eastAsia="宋体" w:cs="宋体"/>
          <w:color w:val="auto"/>
          <w:lang w:eastAsia="zh-CN"/>
        </w:rPr>
      </w:pPr>
      <w:bookmarkStart w:id="1071" w:name="_Toc221951114"/>
      <w:r>
        <w:rPr>
          <w:rFonts w:hint="eastAsia" w:ascii="宋体" w:hAnsi="宋体" w:eastAsia="宋体" w:cs="宋体"/>
          <w:color w:val="auto"/>
          <w:lang w:eastAsia="zh-CN"/>
        </w:rPr>
        <w:t>1.1.2.2  发包人：</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lang w:eastAsia="zh-CN"/>
        </w:rPr>
        <w:t>。</w:t>
      </w:r>
      <w:bookmarkEnd w:id="1071"/>
    </w:p>
    <w:p>
      <w:pPr>
        <w:pStyle w:val="16"/>
        <w:spacing w:line="360" w:lineRule="auto"/>
        <w:ind w:firstLine="480" w:firstLineChars="200"/>
        <w:rPr>
          <w:rFonts w:ascii="宋体" w:hAnsi="宋体" w:eastAsia="宋体" w:cs="宋体"/>
          <w:color w:val="auto"/>
          <w:lang w:eastAsia="zh-CN"/>
        </w:rPr>
      </w:pPr>
      <w:bookmarkStart w:id="1072" w:name="_Toc221951115"/>
      <w:r>
        <w:rPr>
          <w:rFonts w:hint="eastAsia" w:ascii="宋体" w:hAnsi="宋体" w:eastAsia="宋体" w:cs="宋体"/>
          <w:color w:val="auto"/>
          <w:lang w:eastAsia="zh-CN"/>
        </w:rPr>
        <w:t>1.1.2.3  承包人：</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w:t>
      </w:r>
      <w:bookmarkEnd w:id="1072"/>
    </w:p>
    <w:p>
      <w:pPr>
        <w:pStyle w:val="16"/>
        <w:spacing w:line="360" w:lineRule="auto"/>
        <w:ind w:firstLine="480" w:firstLineChars="200"/>
        <w:rPr>
          <w:rFonts w:ascii="宋体" w:hAnsi="宋体" w:eastAsia="宋体" w:cs="宋体"/>
          <w:color w:val="auto"/>
          <w:u w:val="single"/>
          <w:lang w:eastAsia="zh-CN"/>
        </w:rPr>
      </w:pPr>
      <w:bookmarkStart w:id="1073" w:name="_Toc221951116"/>
      <w:r>
        <w:rPr>
          <w:rFonts w:hint="eastAsia" w:ascii="宋体" w:hAnsi="宋体" w:eastAsia="宋体" w:cs="宋体"/>
          <w:color w:val="auto"/>
          <w:lang w:eastAsia="zh-CN"/>
        </w:rPr>
        <w:t>1.1.2.4  项目经理：</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eastAsia="zh-CN"/>
        </w:rPr>
        <w:t xml:space="preserve">。                </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1.1.2.5  分包人：</w:t>
      </w:r>
      <w:r>
        <w:rPr>
          <w:rFonts w:hint="eastAsia" w:ascii="宋体" w:hAnsi="宋体" w:eastAsia="宋体" w:cs="宋体"/>
          <w:color w:val="auto"/>
          <w:u w:val="single"/>
          <w:lang w:eastAsia="zh-CN"/>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lang w:eastAsia="zh-CN"/>
        </w:rPr>
        <w:t xml:space="preserve"> </w:t>
      </w:r>
      <w:r>
        <w:rPr>
          <w:rFonts w:hint="eastAsia" w:ascii="宋体" w:hAnsi="宋体" w:eastAsia="宋体" w:cs="宋体"/>
          <w:color w:val="auto"/>
          <w:lang w:eastAsia="zh-CN"/>
        </w:rPr>
        <w:t xml:space="preserve"> 。</w:t>
      </w:r>
      <w:bookmarkEnd w:id="1073"/>
    </w:p>
    <w:p>
      <w:pPr>
        <w:pStyle w:val="16"/>
        <w:spacing w:line="360" w:lineRule="auto"/>
        <w:ind w:firstLine="480" w:firstLineChars="200"/>
        <w:rPr>
          <w:rFonts w:hint="default" w:ascii="宋体" w:hAnsi="宋体" w:eastAsia="宋体" w:cs="宋体"/>
          <w:color w:val="auto"/>
          <w:u w:val="single"/>
          <w:lang w:val="en-US" w:eastAsia="zh-CN"/>
        </w:rPr>
      </w:pPr>
      <w:bookmarkStart w:id="1074" w:name="_Toc221951117"/>
      <w:r>
        <w:rPr>
          <w:rFonts w:hint="eastAsia" w:ascii="宋体" w:hAnsi="宋体" w:eastAsia="宋体" w:cs="宋体"/>
          <w:color w:val="auto"/>
          <w:lang w:eastAsia="zh-CN"/>
        </w:rPr>
        <w:t>1.1.2.6  监理人：</w:t>
      </w:r>
      <w:bookmarkEnd w:id="1074"/>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eastAsia="zh-CN"/>
        </w:rPr>
        <w:t xml:space="preserve"> 。</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1.1.4  工  期：</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lang w:eastAsia="zh-CN"/>
        </w:rPr>
        <w:t>日历天</w:t>
      </w:r>
      <w:r>
        <w:rPr>
          <w:rFonts w:hint="eastAsia" w:ascii="宋体" w:hAnsi="宋体" w:eastAsia="宋体" w:cs="宋体"/>
          <w:color w:val="auto"/>
          <w:lang w:eastAsia="zh-CN"/>
        </w:rPr>
        <w:t>。</w:t>
      </w:r>
    </w:p>
    <w:p>
      <w:pPr>
        <w:pStyle w:val="16"/>
        <w:spacing w:line="360" w:lineRule="auto"/>
        <w:ind w:firstLine="480" w:firstLineChars="200"/>
        <w:rPr>
          <w:rFonts w:ascii="宋体" w:hAnsi="宋体" w:eastAsia="宋体" w:cs="宋体"/>
          <w:color w:val="auto"/>
          <w:highlight w:val="yellow"/>
          <w:lang w:eastAsia="zh-CN"/>
        </w:rPr>
      </w:pPr>
      <w:r>
        <w:rPr>
          <w:rFonts w:hint="eastAsia" w:ascii="宋体" w:hAnsi="宋体" w:eastAsia="宋体" w:cs="宋体"/>
          <w:color w:val="auto"/>
          <w:lang w:eastAsia="zh-CN"/>
        </w:rPr>
        <w:t>1.1.4.5 缺陷责任期（工程质量保修期）：</w:t>
      </w:r>
      <w:r>
        <w:rPr>
          <w:rFonts w:hint="eastAsia" w:ascii="宋体" w:hAnsi="宋体" w:eastAsia="宋体" w:cs="宋体"/>
          <w:color w:val="auto"/>
          <w:u w:val="single"/>
          <w:lang w:eastAsia="zh-CN"/>
        </w:rPr>
        <w:t>双方约定本项目的工程质量保修期为保修期的起算日至通过竣工验收后一年</w:t>
      </w:r>
      <w:r>
        <w:rPr>
          <w:rFonts w:hint="eastAsia" w:ascii="宋体" w:hAnsi="宋体" w:eastAsia="宋体" w:cs="宋体"/>
          <w:color w:val="auto"/>
          <w:lang w:eastAsia="zh-CN"/>
        </w:rPr>
        <w:t>。</w:t>
      </w:r>
    </w:p>
    <w:p>
      <w:pPr>
        <w:pStyle w:val="16"/>
        <w:spacing w:line="360" w:lineRule="auto"/>
        <w:rPr>
          <w:rFonts w:ascii="宋体" w:hAnsi="宋体" w:eastAsia="宋体" w:cs="宋体"/>
          <w:b/>
          <w:color w:val="auto"/>
          <w:lang w:eastAsia="zh-CN"/>
        </w:rPr>
      </w:pPr>
      <w:r>
        <w:rPr>
          <w:rFonts w:hint="eastAsia" w:ascii="宋体" w:hAnsi="宋体" w:eastAsia="宋体" w:cs="宋体"/>
          <w:b/>
          <w:color w:val="auto"/>
          <w:lang w:eastAsia="zh-CN"/>
        </w:rPr>
        <w:t>1.4 合同文件的优先顺序</w:t>
      </w:r>
    </w:p>
    <w:p>
      <w:pPr>
        <w:pStyle w:val="16"/>
        <w:spacing w:line="360" w:lineRule="auto"/>
        <w:ind w:firstLine="480" w:firstLineChars="200"/>
        <w:rPr>
          <w:rFonts w:ascii="宋体" w:hAnsi="宋体" w:eastAsia="宋体" w:cs="宋体"/>
          <w:color w:val="auto"/>
          <w:lang w:eastAsia="zh-CN"/>
        </w:rPr>
      </w:pPr>
      <w:bookmarkStart w:id="1075" w:name="_Toc221951128"/>
      <w:r>
        <w:rPr>
          <w:rFonts w:hint="eastAsia" w:ascii="宋体" w:hAnsi="宋体" w:eastAsia="宋体" w:cs="宋体"/>
          <w:color w:val="auto"/>
          <w:lang w:eastAsia="zh-CN"/>
        </w:rPr>
        <w:t>进入合同的各项文件及其优先顺序</w:t>
      </w:r>
      <w:bookmarkEnd w:id="1075"/>
      <w:r>
        <w:rPr>
          <w:rFonts w:hint="eastAsia" w:ascii="宋体" w:hAnsi="宋体" w:eastAsia="宋体" w:cs="宋体"/>
          <w:color w:val="auto"/>
          <w:lang w:eastAsia="zh-CN"/>
        </w:rPr>
        <w:t>如下：</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（1）合同协议书（包括补充协议、合同谈判备忘录）；</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（2）中标通知书；</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（3）投标函及投标函附录；</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（4）专用合同条款（含附加条款）；</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（5）通用合同条款；</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（6）技术标准和要求（合同技术条款）；</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（7）图纸；</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（8）已标价工程量清单；</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（9）投标文件其他内容；</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（10）其他合同文件。</w:t>
      </w:r>
    </w:p>
    <w:p>
      <w:pPr>
        <w:pStyle w:val="16"/>
        <w:spacing w:line="360" w:lineRule="auto"/>
        <w:rPr>
          <w:rFonts w:ascii="宋体" w:hAnsi="宋体" w:eastAsia="宋体" w:cs="宋体"/>
          <w:b/>
          <w:color w:val="auto"/>
          <w:lang w:eastAsia="zh-CN"/>
        </w:rPr>
      </w:pPr>
      <w:r>
        <w:rPr>
          <w:rFonts w:hint="eastAsia" w:ascii="宋体" w:hAnsi="宋体" w:eastAsia="宋体" w:cs="宋体"/>
          <w:b/>
          <w:color w:val="auto"/>
          <w:lang w:eastAsia="zh-CN"/>
        </w:rPr>
        <w:t>1.7 联络</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1.7.2  来往函件均应按技术标准和要求（合同技术条款）约定的期限送达。</w:t>
      </w:r>
    </w:p>
    <w:p>
      <w:pPr>
        <w:pStyle w:val="52"/>
        <w:spacing w:before="0" w:after="0" w:line="360" w:lineRule="auto"/>
        <w:rPr>
          <w:rFonts w:ascii="宋体" w:hAnsi="宋体" w:eastAsia="宋体" w:cs="宋体"/>
          <w:b/>
          <w:bCs/>
          <w:color w:val="auto"/>
          <w:sz w:val="24"/>
          <w:lang w:eastAsia="zh-CN"/>
        </w:rPr>
      </w:pPr>
      <w:bookmarkStart w:id="1076" w:name="_Toc2936473"/>
      <w:bookmarkStart w:id="1077" w:name="_Toc222033879"/>
      <w:bookmarkStart w:id="1078" w:name="_Toc221951131"/>
      <w:bookmarkStart w:id="1079" w:name="_Toc222029528"/>
      <w:bookmarkStart w:id="1080" w:name="_Toc222031030"/>
      <w:bookmarkStart w:id="1081" w:name="_Toc222032697"/>
      <w:bookmarkStart w:id="1082" w:name="_Toc2936717"/>
      <w:bookmarkStart w:id="1083" w:name="_Toc229305388"/>
      <w:bookmarkStart w:id="1084" w:name="_Toc2948171"/>
      <w:r>
        <w:rPr>
          <w:rFonts w:hint="eastAsia" w:ascii="宋体" w:hAnsi="宋体" w:eastAsia="宋体" w:cs="宋体"/>
          <w:b/>
          <w:bCs/>
          <w:color w:val="auto"/>
          <w:sz w:val="24"/>
          <w:lang w:eastAsia="zh-CN"/>
        </w:rPr>
        <w:t>2. 发包人义务</w:t>
      </w:r>
      <w:bookmarkEnd w:id="1076"/>
      <w:bookmarkEnd w:id="1077"/>
      <w:bookmarkEnd w:id="1078"/>
      <w:bookmarkEnd w:id="1079"/>
      <w:bookmarkEnd w:id="1080"/>
      <w:bookmarkEnd w:id="1081"/>
      <w:bookmarkEnd w:id="1082"/>
      <w:bookmarkEnd w:id="1083"/>
      <w:bookmarkEnd w:id="1084"/>
    </w:p>
    <w:p>
      <w:pPr>
        <w:pStyle w:val="16"/>
        <w:spacing w:line="360" w:lineRule="auto"/>
        <w:rPr>
          <w:rFonts w:ascii="宋体" w:hAnsi="宋体" w:eastAsia="宋体" w:cs="宋体"/>
          <w:b/>
          <w:color w:val="auto"/>
          <w:sz w:val="21"/>
          <w:szCs w:val="21"/>
          <w:lang w:eastAsia="zh-CN"/>
        </w:rPr>
      </w:pPr>
      <w:r>
        <w:rPr>
          <w:rFonts w:hint="eastAsia" w:ascii="宋体" w:hAnsi="宋体" w:eastAsia="宋体" w:cs="宋体"/>
          <w:b/>
          <w:color w:val="auto"/>
          <w:sz w:val="21"/>
          <w:szCs w:val="21"/>
          <w:lang w:eastAsia="zh-CN"/>
        </w:rPr>
        <w:t>2.3 提供施工场地</w:t>
      </w:r>
    </w:p>
    <w:p>
      <w:pPr>
        <w:pStyle w:val="16"/>
        <w:spacing w:line="360" w:lineRule="auto"/>
        <w:ind w:firstLine="480" w:firstLineChars="200"/>
        <w:rPr>
          <w:rFonts w:ascii="宋体" w:hAnsi="宋体" w:eastAsia="宋体" w:cs="宋体"/>
          <w:b/>
          <w:bCs/>
          <w:color w:val="auto"/>
          <w:lang w:eastAsia="zh-CN"/>
        </w:rPr>
      </w:pPr>
      <w:r>
        <w:rPr>
          <w:rFonts w:hint="eastAsia" w:ascii="宋体" w:hAnsi="宋体" w:eastAsia="宋体" w:cs="宋体"/>
          <w:color w:val="auto"/>
          <w:lang w:eastAsia="zh-CN"/>
        </w:rPr>
        <w:t>2.3.2发包人提供的施工场地范围为：</w:t>
      </w:r>
      <w:r>
        <w:rPr>
          <w:rFonts w:hint="eastAsia" w:ascii="宋体" w:hAnsi="宋体" w:eastAsia="宋体" w:cs="宋体"/>
          <w:color w:val="auto"/>
          <w:u w:val="single"/>
          <w:lang w:eastAsia="zh-CN"/>
        </w:rPr>
        <w:t>发包人负责协调项目当地乡镇政府和村委会办理工地范围内的相关手续和协调工作，向承包人提供施工用地。提供的用地范围和期限在签订协议书时商定。</w:t>
      </w:r>
    </w:p>
    <w:p>
      <w:pPr>
        <w:pStyle w:val="16"/>
        <w:spacing w:line="360" w:lineRule="auto"/>
        <w:ind w:firstLine="480" w:firstLineChars="200"/>
        <w:rPr>
          <w:rFonts w:ascii="宋体" w:hAnsi="宋体" w:eastAsia="宋体" w:cs="宋体"/>
          <w:color w:val="auto"/>
          <w:sz w:val="21"/>
          <w:szCs w:val="21"/>
          <w:lang w:eastAsia="zh-CN"/>
        </w:rPr>
      </w:pPr>
      <w:r>
        <w:rPr>
          <w:rFonts w:hint="eastAsia" w:ascii="宋体" w:hAnsi="宋体" w:eastAsia="宋体" w:cs="宋体"/>
          <w:color w:val="auto"/>
          <w:lang w:eastAsia="zh-CN"/>
        </w:rPr>
        <w:t>承包人自行勘察的施工场地范围为：</w:t>
      </w:r>
      <w:r>
        <w:rPr>
          <w:rFonts w:hint="eastAsia" w:ascii="宋体" w:hAnsi="宋体" w:eastAsia="宋体" w:cs="宋体"/>
          <w:color w:val="auto"/>
          <w:u w:val="single"/>
          <w:lang w:eastAsia="zh-CN"/>
        </w:rPr>
        <w:t>承包人根据自身需要进行自行勘察，费用由承包人自行承担</w:t>
      </w:r>
      <w:r>
        <w:rPr>
          <w:rFonts w:hint="eastAsia" w:ascii="宋体" w:hAnsi="宋体" w:eastAsia="宋体" w:cs="宋体"/>
          <w:color w:val="auto"/>
          <w:lang w:eastAsia="zh-CN"/>
        </w:rPr>
        <w:t>。</w:t>
      </w:r>
    </w:p>
    <w:p>
      <w:pPr>
        <w:pStyle w:val="16"/>
        <w:spacing w:line="360" w:lineRule="auto"/>
        <w:rPr>
          <w:rFonts w:ascii="宋体" w:hAnsi="宋体" w:eastAsia="宋体" w:cs="宋体"/>
          <w:b/>
          <w:color w:val="auto"/>
          <w:lang w:eastAsia="zh-CN"/>
        </w:rPr>
      </w:pPr>
      <w:r>
        <w:rPr>
          <w:rFonts w:hint="eastAsia" w:ascii="宋体" w:hAnsi="宋体" w:eastAsia="宋体" w:cs="宋体"/>
          <w:b/>
          <w:color w:val="auto"/>
          <w:lang w:eastAsia="zh-CN"/>
        </w:rPr>
        <w:t>2.8 其它义务</w:t>
      </w:r>
      <w:bookmarkStart w:id="1085" w:name="_Toc221951139"/>
    </w:p>
    <w:p>
      <w:pPr>
        <w:pStyle w:val="16"/>
        <w:spacing w:line="360" w:lineRule="auto"/>
        <w:ind w:firstLine="480" w:firstLineChars="200"/>
        <w:rPr>
          <w:rFonts w:ascii="宋体" w:hAnsi="宋体" w:eastAsia="宋体" w:cs="宋体"/>
          <w:bCs/>
          <w:color w:val="auto"/>
          <w:lang w:eastAsia="zh-CN"/>
        </w:rPr>
      </w:pPr>
      <w:bookmarkStart w:id="1086" w:name="_Toc10533"/>
      <w:bookmarkStart w:id="1087" w:name="_Toc24363"/>
      <w:bookmarkStart w:id="1088" w:name="_Toc23323"/>
      <w:r>
        <w:rPr>
          <w:rFonts w:hint="eastAsia" w:ascii="宋体" w:hAnsi="宋体" w:eastAsia="宋体" w:cs="宋体"/>
          <w:bCs/>
          <w:color w:val="auto"/>
          <w:lang w:eastAsia="zh-CN"/>
        </w:rPr>
        <w:t>（一）</w:t>
      </w:r>
      <w:bookmarkEnd w:id="1086"/>
      <w:bookmarkEnd w:id="1087"/>
      <w:bookmarkEnd w:id="1088"/>
      <w:bookmarkStart w:id="1089" w:name="_Toc31211"/>
      <w:bookmarkStart w:id="1090" w:name="_Toc24687"/>
      <w:bookmarkStart w:id="1091" w:name="_Toc3642"/>
      <w:r>
        <w:rPr>
          <w:rFonts w:hint="eastAsia" w:ascii="宋体" w:hAnsi="宋体" w:eastAsia="宋体" w:cs="宋体"/>
          <w:bCs/>
          <w:color w:val="auto"/>
          <w:lang w:eastAsia="zh-CN"/>
        </w:rPr>
        <w:t>根据国务院令[724]号《农民工工资支付条例》的通知，发包人对建设项目“一金七制”工作承担协调、监督责任。督促施工单位按照《人力资源社会保障部住房和城乡建设部交通运输部水利部银保监会铁路局民航局关于印发〈工程建设领域农民工工资保证金规定〉的通知》（人社部发〔2021〕65号)，完成工人工资支付专用账户设立工作，并切实负责落实对建设项目的工人工资支付情况的监督管理，及时协调解决工人工资发放中存在的问题。</w:t>
      </w:r>
      <w:r>
        <w:rPr>
          <w:rFonts w:hint="eastAsia" w:ascii="宋体" w:hAnsi="宋体" w:eastAsia="宋体" w:cs="宋体"/>
          <w:bCs/>
          <w:color w:val="auto"/>
          <w:lang w:eastAsia="zh-CN"/>
        </w:rPr>
        <w:t>发包人在办理工程项目开工手续前必须向主管该工程项目招投标的水利部门的同级劳动保障部门履行以下义务：</w:t>
      </w:r>
      <w:bookmarkEnd w:id="1089"/>
      <w:bookmarkEnd w:id="1090"/>
      <w:bookmarkEnd w:id="1091"/>
      <w:bookmarkStart w:id="1092" w:name="_Toc24635"/>
      <w:bookmarkStart w:id="1093" w:name="_Toc8535"/>
      <w:bookmarkStart w:id="1094" w:name="_Toc24422"/>
    </w:p>
    <w:p>
      <w:pPr>
        <w:pStyle w:val="16"/>
        <w:spacing w:line="360" w:lineRule="auto"/>
        <w:ind w:firstLine="480" w:firstLineChars="200"/>
        <w:rPr>
          <w:rFonts w:ascii="宋体" w:hAnsi="宋体" w:eastAsia="宋体" w:cs="宋体"/>
          <w:bCs/>
          <w:color w:val="auto"/>
          <w:lang w:eastAsia="zh-CN"/>
        </w:rPr>
      </w:pPr>
      <w:r>
        <w:rPr>
          <w:rFonts w:hint="eastAsia" w:ascii="宋体" w:hAnsi="宋体" w:eastAsia="宋体" w:cs="宋体"/>
          <w:bCs/>
          <w:color w:val="auto"/>
          <w:lang w:eastAsia="zh-CN"/>
        </w:rPr>
        <w:t>（1）按以下标准在劳动保障部门指定的账户足额存入农民工工资保证金：</w:t>
      </w:r>
      <w:bookmarkEnd w:id="1092"/>
      <w:bookmarkEnd w:id="1093"/>
      <w:bookmarkEnd w:id="1094"/>
    </w:p>
    <w:p>
      <w:pPr>
        <w:pStyle w:val="16"/>
        <w:spacing w:line="360" w:lineRule="auto"/>
        <w:ind w:right="248" w:firstLine="480" w:firstLineChars="200"/>
        <w:rPr>
          <w:rFonts w:ascii="宋体" w:hAnsi="宋体" w:eastAsia="宋体" w:cs="宋体"/>
          <w:bCs/>
          <w:color w:val="auto"/>
          <w:lang w:eastAsia="zh-CN"/>
        </w:rPr>
      </w:pPr>
      <w:r>
        <w:rPr>
          <w:rFonts w:hint="eastAsia" w:ascii="宋体" w:hAnsi="宋体" w:eastAsia="宋体" w:cs="宋体"/>
          <w:bCs/>
          <w:color w:val="auto"/>
          <w:lang w:eastAsia="zh-CN"/>
        </w:rPr>
        <w:t>工资保证金按工程建设项目施工合同额（或年度合同额)的比例存储，工资保证金存储比例为1％，水利（单个项目）工程的存储金额不超过200万元。</w:t>
      </w:r>
    </w:p>
    <w:p>
      <w:pPr>
        <w:pStyle w:val="16"/>
        <w:numPr>
          <w:ilvl w:val="0"/>
          <w:numId w:val="37"/>
        </w:numPr>
        <w:spacing w:line="360" w:lineRule="auto"/>
        <w:ind w:right="248" w:firstLine="480" w:firstLineChars="200"/>
        <w:rPr>
          <w:rFonts w:ascii="宋体" w:hAnsi="宋体" w:eastAsia="宋体" w:cs="宋体"/>
          <w:bCs/>
          <w:color w:val="auto"/>
          <w:lang w:eastAsia="zh-CN"/>
        </w:rPr>
      </w:pPr>
      <w:r>
        <w:rPr>
          <w:rFonts w:hint="eastAsia" w:ascii="宋体" w:hAnsi="宋体" w:eastAsia="宋体" w:cs="宋体"/>
          <w:bCs/>
          <w:color w:val="auto"/>
          <w:lang w:eastAsia="zh-CN"/>
        </w:rPr>
        <w:t xml:space="preserve">承诺一旦其出现拖欠工程款导致施工单位无法按时足额支付农民工工资时，可由劳动保障部门从工资保证金中先予垫支。  </w:t>
      </w:r>
    </w:p>
    <w:p>
      <w:pPr>
        <w:pStyle w:val="16"/>
        <w:numPr>
          <w:ilvl w:val="0"/>
          <w:numId w:val="37"/>
        </w:numPr>
        <w:spacing w:line="360" w:lineRule="auto"/>
        <w:ind w:right="248" w:firstLine="480" w:firstLineChars="200"/>
        <w:rPr>
          <w:rFonts w:ascii="宋体" w:hAnsi="宋体" w:eastAsia="宋体" w:cs="宋体"/>
          <w:bCs/>
          <w:color w:val="auto"/>
          <w:lang w:eastAsia="zh-CN"/>
        </w:rPr>
      </w:pPr>
      <w:r>
        <w:rPr>
          <w:rFonts w:hint="eastAsia" w:ascii="宋体" w:hAnsi="宋体" w:eastAsia="宋体" w:cs="宋体"/>
          <w:bCs/>
          <w:color w:val="auto"/>
          <w:lang w:eastAsia="zh-CN"/>
        </w:rPr>
        <w:t>发包人应当根据上述作出的义务、持存入农民工工资保证金的银行凭证到劳动保障部门报备。由劳动保障部门出具备案证明后到水利部门办理开工手续。</w:t>
      </w:r>
    </w:p>
    <w:p>
      <w:pPr>
        <w:pStyle w:val="17"/>
        <w:spacing w:line="360" w:lineRule="auto"/>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 4 ）</w:t>
      </w:r>
      <w:r>
        <w:rPr>
          <w:rFonts w:hint="eastAsia" w:ascii="宋体" w:hAnsi="宋体" w:eastAsia="宋体" w:cs="宋体"/>
          <w:color w:val="auto"/>
          <w:sz w:val="24"/>
          <w:szCs w:val="24"/>
          <w:lang w:eastAsia="zh-CN"/>
        </w:rPr>
        <w:t>发包人对“一金七制度”落实工作负主体责任，切实加强工程建设过程中的督促检查，若承包人对拒不落实“一金七制度”或落实不到位，发包人有权可采取核算扣留进度款相应人工费用等强制性保障措施。</w:t>
      </w:r>
    </w:p>
    <w:p>
      <w:pPr>
        <w:pStyle w:val="16"/>
        <w:spacing w:line="360" w:lineRule="auto"/>
        <w:ind w:firstLine="240" w:firstLineChars="100"/>
        <w:rPr>
          <w:rFonts w:ascii="宋体" w:hAnsi="宋体" w:eastAsia="宋体" w:cs="宋体"/>
          <w:color w:val="auto"/>
          <w:lang w:eastAsia="zh-CN"/>
        </w:rPr>
      </w:pPr>
      <w:r>
        <w:rPr>
          <w:rFonts w:hint="eastAsia" w:ascii="宋体" w:hAnsi="宋体" w:eastAsia="宋体" w:cs="宋体"/>
          <w:color w:val="auto"/>
          <w:lang w:eastAsia="zh-CN"/>
        </w:rPr>
        <w:t>（二）其他未尽事宜待签订施工合同时双方再协商。</w:t>
      </w:r>
      <w:bookmarkEnd w:id="1085"/>
    </w:p>
    <w:p>
      <w:pPr>
        <w:pStyle w:val="52"/>
        <w:spacing w:before="0" w:after="0" w:line="440" w:lineRule="exact"/>
        <w:rPr>
          <w:rFonts w:ascii="宋体" w:hAnsi="宋体" w:eastAsia="宋体" w:cs="宋体"/>
          <w:b/>
          <w:bCs/>
          <w:color w:val="auto"/>
          <w:szCs w:val="32"/>
          <w:lang w:eastAsia="zh-CN"/>
        </w:rPr>
      </w:pPr>
      <w:bookmarkStart w:id="1095" w:name="_Toc222029529"/>
      <w:bookmarkStart w:id="1096" w:name="_Toc2936474"/>
      <w:bookmarkStart w:id="1097" w:name="_Toc221951140"/>
      <w:bookmarkStart w:id="1098" w:name="_Toc2948172"/>
      <w:bookmarkStart w:id="1099" w:name="_Toc2936718"/>
      <w:bookmarkStart w:id="1100" w:name="_Toc222031031"/>
      <w:bookmarkStart w:id="1101" w:name="_Toc222032698"/>
      <w:bookmarkStart w:id="1102" w:name="_Toc229305389"/>
      <w:bookmarkStart w:id="1103" w:name="_Toc222033880"/>
      <w:r>
        <w:rPr>
          <w:rFonts w:hint="eastAsia" w:ascii="宋体" w:hAnsi="宋体" w:eastAsia="宋体" w:cs="宋体"/>
          <w:b/>
          <w:bCs/>
          <w:color w:val="auto"/>
          <w:szCs w:val="32"/>
          <w:lang w:eastAsia="zh-CN"/>
        </w:rPr>
        <w:t>3. 监理人</w:t>
      </w:r>
      <w:bookmarkEnd w:id="1095"/>
      <w:bookmarkEnd w:id="1096"/>
      <w:bookmarkEnd w:id="1097"/>
      <w:bookmarkEnd w:id="1098"/>
      <w:bookmarkEnd w:id="1099"/>
      <w:bookmarkEnd w:id="1100"/>
      <w:bookmarkEnd w:id="1101"/>
      <w:bookmarkEnd w:id="1102"/>
      <w:bookmarkEnd w:id="1103"/>
    </w:p>
    <w:p>
      <w:pPr>
        <w:pStyle w:val="16"/>
        <w:spacing w:line="440" w:lineRule="exact"/>
        <w:rPr>
          <w:rFonts w:ascii="宋体" w:hAnsi="宋体" w:eastAsia="宋体" w:cs="宋体"/>
          <w:b/>
          <w:color w:val="auto"/>
          <w:sz w:val="21"/>
          <w:szCs w:val="21"/>
          <w:lang w:eastAsia="zh-CN"/>
        </w:rPr>
      </w:pPr>
      <w:bookmarkStart w:id="1104" w:name="_Toc1927"/>
      <w:bookmarkStart w:id="1105" w:name="_Toc12213"/>
      <w:bookmarkStart w:id="1106" w:name="_Toc221951141"/>
      <w:r>
        <w:rPr>
          <w:rFonts w:hint="eastAsia" w:ascii="宋体" w:hAnsi="宋体" w:eastAsia="宋体" w:cs="宋体"/>
          <w:b/>
          <w:color w:val="auto"/>
          <w:sz w:val="21"/>
          <w:szCs w:val="21"/>
          <w:lang w:eastAsia="zh-CN"/>
        </w:rPr>
        <w:t>3.1 监理人的职责和权力</w:t>
      </w:r>
      <w:bookmarkEnd w:id="1104"/>
      <w:bookmarkEnd w:id="1105"/>
      <w:bookmarkEnd w:id="1106"/>
    </w:p>
    <w:p>
      <w:pPr>
        <w:pStyle w:val="16"/>
        <w:spacing w:line="440" w:lineRule="exact"/>
        <w:ind w:firstLine="480" w:firstLineChars="200"/>
        <w:rPr>
          <w:rFonts w:ascii="宋体" w:hAnsi="宋体" w:eastAsia="宋体" w:cs="宋体"/>
          <w:color w:val="auto"/>
          <w:lang w:eastAsia="zh-CN"/>
        </w:rPr>
      </w:pPr>
      <w:bookmarkStart w:id="1107" w:name="_Toc221951142"/>
      <w:r>
        <w:rPr>
          <w:rFonts w:hint="eastAsia" w:ascii="宋体" w:hAnsi="宋体" w:eastAsia="宋体" w:cs="宋体"/>
          <w:color w:val="auto"/>
          <w:lang w:eastAsia="zh-CN"/>
        </w:rPr>
        <w:t>3.1.1</w:t>
      </w:r>
      <w:bookmarkEnd w:id="1107"/>
      <w:r>
        <w:rPr>
          <w:rFonts w:hint="eastAsia" w:ascii="宋体" w:hAnsi="宋体" w:eastAsia="宋体" w:cs="宋体"/>
          <w:color w:val="auto"/>
          <w:lang w:eastAsia="zh-CN"/>
        </w:rPr>
        <w:t>　</w:t>
      </w:r>
      <w:bookmarkStart w:id="1108" w:name="_Toc221951143"/>
      <w:r>
        <w:rPr>
          <w:rFonts w:hint="eastAsia" w:ascii="宋体" w:hAnsi="宋体" w:eastAsia="宋体" w:cs="宋体"/>
          <w:color w:val="auto"/>
          <w:lang w:eastAsia="zh-CN"/>
        </w:rPr>
        <w:t>监理人须根据发包人事先批准的权力范围行使权力，发包人批准的权力范围：</w:t>
      </w:r>
      <w:bookmarkEnd w:id="1108"/>
      <w:r>
        <w:rPr>
          <w:rFonts w:hint="eastAsia" w:ascii="宋体" w:hAnsi="宋体" w:eastAsia="宋体" w:cs="宋体"/>
          <w:color w:val="auto"/>
          <w:u w:val="single"/>
          <w:lang w:eastAsia="zh-CN"/>
        </w:rPr>
        <w:t xml:space="preserve">按本工程委托监理合同 </w:t>
      </w:r>
      <w:r>
        <w:rPr>
          <w:rFonts w:hint="eastAsia" w:ascii="宋体" w:hAnsi="宋体" w:eastAsia="宋体" w:cs="宋体"/>
          <w:color w:val="auto"/>
          <w:lang w:eastAsia="zh-CN"/>
        </w:rPr>
        <w:t>。</w:t>
      </w:r>
    </w:p>
    <w:p>
      <w:pPr>
        <w:spacing w:line="440" w:lineRule="exact"/>
        <w:rPr>
          <w:rFonts w:ascii="宋体" w:hAnsi="宋体" w:cs="宋体"/>
          <w:b/>
          <w:bCs/>
          <w:color w:val="auto"/>
          <w:sz w:val="24"/>
          <w:szCs w:val="24"/>
        </w:rPr>
      </w:pPr>
      <w:r>
        <w:rPr>
          <w:rFonts w:hint="eastAsia" w:ascii="宋体" w:hAnsi="宋体" w:cs="宋体"/>
          <w:b/>
          <w:bCs/>
          <w:color w:val="auto"/>
          <w:sz w:val="24"/>
          <w:szCs w:val="24"/>
        </w:rPr>
        <w:t>监督落实农民工保证金制度</w:t>
      </w:r>
    </w:p>
    <w:p>
      <w:pPr>
        <w:pStyle w:val="17"/>
        <w:spacing w:line="440" w:lineRule="exact"/>
        <w:ind w:firstLine="480" w:firstLineChars="200"/>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监理人对“一金七制度”监督落实工作负直接责任，负责落实工程建设过程人员到位和上工情况的核查记录，在复核施工单位申报的进度款时，应核算分清人工费用部分占比。</w:t>
      </w:r>
    </w:p>
    <w:p>
      <w:pPr>
        <w:pStyle w:val="52"/>
        <w:spacing w:before="0" w:after="0" w:line="440" w:lineRule="exact"/>
        <w:rPr>
          <w:rFonts w:ascii="宋体" w:hAnsi="宋体" w:eastAsia="宋体" w:cs="宋体"/>
          <w:b/>
          <w:bCs/>
          <w:color w:val="auto"/>
          <w:szCs w:val="32"/>
          <w:lang w:eastAsia="zh-CN"/>
        </w:rPr>
      </w:pPr>
      <w:bookmarkStart w:id="1109" w:name="_Toc222033881"/>
      <w:bookmarkStart w:id="1110" w:name="_Toc2948173"/>
      <w:bookmarkStart w:id="1111" w:name="_Toc222029530"/>
      <w:bookmarkStart w:id="1112" w:name="_Toc222032699"/>
      <w:bookmarkStart w:id="1113" w:name="_Toc222031032"/>
      <w:bookmarkStart w:id="1114" w:name="_Toc221951150"/>
      <w:bookmarkStart w:id="1115" w:name="_Toc2936719"/>
      <w:bookmarkStart w:id="1116" w:name="_Toc2936475"/>
      <w:bookmarkStart w:id="1117" w:name="_Toc229305390"/>
      <w:r>
        <w:rPr>
          <w:rFonts w:hint="eastAsia" w:ascii="宋体" w:hAnsi="宋体" w:eastAsia="宋体" w:cs="宋体"/>
          <w:b/>
          <w:bCs/>
          <w:color w:val="auto"/>
          <w:szCs w:val="32"/>
          <w:lang w:eastAsia="zh-CN"/>
        </w:rPr>
        <w:t>4. 承包人</w:t>
      </w:r>
      <w:bookmarkEnd w:id="1109"/>
      <w:bookmarkEnd w:id="1110"/>
      <w:bookmarkEnd w:id="1111"/>
      <w:bookmarkEnd w:id="1112"/>
      <w:bookmarkEnd w:id="1113"/>
      <w:bookmarkEnd w:id="1114"/>
      <w:bookmarkEnd w:id="1115"/>
      <w:bookmarkEnd w:id="1116"/>
      <w:bookmarkEnd w:id="1117"/>
    </w:p>
    <w:p>
      <w:pPr>
        <w:pStyle w:val="16"/>
        <w:spacing w:line="440" w:lineRule="exact"/>
        <w:rPr>
          <w:rFonts w:ascii="宋体" w:hAnsi="宋体" w:eastAsia="宋体" w:cs="宋体"/>
          <w:b/>
          <w:color w:val="auto"/>
          <w:lang w:eastAsia="zh-CN"/>
        </w:rPr>
      </w:pPr>
      <w:bookmarkStart w:id="1118" w:name="_Toc221951151"/>
      <w:bookmarkStart w:id="1119" w:name="_Toc653"/>
      <w:bookmarkStart w:id="1120" w:name="_Toc10499"/>
      <w:r>
        <w:rPr>
          <w:rFonts w:hint="eastAsia" w:ascii="宋体" w:hAnsi="宋体" w:eastAsia="宋体" w:cs="宋体"/>
          <w:b/>
          <w:color w:val="auto"/>
          <w:sz w:val="21"/>
          <w:szCs w:val="21"/>
          <w:lang w:eastAsia="zh-CN"/>
        </w:rPr>
        <w:t>4.</w:t>
      </w:r>
      <w:r>
        <w:rPr>
          <w:rFonts w:hint="eastAsia" w:ascii="宋体" w:hAnsi="宋体" w:eastAsia="宋体" w:cs="宋体"/>
          <w:b/>
          <w:color w:val="auto"/>
          <w:lang w:eastAsia="zh-CN"/>
        </w:rPr>
        <w:t>1 承包人的一般义务</w:t>
      </w:r>
      <w:bookmarkEnd w:id="1118"/>
      <w:bookmarkEnd w:id="1119"/>
      <w:bookmarkEnd w:id="1120"/>
    </w:p>
    <w:p>
      <w:pPr>
        <w:ind w:firstLine="480" w:firstLineChars="200"/>
        <w:rPr>
          <w:rFonts w:ascii="Times New Roman" w:hAnsi="Times New Roman"/>
          <w:color w:val="auto"/>
          <w:sz w:val="24"/>
          <w:szCs w:val="24"/>
        </w:rPr>
      </w:pPr>
      <w:r>
        <w:rPr>
          <w:rFonts w:ascii="Times New Roman" w:hAnsi="Times New Roman"/>
          <w:color w:val="auto"/>
          <w:sz w:val="24"/>
          <w:szCs w:val="24"/>
        </w:rPr>
        <w:t>4.1.10其他义务</w:t>
      </w:r>
    </w:p>
    <w:p>
      <w:pPr>
        <w:pStyle w:val="16"/>
        <w:spacing w:line="440" w:lineRule="exact"/>
        <w:ind w:firstLine="480" w:firstLineChars="200"/>
        <w:rPr>
          <w:rFonts w:ascii="宋体" w:hAnsi="宋体" w:eastAsia="宋体" w:cs="宋体"/>
          <w:color w:val="auto"/>
          <w:lang w:eastAsia="zh-CN"/>
        </w:rPr>
      </w:pPr>
      <w:bookmarkStart w:id="1121" w:name="_Toc7512"/>
      <w:bookmarkStart w:id="1122" w:name="_Toc29213"/>
      <w:bookmarkStart w:id="1123" w:name="_Toc32751"/>
      <w:r>
        <w:rPr>
          <w:rFonts w:hint="eastAsia" w:ascii="宋体" w:hAnsi="宋体" w:eastAsia="宋体" w:cs="宋体"/>
          <w:color w:val="auto"/>
          <w:lang w:eastAsia="zh-CN"/>
        </w:rPr>
        <w:t>（一）办理有关保险。</w:t>
      </w:r>
      <w:bookmarkEnd w:id="1121"/>
      <w:bookmarkEnd w:id="1122"/>
      <w:bookmarkEnd w:id="1123"/>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按照《建筑法》规定，必须在工程开工前，为参加本合同工程现场施工所有作业人员及管理人员，包括参加工程建设的管理人员、监理人员、施工人员（含民工）办理工伤保险，并缴纳工伤保险费。保险期限自投保之日（工程开工之日）起至工程竣工验收时止，时间上涵盖施工全过程的任一时段。按照《建筑法》规定，鼓励为从事危险作业的职工办理意外伤害保险。</w:t>
      </w:r>
    </w:p>
    <w:p>
      <w:pPr>
        <w:pStyle w:val="16"/>
        <w:spacing w:line="360" w:lineRule="auto"/>
        <w:ind w:firstLine="480" w:firstLineChars="200"/>
        <w:rPr>
          <w:rFonts w:ascii="宋体" w:hAnsi="宋体" w:eastAsia="宋体" w:cs="宋体"/>
          <w:color w:val="auto"/>
          <w:lang w:eastAsia="zh-CN"/>
        </w:rPr>
      </w:pPr>
      <w:bookmarkStart w:id="1124" w:name="_Toc25228"/>
      <w:bookmarkStart w:id="1125" w:name="_Toc716"/>
      <w:bookmarkStart w:id="1126" w:name="_Toc5853"/>
      <w:r>
        <w:rPr>
          <w:rFonts w:hint="eastAsia" w:ascii="宋体" w:hAnsi="宋体" w:eastAsia="宋体" w:cs="宋体"/>
          <w:color w:val="auto"/>
          <w:lang w:eastAsia="zh-CN"/>
        </w:rPr>
        <w:t>（二）</w:t>
      </w:r>
      <w:bookmarkEnd w:id="1124"/>
      <w:bookmarkEnd w:id="1125"/>
      <w:bookmarkEnd w:id="1126"/>
      <w:r>
        <w:rPr>
          <w:rFonts w:hint="eastAsia" w:ascii="宋体" w:hAnsi="宋体" w:eastAsia="宋体" w:cs="宋体"/>
          <w:color w:val="auto"/>
          <w:lang w:eastAsia="zh-CN"/>
        </w:rPr>
        <w:t>执行农民工工资保证金制度，缴纳农民工工资保证金，缴纳工伤保险（项目所在地人社部门缴纳），设立农民工工资保证金专户和农民工工资支付专户,实行分帐制管理（适用于在本自治区行政区域内施工的所有水利水电工程项目）。</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1.施工单位对“一金七制度”落实工作负直接责任。按照</w:t>
      </w:r>
      <w:r>
        <w:rPr>
          <w:rFonts w:hint="eastAsia" w:ascii="宋体" w:hAnsi="宋体" w:eastAsia="宋体" w:cs="宋体"/>
          <w:bCs/>
          <w:color w:val="auto"/>
          <w:lang w:eastAsia="zh-CN"/>
        </w:rPr>
        <w:t>《人力资源社会保障部住房和城乡建设部交通运输部水利部银保监会铁路局民航局关于印发〈工程建设领域农民工工资保证金规定〉的通知》（人社部发〔2021〕65号)</w:t>
      </w:r>
      <w:r>
        <w:rPr>
          <w:rFonts w:hint="eastAsia" w:ascii="宋体" w:hAnsi="宋体" w:eastAsia="宋体" w:cs="宋体"/>
          <w:color w:val="auto"/>
          <w:lang w:eastAsia="zh-CN"/>
        </w:rPr>
        <w:t>，承包人须在项目所在地银行设立农民工工资支付专户和在项目所在地银行设立农民工工资保证金专户，并按规定存入足额的农民工工资保证金。通过农民工工资支付专户，依法按时（不得迟于次月月底）足额将工人工资直接支付到农民工的工资个人账户，并按月及时将农民工工资支付明细表报发包人及劳动保障部门备案。</w:t>
      </w:r>
    </w:p>
    <w:p>
      <w:pPr>
        <w:pStyle w:val="16"/>
        <w:wordWrap w:val="0"/>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bidi="zh-CN"/>
        </w:rPr>
        <w:t>2.承诺一旦其出现拖欠农民工工资时，可由农民工工资保证金专户从工资保证金中先予垫支。</w:t>
      </w:r>
      <w:r>
        <w:rPr>
          <w:rFonts w:hint="eastAsia" w:ascii="宋体" w:hAnsi="宋体" w:eastAsia="宋体" w:cs="宋体"/>
          <w:color w:val="auto"/>
          <w:lang w:eastAsia="zh-CN"/>
        </w:rPr>
        <w:t>农民工工资保证金缴交标准：</w:t>
      </w:r>
      <w:r>
        <w:rPr>
          <w:rFonts w:hint="eastAsia" w:ascii="宋体" w:hAnsi="宋体" w:eastAsia="宋体" w:cs="宋体"/>
          <w:bCs/>
          <w:color w:val="auto"/>
          <w:lang w:eastAsia="zh-CN"/>
        </w:rPr>
        <w:t>工资保证金按工程建设项目施工合同额（或年度合同额)的比例存储，工资保证金存储比例为1％，水利（单个项目）工程的存储金额不超过200万元</w:t>
      </w:r>
      <w:r>
        <w:rPr>
          <w:rFonts w:hint="eastAsia" w:ascii="宋体" w:hAnsi="宋体" w:eastAsia="宋体" w:cs="宋体"/>
          <w:color w:val="auto"/>
          <w:lang w:eastAsia="zh-CN"/>
        </w:rPr>
        <w:t>。</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3.严格落实农民工实名制管理制度。将劳务用工实名制管理纳入工程建设日常监管工作，承包人应在施工现场配备劳资专管人员，负责编制进场施工农民工用工台账，记录农民工身份、劳动考勤和工资支付等信息，实时掌握施工现场用工人数及工资支付情况，经农民工本人签字确认的工资支付凭证要保存两年以上备查，不得以包代管。</w:t>
      </w:r>
    </w:p>
    <w:p>
      <w:pPr>
        <w:pStyle w:val="16"/>
        <w:spacing w:line="360" w:lineRule="auto"/>
        <w:ind w:firstLine="480" w:firstLineChars="200"/>
        <w:rPr>
          <w:rFonts w:ascii="宋体" w:hAnsi="宋体" w:eastAsia="宋体" w:cs="宋体"/>
          <w:color w:val="auto"/>
          <w:lang w:eastAsia="zh-CN"/>
        </w:rPr>
      </w:pPr>
      <w:bookmarkStart w:id="1127" w:name="_Toc27736"/>
      <w:bookmarkStart w:id="1128" w:name="_Toc21696"/>
      <w:bookmarkStart w:id="1129" w:name="_Toc15654"/>
      <w:r>
        <w:rPr>
          <w:rFonts w:hint="eastAsia" w:ascii="宋体" w:hAnsi="宋体" w:eastAsia="宋体" w:cs="宋体"/>
          <w:color w:val="auto"/>
          <w:lang w:eastAsia="zh-CN"/>
        </w:rPr>
        <w:t>（三）工程施工的义务和责任</w:t>
      </w:r>
      <w:bookmarkEnd w:id="1127"/>
      <w:bookmarkEnd w:id="1128"/>
      <w:bookmarkEnd w:id="1129"/>
    </w:p>
    <w:p>
      <w:pPr>
        <w:pStyle w:val="16"/>
        <w:spacing w:line="360" w:lineRule="auto"/>
        <w:ind w:firstLine="480" w:firstLineChars="200"/>
        <w:rPr>
          <w:rFonts w:ascii="宋体" w:hAnsi="宋体" w:eastAsia="宋体" w:cs="宋体"/>
          <w:color w:val="auto"/>
          <w:lang w:eastAsia="zh-CN"/>
        </w:rPr>
      </w:pPr>
      <w:bookmarkStart w:id="1130" w:name="_Toc221951153"/>
      <w:r>
        <w:rPr>
          <w:rFonts w:hint="eastAsia" w:ascii="宋体" w:hAnsi="宋体" w:eastAsia="宋体" w:cs="宋体"/>
          <w:color w:val="auto"/>
          <w:lang w:eastAsia="zh-CN"/>
        </w:rPr>
        <w:t>（1）承包人应负责施工场地内部的水、电等施工管、线路的铺、架设及其费用，并按供电部门规定向供电部门（或发包人）交纳水、电费。发包人提供的接电点在签订合同时明确。另外，施工通讯及设施由承包人负责并承担费用。</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（2）除民房外，承包人应按监理人的指示负责拆除、清理已征用土地上的杂物、灌木、树木、树根、杂草等。</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（3）承包人应充分理解有一些设施（如施工道路、桥梁）可能会有其它人和单位使用通行，在使用过程中发生干扰时，应立即通知监理人并服从监理人的决定。</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（4）承包人应为监理人、发包人现场代表对施工现场的检查监督提供必要的配合，并对这种配合对施工的影响应有充分的考虑。</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（5）工程竣工后，承包人应按监理人的指示清理施工现场直至监理人、发包人满意为止。</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（6）对上述（1）～（5）项工作，费用已包括在有关单价和总价中，发包人不再另行支付由此所发生的一切费用。</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（8）承包人必须文明、安全施工，在施工期间发生的一切人员伤亡和财产损失等责任事故和所发生的一切费用概由承包人承担。</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（9）按照发包人的要求做好安全文明宣传、监督检查宣传等工作，相关费用由承包人承担。</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（10）承包人应按约定时间和要求，完成以下工作：</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 xml:space="preserve">①按时提交施工组织设计、单位工程的施工方案。                     </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②每月25日向监理人提交当月工程进度报表及下月进度计划。</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 xml:space="preserve">③承包人自行负责施工安全保卫工作及夜间施工照明。                                                                           </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 xml:space="preserve">④需承包人办理的有关施工场地交通、环卫和施工噪音降尘管理等手续：遵守有关部门对施工现场交通、环卫和施工噪音降尘管理规定，如有发生，费用由承包人承担。             </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 xml:space="preserve">⑤已完工程成品保护的特殊要求及费用承担：已完工工程未交付发包人之前，承包人按协议条款约定负责已完成工程的成品保护工作，保护期间发生损坏，承包人自费予以修复。                        </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 xml:space="preserve">⑥承包人有义务对施工场地周围管线（含地上及地下）和邻近建筑物、构筑物(含文物保护建筑)、古树名木等进行探明并负责保护。                                              </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 xml:space="preserve">⑦施工场地清洁卫生的要求：按城建卫生有关规定执行，由承包人负责，费用由承包人承担。 </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⑧承包人承担施工场地、水电及运输通道的修建和维护、清场等费用。</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（11）双方约定承包人应做的其他工作：</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①凡属于需要承包人交付给其他承包人的工作面以及与其他承包人交叉作业的工作面，承包人必须服从监理人的决定，按规定的完工日期完成并将清理好的工作面移交给发包人，并取得监理人的同意。</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②工程完工后，承包人应按监理人的指示清理施工现场。并在工程完工后6个月内完成并提交工程竣工资料和工程结算资料。承包人逾期提交，发包人将对承包人的拖延行为视为违约，并按1000元/天计算违约金，违约金从承包人应得的工程款中扣除，但其最终的累计总金额与各项逾期完工违约金合计不超过合同价格的5％。</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（12）其他未尽事宜待签订施工合同时双方再协商。</w:t>
      </w:r>
    </w:p>
    <w:p>
      <w:pPr>
        <w:pStyle w:val="16"/>
        <w:spacing w:line="360" w:lineRule="auto"/>
        <w:ind w:firstLine="480" w:firstLineChars="200"/>
        <w:rPr>
          <w:rFonts w:ascii="宋体" w:hAnsi="宋体" w:eastAsia="宋体" w:cs="宋体"/>
          <w:color w:val="auto"/>
          <w:lang w:eastAsia="zh-CN"/>
        </w:rPr>
      </w:pPr>
      <w:bookmarkStart w:id="1131" w:name="_Toc19942"/>
      <w:bookmarkStart w:id="1132" w:name="_Toc22216"/>
      <w:bookmarkStart w:id="1133" w:name="_Toc20907"/>
      <w:r>
        <w:rPr>
          <w:rFonts w:hint="eastAsia" w:ascii="宋体" w:hAnsi="宋体" w:eastAsia="宋体" w:cs="宋体"/>
          <w:color w:val="auto"/>
          <w:lang w:eastAsia="zh-CN"/>
        </w:rPr>
        <w:t>（四）鼓励承包人根据工程建设实际，吸纳建档立卡贫困劳动力参加工程建设。</w:t>
      </w:r>
      <w:bookmarkEnd w:id="1131"/>
      <w:bookmarkEnd w:id="1132"/>
      <w:bookmarkEnd w:id="1133"/>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（五）执行自治区关于松材线虫病防控工作的有关规定，工程建设采用的模板、支撑及脚手架以钢模板、钢支撑为主，木质模板及仿材尽量就地采购，避免长途转运。</w:t>
      </w:r>
    </w:p>
    <w:p>
      <w:pPr>
        <w:spacing w:line="360" w:lineRule="auto"/>
        <w:rPr>
          <w:rFonts w:ascii="宋体" w:hAnsi="宋体" w:cs="宋体"/>
          <w:b/>
          <w:color w:val="auto"/>
          <w:sz w:val="24"/>
          <w:szCs w:val="24"/>
        </w:rPr>
      </w:pPr>
      <w:r>
        <w:rPr>
          <w:rFonts w:hint="eastAsia" w:ascii="宋体" w:hAnsi="宋体" w:cs="宋体"/>
          <w:b/>
          <w:color w:val="auto"/>
          <w:sz w:val="24"/>
          <w:szCs w:val="24"/>
        </w:rPr>
        <w:t>4.1.2履约保证金</w:t>
      </w:r>
    </w:p>
    <w:p>
      <w:pPr>
        <w:pStyle w:val="17"/>
        <w:spacing w:line="360" w:lineRule="auto"/>
        <w:ind w:firstLine="480" w:firstLineChars="200"/>
        <w:rPr>
          <w:rFonts w:ascii="宋体" w:hAnsi="宋体" w:eastAsia="宋体" w:cs="宋体"/>
          <w:color w:val="auto"/>
          <w:sz w:val="24"/>
          <w:szCs w:val="24"/>
          <w:highlight w:val="yellow"/>
          <w:lang w:eastAsia="zh-CN"/>
        </w:rPr>
      </w:pPr>
      <w:r>
        <w:rPr>
          <w:rFonts w:hint="eastAsia" w:ascii="宋体" w:hAnsi="宋体" w:eastAsia="宋体" w:cs="宋体"/>
          <w:color w:val="auto"/>
          <w:sz w:val="24"/>
          <w:szCs w:val="24"/>
          <w:lang w:eastAsia="zh-CN"/>
        </w:rPr>
        <w:t>承包人提供履约担保的形式为：</w:t>
      </w:r>
      <w:r>
        <w:rPr>
          <w:rFonts w:hint="eastAsia" w:ascii="宋体" w:hAnsi="宋体" w:eastAsia="宋体" w:cs="宋体"/>
          <w:color w:val="auto"/>
          <w:sz w:val="24"/>
          <w:szCs w:val="24"/>
          <w:u w:val="single"/>
          <w:lang w:eastAsia="zh-CN"/>
        </w:rPr>
        <w:t>履约保证金或银行保函（合同价的5%）</w:t>
      </w:r>
      <w:r>
        <w:rPr>
          <w:rFonts w:hint="eastAsia" w:ascii="宋体" w:hAnsi="宋体" w:eastAsia="宋体" w:cs="宋体"/>
          <w:color w:val="auto"/>
          <w:sz w:val="24"/>
          <w:szCs w:val="24"/>
          <w:lang w:eastAsia="zh-CN"/>
        </w:rPr>
        <w:t>。履约担保的有效期应当自本合同生效之日起至发包人签认并由行业主管部门向承包人出具</w:t>
      </w:r>
      <w:r>
        <w:rPr>
          <w:rFonts w:hint="eastAsia" w:ascii="宋体" w:hAnsi="宋体" w:eastAsia="宋体" w:cs="宋体"/>
          <w:color w:val="auto"/>
          <w:sz w:val="24"/>
          <w:szCs w:val="24"/>
          <w:u w:val="single"/>
          <w:lang w:eastAsia="zh-CN"/>
        </w:rPr>
        <w:t>（完工证明材料名称）</w:t>
      </w:r>
      <w:r>
        <w:rPr>
          <w:rFonts w:hint="eastAsia" w:ascii="宋体" w:hAnsi="宋体" w:eastAsia="宋体" w:cs="宋体"/>
          <w:color w:val="auto"/>
          <w:sz w:val="24"/>
          <w:szCs w:val="24"/>
          <w:lang w:eastAsia="zh-CN"/>
        </w:rPr>
        <w:t>之日止。工程完工验收合格并对验收发现的问题完成整改后，承包人可申请退还履约保证金。发包人应在收到承包人退还</w:t>
      </w:r>
      <w:r>
        <w:rPr>
          <w:rFonts w:hint="eastAsia" w:ascii="宋体" w:hAnsi="宋体" w:eastAsia="宋体" w:cs="宋体"/>
          <w:color w:val="auto"/>
          <w:sz w:val="24"/>
          <w:szCs w:val="24"/>
          <w:u w:val="single"/>
          <w:lang w:eastAsia="zh-CN"/>
        </w:rPr>
        <w:t>履约保证金申请后28天内将履约保证金退还给承包人。</w:t>
      </w:r>
    </w:p>
    <w:p>
      <w:pPr>
        <w:pStyle w:val="16"/>
        <w:spacing w:line="360" w:lineRule="auto"/>
        <w:rPr>
          <w:rFonts w:ascii="宋体" w:hAnsi="宋体" w:eastAsia="宋体" w:cs="宋体"/>
          <w:b/>
          <w:color w:val="auto"/>
          <w:lang w:eastAsia="zh-CN"/>
        </w:rPr>
      </w:pPr>
      <w:r>
        <w:rPr>
          <w:rFonts w:hint="eastAsia" w:ascii="宋体" w:hAnsi="宋体" w:eastAsia="宋体" w:cs="宋体"/>
          <w:b/>
          <w:color w:val="auto"/>
          <w:lang w:eastAsia="zh-CN"/>
        </w:rPr>
        <w:t>4.3 分包</w:t>
      </w:r>
      <w:bookmarkEnd w:id="1130"/>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color w:val="auto"/>
          <w:lang w:eastAsia="zh-CN"/>
        </w:rPr>
        <w:t>本项目不分包</w:t>
      </w:r>
    </w:p>
    <w:p>
      <w:pPr>
        <w:pStyle w:val="16"/>
        <w:spacing w:line="360" w:lineRule="auto"/>
        <w:rPr>
          <w:rFonts w:ascii="宋体" w:hAnsi="宋体" w:eastAsia="宋体" w:cs="宋体"/>
          <w:b/>
          <w:color w:val="auto"/>
          <w:lang w:eastAsia="zh-CN"/>
        </w:rPr>
      </w:pPr>
      <w:r>
        <w:rPr>
          <w:rFonts w:hint="eastAsia" w:ascii="宋体" w:hAnsi="宋体" w:eastAsia="宋体" w:cs="宋体"/>
          <w:b/>
          <w:color w:val="auto"/>
          <w:lang w:eastAsia="zh-CN"/>
        </w:rPr>
        <w:t>4.7 撤换承包人项目经理和其他人员</w:t>
      </w:r>
    </w:p>
    <w:p>
      <w:pPr>
        <w:pStyle w:val="16"/>
        <w:spacing w:line="360" w:lineRule="auto"/>
        <w:ind w:firstLine="480" w:firstLineChars="200"/>
        <w:rPr>
          <w:rFonts w:ascii="宋体" w:hAnsi="宋体" w:eastAsia="宋体" w:cs="宋体"/>
          <w:color w:val="auto"/>
          <w:lang w:eastAsia="zh-CN"/>
        </w:rPr>
      </w:pPr>
      <w:r>
        <w:rPr>
          <w:rFonts w:hint="eastAsia" w:ascii="宋体" w:hAnsi="宋体" w:eastAsia="宋体" w:cs="宋体"/>
          <w:bCs/>
          <w:color w:val="auto"/>
          <w:lang w:eastAsia="zh-CN"/>
        </w:rPr>
        <w:t>4.7.1</w:t>
      </w:r>
      <w:r>
        <w:rPr>
          <w:rFonts w:hint="eastAsia" w:ascii="宋体" w:hAnsi="宋体" w:eastAsia="宋体" w:cs="宋体"/>
          <w:color w:val="auto"/>
          <w:lang w:eastAsia="zh-CN"/>
        </w:rPr>
        <w:t>中标人根据投标文件的承诺，投入本项目的项目经理、技术负责人、质量管理员、安全管理员等主要管理人员中标后不得更换（除因故去世、调离本单位外）。</w:t>
      </w:r>
    </w:p>
    <w:p>
      <w:pPr>
        <w:bidi w:val="0"/>
        <w:rPr>
          <w:rFonts w:ascii="宋体" w:hAnsi="宋体" w:cs="宋体"/>
          <w:b w:val="0"/>
          <w:bCs/>
          <w:color w:val="auto"/>
          <w:szCs w:val="24"/>
        </w:rPr>
      </w:pPr>
      <w:r>
        <w:rPr>
          <w:rFonts w:hint="eastAsia"/>
          <w:color w:val="auto"/>
          <w:sz w:val="24"/>
          <w:szCs w:val="24"/>
        </w:rPr>
        <w:t>具体人员如下：</w:t>
      </w:r>
    </w:p>
    <w:tbl>
      <w:tblPr>
        <w:tblStyle w:val="26"/>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525"/>
        <w:gridCol w:w="2025"/>
        <w:gridCol w:w="3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84" w:type="dxa"/>
            <w:noWrap w:val="0"/>
            <w:vAlign w:val="center"/>
          </w:tcPr>
          <w:p>
            <w:pPr>
              <w:bidi w:val="0"/>
              <w:rPr>
                <w:color w:val="auto"/>
              </w:rPr>
            </w:pPr>
            <w:r>
              <w:rPr>
                <w:rFonts w:hint="eastAsia"/>
                <w:color w:val="auto"/>
              </w:rPr>
              <w:t>姓名</w:t>
            </w:r>
          </w:p>
        </w:tc>
        <w:tc>
          <w:tcPr>
            <w:tcW w:w="2525" w:type="dxa"/>
            <w:noWrap w:val="0"/>
            <w:vAlign w:val="center"/>
          </w:tcPr>
          <w:p>
            <w:pPr>
              <w:bidi w:val="0"/>
              <w:rPr>
                <w:color w:val="auto"/>
              </w:rPr>
            </w:pPr>
            <w:r>
              <w:rPr>
                <w:rFonts w:hint="eastAsia"/>
                <w:color w:val="auto"/>
              </w:rPr>
              <w:t>职称</w:t>
            </w:r>
          </w:p>
        </w:tc>
        <w:tc>
          <w:tcPr>
            <w:tcW w:w="2025" w:type="dxa"/>
            <w:noWrap w:val="0"/>
            <w:vAlign w:val="center"/>
          </w:tcPr>
          <w:p>
            <w:pPr>
              <w:bidi w:val="0"/>
              <w:rPr>
                <w:color w:val="auto"/>
              </w:rPr>
            </w:pPr>
            <w:r>
              <w:rPr>
                <w:rFonts w:hint="eastAsia"/>
                <w:color w:val="auto"/>
              </w:rPr>
              <w:t>拟任职务</w:t>
            </w:r>
          </w:p>
        </w:tc>
        <w:tc>
          <w:tcPr>
            <w:tcW w:w="3174" w:type="dxa"/>
            <w:noWrap w:val="0"/>
            <w:vAlign w:val="center"/>
          </w:tcPr>
          <w:p>
            <w:pPr>
              <w:bidi w:val="0"/>
              <w:rPr>
                <w:color w:val="auto"/>
              </w:rPr>
            </w:pPr>
            <w:r>
              <w:rPr>
                <w:rFonts w:hint="eastAsia"/>
                <w:color w:val="auto"/>
              </w:rPr>
              <w:t>岗位证号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84" w:type="dxa"/>
            <w:noWrap w:val="0"/>
            <w:vAlign w:val="center"/>
          </w:tcPr>
          <w:p>
            <w:pPr>
              <w:bidi w:val="0"/>
              <w:rPr>
                <w:color w:val="auto"/>
              </w:rPr>
            </w:pPr>
          </w:p>
        </w:tc>
        <w:tc>
          <w:tcPr>
            <w:tcW w:w="2525" w:type="dxa"/>
            <w:noWrap w:val="0"/>
            <w:vAlign w:val="center"/>
          </w:tcPr>
          <w:p>
            <w:pPr>
              <w:bidi w:val="0"/>
              <w:rPr>
                <w:color w:val="auto"/>
              </w:rPr>
            </w:pPr>
          </w:p>
        </w:tc>
        <w:tc>
          <w:tcPr>
            <w:tcW w:w="2025" w:type="dxa"/>
            <w:noWrap w:val="0"/>
            <w:vAlign w:val="center"/>
          </w:tcPr>
          <w:p>
            <w:pPr>
              <w:bidi w:val="0"/>
              <w:rPr>
                <w:color w:val="auto"/>
              </w:rPr>
            </w:pPr>
            <w:r>
              <w:rPr>
                <w:rFonts w:hint="eastAsia"/>
                <w:color w:val="auto"/>
              </w:rPr>
              <w:t>项目经理</w:t>
            </w:r>
          </w:p>
        </w:tc>
        <w:tc>
          <w:tcPr>
            <w:tcW w:w="3174" w:type="dxa"/>
            <w:noWrap w:val="0"/>
            <w:vAlign w:val="center"/>
          </w:tcPr>
          <w:p>
            <w:pPr>
              <w:bidi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84" w:type="dxa"/>
            <w:noWrap w:val="0"/>
            <w:vAlign w:val="center"/>
          </w:tcPr>
          <w:p>
            <w:pPr>
              <w:bidi w:val="0"/>
              <w:rPr>
                <w:color w:val="auto"/>
              </w:rPr>
            </w:pPr>
          </w:p>
        </w:tc>
        <w:tc>
          <w:tcPr>
            <w:tcW w:w="2525" w:type="dxa"/>
            <w:noWrap w:val="0"/>
            <w:vAlign w:val="center"/>
          </w:tcPr>
          <w:p>
            <w:pPr>
              <w:bidi w:val="0"/>
              <w:rPr>
                <w:color w:val="auto"/>
              </w:rPr>
            </w:pPr>
          </w:p>
        </w:tc>
        <w:tc>
          <w:tcPr>
            <w:tcW w:w="2025" w:type="dxa"/>
            <w:noWrap w:val="0"/>
            <w:vAlign w:val="center"/>
          </w:tcPr>
          <w:p>
            <w:pPr>
              <w:bidi w:val="0"/>
              <w:rPr>
                <w:color w:val="auto"/>
              </w:rPr>
            </w:pPr>
            <w:r>
              <w:rPr>
                <w:rFonts w:hint="eastAsia"/>
                <w:color w:val="auto"/>
              </w:rPr>
              <w:t>技术负责人</w:t>
            </w:r>
          </w:p>
        </w:tc>
        <w:tc>
          <w:tcPr>
            <w:tcW w:w="3174" w:type="dxa"/>
            <w:noWrap w:val="0"/>
            <w:vAlign w:val="center"/>
          </w:tcPr>
          <w:p>
            <w:pPr>
              <w:bidi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84" w:type="dxa"/>
            <w:noWrap w:val="0"/>
            <w:vAlign w:val="center"/>
          </w:tcPr>
          <w:p>
            <w:pPr>
              <w:bidi w:val="0"/>
              <w:rPr>
                <w:color w:val="auto"/>
              </w:rPr>
            </w:pPr>
          </w:p>
        </w:tc>
        <w:tc>
          <w:tcPr>
            <w:tcW w:w="2525" w:type="dxa"/>
            <w:noWrap w:val="0"/>
            <w:vAlign w:val="center"/>
          </w:tcPr>
          <w:p>
            <w:pPr>
              <w:bidi w:val="0"/>
              <w:rPr>
                <w:color w:val="auto"/>
              </w:rPr>
            </w:pPr>
          </w:p>
        </w:tc>
        <w:tc>
          <w:tcPr>
            <w:tcW w:w="2025" w:type="dxa"/>
            <w:noWrap w:val="0"/>
            <w:vAlign w:val="center"/>
          </w:tcPr>
          <w:p>
            <w:pPr>
              <w:bidi w:val="0"/>
              <w:rPr>
                <w:color w:val="auto"/>
              </w:rPr>
            </w:pPr>
            <w:r>
              <w:rPr>
                <w:rFonts w:hint="eastAsia"/>
                <w:color w:val="auto"/>
              </w:rPr>
              <w:t>质量管理员</w:t>
            </w:r>
          </w:p>
        </w:tc>
        <w:tc>
          <w:tcPr>
            <w:tcW w:w="3174" w:type="dxa"/>
            <w:noWrap w:val="0"/>
            <w:vAlign w:val="center"/>
          </w:tcPr>
          <w:p>
            <w:pPr>
              <w:bidi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84" w:type="dxa"/>
            <w:noWrap w:val="0"/>
            <w:vAlign w:val="center"/>
          </w:tcPr>
          <w:p>
            <w:pPr>
              <w:bidi w:val="0"/>
              <w:rPr>
                <w:color w:val="auto"/>
              </w:rPr>
            </w:pPr>
          </w:p>
        </w:tc>
        <w:tc>
          <w:tcPr>
            <w:tcW w:w="2525" w:type="dxa"/>
            <w:noWrap w:val="0"/>
            <w:vAlign w:val="center"/>
          </w:tcPr>
          <w:p>
            <w:pPr>
              <w:bidi w:val="0"/>
              <w:rPr>
                <w:color w:val="auto"/>
              </w:rPr>
            </w:pPr>
          </w:p>
        </w:tc>
        <w:tc>
          <w:tcPr>
            <w:tcW w:w="2025" w:type="dxa"/>
            <w:noWrap w:val="0"/>
            <w:vAlign w:val="center"/>
          </w:tcPr>
          <w:p>
            <w:pPr>
              <w:bidi w:val="0"/>
              <w:rPr>
                <w:color w:val="auto"/>
              </w:rPr>
            </w:pPr>
            <w:r>
              <w:rPr>
                <w:rFonts w:hint="eastAsia"/>
                <w:color w:val="auto"/>
              </w:rPr>
              <w:t>安全管理员</w:t>
            </w:r>
          </w:p>
        </w:tc>
        <w:tc>
          <w:tcPr>
            <w:tcW w:w="3174" w:type="dxa"/>
            <w:noWrap w:val="0"/>
            <w:vAlign w:val="center"/>
          </w:tcPr>
          <w:p>
            <w:pPr>
              <w:bidi w:val="0"/>
              <w:rPr>
                <w:color w:val="auto"/>
              </w:rPr>
            </w:pPr>
          </w:p>
        </w:tc>
      </w:tr>
    </w:tbl>
    <w:p>
      <w:pPr>
        <w:pStyle w:val="17"/>
        <w:jc w:val="center"/>
        <w:rPr>
          <w:rFonts w:ascii="宋体" w:hAnsi="宋体" w:eastAsia="宋体" w:cs="宋体"/>
          <w:color w:val="auto"/>
          <w:sz w:val="24"/>
          <w:szCs w:val="24"/>
          <w:lang w:eastAsia="zh-CN"/>
        </w:rPr>
      </w:pP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4.7.1投入本项目的项目经理、技术负责人、质量管理员、专全管理员等主要管理人员中标后，经中标人申请、监理机构审核允许、招标人同意后方可变更为不低于同等条件的人员。</w:t>
      </w:r>
    </w:p>
    <w:p>
      <w:pPr>
        <w:pStyle w:val="16"/>
        <w:wordWrap w:val="0"/>
        <w:topLinePunct/>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4.7.2 项目经理每月在工地时间少于</w:t>
      </w:r>
      <w:r>
        <w:rPr>
          <w:rFonts w:hint="eastAsia" w:ascii="宋体" w:hAnsi="宋体" w:eastAsia="宋体" w:cs="宋体"/>
          <w:color w:val="auto"/>
          <w:u w:val="single"/>
          <w:lang w:eastAsia="zh-CN"/>
        </w:rPr>
        <w:t xml:space="preserve"> 22</w:t>
      </w:r>
      <w:r>
        <w:rPr>
          <w:rFonts w:hint="eastAsia" w:ascii="宋体" w:hAnsi="宋体" w:eastAsia="宋体" w:cs="宋体"/>
          <w:color w:val="auto"/>
          <w:lang w:eastAsia="zh-CN"/>
        </w:rPr>
        <w:t>日，且未经招标人同意的，按未履职处理，由有关行政监督部门处理后报请自治区有关行政监督部门将结果记入市场主体信用档案，公布不良行为记录。</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4.11不利物质条件</w:t>
      </w:r>
    </w:p>
    <w:p>
      <w:pPr>
        <w:pStyle w:val="16"/>
        <w:spacing w:line="400" w:lineRule="exact"/>
        <w:ind w:firstLine="480" w:firstLineChars="200"/>
        <w:rPr>
          <w:rFonts w:ascii="宋体" w:hAnsi="宋体" w:eastAsia="宋体" w:cs="宋体"/>
          <w:color w:val="auto"/>
          <w:sz w:val="21"/>
          <w:szCs w:val="21"/>
          <w:lang w:eastAsia="zh-CN"/>
        </w:rPr>
      </w:pPr>
      <w:r>
        <w:rPr>
          <w:rFonts w:hint="eastAsia" w:ascii="宋体" w:hAnsi="宋体" w:eastAsia="宋体" w:cs="宋体"/>
          <w:color w:val="auto"/>
          <w:lang w:eastAsia="zh-CN"/>
        </w:rPr>
        <w:t>4.11.1不利物质条件的范围：</w:t>
      </w:r>
      <w:r>
        <w:rPr>
          <w:rFonts w:hint="eastAsia" w:ascii="宋体" w:hAnsi="宋体" w:eastAsia="宋体" w:cs="宋体"/>
          <w:color w:val="auto"/>
          <w:u w:val="single"/>
          <w:lang w:eastAsia="zh-CN"/>
        </w:rPr>
        <w:t xml:space="preserve"> 按通用条款执行 </w:t>
      </w:r>
      <w:r>
        <w:rPr>
          <w:rFonts w:hint="eastAsia" w:ascii="宋体" w:hAnsi="宋体" w:eastAsia="宋体" w:cs="宋体"/>
          <w:color w:val="auto"/>
          <w:lang w:eastAsia="zh-CN"/>
        </w:rPr>
        <w:t>。</w:t>
      </w:r>
    </w:p>
    <w:p>
      <w:pPr>
        <w:pStyle w:val="52"/>
        <w:spacing w:before="0" w:after="0" w:line="400" w:lineRule="exact"/>
        <w:rPr>
          <w:rFonts w:ascii="宋体" w:hAnsi="宋体" w:eastAsia="宋体" w:cs="宋体"/>
          <w:b/>
          <w:bCs/>
          <w:color w:val="auto"/>
          <w:szCs w:val="32"/>
          <w:lang w:eastAsia="zh-CN"/>
        </w:rPr>
      </w:pPr>
      <w:bookmarkStart w:id="1134" w:name="_Toc222033882"/>
      <w:bookmarkStart w:id="1135" w:name="_Toc222029531"/>
      <w:bookmarkStart w:id="1136" w:name="_Toc221951160"/>
      <w:bookmarkStart w:id="1137" w:name="_Toc229305391"/>
      <w:bookmarkStart w:id="1138" w:name="_Toc2936476"/>
      <w:bookmarkStart w:id="1139" w:name="_Toc222031033"/>
      <w:bookmarkStart w:id="1140" w:name="_Toc2936720"/>
      <w:bookmarkStart w:id="1141" w:name="_Toc2948174"/>
      <w:bookmarkStart w:id="1142" w:name="_Toc222032700"/>
      <w:r>
        <w:rPr>
          <w:rFonts w:hint="eastAsia" w:ascii="宋体" w:hAnsi="宋体" w:eastAsia="宋体" w:cs="宋体"/>
          <w:b/>
          <w:bCs/>
          <w:color w:val="auto"/>
          <w:szCs w:val="32"/>
          <w:lang w:eastAsia="zh-CN"/>
        </w:rPr>
        <w:t>5. 材料和工程设备</w:t>
      </w:r>
      <w:bookmarkEnd w:id="1134"/>
      <w:bookmarkEnd w:id="1135"/>
      <w:bookmarkEnd w:id="1136"/>
      <w:bookmarkEnd w:id="1137"/>
      <w:bookmarkEnd w:id="1138"/>
      <w:bookmarkEnd w:id="1139"/>
      <w:bookmarkEnd w:id="1140"/>
      <w:bookmarkEnd w:id="1141"/>
      <w:bookmarkEnd w:id="1142"/>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5.2 发包人提供的材料和工程设备</w:t>
      </w:r>
    </w:p>
    <w:p>
      <w:pPr>
        <w:pStyle w:val="16"/>
        <w:spacing w:line="400" w:lineRule="exact"/>
        <w:ind w:right="248" w:firstLine="484" w:firstLineChars="202"/>
        <w:rPr>
          <w:rFonts w:ascii="宋体" w:hAnsi="宋体" w:eastAsia="宋体" w:cs="宋体"/>
          <w:color w:val="auto"/>
          <w:lang w:eastAsia="zh-CN"/>
        </w:rPr>
      </w:pPr>
      <w:r>
        <w:rPr>
          <w:rFonts w:hint="eastAsia" w:ascii="宋体" w:hAnsi="宋体" w:eastAsia="宋体" w:cs="宋体"/>
          <w:color w:val="auto"/>
          <w:lang w:eastAsia="zh-CN"/>
        </w:rPr>
        <w:t>5.2.1 发包人与承包人签订的施工合同中约定是否提供材料和工程设备：</w:t>
      </w:r>
      <w:r>
        <w:rPr>
          <w:rFonts w:hint="eastAsia" w:ascii="宋体" w:hAnsi="宋体" w:eastAsia="宋体" w:cs="宋体"/>
          <w:color w:val="auto"/>
          <w:u w:val="single"/>
          <w:lang w:eastAsia="zh-CN"/>
        </w:rPr>
        <w:t xml:space="preserve">  不提供</w:t>
      </w:r>
      <w:r>
        <w:rPr>
          <w:rFonts w:hint="eastAsia" w:ascii="宋体" w:hAnsi="宋体" w:eastAsia="宋体" w:cs="宋体"/>
          <w:color w:val="auto"/>
          <w:lang w:eastAsia="zh-CN"/>
        </w:rPr>
        <w:t>。</w:t>
      </w:r>
    </w:p>
    <w:p>
      <w:pPr>
        <w:pStyle w:val="52"/>
        <w:spacing w:before="0" w:after="0" w:line="400" w:lineRule="exact"/>
        <w:rPr>
          <w:rFonts w:ascii="宋体" w:hAnsi="宋体" w:eastAsia="宋体" w:cs="宋体"/>
          <w:b/>
          <w:bCs/>
          <w:color w:val="auto"/>
          <w:szCs w:val="32"/>
          <w:lang w:eastAsia="zh-CN"/>
        </w:rPr>
      </w:pPr>
      <w:bookmarkStart w:id="1143" w:name="_Toc2936477"/>
      <w:bookmarkStart w:id="1144" w:name="_Toc2936721"/>
      <w:bookmarkStart w:id="1145" w:name="_Toc2948175"/>
      <w:r>
        <w:rPr>
          <w:rFonts w:hint="eastAsia" w:ascii="宋体" w:hAnsi="宋体" w:eastAsia="宋体" w:cs="宋体"/>
          <w:b/>
          <w:bCs/>
          <w:color w:val="auto"/>
          <w:szCs w:val="32"/>
          <w:lang w:eastAsia="zh-CN"/>
        </w:rPr>
        <w:t>6. 施工设备和临时设施</w:t>
      </w:r>
      <w:bookmarkEnd w:id="1143"/>
      <w:bookmarkEnd w:id="1144"/>
      <w:bookmarkEnd w:id="1145"/>
    </w:p>
    <w:p>
      <w:pPr>
        <w:pStyle w:val="16"/>
        <w:spacing w:line="400" w:lineRule="exact"/>
        <w:rPr>
          <w:rFonts w:ascii="宋体" w:hAnsi="宋体" w:eastAsia="宋体" w:cs="宋体"/>
          <w:b/>
          <w:color w:val="auto"/>
          <w:lang w:eastAsia="zh-CN"/>
        </w:rPr>
      </w:pPr>
      <w:bookmarkStart w:id="1146" w:name="_Toc17891"/>
      <w:bookmarkStart w:id="1147" w:name="_Toc16121"/>
      <w:bookmarkStart w:id="1148" w:name="_Toc229593367"/>
      <w:r>
        <w:rPr>
          <w:rFonts w:hint="eastAsia" w:ascii="宋体" w:hAnsi="宋体" w:eastAsia="宋体" w:cs="宋体"/>
          <w:b/>
          <w:color w:val="auto"/>
          <w:lang w:eastAsia="zh-CN"/>
        </w:rPr>
        <w:t>6.1 承包人提供的施工设备和临时设施</w:t>
      </w:r>
      <w:bookmarkEnd w:id="1146"/>
      <w:bookmarkEnd w:id="1147"/>
      <w:bookmarkEnd w:id="1148"/>
    </w:p>
    <w:p>
      <w:pPr>
        <w:pStyle w:val="16"/>
        <w:spacing w:line="400" w:lineRule="exact"/>
        <w:rPr>
          <w:rFonts w:ascii="宋体" w:hAnsi="宋体" w:eastAsia="宋体" w:cs="宋体"/>
          <w:color w:val="auto"/>
          <w:lang w:eastAsia="zh-CN"/>
        </w:rPr>
      </w:pPr>
      <w:r>
        <w:rPr>
          <w:rFonts w:hint="eastAsia" w:ascii="宋体" w:hAnsi="宋体" w:eastAsia="宋体" w:cs="宋体"/>
          <w:color w:val="auto"/>
          <w:lang w:eastAsia="zh-CN"/>
        </w:rPr>
        <w:t>6.1.2 承包人自行承担修建临时设施的费用，需要临时占地的，由承包人办理相关申请手续，发包人予以协助，发生的相关费用由承包人承担。</w:t>
      </w:r>
    </w:p>
    <w:p>
      <w:pPr>
        <w:pStyle w:val="16"/>
        <w:spacing w:line="400" w:lineRule="exact"/>
        <w:rPr>
          <w:rFonts w:ascii="宋体" w:hAnsi="宋体" w:eastAsia="宋体" w:cs="宋体"/>
          <w:b/>
          <w:color w:val="auto"/>
          <w:lang w:eastAsia="zh-CN"/>
        </w:rPr>
      </w:pPr>
      <w:bookmarkStart w:id="1149" w:name="_Toc27198"/>
      <w:bookmarkStart w:id="1150" w:name="_Toc221951167"/>
      <w:bookmarkStart w:id="1151" w:name="_Toc10277"/>
      <w:r>
        <w:rPr>
          <w:rFonts w:hint="eastAsia" w:ascii="宋体" w:hAnsi="宋体" w:eastAsia="宋体" w:cs="宋体"/>
          <w:b/>
          <w:color w:val="auto"/>
          <w:lang w:eastAsia="zh-CN"/>
        </w:rPr>
        <w:t>6.2 发包人提供的施工设备和临时设施</w:t>
      </w:r>
      <w:bookmarkEnd w:id="1149"/>
      <w:bookmarkEnd w:id="1150"/>
      <w:bookmarkEnd w:id="1151"/>
    </w:p>
    <w:p>
      <w:pPr>
        <w:pStyle w:val="16"/>
        <w:spacing w:line="400" w:lineRule="exact"/>
        <w:ind w:firstLine="480" w:firstLineChars="200"/>
        <w:rPr>
          <w:rFonts w:ascii="宋体" w:hAnsi="宋体" w:eastAsia="宋体" w:cs="宋体"/>
          <w:color w:val="auto"/>
          <w:lang w:eastAsia="zh-CN"/>
        </w:rPr>
      </w:pPr>
      <w:bookmarkStart w:id="1152" w:name="_Toc221951169"/>
      <w:r>
        <w:rPr>
          <w:rFonts w:hint="eastAsia" w:ascii="宋体" w:hAnsi="宋体" w:eastAsia="宋体" w:cs="宋体"/>
          <w:color w:val="auto"/>
          <w:lang w:eastAsia="zh-CN"/>
        </w:rPr>
        <w:t>（1）发包人提供的的施工设备</w:t>
      </w:r>
      <w:bookmarkEnd w:id="1152"/>
      <w:r>
        <w:rPr>
          <w:rFonts w:hint="eastAsia" w:ascii="宋体" w:hAnsi="宋体" w:eastAsia="宋体" w:cs="宋体"/>
          <w:color w:val="auto"/>
          <w:lang w:eastAsia="zh-CN"/>
        </w:rPr>
        <w:t>：</w:t>
      </w:r>
      <w:r>
        <w:rPr>
          <w:rFonts w:hint="eastAsia" w:ascii="宋体" w:hAnsi="宋体" w:eastAsia="宋体" w:cs="宋体"/>
          <w:color w:val="auto"/>
          <w:u w:val="single"/>
          <w:lang w:eastAsia="zh-CN"/>
        </w:rPr>
        <w:t xml:space="preserve">   不提供  </w:t>
      </w:r>
      <w:r>
        <w:rPr>
          <w:rFonts w:hint="eastAsia" w:ascii="宋体" w:hAnsi="宋体" w:eastAsia="宋体" w:cs="宋体"/>
          <w:color w:val="auto"/>
          <w:lang w:eastAsia="zh-CN"/>
        </w:rPr>
        <w:t>。</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（2）发包人提供的临时设施：</w:t>
      </w:r>
      <w:r>
        <w:rPr>
          <w:rFonts w:hint="eastAsia" w:ascii="宋体" w:hAnsi="宋体" w:eastAsia="宋体" w:cs="宋体"/>
          <w:color w:val="auto"/>
          <w:u w:val="single"/>
          <w:lang w:eastAsia="zh-CN"/>
        </w:rPr>
        <w:t xml:space="preserve">    不提供   </w:t>
      </w:r>
      <w:r>
        <w:rPr>
          <w:rFonts w:hint="eastAsia" w:ascii="宋体" w:hAnsi="宋体" w:eastAsia="宋体" w:cs="宋体"/>
          <w:color w:val="auto"/>
          <w:lang w:eastAsia="zh-CN"/>
        </w:rPr>
        <w:t>。</w:t>
      </w:r>
    </w:p>
    <w:p>
      <w:pPr>
        <w:pStyle w:val="52"/>
        <w:spacing w:before="0" w:after="0" w:line="400" w:lineRule="exact"/>
        <w:rPr>
          <w:rFonts w:ascii="宋体" w:hAnsi="宋体" w:eastAsia="宋体" w:cs="宋体"/>
          <w:b/>
          <w:bCs/>
          <w:color w:val="auto"/>
          <w:szCs w:val="32"/>
          <w:lang w:eastAsia="zh-CN"/>
        </w:rPr>
      </w:pPr>
      <w:bookmarkStart w:id="1153" w:name="_Toc2936478"/>
      <w:bookmarkStart w:id="1154" w:name="_Toc2936722"/>
      <w:bookmarkStart w:id="1155" w:name="_Toc2948176"/>
      <w:r>
        <w:rPr>
          <w:rFonts w:hint="eastAsia" w:ascii="宋体" w:hAnsi="宋体" w:eastAsia="宋体" w:cs="宋体"/>
          <w:b/>
          <w:bCs/>
          <w:color w:val="auto"/>
          <w:szCs w:val="32"/>
          <w:lang w:eastAsia="zh-CN"/>
        </w:rPr>
        <w:t>7. 交通运输</w:t>
      </w:r>
      <w:bookmarkEnd w:id="1153"/>
      <w:bookmarkEnd w:id="1154"/>
      <w:bookmarkEnd w:id="1155"/>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7.1道路通行权和场外设施</w:t>
      </w:r>
    </w:p>
    <w:p>
      <w:pPr>
        <w:pStyle w:val="16"/>
        <w:spacing w:line="400" w:lineRule="exact"/>
        <w:ind w:firstLine="480" w:firstLineChars="200"/>
        <w:rPr>
          <w:rFonts w:ascii="宋体" w:hAnsi="宋体" w:eastAsia="宋体" w:cs="宋体"/>
          <w:color w:val="auto"/>
          <w:sz w:val="21"/>
          <w:szCs w:val="21"/>
          <w:lang w:eastAsia="zh-CN"/>
        </w:rPr>
      </w:pPr>
      <w:r>
        <w:rPr>
          <w:rFonts w:hint="eastAsia" w:ascii="宋体" w:hAnsi="宋体" w:eastAsia="宋体" w:cs="宋体"/>
          <w:color w:val="auto"/>
          <w:lang w:eastAsia="zh-CN"/>
        </w:rPr>
        <w:t>道路通行权和场外设施的约定：</w:t>
      </w:r>
      <w:r>
        <w:rPr>
          <w:rFonts w:hint="eastAsia" w:ascii="宋体" w:hAnsi="宋体" w:eastAsia="宋体" w:cs="宋体"/>
          <w:color w:val="auto"/>
          <w:u w:val="single"/>
          <w:lang w:val="zh-CN" w:eastAsia="zh-CN"/>
        </w:rPr>
        <w:t>承包人应根据合同工程的施工需要，负责办理取得出入施工场地的专用和临时道路的通行权，以及取得为工程建设所需修建场外设施的权利，并办理好有关政策处理上的事宜，发包人协助办理相关手续</w:t>
      </w:r>
      <w:r>
        <w:rPr>
          <w:rFonts w:hint="eastAsia" w:ascii="宋体" w:hAnsi="宋体" w:eastAsia="宋体" w:cs="宋体"/>
          <w:color w:val="auto"/>
          <w:lang w:eastAsia="zh-CN"/>
        </w:rPr>
        <w:t>。</w:t>
      </w:r>
    </w:p>
    <w:p>
      <w:pPr>
        <w:pStyle w:val="52"/>
        <w:spacing w:before="0" w:after="0" w:line="400" w:lineRule="exact"/>
        <w:rPr>
          <w:rFonts w:ascii="宋体" w:hAnsi="宋体" w:eastAsia="宋体" w:cs="宋体"/>
          <w:b/>
          <w:bCs/>
          <w:color w:val="auto"/>
          <w:szCs w:val="32"/>
          <w:lang w:eastAsia="zh-CN"/>
        </w:rPr>
      </w:pPr>
      <w:bookmarkStart w:id="1156" w:name="_Toc2936479"/>
      <w:bookmarkStart w:id="1157" w:name="_Toc2948177"/>
      <w:bookmarkStart w:id="1158" w:name="_Toc2936723"/>
      <w:r>
        <w:rPr>
          <w:rFonts w:hint="eastAsia" w:ascii="宋体" w:hAnsi="宋体" w:eastAsia="宋体" w:cs="宋体"/>
          <w:b/>
          <w:bCs/>
          <w:color w:val="auto"/>
          <w:szCs w:val="32"/>
          <w:lang w:eastAsia="zh-CN"/>
        </w:rPr>
        <w:t>8. 测量放线</w:t>
      </w:r>
      <w:bookmarkEnd w:id="1156"/>
      <w:bookmarkEnd w:id="1157"/>
      <w:bookmarkEnd w:id="1158"/>
    </w:p>
    <w:p>
      <w:pPr>
        <w:pStyle w:val="16"/>
        <w:spacing w:line="400" w:lineRule="exact"/>
        <w:rPr>
          <w:rFonts w:ascii="宋体" w:hAnsi="宋体" w:eastAsia="宋体" w:cs="宋体"/>
          <w:b/>
          <w:color w:val="auto"/>
          <w:lang w:eastAsia="zh-CN"/>
        </w:rPr>
      </w:pPr>
      <w:bookmarkStart w:id="1159" w:name="_Toc18765"/>
      <w:bookmarkStart w:id="1160" w:name="_Toc18149"/>
      <w:r>
        <w:rPr>
          <w:rFonts w:hint="eastAsia" w:ascii="宋体" w:hAnsi="宋体" w:eastAsia="宋体" w:cs="宋体"/>
          <w:b/>
          <w:color w:val="auto"/>
          <w:lang w:eastAsia="zh-CN"/>
        </w:rPr>
        <w:t>8.1 施工控制网</w:t>
      </w:r>
      <w:bookmarkEnd w:id="1159"/>
      <w:bookmarkEnd w:id="1160"/>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8.1.1施工控制网的约定：</w:t>
      </w:r>
      <w:r>
        <w:rPr>
          <w:rFonts w:hint="eastAsia" w:ascii="宋体" w:hAnsi="宋体" w:eastAsia="宋体" w:cs="宋体"/>
          <w:color w:val="auto"/>
          <w:u w:val="single"/>
          <w:lang w:eastAsia="zh-CN"/>
        </w:rPr>
        <w:t xml:space="preserve"> 由承包人负责测设  </w:t>
      </w:r>
      <w:r>
        <w:rPr>
          <w:rFonts w:hint="eastAsia" w:ascii="宋体" w:hAnsi="宋体" w:eastAsia="宋体" w:cs="宋体"/>
          <w:color w:val="auto"/>
          <w:lang w:eastAsia="zh-CN"/>
        </w:rPr>
        <w:t>。</w:t>
      </w:r>
    </w:p>
    <w:p>
      <w:pPr>
        <w:pStyle w:val="52"/>
        <w:spacing w:before="0" w:after="0" w:line="400" w:lineRule="exact"/>
        <w:rPr>
          <w:rFonts w:ascii="宋体" w:hAnsi="宋体" w:eastAsia="宋体" w:cs="宋体"/>
          <w:b/>
          <w:bCs/>
          <w:color w:val="auto"/>
          <w:szCs w:val="32"/>
          <w:lang w:eastAsia="zh-CN"/>
        </w:rPr>
      </w:pPr>
      <w:bookmarkStart w:id="1161" w:name="_Toc2936480"/>
      <w:bookmarkStart w:id="1162" w:name="_Toc2936724"/>
      <w:bookmarkStart w:id="1163" w:name="_Toc2948178"/>
      <w:r>
        <w:rPr>
          <w:rFonts w:hint="eastAsia" w:ascii="宋体" w:hAnsi="宋体" w:eastAsia="宋体" w:cs="宋体"/>
          <w:b/>
          <w:bCs/>
          <w:color w:val="auto"/>
          <w:szCs w:val="32"/>
          <w:lang w:eastAsia="zh-CN"/>
        </w:rPr>
        <w:t>9. 施工安全、治安保卫和环境保护</w:t>
      </w:r>
      <w:bookmarkEnd w:id="1161"/>
      <w:bookmarkEnd w:id="1162"/>
      <w:bookmarkEnd w:id="1163"/>
    </w:p>
    <w:p>
      <w:pPr>
        <w:pStyle w:val="16"/>
        <w:spacing w:line="400" w:lineRule="exact"/>
        <w:rPr>
          <w:rFonts w:ascii="宋体" w:hAnsi="宋体" w:eastAsia="宋体" w:cs="宋体"/>
          <w:b/>
          <w:color w:val="auto"/>
          <w:lang w:eastAsia="zh-CN"/>
        </w:rPr>
      </w:pPr>
      <w:bookmarkStart w:id="1164" w:name="_Toc3459"/>
      <w:bookmarkStart w:id="1165" w:name="_Toc31158"/>
      <w:r>
        <w:rPr>
          <w:rFonts w:hint="eastAsia" w:ascii="宋体" w:hAnsi="宋体" w:eastAsia="宋体" w:cs="宋体"/>
          <w:b/>
          <w:color w:val="auto"/>
          <w:lang w:eastAsia="zh-CN"/>
        </w:rPr>
        <w:t>9.2 承包人的施工安全责任</w:t>
      </w:r>
      <w:bookmarkEnd w:id="1164"/>
      <w:bookmarkEnd w:id="1165"/>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9.2.8安全施工措施所需费用在投标时不得做竞争调整。</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9.2.12下列工程应编制专项施工方案：</w:t>
      </w:r>
    </w:p>
    <w:p>
      <w:pPr>
        <w:pStyle w:val="16"/>
        <w:spacing w:line="400" w:lineRule="exact"/>
        <w:ind w:right="249" w:firstLine="480" w:firstLineChars="200"/>
        <w:rPr>
          <w:rFonts w:ascii="宋体" w:hAnsi="宋体" w:eastAsia="宋体" w:cs="宋体"/>
          <w:color w:val="auto"/>
          <w:lang w:eastAsia="zh-CN"/>
        </w:rPr>
      </w:pPr>
      <w:r>
        <w:rPr>
          <w:rFonts w:hint="eastAsia" w:ascii="宋体" w:hAnsi="宋体" w:eastAsia="宋体" w:cs="宋体"/>
          <w:color w:val="auto"/>
          <w:lang w:eastAsia="zh-CN"/>
        </w:rPr>
        <w:t>（1）土方和石方开挖工程，包括拆除、爆破，料场开挖及运输等；</w:t>
      </w:r>
    </w:p>
    <w:p>
      <w:pPr>
        <w:pStyle w:val="16"/>
        <w:spacing w:line="400" w:lineRule="exact"/>
        <w:ind w:right="249" w:firstLine="480" w:firstLineChars="200"/>
        <w:rPr>
          <w:rFonts w:ascii="宋体" w:hAnsi="宋体" w:eastAsia="宋体" w:cs="宋体"/>
          <w:color w:val="auto"/>
          <w:lang w:eastAsia="zh-CN"/>
        </w:rPr>
      </w:pPr>
      <w:r>
        <w:rPr>
          <w:rFonts w:hint="eastAsia" w:ascii="宋体" w:hAnsi="宋体" w:eastAsia="宋体" w:cs="宋体"/>
          <w:color w:val="auto"/>
          <w:lang w:eastAsia="zh-CN"/>
        </w:rPr>
        <w:t>（2）基础处理，包括基础灌浆等；</w:t>
      </w:r>
    </w:p>
    <w:p>
      <w:pPr>
        <w:pStyle w:val="16"/>
        <w:spacing w:line="400" w:lineRule="exact"/>
        <w:ind w:right="249" w:firstLine="480" w:firstLineChars="200"/>
        <w:rPr>
          <w:rFonts w:ascii="宋体" w:hAnsi="宋体" w:eastAsia="宋体" w:cs="宋体"/>
          <w:color w:val="auto"/>
          <w:lang w:eastAsia="zh-CN"/>
        </w:rPr>
      </w:pPr>
      <w:r>
        <w:rPr>
          <w:rFonts w:hint="eastAsia" w:ascii="宋体" w:hAnsi="宋体" w:eastAsia="宋体" w:cs="宋体"/>
          <w:color w:val="auto"/>
          <w:lang w:eastAsia="zh-CN"/>
        </w:rPr>
        <w:t>（3）高边坡和基坑支护与降水工程；</w:t>
      </w:r>
    </w:p>
    <w:p>
      <w:pPr>
        <w:pStyle w:val="16"/>
        <w:spacing w:line="400" w:lineRule="exact"/>
        <w:ind w:right="249" w:firstLine="480" w:firstLineChars="200"/>
        <w:rPr>
          <w:rFonts w:ascii="宋体" w:hAnsi="宋体" w:eastAsia="宋体" w:cs="宋体"/>
          <w:color w:val="auto"/>
          <w:lang w:eastAsia="zh-CN"/>
        </w:rPr>
      </w:pPr>
      <w:r>
        <w:rPr>
          <w:rFonts w:hint="eastAsia" w:ascii="宋体" w:hAnsi="宋体" w:eastAsia="宋体" w:cs="宋体"/>
          <w:color w:val="auto"/>
          <w:lang w:eastAsia="zh-CN"/>
        </w:rPr>
        <w:t>（4）混凝土施工配合比设计，混凝土浇筑的温度控制；</w:t>
      </w:r>
    </w:p>
    <w:p>
      <w:pPr>
        <w:pStyle w:val="16"/>
        <w:spacing w:line="400" w:lineRule="exact"/>
        <w:ind w:right="249" w:firstLine="480" w:firstLineChars="200"/>
        <w:rPr>
          <w:rFonts w:ascii="宋体" w:hAnsi="宋体" w:eastAsia="宋体" w:cs="宋体"/>
          <w:color w:val="auto"/>
          <w:lang w:eastAsia="zh-CN"/>
        </w:rPr>
      </w:pPr>
      <w:r>
        <w:rPr>
          <w:rFonts w:hint="eastAsia" w:ascii="宋体" w:hAnsi="宋体" w:eastAsia="宋体" w:cs="宋体"/>
          <w:color w:val="auto"/>
          <w:lang w:eastAsia="zh-CN"/>
        </w:rPr>
        <w:t>（5）金属结构安装；</w:t>
      </w:r>
    </w:p>
    <w:p>
      <w:pPr>
        <w:pStyle w:val="16"/>
        <w:spacing w:line="400" w:lineRule="exact"/>
        <w:ind w:right="249" w:firstLine="480" w:firstLineChars="200"/>
        <w:rPr>
          <w:rFonts w:ascii="宋体" w:hAnsi="宋体" w:eastAsia="宋体" w:cs="宋体"/>
          <w:color w:val="auto"/>
          <w:lang w:eastAsia="zh-CN"/>
        </w:rPr>
      </w:pPr>
      <w:r>
        <w:rPr>
          <w:rFonts w:hint="eastAsia" w:ascii="宋体" w:hAnsi="宋体" w:eastAsia="宋体" w:cs="宋体"/>
          <w:color w:val="auto"/>
          <w:lang w:eastAsia="zh-CN"/>
        </w:rPr>
        <w:t>（6）其他危险性较大的工程；</w:t>
      </w:r>
    </w:p>
    <w:p>
      <w:pPr>
        <w:pStyle w:val="17"/>
        <w:ind w:firstLine="480" w:firstLineChars="200"/>
        <w:rPr>
          <w:rFonts w:ascii="宋体" w:hAnsi="宋体" w:eastAsia="宋体"/>
          <w:color w:val="auto"/>
          <w:sz w:val="24"/>
          <w:szCs w:val="24"/>
          <w:lang w:eastAsia="zh-CN"/>
        </w:rPr>
      </w:pPr>
      <w:r>
        <w:rPr>
          <w:rFonts w:hint="eastAsia" w:ascii="宋体" w:hAnsi="宋体" w:eastAsia="宋体"/>
          <w:color w:val="auto"/>
          <w:sz w:val="24"/>
          <w:szCs w:val="24"/>
          <w:lang w:eastAsia="zh-CN"/>
        </w:rPr>
        <w:t>（7）朔性砼防渗墙。</w:t>
      </w:r>
    </w:p>
    <w:p>
      <w:pPr>
        <w:pStyle w:val="16"/>
        <w:spacing w:line="400" w:lineRule="exact"/>
        <w:ind w:right="249" w:firstLine="480" w:firstLineChars="200"/>
        <w:rPr>
          <w:rFonts w:ascii="宋体" w:hAnsi="宋体" w:eastAsia="宋体" w:cs="宋体"/>
          <w:color w:val="auto"/>
          <w:lang w:eastAsia="zh-CN"/>
        </w:rPr>
      </w:pPr>
      <w:r>
        <w:rPr>
          <w:rFonts w:hint="eastAsia" w:ascii="宋体" w:hAnsi="宋体" w:eastAsia="宋体" w:cs="宋体"/>
          <w:color w:val="auto"/>
          <w:lang w:eastAsia="zh-CN"/>
        </w:rPr>
        <w:t>其中应组织专家论证和审查的专项施工方案：</w:t>
      </w:r>
      <w:r>
        <w:rPr>
          <w:rFonts w:hint="eastAsia" w:ascii="宋体" w:hAnsi="宋体" w:eastAsia="宋体" w:cs="宋体"/>
          <w:color w:val="auto"/>
          <w:u w:val="single"/>
          <w:lang w:eastAsia="zh-CN"/>
        </w:rPr>
        <w:t>高边坡、深基坑、高大模板工程的专项施工方案，专项施工方案评审发生的费用由承包人负责</w:t>
      </w:r>
      <w:r>
        <w:rPr>
          <w:rFonts w:hint="eastAsia" w:ascii="宋体" w:hAnsi="宋体" w:eastAsia="宋体" w:cs="宋体"/>
          <w:color w:val="auto"/>
          <w:lang w:eastAsia="zh-CN"/>
        </w:rPr>
        <w:t>。</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9.7 文明工地</w:t>
      </w:r>
    </w:p>
    <w:p>
      <w:pPr>
        <w:pStyle w:val="16"/>
        <w:spacing w:line="400" w:lineRule="exact"/>
        <w:ind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9.7.1本合同文明工地的约定：</w:t>
      </w:r>
      <w:r>
        <w:rPr>
          <w:rFonts w:hint="eastAsia" w:ascii="宋体" w:hAnsi="宋体" w:eastAsia="宋体" w:cs="宋体"/>
          <w:bCs/>
          <w:color w:val="auto"/>
          <w:u w:val="single"/>
          <w:lang w:eastAsia="zh-CN"/>
        </w:rPr>
        <w:t>水利部《水利系统文明建设工地评审管理办法》创建文明建设工地</w:t>
      </w:r>
      <w:r>
        <w:rPr>
          <w:rFonts w:hint="eastAsia" w:ascii="宋体" w:hAnsi="宋体" w:eastAsia="宋体" w:cs="宋体"/>
          <w:color w:val="auto"/>
          <w:lang w:eastAsia="zh-CN"/>
        </w:rPr>
        <w:t>。</w:t>
      </w:r>
    </w:p>
    <w:p>
      <w:pPr>
        <w:pStyle w:val="16"/>
        <w:spacing w:line="400" w:lineRule="exact"/>
        <w:ind w:firstLine="480" w:firstLineChars="200"/>
        <w:rPr>
          <w:rFonts w:ascii="宋体" w:hAnsi="宋体" w:eastAsia="宋体" w:cs="宋体"/>
          <w:color w:val="auto"/>
          <w:sz w:val="21"/>
          <w:szCs w:val="21"/>
          <w:highlight w:val="none"/>
          <w:lang w:eastAsia="zh-CN"/>
        </w:rPr>
      </w:pPr>
      <w:r>
        <w:rPr>
          <w:rFonts w:hint="eastAsia" w:ascii="宋体" w:hAnsi="宋体" w:eastAsia="宋体" w:cs="宋体"/>
          <w:color w:val="auto"/>
          <w:lang w:eastAsia="zh-CN"/>
        </w:rPr>
        <w:t>9.7.2本项目报价执行自治区水利厅关于调整水利工程安全文明施工措施费费率的通知(桂水建设〔2023〕4号)的有关规定，安全文明施工措施费计算标准费率为 2.5%。安全文明施工措施费作为不可竞争费，中标人以(南水规〔2024〕1号)提供的“南宁市水利工程安全文明施工措施费项目清单分解表”的要求执行，项目实施过程中所发生的费用以实际为准。安全文明施工措施费应采用现场计量、按实际产生的费用以中标合同*2.5%。</w:t>
      </w:r>
    </w:p>
    <w:p>
      <w:pPr>
        <w:pStyle w:val="52"/>
        <w:spacing w:before="0" w:after="0" w:line="400" w:lineRule="exact"/>
        <w:rPr>
          <w:rFonts w:ascii="宋体" w:hAnsi="宋体" w:eastAsia="宋体" w:cs="宋体"/>
          <w:b/>
          <w:bCs/>
          <w:color w:val="auto"/>
          <w:szCs w:val="32"/>
          <w:highlight w:val="none"/>
          <w:lang w:eastAsia="zh-CN"/>
        </w:rPr>
      </w:pPr>
      <w:r>
        <w:rPr>
          <w:rFonts w:hint="eastAsia" w:ascii="宋体" w:hAnsi="宋体" w:eastAsia="宋体" w:cs="宋体"/>
          <w:b/>
          <w:bCs/>
          <w:color w:val="auto"/>
          <w:szCs w:val="32"/>
          <w:highlight w:val="none"/>
          <w:lang w:eastAsia="zh-CN"/>
        </w:rPr>
        <w:t>11. 开工和竣工（完工）</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highlight w:val="none"/>
          <w:lang w:eastAsia="zh-CN"/>
        </w:rPr>
        <w:t>11.2  本工程主体工程完工时间为</w:t>
      </w:r>
      <w:r>
        <w:rPr>
          <w:rFonts w:hint="eastAsia" w:ascii="宋体" w:hAnsi="宋体" w:eastAsia="宋体" w:cs="宋体"/>
          <w:b/>
          <w:color w:val="auto"/>
          <w:lang w:eastAsia="zh-CN"/>
        </w:rPr>
        <w:t>：</w:t>
      </w:r>
      <w:r>
        <w:rPr>
          <w:rFonts w:hint="eastAsia" w:ascii="宋体" w:hAnsi="宋体" w:eastAsia="宋体" w:cs="宋体"/>
          <w:b/>
          <w:color w:val="auto"/>
          <w:lang w:val="en-US" w:eastAsia="zh-CN"/>
        </w:rPr>
        <w:t xml:space="preserve">  </w:t>
      </w:r>
      <w:r>
        <w:rPr>
          <w:rFonts w:hint="eastAsia" w:ascii="宋体" w:hAnsi="宋体" w:eastAsia="宋体" w:cs="宋体"/>
          <w:b/>
          <w:color w:val="auto"/>
          <w:lang w:eastAsia="zh-CN"/>
        </w:rPr>
        <w:t>年</w:t>
      </w:r>
      <w:r>
        <w:rPr>
          <w:rFonts w:hint="eastAsia" w:ascii="宋体" w:hAnsi="宋体" w:eastAsia="宋体" w:cs="宋体"/>
          <w:b/>
          <w:color w:val="auto"/>
          <w:lang w:val="en-US" w:eastAsia="zh-CN"/>
        </w:rPr>
        <w:t xml:space="preserve">  </w:t>
      </w:r>
      <w:r>
        <w:rPr>
          <w:rFonts w:hint="eastAsia" w:ascii="宋体" w:hAnsi="宋体" w:eastAsia="宋体" w:cs="宋体"/>
          <w:b/>
          <w:color w:val="auto"/>
          <w:lang w:eastAsia="zh-CN"/>
        </w:rPr>
        <w:t>月</w:t>
      </w:r>
      <w:r>
        <w:rPr>
          <w:rFonts w:hint="eastAsia" w:ascii="宋体" w:hAnsi="宋体" w:eastAsia="宋体" w:cs="宋体"/>
          <w:b/>
          <w:color w:val="auto"/>
          <w:lang w:val="en-US" w:eastAsia="zh-CN"/>
        </w:rPr>
        <w:t xml:space="preserve">  </w:t>
      </w:r>
      <w:r>
        <w:rPr>
          <w:rFonts w:hint="eastAsia" w:ascii="宋体" w:hAnsi="宋体" w:eastAsia="宋体" w:cs="宋体"/>
          <w:b/>
          <w:color w:val="auto"/>
          <w:lang w:eastAsia="zh-CN"/>
        </w:rPr>
        <w:t>日。</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11.3 发包人的工期延误</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11.4 异常恶劣的气候条件</w:t>
      </w:r>
    </w:p>
    <w:p>
      <w:pPr>
        <w:pStyle w:val="16"/>
        <w:spacing w:line="400" w:lineRule="exact"/>
        <w:ind w:firstLine="480" w:firstLineChars="200"/>
        <w:rPr>
          <w:rFonts w:ascii="宋体" w:hAnsi="宋体" w:eastAsia="宋体" w:cs="宋体"/>
          <w:color w:val="auto"/>
          <w:lang w:eastAsia="zh-CN"/>
        </w:rPr>
      </w:pPr>
      <w:bookmarkStart w:id="1166" w:name="_Toc221951191"/>
      <w:r>
        <w:rPr>
          <w:rFonts w:hint="eastAsia" w:ascii="宋体" w:hAnsi="宋体" w:eastAsia="宋体" w:cs="宋体"/>
          <w:color w:val="auto"/>
          <w:lang w:eastAsia="zh-CN"/>
        </w:rPr>
        <w:t>11.4.3 本合同工程界定异常恶劣气候条件的范围为：</w:t>
      </w:r>
      <w:bookmarkEnd w:id="1166"/>
    </w:p>
    <w:p>
      <w:pPr>
        <w:pStyle w:val="16"/>
        <w:spacing w:line="400" w:lineRule="exact"/>
        <w:ind w:firstLine="480" w:firstLineChars="200"/>
        <w:rPr>
          <w:rFonts w:ascii="宋体" w:hAnsi="宋体" w:eastAsia="宋体" w:cs="宋体"/>
          <w:color w:val="auto"/>
          <w:lang w:eastAsia="zh-CN"/>
        </w:rPr>
      </w:pPr>
      <w:bookmarkStart w:id="1167" w:name="_Toc221951192"/>
      <w:r>
        <w:rPr>
          <w:rFonts w:hint="eastAsia" w:ascii="宋体" w:hAnsi="宋体" w:eastAsia="宋体" w:cs="宋体"/>
          <w:color w:val="auto"/>
          <w:lang w:eastAsia="zh-CN"/>
        </w:rPr>
        <w:t>（1）日降雨量大于</w:t>
      </w:r>
      <w:r>
        <w:rPr>
          <w:rFonts w:hint="eastAsia" w:ascii="宋体" w:hAnsi="宋体" w:eastAsia="宋体" w:cs="宋体"/>
          <w:color w:val="auto"/>
          <w:u w:val="single"/>
          <w:lang w:eastAsia="zh-CN"/>
        </w:rPr>
        <w:t xml:space="preserve"> 100  </w:t>
      </w:r>
      <w:r>
        <w:rPr>
          <w:rFonts w:hint="eastAsia" w:ascii="宋体" w:hAnsi="宋体" w:eastAsia="宋体" w:cs="宋体"/>
          <w:color w:val="auto"/>
          <w:lang w:eastAsia="zh-CN"/>
        </w:rPr>
        <w:t>㎜的雨日超过</w:t>
      </w:r>
      <w:r>
        <w:rPr>
          <w:rFonts w:hint="eastAsia" w:ascii="宋体" w:hAnsi="宋体" w:eastAsia="宋体" w:cs="宋体"/>
          <w:color w:val="auto"/>
          <w:u w:val="single"/>
          <w:lang w:eastAsia="zh-CN"/>
        </w:rPr>
        <w:t>5</w:t>
      </w:r>
      <w:r>
        <w:rPr>
          <w:rFonts w:hint="eastAsia" w:ascii="宋体" w:hAnsi="宋体" w:eastAsia="宋体" w:cs="宋体"/>
          <w:color w:val="auto"/>
          <w:lang w:eastAsia="zh-CN"/>
        </w:rPr>
        <w:t>天；</w:t>
      </w:r>
      <w:bookmarkEnd w:id="1167"/>
    </w:p>
    <w:p>
      <w:pPr>
        <w:pStyle w:val="16"/>
        <w:spacing w:line="400" w:lineRule="exact"/>
        <w:ind w:firstLine="480" w:firstLineChars="200"/>
        <w:rPr>
          <w:rFonts w:ascii="宋体" w:hAnsi="宋体" w:eastAsia="宋体" w:cs="宋体"/>
          <w:color w:val="auto"/>
          <w:lang w:eastAsia="zh-CN"/>
        </w:rPr>
      </w:pPr>
      <w:bookmarkStart w:id="1168" w:name="_Toc221951193"/>
      <w:r>
        <w:rPr>
          <w:rFonts w:hint="eastAsia" w:ascii="宋体" w:hAnsi="宋体" w:eastAsia="宋体" w:cs="宋体"/>
          <w:color w:val="auto"/>
          <w:lang w:eastAsia="zh-CN"/>
        </w:rPr>
        <w:t>（2）</w:t>
      </w:r>
      <w:bookmarkEnd w:id="1168"/>
      <w:r>
        <w:rPr>
          <w:rFonts w:hint="eastAsia" w:ascii="宋体" w:hAnsi="宋体" w:eastAsia="宋体" w:cs="宋体"/>
          <w:color w:val="auto"/>
          <w:lang w:eastAsia="zh-CN"/>
        </w:rPr>
        <w:t>风速大于</w:t>
      </w:r>
      <w:r>
        <w:rPr>
          <w:rFonts w:hint="eastAsia" w:ascii="宋体" w:hAnsi="宋体" w:eastAsia="宋体" w:cs="宋体"/>
          <w:color w:val="auto"/>
          <w:u w:val="single"/>
          <w:lang w:eastAsia="zh-CN"/>
        </w:rPr>
        <w:t xml:space="preserve">10.8-13.8 </w:t>
      </w:r>
      <w:r>
        <w:rPr>
          <w:rFonts w:hint="eastAsia" w:ascii="宋体" w:hAnsi="宋体" w:eastAsia="宋体" w:cs="宋体"/>
          <w:color w:val="auto"/>
          <w:lang w:eastAsia="zh-CN"/>
        </w:rPr>
        <w:t>ｍ/ｓ的</w:t>
      </w:r>
      <w:r>
        <w:rPr>
          <w:rFonts w:hint="eastAsia" w:ascii="宋体" w:hAnsi="宋体" w:eastAsia="宋体" w:cs="宋体"/>
          <w:color w:val="auto"/>
          <w:u w:val="single"/>
          <w:lang w:eastAsia="zh-CN"/>
        </w:rPr>
        <w:t xml:space="preserve"> 6 </w:t>
      </w:r>
      <w:r>
        <w:rPr>
          <w:rFonts w:hint="eastAsia" w:ascii="宋体" w:hAnsi="宋体" w:eastAsia="宋体" w:cs="宋体"/>
          <w:color w:val="auto"/>
          <w:lang w:eastAsia="zh-CN"/>
        </w:rPr>
        <w:t>级以上台风灾害；</w:t>
      </w:r>
    </w:p>
    <w:p>
      <w:pPr>
        <w:pStyle w:val="16"/>
        <w:spacing w:line="400" w:lineRule="exact"/>
        <w:ind w:firstLine="480" w:firstLineChars="200"/>
        <w:rPr>
          <w:rFonts w:ascii="宋体" w:hAnsi="宋体" w:eastAsia="宋体" w:cs="宋体"/>
          <w:color w:val="auto"/>
          <w:lang w:eastAsia="zh-CN"/>
        </w:rPr>
      </w:pPr>
      <w:bookmarkStart w:id="1169" w:name="_Toc221951194"/>
      <w:r>
        <w:rPr>
          <w:rFonts w:hint="eastAsia" w:ascii="宋体" w:hAnsi="宋体" w:eastAsia="宋体" w:cs="宋体"/>
          <w:color w:val="auto"/>
          <w:lang w:eastAsia="zh-CN"/>
        </w:rPr>
        <w:t>（3）</w:t>
      </w:r>
      <w:bookmarkEnd w:id="1169"/>
      <w:r>
        <w:rPr>
          <w:rFonts w:hint="eastAsia" w:ascii="宋体" w:hAnsi="宋体" w:eastAsia="宋体" w:cs="宋体"/>
          <w:color w:val="auto"/>
          <w:lang w:eastAsia="zh-CN"/>
        </w:rPr>
        <w:t>日气温超过</w:t>
      </w:r>
      <w:r>
        <w:rPr>
          <w:rFonts w:hint="eastAsia" w:ascii="宋体" w:hAnsi="宋体" w:eastAsia="宋体" w:cs="宋体"/>
          <w:color w:val="auto"/>
          <w:u w:val="single"/>
          <w:lang w:eastAsia="zh-CN"/>
        </w:rPr>
        <w:t xml:space="preserve">38 </w:t>
      </w:r>
      <w:r>
        <w:rPr>
          <w:rFonts w:hint="eastAsia" w:ascii="宋体" w:hAnsi="宋体" w:eastAsia="宋体" w:cs="宋体"/>
          <w:color w:val="auto"/>
          <w:lang w:eastAsia="zh-CN"/>
        </w:rPr>
        <w:t>℃的高温大于</w:t>
      </w:r>
      <w:r>
        <w:rPr>
          <w:rFonts w:hint="eastAsia" w:ascii="宋体" w:hAnsi="宋体" w:eastAsia="宋体" w:cs="宋体"/>
          <w:color w:val="auto"/>
          <w:u w:val="single"/>
          <w:lang w:eastAsia="zh-CN"/>
        </w:rPr>
        <w:t>10</w:t>
      </w:r>
      <w:r>
        <w:rPr>
          <w:rFonts w:hint="eastAsia" w:ascii="宋体" w:hAnsi="宋体" w:eastAsia="宋体" w:cs="宋体"/>
          <w:color w:val="auto"/>
          <w:lang w:eastAsia="zh-CN"/>
        </w:rPr>
        <w:t>天；</w:t>
      </w:r>
      <w:bookmarkStart w:id="1170" w:name="_Toc221951195"/>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（4）</w:t>
      </w:r>
      <w:bookmarkEnd w:id="1170"/>
      <w:r>
        <w:rPr>
          <w:rFonts w:hint="eastAsia" w:ascii="宋体" w:hAnsi="宋体" w:eastAsia="宋体" w:cs="宋体"/>
          <w:color w:val="auto"/>
          <w:lang w:eastAsia="zh-CN"/>
        </w:rPr>
        <w:t>日气温低于</w:t>
      </w:r>
      <w:r>
        <w:rPr>
          <w:rFonts w:hint="eastAsia" w:ascii="宋体" w:hAnsi="宋体" w:eastAsia="宋体" w:cs="宋体"/>
          <w:color w:val="auto"/>
          <w:u w:val="single"/>
          <w:lang w:eastAsia="zh-CN"/>
        </w:rPr>
        <w:t xml:space="preserve">-5 </w:t>
      </w:r>
      <w:r>
        <w:rPr>
          <w:rFonts w:hint="eastAsia" w:ascii="宋体" w:hAnsi="宋体" w:eastAsia="宋体" w:cs="宋体"/>
          <w:color w:val="auto"/>
          <w:lang w:eastAsia="zh-CN"/>
        </w:rPr>
        <w:t>℃的严寒大于</w:t>
      </w:r>
      <w:r>
        <w:rPr>
          <w:rFonts w:hint="eastAsia" w:ascii="宋体" w:hAnsi="宋体" w:eastAsia="宋体" w:cs="宋体"/>
          <w:color w:val="auto"/>
          <w:u w:val="single"/>
          <w:lang w:eastAsia="zh-CN"/>
        </w:rPr>
        <w:t xml:space="preserve"> 5 </w:t>
      </w:r>
      <w:r>
        <w:rPr>
          <w:rFonts w:hint="eastAsia" w:ascii="宋体" w:hAnsi="宋体" w:eastAsia="宋体" w:cs="宋体"/>
          <w:color w:val="auto"/>
          <w:lang w:eastAsia="zh-CN"/>
        </w:rPr>
        <w:t>天。</w:t>
      </w:r>
      <w:bookmarkStart w:id="1171" w:name="_Toc221951196"/>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（5）</w:t>
      </w:r>
      <w:bookmarkEnd w:id="1171"/>
      <w:r>
        <w:rPr>
          <w:rFonts w:hint="eastAsia" w:ascii="宋体" w:hAnsi="宋体" w:eastAsia="宋体" w:cs="宋体"/>
          <w:color w:val="auto"/>
          <w:lang w:eastAsia="zh-CN"/>
        </w:rPr>
        <w:t>造成工程损坏的冰雹和大雪灾害；</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（6）</w:t>
      </w:r>
      <w:r>
        <w:rPr>
          <w:rFonts w:hint="eastAsia" w:ascii="宋体" w:hAnsi="宋体" w:eastAsia="宋体" w:cs="宋体"/>
          <w:color w:val="auto"/>
          <w:u w:val="single"/>
          <w:lang w:eastAsia="zh-CN"/>
        </w:rPr>
        <w:t xml:space="preserve">五 </w:t>
      </w:r>
      <w:r>
        <w:rPr>
          <w:rFonts w:hint="eastAsia" w:ascii="宋体" w:hAnsi="宋体" w:eastAsia="宋体" w:cs="宋体"/>
          <w:color w:val="auto"/>
          <w:lang w:eastAsia="zh-CN"/>
        </w:rPr>
        <w:t>级以上的地震；</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（7）</w:t>
      </w:r>
      <w:r>
        <w:rPr>
          <w:rFonts w:hint="eastAsia" w:ascii="宋体" w:hAnsi="宋体" w:eastAsia="宋体" w:cs="宋体"/>
          <w:color w:val="auto"/>
          <w:u w:val="single"/>
          <w:lang w:eastAsia="zh-CN"/>
        </w:rPr>
        <w:t xml:space="preserve">20 </w:t>
      </w:r>
      <w:r>
        <w:rPr>
          <w:rFonts w:hint="eastAsia" w:ascii="宋体" w:hAnsi="宋体" w:eastAsia="宋体" w:cs="宋体"/>
          <w:color w:val="auto"/>
          <w:lang w:eastAsia="zh-CN"/>
        </w:rPr>
        <w:t>年一遇及以上的洪水；</w:t>
      </w:r>
    </w:p>
    <w:p>
      <w:pPr>
        <w:pStyle w:val="16"/>
        <w:spacing w:line="400" w:lineRule="exact"/>
        <w:ind w:firstLine="480" w:firstLineChars="200"/>
        <w:rPr>
          <w:rFonts w:ascii="宋体" w:hAnsi="宋体" w:eastAsia="宋体" w:cs="宋体"/>
          <w:color w:val="auto"/>
          <w:lang w:eastAsia="zh-CN"/>
        </w:rPr>
      </w:pPr>
      <w:bookmarkStart w:id="1172" w:name="_Toc221951197"/>
      <w:r>
        <w:rPr>
          <w:rFonts w:hint="eastAsia" w:ascii="宋体" w:hAnsi="宋体" w:eastAsia="宋体" w:cs="宋体"/>
          <w:color w:val="auto"/>
          <w:lang w:eastAsia="zh-CN"/>
        </w:rPr>
        <w:t>（8）其他异常恶劣气候灾害。</w:t>
      </w:r>
      <w:bookmarkEnd w:id="1172"/>
    </w:p>
    <w:p>
      <w:pPr>
        <w:pStyle w:val="16"/>
        <w:spacing w:line="400" w:lineRule="exact"/>
        <w:rPr>
          <w:rFonts w:ascii="宋体" w:hAnsi="宋体" w:eastAsia="宋体" w:cs="宋体"/>
          <w:bCs/>
          <w:color w:val="auto"/>
          <w:lang w:eastAsia="zh-CN"/>
        </w:rPr>
      </w:pPr>
      <w:r>
        <w:rPr>
          <w:rFonts w:hint="eastAsia" w:ascii="宋体" w:hAnsi="宋体" w:eastAsia="宋体" w:cs="宋体"/>
          <w:b/>
          <w:color w:val="auto"/>
          <w:lang w:eastAsia="zh-CN"/>
        </w:rPr>
        <w:t>11.5 承包人工期延误</w:t>
      </w:r>
      <w:bookmarkStart w:id="1173" w:name="_Toc221951200"/>
    </w:p>
    <w:p>
      <w:pPr>
        <w:pStyle w:val="16"/>
        <w:spacing w:line="400" w:lineRule="exact"/>
        <w:ind w:firstLine="480" w:firstLineChars="200"/>
        <w:jc w:val="center"/>
        <w:rPr>
          <w:rFonts w:ascii="宋体" w:hAnsi="宋体" w:eastAsia="宋体" w:cs="宋体"/>
          <w:bCs/>
          <w:color w:val="auto"/>
          <w:lang w:eastAsia="zh-CN"/>
        </w:rPr>
      </w:pPr>
      <w:r>
        <w:rPr>
          <w:rFonts w:hint="eastAsia" w:ascii="宋体" w:hAnsi="宋体" w:eastAsia="宋体" w:cs="宋体"/>
          <w:bCs/>
          <w:color w:val="auto"/>
          <w:lang w:eastAsia="zh-CN"/>
        </w:rPr>
        <w:t>（1）逾期完工违约金表(参考格式)</w:t>
      </w:r>
      <w:bookmarkEnd w:id="1173"/>
    </w:p>
    <w:tbl>
      <w:tblPr>
        <w:tblStyle w:val="26"/>
        <w:tblW w:w="850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3"/>
        <w:gridCol w:w="2666"/>
        <w:gridCol w:w="3004"/>
        <w:gridCol w:w="19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43" w:type="dxa"/>
            <w:noWrap w:val="0"/>
            <w:vAlign w:val="center"/>
          </w:tcPr>
          <w:p>
            <w:pPr>
              <w:pStyle w:val="16"/>
              <w:jc w:val="center"/>
              <w:rPr>
                <w:rFonts w:ascii="宋体" w:hAnsi="宋体" w:eastAsia="宋体" w:cs="宋体"/>
                <w:color w:val="auto"/>
              </w:rPr>
            </w:pPr>
            <w:bookmarkStart w:id="1174" w:name="_Toc221951201"/>
            <w:r>
              <w:rPr>
                <w:rFonts w:hint="eastAsia" w:ascii="宋体" w:hAnsi="宋体" w:eastAsia="宋体" w:cs="宋体"/>
                <w:color w:val="auto"/>
              </w:rPr>
              <w:t>序号</w:t>
            </w:r>
            <w:bookmarkEnd w:id="1174"/>
          </w:p>
        </w:tc>
        <w:tc>
          <w:tcPr>
            <w:tcW w:w="2666" w:type="dxa"/>
            <w:noWrap w:val="0"/>
            <w:vAlign w:val="center"/>
          </w:tcPr>
          <w:p>
            <w:pPr>
              <w:pStyle w:val="16"/>
              <w:jc w:val="center"/>
              <w:rPr>
                <w:rFonts w:ascii="宋体" w:hAnsi="宋体" w:eastAsia="宋体" w:cs="宋体"/>
                <w:color w:val="auto"/>
              </w:rPr>
            </w:pPr>
            <w:bookmarkStart w:id="1175" w:name="_Toc221951202"/>
            <w:r>
              <w:rPr>
                <w:rFonts w:hint="eastAsia" w:ascii="宋体" w:hAnsi="宋体" w:eastAsia="宋体" w:cs="宋体"/>
                <w:color w:val="auto"/>
              </w:rPr>
              <w:t>项目及其说明</w:t>
            </w:r>
            <w:bookmarkEnd w:id="1175"/>
          </w:p>
        </w:tc>
        <w:tc>
          <w:tcPr>
            <w:tcW w:w="3004" w:type="dxa"/>
            <w:noWrap w:val="0"/>
            <w:vAlign w:val="center"/>
          </w:tcPr>
          <w:p>
            <w:pPr>
              <w:pStyle w:val="16"/>
              <w:jc w:val="center"/>
              <w:rPr>
                <w:rFonts w:ascii="宋体" w:hAnsi="宋体" w:eastAsia="宋体" w:cs="宋体"/>
                <w:color w:val="auto"/>
              </w:rPr>
            </w:pPr>
            <w:bookmarkStart w:id="1176" w:name="_Toc221951203"/>
            <w:r>
              <w:rPr>
                <w:rFonts w:hint="eastAsia" w:ascii="宋体" w:hAnsi="宋体" w:eastAsia="宋体" w:cs="宋体"/>
                <w:color w:val="auto"/>
              </w:rPr>
              <w:t>要求完工日期</w:t>
            </w:r>
            <w:bookmarkEnd w:id="1176"/>
          </w:p>
        </w:tc>
        <w:tc>
          <w:tcPr>
            <w:tcW w:w="1995" w:type="dxa"/>
            <w:noWrap w:val="0"/>
            <w:vAlign w:val="top"/>
          </w:tcPr>
          <w:p>
            <w:pPr>
              <w:pStyle w:val="16"/>
              <w:jc w:val="center"/>
              <w:rPr>
                <w:rFonts w:ascii="宋体" w:hAnsi="宋体" w:eastAsia="宋体" w:cs="宋体"/>
                <w:color w:val="auto"/>
              </w:rPr>
            </w:pPr>
            <w:bookmarkStart w:id="1177" w:name="_Toc221951204"/>
            <w:r>
              <w:rPr>
                <w:rFonts w:hint="eastAsia" w:ascii="宋体" w:hAnsi="宋体" w:eastAsia="宋体" w:cs="宋体"/>
                <w:color w:val="auto"/>
              </w:rPr>
              <w:t>违约金(元/天)</w:t>
            </w:r>
            <w:bookmarkEnd w:id="1177"/>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43" w:type="dxa"/>
            <w:noWrap w:val="0"/>
            <w:vAlign w:val="center"/>
          </w:tcPr>
          <w:p>
            <w:pPr>
              <w:pStyle w:val="16"/>
              <w:jc w:val="center"/>
              <w:rPr>
                <w:rFonts w:ascii="宋体" w:hAnsi="宋体" w:eastAsia="宋体" w:cs="宋体"/>
                <w:color w:val="auto"/>
              </w:rPr>
            </w:pPr>
          </w:p>
        </w:tc>
        <w:tc>
          <w:tcPr>
            <w:tcW w:w="2666" w:type="dxa"/>
            <w:noWrap w:val="0"/>
            <w:vAlign w:val="center"/>
          </w:tcPr>
          <w:p>
            <w:pPr>
              <w:pStyle w:val="16"/>
              <w:rPr>
                <w:rFonts w:ascii="宋体" w:hAnsi="宋体" w:eastAsia="宋体" w:cs="宋体"/>
                <w:color w:val="auto"/>
                <w:lang w:eastAsia="zh-CN"/>
              </w:rPr>
            </w:pPr>
            <w:r>
              <w:rPr>
                <w:rFonts w:hint="eastAsia" w:ascii="宋体" w:hAnsi="宋体" w:eastAsia="宋体" w:cs="宋体"/>
                <w:color w:val="auto"/>
                <w:lang w:eastAsia="zh-CN"/>
              </w:rPr>
              <w:t>全部工程</w:t>
            </w:r>
          </w:p>
        </w:tc>
        <w:tc>
          <w:tcPr>
            <w:tcW w:w="3004" w:type="dxa"/>
            <w:noWrap w:val="0"/>
            <w:vAlign w:val="center"/>
          </w:tcPr>
          <w:p>
            <w:pPr>
              <w:pStyle w:val="16"/>
              <w:jc w:val="center"/>
              <w:rPr>
                <w:rFonts w:ascii="宋体" w:hAnsi="宋体" w:eastAsia="宋体" w:cs="宋体"/>
                <w:color w:val="auto"/>
                <w:lang w:eastAsia="zh-CN"/>
              </w:rPr>
            </w:pPr>
            <w:r>
              <w:rPr>
                <w:rFonts w:hint="eastAsia" w:ascii="宋体" w:hAnsi="宋体" w:eastAsia="宋体" w:cs="宋体"/>
                <w:color w:val="auto"/>
                <w:lang w:eastAsia="zh-CN" w:bidi="zh-CN"/>
              </w:rPr>
              <w:t>招标文件约定的完工时间</w:t>
            </w:r>
          </w:p>
        </w:tc>
        <w:tc>
          <w:tcPr>
            <w:tcW w:w="1995" w:type="dxa"/>
            <w:noWrap w:val="0"/>
            <w:vAlign w:val="top"/>
          </w:tcPr>
          <w:p>
            <w:pPr>
              <w:pStyle w:val="16"/>
              <w:jc w:val="center"/>
              <w:rPr>
                <w:rFonts w:ascii="宋体" w:hAnsi="宋体" w:eastAsia="宋体" w:cs="宋体"/>
                <w:color w:val="auto"/>
                <w:lang w:eastAsia="zh-CN"/>
              </w:rPr>
            </w:pPr>
            <w:r>
              <w:rPr>
                <w:rFonts w:hint="eastAsia" w:ascii="宋体" w:hAnsi="宋体" w:eastAsia="宋体" w:cs="宋体"/>
                <w:color w:val="auto"/>
                <w:lang w:eastAsia="zh-CN"/>
              </w:rPr>
              <w:t>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43" w:type="dxa"/>
            <w:noWrap w:val="0"/>
            <w:vAlign w:val="center"/>
          </w:tcPr>
          <w:p>
            <w:pPr>
              <w:pStyle w:val="16"/>
              <w:jc w:val="center"/>
              <w:rPr>
                <w:rFonts w:ascii="宋体" w:hAnsi="宋体" w:eastAsia="宋体" w:cs="宋体"/>
                <w:color w:val="auto"/>
                <w:lang w:eastAsia="zh-CN"/>
              </w:rPr>
            </w:pPr>
          </w:p>
        </w:tc>
        <w:tc>
          <w:tcPr>
            <w:tcW w:w="2666" w:type="dxa"/>
            <w:noWrap w:val="0"/>
            <w:vAlign w:val="center"/>
          </w:tcPr>
          <w:p>
            <w:pPr>
              <w:pStyle w:val="16"/>
              <w:rPr>
                <w:rFonts w:ascii="宋体" w:hAnsi="宋体" w:eastAsia="宋体" w:cs="宋体"/>
                <w:color w:val="auto"/>
                <w:lang w:eastAsia="zh-CN"/>
              </w:rPr>
            </w:pPr>
          </w:p>
        </w:tc>
        <w:tc>
          <w:tcPr>
            <w:tcW w:w="3004" w:type="dxa"/>
            <w:noWrap w:val="0"/>
            <w:vAlign w:val="center"/>
          </w:tcPr>
          <w:p>
            <w:pPr>
              <w:pStyle w:val="16"/>
              <w:jc w:val="center"/>
              <w:rPr>
                <w:rFonts w:ascii="宋体" w:hAnsi="宋体" w:eastAsia="宋体" w:cs="宋体"/>
                <w:color w:val="auto"/>
                <w:lang w:eastAsia="zh-CN"/>
              </w:rPr>
            </w:pPr>
          </w:p>
        </w:tc>
        <w:tc>
          <w:tcPr>
            <w:tcW w:w="1995" w:type="dxa"/>
            <w:noWrap w:val="0"/>
            <w:vAlign w:val="top"/>
          </w:tcPr>
          <w:p>
            <w:pPr>
              <w:pStyle w:val="16"/>
              <w:jc w:val="center"/>
              <w:rPr>
                <w:rFonts w:ascii="宋体" w:hAnsi="宋体" w:eastAsia="宋体" w:cs="宋体"/>
                <w:color w:val="auto"/>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843" w:type="dxa"/>
            <w:noWrap w:val="0"/>
            <w:vAlign w:val="center"/>
          </w:tcPr>
          <w:p>
            <w:pPr>
              <w:pStyle w:val="16"/>
              <w:jc w:val="center"/>
              <w:rPr>
                <w:rFonts w:ascii="宋体" w:hAnsi="宋体" w:eastAsia="宋体" w:cs="宋体"/>
                <w:color w:val="auto"/>
                <w:lang w:eastAsia="zh-CN"/>
              </w:rPr>
            </w:pPr>
          </w:p>
        </w:tc>
        <w:tc>
          <w:tcPr>
            <w:tcW w:w="2666" w:type="dxa"/>
            <w:noWrap w:val="0"/>
            <w:vAlign w:val="center"/>
          </w:tcPr>
          <w:p>
            <w:pPr>
              <w:pStyle w:val="16"/>
              <w:rPr>
                <w:rFonts w:ascii="宋体" w:hAnsi="宋体" w:eastAsia="宋体" w:cs="宋体"/>
                <w:color w:val="auto"/>
                <w:lang w:eastAsia="zh-CN"/>
              </w:rPr>
            </w:pPr>
          </w:p>
        </w:tc>
        <w:tc>
          <w:tcPr>
            <w:tcW w:w="3004" w:type="dxa"/>
            <w:noWrap w:val="0"/>
            <w:vAlign w:val="center"/>
          </w:tcPr>
          <w:p>
            <w:pPr>
              <w:pStyle w:val="16"/>
              <w:jc w:val="center"/>
              <w:rPr>
                <w:rFonts w:ascii="宋体" w:hAnsi="宋体" w:eastAsia="宋体" w:cs="宋体"/>
                <w:color w:val="auto"/>
                <w:lang w:eastAsia="zh-CN"/>
              </w:rPr>
            </w:pPr>
          </w:p>
        </w:tc>
        <w:tc>
          <w:tcPr>
            <w:tcW w:w="1995" w:type="dxa"/>
            <w:noWrap w:val="0"/>
            <w:vAlign w:val="top"/>
          </w:tcPr>
          <w:p>
            <w:pPr>
              <w:pStyle w:val="16"/>
              <w:jc w:val="center"/>
              <w:rPr>
                <w:rFonts w:ascii="宋体" w:hAnsi="宋体" w:eastAsia="宋体" w:cs="宋体"/>
                <w:color w:val="auto"/>
                <w:lang w:eastAsia="zh-CN"/>
              </w:rPr>
            </w:pPr>
          </w:p>
        </w:tc>
      </w:tr>
    </w:tbl>
    <w:p>
      <w:pPr>
        <w:pStyle w:val="16"/>
        <w:spacing w:line="400" w:lineRule="exact"/>
        <w:ind w:firstLine="480" w:firstLineChars="200"/>
        <w:rPr>
          <w:rFonts w:ascii="宋体" w:hAnsi="宋体" w:eastAsia="宋体" w:cs="宋体"/>
          <w:color w:val="auto"/>
          <w:lang w:eastAsia="zh-CN"/>
        </w:rPr>
      </w:pPr>
      <w:bookmarkStart w:id="1178" w:name="_Toc221951205"/>
      <w:r>
        <w:rPr>
          <w:rFonts w:hint="eastAsia" w:ascii="宋体" w:hAnsi="宋体" w:eastAsia="宋体" w:cs="宋体"/>
          <w:color w:val="auto"/>
          <w:lang w:eastAsia="zh-CN"/>
        </w:rPr>
        <w:t>承包人如未能按上表各节点要求的完工日期前完工，</w:t>
      </w:r>
      <w:r>
        <w:rPr>
          <w:rFonts w:hint="eastAsia" w:ascii="宋体" w:hAnsi="宋体" w:eastAsia="宋体" w:cs="宋体"/>
          <w:bCs/>
          <w:color w:val="auto"/>
          <w:lang w:eastAsia="zh-CN"/>
        </w:rPr>
        <w:t>逾期完工违约金按</w:t>
      </w:r>
      <w:r>
        <w:rPr>
          <w:rFonts w:hint="eastAsia" w:ascii="宋体" w:hAnsi="宋体" w:eastAsia="宋体" w:cs="宋体"/>
          <w:color w:val="auto"/>
          <w:u w:val="single"/>
          <w:lang w:eastAsia="zh-CN"/>
        </w:rPr>
        <w:t>1000</w:t>
      </w:r>
      <w:r>
        <w:rPr>
          <w:rFonts w:hint="eastAsia" w:ascii="宋体" w:hAnsi="宋体" w:eastAsia="宋体" w:cs="宋体"/>
          <w:bCs/>
          <w:color w:val="auto"/>
          <w:lang w:eastAsia="zh-CN"/>
        </w:rPr>
        <w:t>元/天”计算。</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（2）全部逾期完工违约金的总限额不超过合同总价的</w:t>
      </w:r>
      <w:r>
        <w:rPr>
          <w:rFonts w:hint="eastAsia" w:ascii="宋体" w:hAnsi="宋体" w:eastAsia="宋体" w:cs="宋体"/>
          <w:color w:val="auto"/>
          <w:u w:val="single"/>
          <w:lang w:eastAsia="zh-CN"/>
        </w:rPr>
        <w:t>20</w:t>
      </w:r>
      <w:r>
        <w:rPr>
          <w:rFonts w:hint="eastAsia" w:ascii="宋体" w:hAnsi="宋体" w:eastAsia="宋体" w:cs="宋体"/>
          <w:color w:val="auto"/>
          <w:lang w:eastAsia="zh-CN"/>
        </w:rPr>
        <w:t>%，发包人可从应向承包人支付的任何金额中扣除此项违约金或以其他方式收回此款，此违约金的支付并不能解除承包人应完成工程的责任或合同规定的其他责任。</w:t>
      </w:r>
      <w:bookmarkEnd w:id="1178"/>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11.6 工期提前</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工期提前的资金约定：</w:t>
      </w:r>
      <w:r>
        <w:rPr>
          <w:rFonts w:hint="eastAsia" w:ascii="宋体" w:hAnsi="宋体" w:eastAsia="宋体" w:cs="宋体"/>
          <w:bCs/>
          <w:color w:val="auto"/>
          <w:u w:val="single"/>
          <w:lang w:eastAsia="zh-CN"/>
        </w:rPr>
        <w:t>在保证工程质量的前提下，发包人鼓励承包人提前完工，但本合同工程无提前工期奖金</w:t>
      </w:r>
      <w:r>
        <w:rPr>
          <w:rFonts w:hint="eastAsia" w:ascii="宋体" w:hAnsi="宋体" w:eastAsia="宋体" w:cs="宋体"/>
          <w:color w:val="auto"/>
          <w:lang w:eastAsia="zh-CN"/>
        </w:rPr>
        <w:t>。</w:t>
      </w:r>
    </w:p>
    <w:p>
      <w:pPr>
        <w:pStyle w:val="52"/>
        <w:spacing w:before="0" w:after="0" w:line="400" w:lineRule="exact"/>
        <w:rPr>
          <w:rFonts w:ascii="宋体" w:hAnsi="宋体" w:eastAsia="宋体" w:cs="宋体"/>
          <w:color w:val="auto"/>
          <w:szCs w:val="32"/>
          <w:lang w:eastAsia="zh-CN"/>
        </w:rPr>
      </w:pPr>
      <w:bookmarkStart w:id="1179" w:name="_Toc222033888"/>
      <w:bookmarkStart w:id="1180" w:name="_Toc222029537"/>
      <w:bookmarkStart w:id="1181" w:name="_Toc222031039"/>
      <w:bookmarkStart w:id="1182" w:name="_Toc222032706"/>
      <w:bookmarkStart w:id="1183" w:name="_Toc229305395"/>
      <w:bookmarkStart w:id="1184" w:name="_Toc2936482"/>
      <w:bookmarkStart w:id="1185" w:name="_Toc2948180"/>
      <w:bookmarkStart w:id="1186" w:name="_Toc221951206"/>
      <w:bookmarkStart w:id="1187" w:name="_Toc2936726"/>
      <w:r>
        <w:rPr>
          <w:rFonts w:hint="eastAsia" w:ascii="宋体" w:hAnsi="宋体" w:eastAsia="宋体" w:cs="宋体"/>
          <w:color w:val="auto"/>
          <w:szCs w:val="32"/>
          <w:lang w:eastAsia="zh-CN"/>
        </w:rPr>
        <w:t>12. 暂停施工</w:t>
      </w:r>
      <w:bookmarkEnd w:id="1179"/>
      <w:bookmarkEnd w:id="1180"/>
      <w:bookmarkEnd w:id="1181"/>
      <w:bookmarkEnd w:id="1182"/>
      <w:bookmarkEnd w:id="1183"/>
      <w:bookmarkEnd w:id="1184"/>
      <w:bookmarkEnd w:id="1185"/>
      <w:bookmarkEnd w:id="1186"/>
      <w:bookmarkEnd w:id="1187"/>
    </w:p>
    <w:p>
      <w:pPr>
        <w:pStyle w:val="16"/>
        <w:spacing w:line="400" w:lineRule="exact"/>
        <w:rPr>
          <w:rFonts w:ascii="宋体" w:hAnsi="宋体" w:eastAsia="宋体" w:cs="宋体"/>
          <w:b/>
          <w:color w:val="auto"/>
          <w:lang w:eastAsia="zh-CN"/>
        </w:rPr>
      </w:pPr>
      <w:bookmarkStart w:id="1188" w:name="_Toc9983"/>
      <w:bookmarkStart w:id="1189" w:name="_Toc221951207"/>
      <w:bookmarkStart w:id="1190" w:name="_Toc12367"/>
      <w:r>
        <w:rPr>
          <w:rFonts w:hint="eastAsia" w:ascii="宋体" w:hAnsi="宋体" w:eastAsia="宋体" w:cs="宋体"/>
          <w:b/>
          <w:color w:val="auto"/>
          <w:lang w:eastAsia="zh-CN"/>
        </w:rPr>
        <w:t>12.1 承包人暂停施工的责任</w:t>
      </w:r>
      <w:bookmarkEnd w:id="1188"/>
      <w:bookmarkEnd w:id="1189"/>
      <w:bookmarkEnd w:id="1190"/>
    </w:p>
    <w:p>
      <w:pPr>
        <w:pStyle w:val="16"/>
        <w:spacing w:line="400" w:lineRule="exact"/>
        <w:ind w:firstLine="480" w:firstLineChars="200"/>
        <w:rPr>
          <w:rFonts w:ascii="宋体" w:hAnsi="宋体" w:eastAsia="宋体" w:cs="宋体"/>
          <w:color w:val="auto"/>
          <w:lang w:eastAsia="zh-CN"/>
        </w:rPr>
      </w:pPr>
      <w:bookmarkStart w:id="1191" w:name="_Toc221951209"/>
      <w:r>
        <w:rPr>
          <w:rFonts w:hint="eastAsia" w:ascii="宋体" w:hAnsi="宋体" w:eastAsia="宋体" w:cs="宋体"/>
          <w:color w:val="auto"/>
          <w:lang w:eastAsia="zh-CN"/>
        </w:rPr>
        <w:t>承包人承担暂停施工责任的其它情形：</w:t>
      </w:r>
      <w:r>
        <w:rPr>
          <w:rFonts w:hint="eastAsia" w:ascii="宋体" w:hAnsi="宋体" w:eastAsia="宋体" w:cs="宋体"/>
          <w:bCs/>
          <w:color w:val="auto"/>
          <w:u w:val="single"/>
          <w:lang w:eastAsia="zh-CN"/>
        </w:rPr>
        <w:t>属于下列任何一种情况引起的暂停施工，承包人不能提出增加费用和延长工期的要求</w:t>
      </w:r>
      <w:r>
        <w:rPr>
          <w:rFonts w:hint="eastAsia" w:ascii="宋体" w:hAnsi="宋体" w:eastAsia="宋体" w:cs="宋体"/>
          <w:color w:val="auto"/>
          <w:lang w:eastAsia="zh-CN"/>
        </w:rPr>
        <w:t>。</w:t>
      </w:r>
      <w:bookmarkEnd w:id="1191"/>
    </w:p>
    <w:p>
      <w:pPr>
        <w:pStyle w:val="15"/>
        <w:spacing w:line="400" w:lineRule="exact"/>
        <w:ind w:firstLine="600" w:firstLineChars="250"/>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① 合同中另有规定的。</w:t>
      </w:r>
    </w:p>
    <w:p>
      <w:pPr>
        <w:pStyle w:val="15"/>
        <w:spacing w:line="400" w:lineRule="exact"/>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 xml:space="preserve">     ② 由于承包人违约引起的暂停施工。</w:t>
      </w:r>
    </w:p>
    <w:p>
      <w:pPr>
        <w:pStyle w:val="15"/>
        <w:spacing w:line="400" w:lineRule="exact"/>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 xml:space="preserve">     ③ 由于现场非异常恶劣气候条件引起的正常停工。</w:t>
      </w:r>
    </w:p>
    <w:p>
      <w:pPr>
        <w:pStyle w:val="15"/>
        <w:spacing w:line="400" w:lineRule="exact"/>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 xml:space="preserve">     ④ 由于承包人为工程的合理施工和保证安全所必须的暂停施工。</w:t>
      </w:r>
    </w:p>
    <w:p>
      <w:pPr>
        <w:pStyle w:val="15"/>
        <w:spacing w:line="400" w:lineRule="exact"/>
        <w:rPr>
          <w:rFonts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 xml:space="preserve">     ⑤ 未得到监理人许可的承包人擅自停工。</w:t>
      </w:r>
    </w:p>
    <w:p>
      <w:pPr>
        <w:pStyle w:val="15"/>
        <w:spacing w:line="400" w:lineRule="exact"/>
        <w:rPr>
          <w:rFonts w:ascii="宋体" w:hAnsi="宋体" w:eastAsia="宋体" w:cs="宋体"/>
          <w:color w:val="auto"/>
          <w:sz w:val="24"/>
          <w:szCs w:val="24"/>
          <w:lang w:eastAsia="zh-CN"/>
        </w:rPr>
      </w:pPr>
      <w:r>
        <w:rPr>
          <w:rFonts w:hint="eastAsia" w:ascii="宋体" w:hAnsi="宋体" w:eastAsia="宋体" w:cs="宋体"/>
          <w:bCs/>
          <w:color w:val="auto"/>
          <w:sz w:val="24"/>
          <w:szCs w:val="24"/>
          <w:lang w:eastAsia="zh-CN"/>
        </w:rPr>
        <w:t xml:space="preserve">     ⑥ 其它由于承包人原因引起的暂停施工。</w:t>
      </w:r>
    </w:p>
    <w:p>
      <w:pPr>
        <w:pStyle w:val="16"/>
        <w:spacing w:line="400" w:lineRule="exact"/>
        <w:rPr>
          <w:rFonts w:ascii="宋体" w:hAnsi="宋体" w:eastAsia="宋体" w:cs="宋体"/>
          <w:b/>
          <w:color w:val="auto"/>
          <w:lang w:eastAsia="zh-CN"/>
        </w:rPr>
      </w:pPr>
      <w:bookmarkStart w:id="1192" w:name="_Toc26132"/>
      <w:bookmarkStart w:id="1193" w:name="_Toc25489"/>
      <w:r>
        <w:rPr>
          <w:rFonts w:hint="eastAsia" w:ascii="宋体" w:hAnsi="宋体" w:eastAsia="宋体" w:cs="宋体"/>
          <w:b/>
          <w:color w:val="auto"/>
          <w:lang w:eastAsia="zh-CN"/>
        </w:rPr>
        <w:t>12.2 发包人暂停施工的责任</w:t>
      </w:r>
      <w:bookmarkEnd w:id="1192"/>
      <w:bookmarkEnd w:id="1193"/>
    </w:p>
    <w:p>
      <w:pPr>
        <w:pStyle w:val="16"/>
        <w:spacing w:line="400" w:lineRule="exact"/>
        <w:rPr>
          <w:rFonts w:ascii="宋体" w:hAnsi="宋体" w:eastAsia="宋体" w:cs="宋体"/>
          <w:color w:val="auto"/>
          <w:lang w:eastAsia="zh-CN"/>
        </w:rPr>
      </w:pPr>
      <w:r>
        <w:rPr>
          <w:rFonts w:hint="eastAsia" w:ascii="宋体" w:hAnsi="宋体" w:eastAsia="宋体" w:cs="宋体"/>
          <w:color w:val="auto"/>
          <w:lang w:eastAsia="zh-CN"/>
        </w:rPr>
        <w:t>（3）发包人承担暂停施工责任的其它情形：</w:t>
      </w:r>
      <w:r>
        <w:rPr>
          <w:rFonts w:hint="eastAsia" w:ascii="宋体" w:hAnsi="宋体" w:eastAsia="宋体" w:cs="宋体"/>
          <w:bCs/>
          <w:color w:val="auto"/>
          <w:u w:val="single"/>
          <w:lang w:eastAsia="zh-CN"/>
        </w:rPr>
        <w:t>发包人可以根据资金到位情况暂停部分项目的施工，发包人只延长因该部分暂停施工增加的工期，但不增加投资</w:t>
      </w:r>
      <w:r>
        <w:rPr>
          <w:rFonts w:hint="eastAsia" w:ascii="宋体" w:hAnsi="宋体" w:eastAsia="宋体" w:cs="宋体"/>
          <w:color w:val="auto"/>
          <w:lang w:eastAsia="zh-CN"/>
        </w:rPr>
        <w:t>。</w:t>
      </w:r>
    </w:p>
    <w:p>
      <w:pPr>
        <w:pStyle w:val="52"/>
        <w:spacing w:before="0" w:after="0" w:line="400" w:lineRule="exact"/>
        <w:rPr>
          <w:rFonts w:ascii="宋体" w:hAnsi="宋体" w:eastAsia="宋体" w:cs="宋体"/>
          <w:color w:val="auto"/>
          <w:szCs w:val="32"/>
          <w:lang w:eastAsia="zh-CN"/>
        </w:rPr>
      </w:pPr>
      <w:bookmarkStart w:id="1194" w:name="_Toc2948181"/>
      <w:bookmarkStart w:id="1195" w:name="_Toc2936483"/>
      <w:bookmarkStart w:id="1196" w:name="_Toc2936727"/>
      <w:r>
        <w:rPr>
          <w:rFonts w:hint="eastAsia" w:ascii="宋体" w:hAnsi="宋体" w:eastAsia="宋体" w:cs="宋体"/>
          <w:color w:val="auto"/>
          <w:szCs w:val="32"/>
          <w:lang w:eastAsia="zh-CN"/>
        </w:rPr>
        <w:t>13.工程质量</w:t>
      </w:r>
      <w:bookmarkEnd w:id="1194"/>
      <w:bookmarkEnd w:id="1195"/>
      <w:bookmarkEnd w:id="1196"/>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13.7 质量评定</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13.7.4重要隐蔽单元工程和关键部位单元工程质量评定的约定：</w:t>
      </w:r>
      <w:r>
        <w:rPr>
          <w:rFonts w:hint="eastAsia" w:ascii="宋体" w:hAnsi="宋体" w:eastAsia="宋体" w:cs="宋体"/>
          <w:color w:val="auto"/>
          <w:u w:val="single"/>
          <w:lang w:eastAsia="zh-CN"/>
        </w:rPr>
        <w:t>经建设单位、施工单位、监理单位、设计单位联检合格后才能进行下一道工序的施工</w:t>
      </w:r>
      <w:r>
        <w:rPr>
          <w:rFonts w:hint="eastAsia" w:ascii="宋体" w:hAnsi="宋体" w:eastAsia="宋体" w:cs="宋体"/>
          <w:color w:val="auto"/>
          <w:lang w:eastAsia="zh-CN"/>
        </w:rPr>
        <w:t>。</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13.7.7工程合格标准为：</w:t>
      </w:r>
      <w:r>
        <w:rPr>
          <w:rFonts w:hint="eastAsia" w:ascii="宋体" w:hAnsi="宋体" w:eastAsia="宋体" w:cs="宋体"/>
          <w:color w:val="auto"/>
          <w:u w:val="single"/>
          <w:lang w:eastAsia="zh-CN"/>
        </w:rPr>
        <w:t>按《水利水电工程施工质量评定规程》进行质量检验评定，施工质量达到合格等级</w:t>
      </w:r>
      <w:r>
        <w:rPr>
          <w:rFonts w:hint="eastAsia" w:ascii="宋体" w:hAnsi="宋体" w:eastAsia="宋体" w:cs="宋体"/>
          <w:color w:val="auto"/>
          <w:lang w:eastAsia="zh-CN"/>
        </w:rPr>
        <w:t>；优良标准为：</w:t>
      </w:r>
      <w:r>
        <w:rPr>
          <w:rFonts w:hint="eastAsia" w:ascii="宋体" w:hAnsi="宋体" w:eastAsia="宋体" w:cs="宋体"/>
          <w:color w:val="auto"/>
          <w:u w:val="single"/>
          <w:lang w:eastAsia="zh-CN"/>
        </w:rPr>
        <w:t>按《水利水电工程施工质量评定规程》进行质量检验评定，施工质量达到优良等级</w:t>
      </w:r>
      <w:r>
        <w:rPr>
          <w:rFonts w:hint="eastAsia" w:ascii="宋体" w:hAnsi="宋体" w:eastAsia="宋体" w:cs="宋体"/>
          <w:color w:val="auto"/>
          <w:lang w:eastAsia="zh-CN"/>
        </w:rPr>
        <w:t>。达到优良的奖金为：</w:t>
      </w:r>
      <w:r>
        <w:rPr>
          <w:rFonts w:hint="eastAsia" w:ascii="宋体" w:hAnsi="宋体" w:eastAsia="宋体" w:cs="宋体"/>
          <w:color w:val="auto"/>
          <w:u w:val="single"/>
          <w:lang w:eastAsia="zh-CN"/>
        </w:rPr>
        <w:t xml:space="preserve"> 无 </w:t>
      </w:r>
      <w:r>
        <w:rPr>
          <w:rFonts w:hint="eastAsia" w:ascii="宋体" w:hAnsi="宋体" w:eastAsia="宋体" w:cs="宋体"/>
          <w:color w:val="auto"/>
          <w:lang w:eastAsia="zh-CN"/>
        </w:rPr>
        <w:t>。</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13.8质量事故处理</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13.8.4工程竣工验收时，</w:t>
      </w:r>
      <w:r>
        <w:rPr>
          <w:rFonts w:hint="eastAsia" w:ascii="宋体" w:hAnsi="宋体" w:eastAsia="宋体" w:cs="宋体"/>
          <w:color w:val="auto"/>
          <w:u w:val="single"/>
          <w:lang w:eastAsia="zh-CN"/>
        </w:rPr>
        <w:t>承包人及监理人分别</w:t>
      </w:r>
      <w:r>
        <w:rPr>
          <w:rFonts w:hint="eastAsia" w:ascii="宋体" w:hAnsi="宋体" w:eastAsia="宋体" w:cs="宋体"/>
          <w:color w:val="auto"/>
          <w:lang w:eastAsia="zh-CN"/>
        </w:rPr>
        <w:t>向竣工验收委员会汇报并提交历次质量缺陷处理的备案资料。</w:t>
      </w:r>
    </w:p>
    <w:p>
      <w:pPr>
        <w:pStyle w:val="52"/>
        <w:spacing w:before="0" w:after="0" w:line="400" w:lineRule="exact"/>
        <w:rPr>
          <w:rFonts w:ascii="宋体" w:hAnsi="宋体" w:eastAsia="宋体" w:cs="宋体"/>
          <w:color w:val="auto"/>
          <w:szCs w:val="32"/>
          <w:lang w:eastAsia="zh-CN"/>
        </w:rPr>
      </w:pPr>
      <w:bookmarkStart w:id="1197" w:name="_Toc2936728"/>
      <w:bookmarkStart w:id="1198" w:name="_Toc2936484"/>
      <w:bookmarkStart w:id="1199" w:name="_Toc2948182"/>
      <w:r>
        <w:rPr>
          <w:rFonts w:hint="eastAsia" w:ascii="宋体" w:hAnsi="宋体" w:eastAsia="宋体" w:cs="宋体"/>
          <w:color w:val="auto"/>
          <w:szCs w:val="32"/>
          <w:lang w:eastAsia="zh-CN"/>
        </w:rPr>
        <w:t>14. 试验和检验</w:t>
      </w:r>
      <w:bookmarkEnd w:id="1197"/>
      <w:bookmarkEnd w:id="1198"/>
      <w:bookmarkEnd w:id="1199"/>
    </w:p>
    <w:p>
      <w:pPr>
        <w:pStyle w:val="16"/>
        <w:spacing w:line="400" w:lineRule="exact"/>
        <w:rPr>
          <w:rFonts w:ascii="宋体" w:hAnsi="宋体" w:eastAsia="宋体" w:cs="宋体"/>
          <w:b/>
          <w:color w:val="auto"/>
          <w:lang w:eastAsia="zh-CN"/>
        </w:rPr>
      </w:pPr>
      <w:bookmarkStart w:id="1200" w:name="_Toc18338"/>
      <w:bookmarkStart w:id="1201" w:name="_Toc16329"/>
      <w:r>
        <w:rPr>
          <w:rFonts w:hint="eastAsia" w:ascii="宋体" w:hAnsi="宋体" w:eastAsia="宋体" w:cs="宋体"/>
          <w:b/>
          <w:color w:val="auto"/>
          <w:lang w:eastAsia="zh-CN"/>
        </w:rPr>
        <w:t>14.1 材料、工程设备和工程的试验和检验</w:t>
      </w:r>
      <w:bookmarkEnd w:id="1200"/>
      <w:bookmarkEnd w:id="1201"/>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14.1.5 水工金属结构、启闭机及机电产品进场后的交货检查和验收中，承包人负责</w:t>
      </w:r>
      <w:r>
        <w:rPr>
          <w:rFonts w:hint="eastAsia" w:ascii="宋体" w:hAnsi="宋体" w:eastAsia="宋体" w:cs="宋体"/>
          <w:color w:val="auto"/>
          <w:u w:val="single"/>
          <w:lang w:eastAsia="zh-CN"/>
        </w:rPr>
        <w:t xml:space="preserve">  全部工作，并保证质量和进度</w:t>
      </w:r>
      <w:r>
        <w:rPr>
          <w:rFonts w:hint="eastAsia" w:ascii="宋体" w:hAnsi="宋体" w:eastAsia="宋体" w:cs="宋体"/>
          <w:color w:val="auto"/>
          <w:lang w:eastAsia="zh-CN"/>
        </w:rPr>
        <w:t>。</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14.1.6本工程实行见证取样的试块、试件及有关材料：</w:t>
      </w:r>
      <w:r>
        <w:rPr>
          <w:rFonts w:hint="eastAsia" w:ascii="宋体" w:hAnsi="宋体" w:eastAsia="宋体" w:cs="宋体"/>
          <w:color w:val="auto"/>
          <w:u w:val="single"/>
          <w:lang w:eastAsia="zh-CN"/>
        </w:rPr>
        <w:t>砼试块、砂浆试块和土、水泥、砂、碎石、钢筋、砼等原材料及砂浆配合比、砼配合比、塑性砼配合比等</w:t>
      </w:r>
      <w:r>
        <w:rPr>
          <w:rFonts w:hint="eastAsia" w:ascii="宋体" w:hAnsi="宋体" w:eastAsia="宋体" w:cs="宋体"/>
          <w:color w:val="auto"/>
          <w:lang w:eastAsia="zh-CN"/>
        </w:rPr>
        <w:t>。</w:t>
      </w:r>
    </w:p>
    <w:p>
      <w:pPr>
        <w:pStyle w:val="52"/>
        <w:spacing w:before="0" w:after="0" w:line="400" w:lineRule="exact"/>
        <w:rPr>
          <w:rFonts w:ascii="宋体" w:hAnsi="宋体" w:eastAsia="宋体" w:cs="宋体"/>
          <w:color w:val="auto"/>
          <w:szCs w:val="32"/>
          <w:lang w:eastAsia="zh-CN"/>
        </w:rPr>
      </w:pPr>
      <w:bookmarkStart w:id="1202" w:name="_Toc222031041"/>
      <w:bookmarkStart w:id="1203" w:name="_Toc221951213"/>
      <w:bookmarkStart w:id="1204" w:name="_Toc2936729"/>
      <w:bookmarkStart w:id="1205" w:name="_Toc222032708"/>
      <w:bookmarkStart w:id="1206" w:name="_Toc229305396"/>
      <w:bookmarkStart w:id="1207" w:name="_Toc222033890"/>
      <w:bookmarkStart w:id="1208" w:name="_Toc2948183"/>
      <w:bookmarkStart w:id="1209" w:name="_Toc2936485"/>
      <w:bookmarkStart w:id="1210" w:name="_Toc222029539"/>
      <w:r>
        <w:rPr>
          <w:rFonts w:hint="eastAsia" w:ascii="宋体" w:hAnsi="宋体" w:eastAsia="宋体" w:cs="宋体"/>
          <w:color w:val="auto"/>
          <w:szCs w:val="32"/>
          <w:lang w:eastAsia="zh-CN"/>
        </w:rPr>
        <w:t>15. 变更</w:t>
      </w:r>
      <w:bookmarkEnd w:id="1202"/>
      <w:bookmarkEnd w:id="1203"/>
      <w:bookmarkEnd w:id="1204"/>
      <w:bookmarkEnd w:id="1205"/>
      <w:bookmarkEnd w:id="1206"/>
      <w:bookmarkEnd w:id="1207"/>
      <w:bookmarkEnd w:id="1208"/>
      <w:bookmarkEnd w:id="1209"/>
      <w:bookmarkEnd w:id="1210"/>
    </w:p>
    <w:p>
      <w:pPr>
        <w:pStyle w:val="16"/>
        <w:spacing w:line="400" w:lineRule="exact"/>
        <w:rPr>
          <w:rFonts w:ascii="宋体" w:hAnsi="宋体" w:eastAsia="宋体" w:cs="宋体"/>
          <w:b/>
          <w:color w:val="auto"/>
          <w:lang w:eastAsia="zh-CN"/>
        </w:rPr>
      </w:pPr>
      <w:bookmarkStart w:id="1211" w:name="_Toc29917"/>
      <w:bookmarkStart w:id="1212" w:name="_Toc221951214"/>
      <w:bookmarkStart w:id="1213" w:name="_Toc18733"/>
      <w:r>
        <w:rPr>
          <w:rFonts w:hint="eastAsia" w:ascii="宋体" w:hAnsi="宋体" w:eastAsia="宋体" w:cs="宋体"/>
          <w:b/>
          <w:color w:val="auto"/>
          <w:lang w:eastAsia="zh-CN"/>
        </w:rPr>
        <w:t>15.1 变更的范围和内容</w:t>
      </w:r>
      <w:bookmarkEnd w:id="1211"/>
      <w:bookmarkEnd w:id="1212"/>
      <w:bookmarkEnd w:id="1213"/>
    </w:p>
    <w:p>
      <w:pPr>
        <w:pStyle w:val="16"/>
        <w:spacing w:line="400" w:lineRule="exact"/>
        <w:ind w:firstLine="480" w:firstLineChars="200"/>
        <w:rPr>
          <w:rFonts w:ascii="宋体" w:hAnsi="宋体" w:eastAsia="宋体" w:cs="宋体"/>
          <w:color w:val="auto"/>
          <w:lang w:eastAsia="zh-CN"/>
        </w:rPr>
      </w:pPr>
      <w:bookmarkStart w:id="1214" w:name="_Toc221951216"/>
      <w:r>
        <w:rPr>
          <w:rFonts w:hint="eastAsia" w:ascii="宋体" w:hAnsi="宋体" w:eastAsia="宋体" w:cs="宋体"/>
          <w:color w:val="auto"/>
          <w:lang w:eastAsia="zh-CN"/>
        </w:rPr>
        <w:t>（6）增加或减少合同中关键项目的工程量超过其项目工程总量的</w:t>
      </w:r>
      <w:r>
        <w:rPr>
          <w:rFonts w:hint="eastAsia" w:ascii="宋体" w:hAnsi="宋体" w:eastAsia="宋体" w:cs="宋体"/>
          <w:color w:val="auto"/>
          <w:u w:val="single"/>
          <w:lang w:eastAsia="zh-CN"/>
        </w:rPr>
        <w:t>10</w:t>
      </w:r>
      <w:r>
        <w:rPr>
          <w:rFonts w:hint="eastAsia" w:ascii="宋体" w:hAnsi="宋体" w:eastAsia="宋体" w:cs="宋体"/>
          <w:color w:val="auto"/>
          <w:lang w:eastAsia="zh-CN"/>
        </w:rPr>
        <w:t>％</w:t>
      </w:r>
      <w:bookmarkEnd w:id="1214"/>
      <w:r>
        <w:rPr>
          <w:rFonts w:hint="eastAsia" w:ascii="宋体" w:hAnsi="宋体" w:eastAsia="宋体" w:cs="宋体"/>
          <w:color w:val="auto"/>
          <w:lang w:eastAsia="zh-CN"/>
        </w:rPr>
        <w:t>，关键项目：</w:t>
      </w:r>
      <w:r>
        <w:rPr>
          <w:rFonts w:hint="eastAsia" w:ascii="宋体" w:hAnsi="宋体" w:eastAsia="宋体" w:cs="宋体"/>
          <w:color w:val="auto"/>
          <w:u w:val="single"/>
          <w:lang w:eastAsia="zh-CN"/>
        </w:rPr>
        <w:t>质量监督站核定的项目划分表确定关键项目</w:t>
      </w:r>
      <w:r>
        <w:rPr>
          <w:rFonts w:hint="eastAsia" w:ascii="宋体" w:hAnsi="宋体" w:eastAsia="宋体" w:cs="宋体"/>
          <w:color w:val="auto"/>
          <w:lang w:eastAsia="zh-CN"/>
        </w:rPr>
        <w:t>，单价调整方式：</w:t>
      </w:r>
      <w:r>
        <w:rPr>
          <w:rFonts w:hint="eastAsia" w:ascii="宋体" w:hAnsi="宋体" w:eastAsia="宋体" w:cs="宋体"/>
          <w:color w:val="auto"/>
          <w:u w:val="single"/>
          <w:lang w:eastAsia="zh-CN"/>
        </w:rPr>
        <w:t>按承包人投标预算单价执行。无项目单价的按发包方与承包方确认的补充单价确定。在工程施工期间，因市场物价波动及政策变化而进行调整材料价格，超出招标预算中该材料的预算价格的，按本合同专用条款第16款执行</w:t>
      </w:r>
      <w:r>
        <w:rPr>
          <w:rFonts w:hint="eastAsia" w:ascii="宋体" w:hAnsi="宋体" w:eastAsia="宋体" w:cs="宋体"/>
          <w:color w:val="auto"/>
          <w:lang w:eastAsia="zh-CN"/>
        </w:rPr>
        <w:t>。</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15.4 变更的估价原则</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15.4.3已标价工程量清单中无适用或类似子目的单价，按照以下原则确定:①有定额可套的，套用编制控制价所选定额计算，并乘以中标价下浮系数（中标价下浮系数为中标价与控制价的比值），其中材料价格有信息价的按当地同期信息价，无信息的由发包人、承包人、监理人市场询价确定。②无定额可套的，由发包人、承包人、监理人市场询价确定。</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15.5 承包人的合理化建议</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15.5.2承包人实现合理化建议的奖励金额为：</w:t>
      </w:r>
      <w:bookmarkStart w:id="1215" w:name="_Toc221951220"/>
      <w:r>
        <w:rPr>
          <w:rFonts w:hint="eastAsia" w:ascii="宋体" w:hAnsi="宋体" w:eastAsia="宋体" w:cs="宋体"/>
          <w:color w:val="auto"/>
          <w:u w:val="single"/>
          <w:lang w:eastAsia="zh-CN"/>
        </w:rPr>
        <w:t xml:space="preserve">   /  </w:t>
      </w:r>
      <w:r>
        <w:rPr>
          <w:rFonts w:hint="eastAsia" w:ascii="宋体" w:hAnsi="宋体" w:eastAsia="宋体" w:cs="宋体"/>
          <w:color w:val="auto"/>
          <w:lang w:eastAsia="zh-CN"/>
        </w:rPr>
        <w:t>。</w:t>
      </w:r>
      <w:bookmarkEnd w:id="1215"/>
    </w:p>
    <w:p>
      <w:pPr>
        <w:pStyle w:val="52"/>
        <w:spacing w:before="0" w:after="0" w:line="400" w:lineRule="exact"/>
        <w:rPr>
          <w:rFonts w:ascii="宋体" w:hAnsi="宋体" w:eastAsia="宋体" w:cs="宋体"/>
          <w:b/>
          <w:bCs/>
          <w:color w:val="auto"/>
          <w:szCs w:val="32"/>
          <w:lang w:eastAsia="zh-CN"/>
        </w:rPr>
      </w:pPr>
      <w:bookmarkStart w:id="1216" w:name="_Toc229305397"/>
      <w:bookmarkStart w:id="1217" w:name="_Toc2948184"/>
      <w:bookmarkStart w:id="1218" w:name="_Toc2936486"/>
      <w:bookmarkStart w:id="1219" w:name="_Toc2936730"/>
      <w:r>
        <w:rPr>
          <w:rFonts w:hint="eastAsia" w:ascii="宋体" w:hAnsi="宋体" w:eastAsia="宋体" w:cs="宋体"/>
          <w:b/>
          <w:bCs/>
          <w:color w:val="auto"/>
          <w:szCs w:val="32"/>
          <w:lang w:eastAsia="zh-CN"/>
        </w:rPr>
        <w:t>16 价格调整</w:t>
      </w:r>
      <w:bookmarkEnd w:id="1216"/>
      <w:bookmarkEnd w:id="1217"/>
      <w:bookmarkEnd w:id="1218"/>
      <w:bookmarkEnd w:id="1219"/>
    </w:p>
    <w:p>
      <w:pPr>
        <w:pStyle w:val="16"/>
        <w:spacing w:line="400" w:lineRule="exact"/>
        <w:rPr>
          <w:rFonts w:ascii="宋体" w:hAnsi="宋体" w:eastAsia="宋体" w:cs="宋体"/>
          <w:b/>
          <w:color w:val="auto"/>
          <w:lang w:eastAsia="zh-CN"/>
        </w:rPr>
      </w:pPr>
      <w:bookmarkStart w:id="1220" w:name="_Toc4599"/>
      <w:bookmarkStart w:id="1221" w:name="_Toc18388"/>
      <w:r>
        <w:rPr>
          <w:rFonts w:hint="eastAsia" w:ascii="宋体" w:hAnsi="宋体" w:eastAsia="宋体" w:cs="宋体"/>
          <w:b/>
          <w:color w:val="auto"/>
          <w:lang w:eastAsia="zh-CN"/>
        </w:rPr>
        <w:t>16.1 物价波动引起的价格调整</w:t>
      </w:r>
      <w:bookmarkEnd w:id="1220"/>
      <w:bookmarkEnd w:id="1221"/>
    </w:p>
    <w:p>
      <w:pPr>
        <w:pStyle w:val="16"/>
        <w:spacing w:line="400" w:lineRule="exact"/>
        <w:ind w:firstLine="240" w:firstLineChars="100"/>
        <w:rPr>
          <w:rFonts w:ascii="宋体" w:hAnsi="宋体" w:eastAsia="宋体" w:cs="宋体"/>
          <w:color w:val="auto"/>
          <w:lang w:eastAsia="zh-CN"/>
        </w:rPr>
      </w:pPr>
      <w:r>
        <w:rPr>
          <w:rFonts w:hint="eastAsia" w:ascii="宋体" w:hAnsi="宋体" w:eastAsia="宋体" w:cs="宋体"/>
          <w:color w:val="auto"/>
          <w:highlight w:val="white"/>
          <w:lang w:eastAsia="zh-CN"/>
        </w:rPr>
        <w:t>□</w:t>
      </w:r>
      <w:r>
        <w:rPr>
          <w:rFonts w:hint="eastAsia" w:ascii="宋体" w:hAnsi="宋体" w:eastAsia="宋体" w:cs="宋体"/>
          <w:color w:val="auto"/>
          <w:lang w:eastAsia="zh-CN"/>
        </w:rPr>
        <w:t>本项目不因为物价波动原因引起合同价格变动而调整。</w:t>
      </w:r>
    </w:p>
    <w:p>
      <w:pPr>
        <w:pStyle w:val="16"/>
        <w:spacing w:line="400" w:lineRule="exact"/>
        <w:ind w:firstLine="240" w:firstLineChars="100"/>
        <w:rPr>
          <w:rFonts w:ascii="宋体" w:hAnsi="宋体" w:eastAsia="宋体" w:cs="宋体"/>
          <w:color w:val="auto"/>
          <w:lang w:eastAsia="zh-CN"/>
        </w:rPr>
      </w:pPr>
      <w:r>
        <w:rPr>
          <w:rFonts w:hint="eastAsia" w:ascii="宋体" w:hAnsi="宋体" w:eastAsia="宋体" w:cs="宋体"/>
          <w:color w:val="auto"/>
          <w:highlight w:val="white"/>
          <w:lang w:eastAsia="zh-CN"/>
        </w:rPr>
        <w:t>☑</w:t>
      </w:r>
      <w:r>
        <w:rPr>
          <w:rFonts w:hint="eastAsia" w:ascii="宋体" w:hAnsi="宋体" w:eastAsia="宋体" w:cs="宋体"/>
          <w:color w:val="auto"/>
          <w:lang w:eastAsia="zh-CN"/>
        </w:rPr>
        <w:t>本项目由于物价波动原因引起合同价格变动时，对其价格按下列方式进行调整。</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16.1.1物价波动引起的价格调整方式：</w:t>
      </w:r>
      <w:r>
        <w:rPr>
          <w:rFonts w:hint="eastAsia" w:ascii="宋体" w:hAnsi="宋体" w:eastAsia="宋体" w:cs="宋体"/>
          <w:color w:val="auto"/>
          <w:u w:val="single"/>
          <w:lang w:eastAsia="zh-CN"/>
        </w:rPr>
        <w:t xml:space="preserve">主要材料价格变化幅度超过±10%时，超过±10%的部分调整材料价差，并计列相应的税金 </w:t>
      </w:r>
      <w:r>
        <w:rPr>
          <w:rFonts w:hint="eastAsia" w:ascii="宋体" w:hAnsi="宋体" w:eastAsia="宋体" w:cs="宋体"/>
          <w:color w:val="auto"/>
          <w:lang w:eastAsia="zh-CN"/>
        </w:rPr>
        <w:t>。</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16.1.2 调整价格的主要材料：</w:t>
      </w:r>
      <w:r>
        <w:rPr>
          <w:rFonts w:hint="eastAsia" w:ascii="宋体" w:hAnsi="宋体" w:eastAsia="宋体" w:cs="宋体"/>
          <w:color w:val="auto"/>
          <w:u w:val="single"/>
          <w:lang w:eastAsia="zh-CN"/>
        </w:rPr>
        <w:t>仅对在市场上购买的水泥、钢材、砂、碎石、块石、镀锌管及 PE 管等管材进行补差，其他材料价格一律不予调整</w:t>
      </w:r>
      <w:r>
        <w:rPr>
          <w:rFonts w:hint="eastAsia" w:ascii="宋体" w:hAnsi="宋体" w:eastAsia="宋体" w:cs="宋体"/>
          <w:color w:val="auto"/>
          <w:lang w:eastAsia="zh-CN"/>
        </w:rPr>
        <w:t>。</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16.1.3主要材料补差的计算方法：</w:t>
      </w:r>
      <w:r>
        <w:rPr>
          <w:rFonts w:hint="eastAsia" w:ascii="宋体" w:hAnsi="宋体" w:eastAsia="宋体" w:cs="宋体"/>
          <w:color w:val="auto"/>
          <w:u w:val="single"/>
          <w:lang w:eastAsia="zh-CN"/>
        </w:rPr>
        <w:t>按公式“△A=Q*【A-A</w:t>
      </w:r>
      <w:r>
        <w:rPr>
          <w:rFonts w:hint="eastAsia" w:ascii="宋体" w:hAnsi="宋体" w:eastAsia="宋体" w:cs="宋体"/>
          <w:color w:val="auto"/>
          <w:u w:val="single"/>
          <w:vertAlign w:val="subscript"/>
          <w:lang w:eastAsia="zh-CN"/>
        </w:rPr>
        <w:t>0</w:t>
      </w:r>
      <w:r>
        <w:rPr>
          <w:rFonts w:hint="eastAsia" w:ascii="宋体" w:hAnsi="宋体" w:eastAsia="宋体" w:cs="宋体"/>
          <w:color w:val="auto"/>
          <w:u w:val="single"/>
          <w:lang w:eastAsia="zh-CN"/>
        </w:rPr>
        <w:t>*（1±10%）*（1+P%）】”进行计算补差</w:t>
      </w:r>
      <w:r>
        <w:rPr>
          <w:rFonts w:hint="eastAsia" w:ascii="宋体" w:hAnsi="宋体" w:eastAsia="宋体" w:cs="宋体"/>
          <w:color w:val="auto"/>
          <w:lang w:eastAsia="zh-CN"/>
        </w:rPr>
        <w:t>。</w:t>
      </w:r>
    </w:p>
    <w:p>
      <w:pPr>
        <w:pStyle w:val="16"/>
        <w:adjustRightInd w:val="0"/>
        <w:snapToGrid w:val="0"/>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 xml:space="preserve">其中：△A---主要材料补差款； </w:t>
      </w:r>
    </w:p>
    <w:p>
      <w:pPr>
        <w:pStyle w:val="16"/>
        <w:adjustRightInd w:val="0"/>
        <w:snapToGrid w:val="0"/>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 xml:space="preserve">        Q---结算完成工程量统计的主要材料用量；</w:t>
      </w:r>
    </w:p>
    <w:p>
      <w:pPr>
        <w:pStyle w:val="16"/>
        <w:adjustRightInd w:val="0"/>
        <w:snapToGrid w:val="0"/>
        <w:spacing w:line="400" w:lineRule="exact"/>
        <w:ind w:firstLine="1440" w:firstLineChars="600"/>
        <w:rPr>
          <w:rFonts w:ascii="宋体" w:hAnsi="宋体" w:eastAsia="宋体" w:cs="宋体"/>
          <w:color w:val="auto"/>
          <w:lang w:eastAsia="zh-CN"/>
        </w:rPr>
      </w:pPr>
      <w:r>
        <w:rPr>
          <w:rFonts w:hint="eastAsia" w:ascii="宋体" w:hAnsi="宋体" w:eastAsia="宋体" w:cs="宋体"/>
          <w:color w:val="auto"/>
          <w:lang w:eastAsia="zh-CN"/>
        </w:rPr>
        <w:t>A---结算期主要材料价格；</w:t>
      </w:r>
    </w:p>
    <w:p>
      <w:pPr>
        <w:pStyle w:val="16"/>
        <w:adjustRightInd w:val="0"/>
        <w:snapToGrid w:val="0"/>
        <w:spacing w:line="400" w:lineRule="exact"/>
        <w:ind w:firstLine="1440" w:firstLineChars="600"/>
        <w:rPr>
          <w:rFonts w:ascii="宋体" w:hAnsi="宋体" w:eastAsia="宋体" w:cs="宋体"/>
          <w:color w:val="auto"/>
          <w:lang w:eastAsia="zh-CN"/>
        </w:rPr>
      </w:pPr>
      <w:r>
        <w:rPr>
          <w:rFonts w:hint="eastAsia" w:ascii="宋体" w:hAnsi="宋体" w:eastAsia="宋体" w:cs="宋体"/>
          <w:color w:val="auto"/>
          <w:lang w:eastAsia="zh-CN"/>
        </w:rPr>
        <w:t>A</w:t>
      </w:r>
      <w:r>
        <w:rPr>
          <w:rFonts w:hint="eastAsia" w:ascii="宋体" w:hAnsi="宋体" w:eastAsia="宋体" w:cs="宋体"/>
          <w:color w:val="auto"/>
          <w:vertAlign w:val="subscript"/>
          <w:lang w:eastAsia="zh-CN"/>
        </w:rPr>
        <w:t>0</w:t>
      </w:r>
      <w:r>
        <w:rPr>
          <w:rFonts w:hint="eastAsia" w:ascii="宋体" w:hAnsi="宋体" w:eastAsia="宋体" w:cs="宋体"/>
          <w:color w:val="auto"/>
          <w:lang w:eastAsia="zh-CN"/>
        </w:rPr>
        <w:t>---基准期主要材料价格</w:t>
      </w:r>
    </w:p>
    <w:p>
      <w:pPr>
        <w:pStyle w:val="16"/>
        <w:adjustRightInd w:val="0"/>
        <w:snapToGrid w:val="0"/>
        <w:spacing w:line="400" w:lineRule="exact"/>
        <w:ind w:firstLine="1440" w:firstLineChars="600"/>
        <w:rPr>
          <w:rFonts w:ascii="宋体" w:hAnsi="宋体" w:eastAsia="宋体" w:cs="宋体"/>
          <w:color w:val="auto"/>
          <w:lang w:eastAsia="zh-CN"/>
        </w:rPr>
      </w:pPr>
      <w:r>
        <w:rPr>
          <w:rFonts w:hint="eastAsia" w:ascii="宋体" w:hAnsi="宋体" w:eastAsia="宋体" w:cs="宋体"/>
          <w:color w:val="auto"/>
          <w:lang w:eastAsia="zh-CN"/>
        </w:rPr>
        <w:t>P---相应税率</w:t>
      </w:r>
    </w:p>
    <w:p>
      <w:pPr>
        <w:pStyle w:val="16"/>
        <w:spacing w:line="400" w:lineRule="exact"/>
        <w:ind w:firstLine="480" w:firstLineChars="200"/>
        <w:rPr>
          <w:rFonts w:ascii="宋体" w:hAnsi="宋体" w:eastAsia="宋体" w:cs="宋体"/>
          <w:color w:val="auto"/>
          <w:lang w:eastAsia="zh-CN"/>
        </w:rPr>
      </w:pPr>
      <w:bookmarkStart w:id="1222" w:name="_Toc2948185"/>
      <w:bookmarkStart w:id="1223" w:name="_Toc221951223"/>
      <w:bookmarkStart w:id="1224" w:name="_Toc222033891"/>
      <w:bookmarkStart w:id="1225" w:name="_Toc229305398"/>
      <w:bookmarkStart w:id="1226" w:name="_Toc222029540"/>
      <w:bookmarkStart w:id="1227" w:name="_Toc222032709"/>
      <w:bookmarkStart w:id="1228" w:name="_Toc2936487"/>
      <w:bookmarkStart w:id="1229" w:name="_Toc2936731"/>
      <w:bookmarkStart w:id="1230" w:name="_Toc222031042"/>
      <w:r>
        <w:rPr>
          <w:rFonts w:hint="eastAsia" w:ascii="宋体" w:hAnsi="宋体" w:eastAsia="宋体" w:cs="宋体"/>
          <w:color w:val="auto"/>
          <w:lang w:eastAsia="zh-CN"/>
        </w:rPr>
        <w:t>16.1.4采用造价信息调整价格差额：</w:t>
      </w:r>
      <w:r>
        <w:rPr>
          <w:rFonts w:hint="eastAsia" w:ascii="宋体" w:hAnsi="宋体" w:eastAsia="宋体" w:cs="宋体"/>
          <w:color w:val="auto"/>
          <w:u w:val="single"/>
          <w:lang w:eastAsia="zh-CN"/>
        </w:rPr>
        <w:t>（1）基准期主要补差材料基准价格：以发布施工招标上限控制价《南宁市建设工程造价信息》中发布的主要材料市场价为基准，信息价没有刊登的材料根据市场询价来确定价格。（2）结算期主要材料价格：结算月度出版的《南宁建设工程造价信息》（工程所在地）中发布的主要材料信息价格；(3)主要材料补差按季度结算，在下一季度第一个月结算上一季度的主要材料补差款，如逾期不办理，不再予以补差</w:t>
      </w:r>
      <w:r>
        <w:rPr>
          <w:rFonts w:hint="eastAsia" w:ascii="宋体" w:hAnsi="宋体" w:eastAsia="宋体" w:cs="宋体"/>
          <w:color w:val="auto"/>
          <w:lang w:eastAsia="zh-CN"/>
        </w:rPr>
        <w:t>。</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工程造价信息的来源：</w:t>
      </w:r>
      <w:r>
        <w:rPr>
          <w:rFonts w:hint="eastAsia" w:ascii="宋体" w:hAnsi="宋体" w:eastAsia="宋体" w:cs="宋体"/>
          <w:color w:val="auto"/>
          <w:u w:val="single"/>
          <w:lang w:eastAsia="zh-CN"/>
        </w:rPr>
        <w:t>以《南宁市建设工程造价信息》的发布期以实际发出招标工程量清单中注明的为准</w:t>
      </w:r>
      <w:r>
        <w:rPr>
          <w:rFonts w:hint="eastAsia" w:ascii="宋体" w:hAnsi="宋体" w:eastAsia="宋体" w:cs="宋体"/>
          <w:color w:val="auto"/>
          <w:lang w:eastAsia="zh-CN"/>
        </w:rPr>
        <w:t>。</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价格调整的项目和系数：</w:t>
      </w:r>
      <w:r>
        <w:rPr>
          <w:rFonts w:hint="eastAsia" w:ascii="宋体" w:hAnsi="宋体" w:eastAsia="宋体" w:cs="宋体"/>
          <w:color w:val="auto"/>
          <w:u w:val="single"/>
          <w:lang w:eastAsia="zh-CN"/>
        </w:rPr>
        <w:t xml:space="preserve">计算季度以最后一期《南宁市建设工程造价信息》（工程所在地）主要补差材料信息价格高于基准期主要补差材料基准价格10%的，承包人提出书面报告，由发包人在7个工作日内确认后对超过部分以价格之差予以价差调整。承包人应当在以上情况发生后14天内，将调整原因、金额以书面形式通知监理工程师，监理工程师确认调整金额后作为追加合同价款，经财政部门认可后与工程款同期支付。（2）计算季度以最后一期《南宁市建设工程造价信息》（工程所在地）主要补差材料信息价格低于基准期主要补差材料基准价格10%的，发包人在当期合同款中对超过部分予以价差调整并扣除相关款项。材料补差不以承包人做出的工地价为依据，也不考虑对运杂费、采保费和保险费进行补差 </w:t>
      </w:r>
      <w:r>
        <w:rPr>
          <w:rFonts w:hint="eastAsia" w:ascii="宋体" w:hAnsi="宋体" w:eastAsia="宋体" w:cs="宋体"/>
          <w:color w:val="auto"/>
          <w:lang w:eastAsia="zh-CN"/>
        </w:rPr>
        <w:t>。</w:t>
      </w:r>
    </w:p>
    <w:p>
      <w:pPr>
        <w:pStyle w:val="52"/>
        <w:spacing w:before="0" w:after="0" w:line="400" w:lineRule="exact"/>
        <w:rPr>
          <w:rFonts w:ascii="宋体" w:hAnsi="宋体" w:eastAsia="宋体" w:cs="宋体"/>
          <w:b/>
          <w:bCs/>
          <w:color w:val="auto"/>
          <w:szCs w:val="32"/>
          <w:lang w:eastAsia="zh-CN"/>
        </w:rPr>
      </w:pPr>
      <w:r>
        <w:rPr>
          <w:rFonts w:hint="eastAsia" w:ascii="宋体" w:hAnsi="宋体" w:eastAsia="宋体" w:cs="宋体"/>
          <w:b/>
          <w:bCs/>
          <w:color w:val="auto"/>
          <w:szCs w:val="32"/>
          <w:lang w:eastAsia="zh-CN"/>
        </w:rPr>
        <w:t>17. 计量与支付</w:t>
      </w:r>
      <w:bookmarkEnd w:id="1222"/>
      <w:bookmarkEnd w:id="1223"/>
      <w:bookmarkEnd w:id="1224"/>
      <w:bookmarkEnd w:id="1225"/>
      <w:bookmarkEnd w:id="1226"/>
      <w:bookmarkEnd w:id="1227"/>
      <w:bookmarkEnd w:id="1228"/>
      <w:bookmarkEnd w:id="1229"/>
      <w:bookmarkEnd w:id="1230"/>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17.2 预付款</w:t>
      </w:r>
    </w:p>
    <w:p>
      <w:pPr>
        <w:pStyle w:val="16"/>
        <w:spacing w:line="400" w:lineRule="exact"/>
        <w:ind w:firstLine="482" w:firstLineChars="200"/>
        <w:rPr>
          <w:rFonts w:hint="eastAsia" w:ascii="宋体" w:hAnsi="宋体" w:eastAsia="宋体" w:cs="宋体"/>
          <w:color w:val="auto"/>
          <w:lang w:eastAsia="zh-CN"/>
        </w:rPr>
      </w:pPr>
      <w:r>
        <w:rPr>
          <w:rFonts w:hint="eastAsia" w:ascii="宋体" w:hAnsi="宋体" w:eastAsia="宋体" w:cs="宋体"/>
          <w:b/>
          <w:bCs/>
          <w:color w:val="auto"/>
          <w:lang w:eastAsia="zh-CN"/>
        </w:rPr>
        <w:t>17.2.1预付款</w:t>
      </w:r>
      <w:bookmarkStart w:id="1231" w:name="_Toc221951246"/>
    </w:p>
    <w:p>
      <w:pPr>
        <w:pStyle w:val="16"/>
        <w:spacing w:line="400" w:lineRule="exact"/>
        <w:ind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工程预付款的总金额为签约合同价（扣除暂列金额）的</w:t>
      </w:r>
      <w:r>
        <w:rPr>
          <w:rFonts w:hint="eastAsia" w:ascii="宋体" w:hAnsi="宋体" w:eastAsia="宋体" w:cs="宋体"/>
          <w:color w:val="auto"/>
          <w:u w:val="single"/>
          <w:lang w:eastAsia="zh-CN"/>
        </w:rPr>
        <w:t xml:space="preserve"> 30 </w:t>
      </w:r>
      <w:r>
        <w:rPr>
          <w:rFonts w:hint="eastAsia" w:ascii="宋体" w:hAnsi="宋体" w:eastAsia="宋体" w:cs="宋体"/>
          <w:color w:val="auto"/>
          <w:u w:val="none"/>
          <w:lang w:eastAsia="zh-CN"/>
        </w:rPr>
        <w:t>%</w:t>
      </w:r>
      <w:r>
        <w:rPr>
          <w:rFonts w:hint="eastAsia" w:ascii="宋体" w:hAnsi="宋体" w:eastAsia="宋体" w:cs="宋体"/>
          <w:color w:val="auto"/>
          <w:lang w:eastAsia="zh-CN"/>
        </w:rPr>
        <w:t>支付给承包人。</w:t>
      </w:r>
    </w:p>
    <w:p>
      <w:pPr>
        <w:pStyle w:val="16"/>
        <w:spacing w:line="400" w:lineRule="exact"/>
        <w:ind w:firstLine="482" w:firstLineChars="200"/>
        <w:rPr>
          <w:rFonts w:hint="eastAsia" w:ascii="宋体" w:hAnsi="宋体" w:eastAsia="宋体" w:cs="宋体"/>
          <w:color w:val="auto"/>
          <w:lang w:eastAsia="zh-CN"/>
        </w:rPr>
      </w:pPr>
      <w:r>
        <w:rPr>
          <w:rFonts w:hint="eastAsia" w:ascii="宋体" w:hAnsi="宋体" w:eastAsia="宋体" w:cs="宋体"/>
          <w:b/>
          <w:bCs/>
          <w:color w:val="auto"/>
          <w:lang w:eastAsia="zh-CN"/>
        </w:rPr>
        <w:t>17.2.2 预付款保函（担保）</w:t>
      </w:r>
    </w:p>
    <w:p>
      <w:pPr>
        <w:pStyle w:val="16"/>
        <w:spacing w:line="400" w:lineRule="exact"/>
        <w:ind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工程材料预付款的担保约定为：</w:t>
      </w:r>
      <w:r>
        <w:rPr>
          <w:rFonts w:hint="eastAsia" w:ascii="宋体" w:hAnsi="宋体" w:eastAsia="宋体" w:cs="宋体"/>
          <w:color w:val="auto"/>
          <w:u w:val="single"/>
          <w:lang w:eastAsia="zh-CN"/>
        </w:rPr>
        <w:t>无，交有履约保证金或出具履约保函即可</w:t>
      </w:r>
      <w:r>
        <w:rPr>
          <w:rFonts w:hint="eastAsia" w:ascii="宋体" w:hAnsi="宋体" w:eastAsia="宋体" w:cs="宋体"/>
          <w:color w:val="auto"/>
          <w:lang w:eastAsia="zh-CN"/>
        </w:rPr>
        <w:t xml:space="preserve"> 。</w:t>
      </w:r>
    </w:p>
    <w:p>
      <w:pPr>
        <w:pStyle w:val="16"/>
        <w:spacing w:line="400" w:lineRule="exact"/>
        <w:ind w:firstLine="482" w:firstLineChars="200"/>
        <w:rPr>
          <w:rFonts w:hint="eastAsia" w:ascii="宋体" w:hAnsi="宋体" w:eastAsia="宋体" w:cs="宋体"/>
          <w:color w:val="auto"/>
          <w:lang w:eastAsia="zh-CN"/>
        </w:rPr>
      </w:pPr>
      <w:r>
        <w:rPr>
          <w:rFonts w:hint="eastAsia" w:ascii="宋体" w:hAnsi="宋体" w:eastAsia="宋体" w:cs="宋体"/>
          <w:b/>
          <w:bCs/>
          <w:color w:val="auto"/>
          <w:lang w:eastAsia="zh-CN"/>
        </w:rPr>
        <w:t>17.2.3 预付款的扣回与还清</w:t>
      </w:r>
    </w:p>
    <w:p>
      <w:pPr>
        <w:pStyle w:val="16"/>
        <w:spacing w:line="400" w:lineRule="exact"/>
        <w:ind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预付款分四次扣回，第一次扣回在工程款进度达到合同价</w:t>
      </w:r>
      <w:r>
        <w:rPr>
          <w:rFonts w:hint="eastAsia" w:ascii="宋体" w:hAnsi="宋体" w:eastAsia="宋体" w:cs="宋体"/>
          <w:color w:val="auto"/>
          <w:u w:val="single"/>
          <w:lang w:eastAsia="zh-CN"/>
        </w:rPr>
        <w:t>30</w:t>
      </w:r>
      <w:r>
        <w:rPr>
          <w:rFonts w:hint="eastAsia" w:ascii="宋体" w:hAnsi="宋体" w:eastAsia="宋体" w:cs="宋体"/>
          <w:color w:val="auto"/>
          <w:lang w:eastAsia="zh-CN"/>
        </w:rPr>
        <w:t>%后扣回已支付预付款的</w:t>
      </w:r>
      <w:r>
        <w:rPr>
          <w:rFonts w:hint="eastAsia" w:ascii="宋体" w:hAnsi="宋体" w:eastAsia="宋体" w:cs="宋体"/>
          <w:color w:val="auto"/>
          <w:u w:val="single"/>
          <w:lang w:eastAsia="zh-CN"/>
        </w:rPr>
        <w:t>30</w:t>
      </w:r>
      <w:r>
        <w:rPr>
          <w:rFonts w:hint="eastAsia" w:ascii="宋体" w:hAnsi="宋体" w:eastAsia="宋体" w:cs="宋体"/>
          <w:color w:val="auto"/>
          <w:lang w:eastAsia="zh-CN"/>
        </w:rPr>
        <w:t>%，第二次扣回在工程款进度达到合同价</w:t>
      </w:r>
      <w:r>
        <w:rPr>
          <w:rFonts w:hint="eastAsia" w:ascii="宋体" w:hAnsi="宋体" w:eastAsia="宋体" w:cs="宋体"/>
          <w:color w:val="auto"/>
          <w:u w:val="single"/>
          <w:lang w:eastAsia="zh-CN"/>
        </w:rPr>
        <w:t>50</w:t>
      </w:r>
      <w:r>
        <w:rPr>
          <w:rFonts w:hint="eastAsia" w:ascii="宋体" w:hAnsi="宋体" w:eastAsia="宋体" w:cs="宋体"/>
          <w:color w:val="auto"/>
          <w:lang w:eastAsia="zh-CN"/>
        </w:rPr>
        <w:t>%后扣回已支付预付款的</w:t>
      </w:r>
      <w:r>
        <w:rPr>
          <w:rFonts w:hint="eastAsia" w:ascii="宋体" w:hAnsi="宋体" w:eastAsia="宋体" w:cs="宋体"/>
          <w:color w:val="auto"/>
          <w:u w:val="single"/>
          <w:lang w:eastAsia="zh-CN"/>
        </w:rPr>
        <w:t>30</w:t>
      </w:r>
      <w:r>
        <w:rPr>
          <w:rFonts w:hint="eastAsia" w:ascii="宋体" w:hAnsi="宋体" w:eastAsia="宋体" w:cs="宋体"/>
          <w:color w:val="auto"/>
          <w:lang w:eastAsia="zh-CN"/>
        </w:rPr>
        <w:t>%，第三次扣回在工程款进度达到合同价</w:t>
      </w:r>
      <w:r>
        <w:rPr>
          <w:rFonts w:hint="eastAsia" w:ascii="宋体" w:hAnsi="宋体" w:eastAsia="宋体" w:cs="宋体"/>
          <w:color w:val="auto"/>
          <w:u w:val="single"/>
          <w:lang w:eastAsia="zh-CN"/>
        </w:rPr>
        <w:t>70</w:t>
      </w:r>
      <w:r>
        <w:rPr>
          <w:rFonts w:hint="eastAsia" w:ascii="宋体" w:hAnsi="宋体" w:eastAsia="宋体" w:cs="宋体"/>
          <w:color w:val="auto"/>
          <w:lang w:eastAsia="zh-CN"/>
        </w:rPr>
        <w:t>%后扣回已支付预付款的</w:t>
      </w:r>
      <w:r>
        <w:rPr>
          <w:rFonts w:hint="eastAsia" w:ascii="宋体" w:hAnsi="宋体" w:eastAsia="宋体" w:cs="宋体"/>
          <w:color w:val="auto"/>
          <w:u w:val="single"/>
          <w:lang w:eastAsia="zh-CN"/>
        </w:rPr>
        <w:t>20</w:t>
      </w:r>
      <w:r>
        <w:rPr>
          <w:rFonts w:hint="eastAsia" w:ascii="宋体" w:hAnsi="宋体" w:eastAsia="宋体" w:cs="宋体"/>
          <w:color w:val="auto"/>
          <w:lang w:eastAsia="zh-CN"/>
        </w:rPr>
        <w:t>%，第四次扣回在工程款进度达到合同价</w:t>
      </w:r>
      <w:r>
        <w:rPr>
          <w:rFonts w:hint="eastAsia" w:ascii="宋体" w:hAnsi="宋体" w:eastAsia="宋体" w:cs="宋体"/>
          <w:color w:val="auto"/>
          <w:u w:val="single"/>
          <w:lang w:eastAsia="zh-CN"/>
        </w:rPr>
        <w:t>80</w:t>
      </w:r>
      <w:r>
        <w:rPr>
          <w:rFonts w:hint="eastAsia" w:ascii="宋体" w:hAnsi="宋体" w:eastAsia="宋体" w:cs="宋体"/>
          <w:color w:val="auto"/>
          <w:lang w:eastAsia="zh-CN"/>
        </w:rPr>
        <w:t>%后扣回已支付预付款的</w:t>
      </w:r>
      <w:r>
        <w:rPr>
          <w:rFonts w:hint="eastAsia" w:ascii="宋体" w:hAnsi="宋体" w:eastAsia="宋体" w:cs="宋体"/>
          <w:color w:val="auto"/>
          <w:u w:val="single"/>
          <w:lang w:eastAsia="zh-CN"/>
        </w:rPr>
        <w:t>20</w:t>
      </w:r>
      <w:r>
        <w:rPr>
          <w:rFonts w:hint="eastAsia" w:ascii="宋体" w:hAnsi="宋体" w:eastAsia="宋体" w:cs="宋体"/>
          <w:color w:val="auto"/>
          <w:lang w:eastAsia="zh-CN"/>
        </w:rPr>
        <w:t>%。</w:t>
      </w:r>
    </w:p>
    <w:p>
      <w:pPr>
        <w:pStyle w:val="16"/>
        <w:spacing w:line="400" w:lineRule="exact"/>
        <w:ind w:firstLine="480" w:firstLineChars="200"/>
        <w:rPr>
          <w:rFonts w:hint="eastAsia" w:ascii="宋体" w:hAnsi="宋体" w:eastAsia="宋体" w:cs="宋体"/>
          <w:color w:val="auto"/>
          <w:lang w:eastAsia="zh-CN"/>
        </w:rPr>
      </w:pPr>
      <w:r>
        <w:rPr>
          <w:rFonts w:hint="eastAsia" w:ascii="宋体" w:hAnsi="宋体" w:eastAsia="宋体" w:cs="宋体"/>
          <w:color w:val="auto"/>
          <w:lang w:eastAsia="zh-CN"/>
        </w:rPr>
        <w:t xml:space="preserve">上述合同累计完成金额均指价格调整前未扣质量保证金的金额。 </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（2）工程材料预付款的扣回与还清约定为：</w:t>
      </w:r>
      <w:r>
        <w:rPr>
          <w:rFonts w:hint="eastAsia" w:ascii="宋体" w:hAnsi="宋体" w:eastAsia="宋体" w:cs="宋体"/>
          <w:color w:val="auto"/>
          <w:u w:val="single"/>
          <w:lang w:eastAsia="zh-CN"/>
        </w:rPr>
        <w:t xml:space="preserve"> / </w:t>
      </w:r>
      <w:r>
        <w:rPr>
          <w:rFonts w:hint="eastAsia" w:ascii="宋体" w:hAnsi="宋体" w:eastAsia="宋体" w:cs="宋体"/>
          <w:color w:val="auto"/>
          <w:lang w:eastAsia="zh-CN"/>
        </w:rPr>
        <w:t>。</w:t>
      </w:r>
    </w:p>
    <w:bookmarkEnd w:id="1231"/>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17.3工程进度付款</w:t>
      </w:r>
    </w:p>
    <w:p>
      <w:pPr>
        <w:pStyle w:val="16"/>
        <w:spacing w:line="400" w:lineRule="exact"/>
        <w:ind w:firstLine="482" w:firstLineChars="200"/>
        <w:rPr>
          <w:rFonts w:ascii="宋体" w:hAnsi="宋体" w:eastAsia="宋体" w:cs="宋体"/>
          <w:b/>
          <w:color w:val="auto"/>
          <w:lang w:eastAsia="zh-CN"/>
        </w:rPr>
      </w:pPr>
      <w:r>
        <w:rPr>
          <w:rFonts w:hint="eastAsia" w:ascii="宋体" w:hAnsi="宋体" w:eastAsia="宋体" w:cs="宋体"/>
          <w:b/>
          <w:color w:val="auto"/>
          <w:lang w:eastAsia="zh-CN"/>
        </w:rPr>
        <w:t>17.3.2进度付款申请单</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承包人提交进度付款申请单的份数：</w:t>
      </w:r>
      <w:r>
        <w:rPr>
          <w:rFonts w:hint="eastAsia" w:ascii="宋体" w:hAnsi="宋体" w:eastAsia="宋体" w:cs="宋体"/>
          <w:color w:val="auto"/>
          <w:u w:val="single"/>
          <w:lang w:eastAsia="zh-CN"/>
        </w:rPr>
        <w:t xml:space="preserve"> 在签订施工承包合同时约定 </w:t>
      </w:r>
      <w:r>
        <w:rPr>
          <w:rFonts w:hint="eastAsia" w:ascii="宋体" w:hAnsi="宋体" w:eastAsia="宋体" w:cs="宋体"/>
          <w:color w:val="auto"/>
          <w:lang w:eastAsia="zh-CN"/>
        </w:rPr>
        <w:t>。</w:t>
      </w:r>
    </w:p>
    <w:p>
      <w:pPr>
        <w:pStyle w:val="16"/>
        <w:spacing w:line="400" w:lineRule="exact"/>
        <w:ind w:firstLine="482" w:firstLineChars="200"/>
        <w:rPr>
          <w:rFonts w:ascii="宋体" w:hAnsi="宋体" w:eastAsia="宋体" w:cs="宋体"/>
          <w:b/>
          <w:color w:val="auto"/>
          <w:lang w:eastAsia="zh-CN"/>
        </w:rPr>
      </w:pPr>
      <w:r>
        <w:rPr>
          <w:rFonts w:hint="eastAsia" w:ascii="宋体" w:hAnsi="宋体" w:eastAsia="宋体" w:cs="宋体"/>
          <w:b/>
          <w:color w:val="auto"/>
          <w:lang w:eastAsia="zh-CN"/>
        </w:rPr>
        <w:t>17.3.3进度付款证书和支付时间</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（2）</w:t>
      </w:r>
      <w:r>
        <w:rPr>
          <w:rFonts w:hint="eastAsia" w:ascii="宋体" w:hAnsi="宋体" w:eastAsia="宋体" w:cs="宋体"/>
          <w:color w:val="auto"/>
          <w:lang w:eastAsia="zh-CN"/>
        </w:rPr>
        <w:t>本款“专用合同条款的约定支付逾期付款违约金”为按中国人民银行规定的同期贷款利率计算的逾期付款金额的利息。</w:t>
      </w:r>
    </w:p>
    <w:p>
      <w:pPr>
        <w:pStyle w:val="16"/>
        <w:spacing w:line="400" w:lineRule="exact"/>
        <w:ind w:firstLine="482" w:firstLineChars="200"/>
        <w:rPr>
          <w:rFonts w:ascii="宋体" w:hAnsi="宋体" w:eastAsia="宋体" w:cs="宋体"/>
          <w:b/>
          <w:color w:val="auto"/>
          <w:lang w:eastAsia="zh-CN"/>
        </w:rPr>
      </w:pPr>
      <w:r>
        <w:rPr>
          <w:rFonts w:hint="eastAsia" w:ascii="宋体" w:hAnsi="宋体" w:eastAsia="宋体" w:cs="宋体"/>
          <w:b/>
          <w:color w:val="auto"/>
          <w:lang w:eastAsia="zh-CN"/>
        </w:rPr>
        <w:t>17.3.5工程进度付款的支付比例</w:t>
      </w:r>
    </w:p>
    <w:p>
      <w:pPr>
        <w:pStyle w:val="16"/>
        <w:wordWrap w:val="0"/>
        <w:spacing w:line="400" w:lineRule="exact"/>
        <w:ind w:firstLine="480" w:firstLineChars="200"/>
        <w:rPr>
          <w:rFonts w:ascii="宋体" w:hAnsi="宋体" w:eastAsia="宋体" w:cs="宋体"/>
          <w:color w:val="auto"/>
          <w:u w:val="single"/>
          <w:lang w:eastAsia="zh-CN"/>
        </w:rPr>
      </w:pPr>
      <w:bookmarkStart w:id="1232" w:name="_Toc3715"/>
      <w:bookmarkStart w:id="1233" w:name="_Toc221951260"/>
      <w:bookmarkStart w:id="1234" w:name="_Toc30443"/>
      <w:r>
        <w:rPr>
          <w:rFonts w:hint="eastAsia" w:ascii="宋体" w:hAnsi="宋体" w:eastAsia="宋体" w:cs="宋体"/>
          <w:color w:val="auto"/>
          <w:lang w:eastAsia="zh-CN"/>
        </w:rPr>
        <w:t>在申请施工进度款前，工程质保资料、签证、计量等有关资料必须完成，进度工程完成验收合格后支付实际完成工程量的</w:t>
      </w:r>
      <w:r>
        <w:rPr>
          <w:rFonts w:hint="eastAsia" w:ascii="宋体" w:hAnsi="宋体" w:eastAsia="宋体" w:cs="宋体"/>
          <w:color w:val="auto"/>
          <w:u w:val="single"/>
          <w:lang w:eastAsia="zh-CN"/>
        </w:rPr>
        <w:t xml:space="preserve">90% </w:t>
      </w:r>
      <w:r>
        <w:rPr>
          <w:rFonts w:hint="eastAsia" w:ascii="宋体" w:hAnsi="宋体" w:eastAsia="宋体" w:cs="宋体"/>
          <w:color w:val="auto"/>
          <w:lang w:eastAsia="zh-CN"/>
        </w:rPr>
        <w:t>支付工程进度款；余款在工程完工经结算机构结算审定，并扣除质量保证金后付清。合同外费用（含因设计变更引起增加工程量造价并经批准后）原则上在工程完工经结算机构结算审定后支付，如有其他情况，另行协商。</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每次付款前，承包人应按甲方的要求提供符合相关法律法规的增值税发票，如发票不符合要求，</w:t>
      </w:r>
      <w:r>
        <w:rPr>
          <w:rFonts w:hint="eastAsia" w:ascii="宋体" w:hAnsi="宋体" w:eastAsia="宋体" w:cs="宋体"/>
          <w:color w:val="auto"/>
          <w:lang w:eastAsia="zh-CN"/>
        </w:rPr>
        <w:t>发包人有权拒收，承包人</w:t>
      </w:r>
      <w:r>
        <w:rPr>
          <w:rFonts w:hint="eastAsia" w:ascii="宋体" w:hAnsi="宋体" w:eastAsia="宋体" w:cs="宋体"/>
          <w:color w:val="auto"/>
          <w:lang w:eastAsia="zh-CN"/>
        </w:rPr>
        <w:t>应承担因不合格发票产生的所有责任。</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发包人最终向承包人支付的工程款，以财政部门、审计部门或其委托的审价机构审定的款项为准（如设备款不需财政或审计部门审定，即以发包人与承包人确认的款项为准）。发包人向承包人支付进度款、质保金等所有款项都是通过财政支付程序支付，在上述约定时间内发包人办理了付款给承包人的手续，如果因为财政支付程序造成款项有延迟到达承包人账户的情形，不视为发包人违约，承包人不因此要求发包人承担违约责任。</w:t>
      </w:r>
    </w:p>
    <w:p>
      <w:pPr>
        <w:pStyle w:val="17"/>
        <w:ind w:firstLine="480" w:firstLineChars="200"/>
        <w:rPr>
          <w:color w:val="auto"/>
          <w:highlight w:val="none"/>
          <w:lang w:eastAsia="zh-CN"/>
        </w:rPr>
      </w:pPr>
      <w:r>
        <w:rPr>
          <w:rFonts w:hint="eastAsia" w:ascii="宋体" w:hAnsi="宋体" w:eastAsia="宋体" w:cs="宋体"/>
          <w:color w:val="auto"/>
          <w:sz w:val="24"/>
          <w:szCs w:val="24"/>
          <w:highlight w:val="none"/>
          <w:lang w:eastAsia="zh-CN"/>
        </w:rPr>
        <w:t>工程进度款申请材料须由承包人项目负责人审核签字及加盖公章，由发包人向承包人进行结算并由财政部门汇入双方指定的账户。</w:t>
      </w:r>
    </w:p>
    <w:p>
      <w:pPr>
        <w:pStyle w:val="16"/>
        <w:spacing w:line="400" w:lineRule="exact"/>
        <w:ind w:firstLine="482" w:firstLineChars="200"/>
        <w:rPr>
          <w:rFonts w:ascii="宋体" w:hAnsi="宋体" w:eastAsia="宋体" w:cs="宋体"/>
          <w:b/>
          <w:color w:val="auto"/>
          <w:lang w:eastAsia="zh-CN"/>
        </w:rPr>
      </w:pPr>
      <w:r>
        <w:rPr>
          <w:rFonts w:hint="eastAsia" w:ascii="宋体" w:hAnsi="宋体" w:eastAsia="宋体" w:cs="宋体"/>
          <w:b/>
          <w:color w:val="auto"/>
          <w:lang w:eastAsia="zh-CN"/>
        </w:rPr>
        <w:t>17.4 质量保证金</w:t>
      </w:r>
      <w:bookmarkEnd w:id="1232"/>
      <w:bookmarkEnd w:id="1233"/>
      <w:bookmarkEnd w:id="1234"/>
    </w:p>
    <w:p>
      <w:pPr>
        <w:pStyle w:val="16"/>
        <w:spacing w:line="400" w:lineRule="exact"/>
        <w:ind w:firstLine="480" w:firstLineChars="200"/>
        <w:rPr>
          <w:rFonts w:ascii="宋体" w:hAnsi="宋体" w:eastAsia="宋体" w:cs="宋体"/>
          <w:color w:val="auto"/>
          <w:lang w:eastAsia="zh-CN"/>
        </w:rPr>
      </w:pPr>
      <w:bookmarkStart w:id="1235" w:name="_Toc221951265"/>
      <w:r>
        <w:rPr>
          <w:rFonts w:hint="eastAsia" w:ascii="宋体" w:hAnsi="宋体" w:eastAsia="宋体" w:cs="宋体"/>
          <w:color w:val="auto"/>
          <w:lang w:eastAsia="zh-CN"/>
        </w:rPr>
        <w:t>根据国办发【2016】49号文规范工程建设领域保证金的管理，</w:t>
      </w:r>
      <w:r>
        <w:rPr>
          <w:rFonts w:hint="eastAsia" w:ascii="宋体" w:hAnsi="宋体" w:eastAsia="宋体" w:cs="宋体"/>
          <w:color w:val="auto"/>
          <w:lang w:eastAsia="zh-CN"/>
        </w:rPr>
        <w:t>对工程项目竣工前已经缴纳履约保证金或履约保函的，不再预留工程质量保证金，直至工程完工验收后，施工单位提交质量保证金（质量保证金按工程签约合同价的3%收取）的同时我方将退回履约保证金或履约保函，直至质量缺陷期结束后退还质量保证金。</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17.5 竣工（完工）结算</w:t>
      </w:r>
      <w:bookmarkEnd w:id="1235"/>
    </w:p>
    <w:p>
      <w:pPr>
        <w:pStyle w:val="16"/>
        <w:spacing w:line="400" w:lineRule="exact"/>
        <w:ind w:firstLine="480" w:firstLineChars="200"/>
        <w:rPr>
          <w:rFonts w:ascii="宋体" w:hAnsi="宋体" w:eastAsia="宋体" w:cs="宋体"/>
          <w:color w:val="auto"/>
          <w:lang w:eastAsia="zh-CN"/>
        </w:rPr>
      </w:pPr>
      <w:bookmarkStart w:id="1236" w:name="_Toc221951266"/>
      <w:r>
        <w:rPr>
          <w:rFonts w:hint="eastAsia" w:ascii="宋体" w:hAnsi="宋体" w:eastAsia="宋体" w:cs="宋体"/>
          <w:color w:val="auto"/>
          <w:lang w:eastAsia="zh-CN"/>
        </w:rPr>
        <w:t>17.5.1  竣工（完工）付款申请单</w:t>
      </w:r>
      <w:bookmarkEnd w:id="1236"/>
    </w:p>
    <w:p>
      <w:pPr>
        <w:pStyle w:val="16"/>
        <w:spacing w:line="400" w:lineRule="exact"/>
        <w:ind w:firstLine="480" w:firstLineChars="200"/>
        <w:rPr>
          <w:rFonts w:ascii="宋体" w:hAnsi="宋体" w:eastAsia="宋体" w:cs="宋体"/>
          <w:color w:val="auto"/>
          <w:lang w:eastAsia="zh-CN"/>
        </w:rPr>
      </w:pPr>
      <w:bookmarkStart w:id="1237" w:name="_Toc221951267"/>
      <w:r>
        <w:rPr>
          <w:rFonts w:hint="eastAsia" w:ascii="宋体" w:hAnsi="宋体" w:eastAsia="宋体" w:cs="宋体"/>
          <w:color w:val="auto"/>
          <w:lang w:eastAsia="zh-CN"/>
        </w:rPr>
        <w:t>（1）承包人应提交竣工付款申请单份数：在签订施工承包合同时明确。</w:t>
      </w:r>
      <w:bookmarkEnd w:id="1237"/>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17.5.3除按通用合同条款所说的内容外，增加以下内容：最终结算以财政评审结果或审计结果为准。</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17.6 最终结清</w:t>
      </w:r>
    </w:p>
    <w:p>
      <w:pPr>
        <w:pStyle w:val="16"/>
        <w:spacing w:line="400" w:lineRule="exact"/>
        <w:ind w:firstLine="482" w:firstLineChars="200"/>
        <w:rPr>
          <w:rFonts w:ascii="宋体" w:hAnsi="宋体" w:eastAsia="宋体" w:cs="宋体"/>
          <w:b/>
          <w:color w:val="auto"/>
          <w:lang w:eastAsia="zh-CN"/>
        </w:rPr>
      </w:pPr>
      <w:bookmarkStart w:id="1238" w:name="_Toc11536"/>
      <w:bookmarkStart w:id="1239" w:name="_Toc29292"/>
      <w:bookmarkStart w:id="1240" w:name="_Toc221951269"/>
      <w:r>
        <w:rPr>
          <w:rFonts w:hint="eastAsia" w:ascii="宋体" w:hAnsi="宋体" w:eastAsia="宋体" w:cs="宋体"/>
          <w:b/>
          <w:color w:val="auto"/>
          <w:lang w:eastAsia="zh-CN"/>
        </w:rPr>
        <w:t>17.6 1 最终结清申请单</w:t>
      </w:r>
      <w:bookmarkEnd w:id="1238"/>
      <w:bookmarkEnd w:id="1239"/>
      <w:bookmarkEnd w:id="1240"/>
    </w:p>
    <w:p>
      <w:pPr>
        <w:pStyle w:val="16"/>
        <w:spacing w:line="400" w:lineRule="exact"/>
        <w:ind w:firstLine="480" w:firstLineChars="200"/>
        <w:rPr>
          <w:rFonts w:ascii="宋体" w:hAnsi="宋体" w:eastAsia="宋体" w:cs="宋体"/>
          <w:color w:val="auto"/>
          <w:lang w:eastAsia="zh-CN"/>
        </w:rPr>
      </w:pPr>
      <w:bookmarkStart w:id="1241" w:name="_Toc221951270"/>
      <w:r>
        <w:rPr>
          <w:rFonts w:hint="eastAsia" w:ascii="宋体" w:hAnsi="宋体" w:eastAsia="宋体" w:cs="宋体"/>
          <w:color w:val="auto"/>
          <w:lang w:eastAsia="zh-CN"/>
        </w:rPr>
        <w:t>（1）承包人应提交最终结清申请单</w:t>
      </w:r>
      <w:bookmarkEnd w:id="1241"/>
      <w:r>
        <w:rPr>
          <w:rFonts w:hint="eastAsia" w:ascii="宋体" w:hAnsi="宋体" w:eastAsia="宋体" w:cs="宋体"/>
          <w:color w:val="auto"/>
          <w:lang w:eastAsia="zh-CN"/>
        </w:rPr>
        <w:t>份数：</w:t>
      </w:r>
      <w:r>
        <w:rPr>
          <w:rFonts w:hint="eastAsia" w:ascii="宋体" w:hAnsi="宋体" w:eastAsia="宋体" w:cs="宋体"/>
          <w:color w:val="auto"/>
          <w:u w:val="single"/>
          <w:lang w:eastAsia="zh-CN"/>
        </w:rPr>
        <w:t xml:space="preserve"> 一式捌份</w:t>
      </w:r>
      <w:r>
        <w:rPr>
          <w:rFonts w:hint="eastAsia" w:ascii="宋体" w:hAnsi="宋体" w:eastAsia="宋体" w:cs="宋体"/>
          <w:color w:val="auto"/>
          <w:lang w:eastAsia="zh-CN"/>
        </w:rPr>
        <w:t>。</w:t>
      </w:r>
    </w:p>
    <w:p>
      <w:pPr>
        <w:pStyle w:val="16"/>
        <w:spacing w:line="400" w:lineRule="exact"/>
        <w:rPr>
          <w:rFonts w:ascii="宋体" w:hAnsi="宋体" w:eastAsia="宋体" w:cs="宋体"/>
          <w:b/>
          <w:color w:val="auto"/>
          <w:lang w:eastAsia="zh-CN"/>
        </w:rPr>
      </w:pPr>
      <w:bookmarkStart w:id="1242" w:name="_Toc29437"/>
      <w:bookmarkStart w:id="1243" w:name="_Toc27615"/>
      <w:r>
        <w:rPr>
          <w:rFonts w:hint="eastAsia" w:ascii="宋体" w:hAnsi="宋体" w:eastAsia="宋体" w:cs="宋体"/>
          <w:b/>
          <w:color w:val="auto"/>
          <w:lang w:eastAsia="zh-CN"/>
        </w:rPr>
        <w:t>17.7 竣工财务决算</w:t>
      </w:r>
      <w:bookmarkEnd w:id="1242"/>
      <w:bookmarkEnd w:id="1243"/>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承包人应为竣工财务决算编制提供的资料：</w:t>
      </w:r>
      <w:r>
        <w:rPr>
          <w:rFonts w:hint="eastAsia" w:ascii="宋体" w:hAnsi="宋体" w:eastAsia="宋体" w:cs="宋体"/>
          <w:color w:val="auto"/>
          <w:u w:val="single"/>
          <w:lang w:eastAsia="zh-CN"/>
        </w:rPr>
        <w:t xml:space="preserve"> 按</w:t>
      </w:r>
      <w:r>
        <w:rPr>
          <w:rFonts w:hint="eastAsia" w:ascii="宋体" w:hAnsi="宋体" w:eastAsia="宋体" w:cs="宋体"/>
          <w:color w:val="auto"/>
          <w:u w:val="single"/>
          <w:lang w:eastAsia="zh-CN"/>
        </w:rPr>
        <w:t>发包人</w:t>
      </w:r>
      <w:r>
        <w:rPr>
          <w:rFonts w:hint="eastAsia" w:ascii="宋体" w:hAnsi="宋体" w:eastAsia="宋体" w:cs="宋体"/>
          <w:color w:val="auto"/>
          <w:u w:val="single"/>
          <w:lang w:eastAsia="zh-CN"/>
        </w:rPr>
        <w:t xml:space="preserve">要求提交  </w:t>
      </w:r>
      <w:r>
        <w:rPr>
          <w:rFonts w:hint="eastAsia" w:ascii="宋体" w:hAnsi="宋体" w:eastAsia="宋体" w:cs="宋体"/>
          <w:color w:val="auto"/>
          <w:lang w:eastAsia="zh-CN"/>
        </w:rPr>
        <w:t>。</w:t>
      </w:r>
    </w:p>
    <w:p>
      <w:pPr>
        <w:pStyle w:val="52"/>
        <w:spacing w:before="0" w:after="0" w:line="400" w:lineRule="exact"/>
        <w:rPr>
          <w:rFonts w:ascii="宋体" w:hAnsi="宋体" w:eastAsia="宋体" w:cs="宋体"/>
          <w:b/>
          <w:bCs/>
          <w:color w:val="auto"/>
          <w:szCs w:val="32"/>
          <w:lang w:eastAsia="zh-CN"/>
        </w:rPr>
      </w:pPr>
      <w:bookmarkStart w:id="1244" w:name="_Toc221951271"/>
      <w:bookmarkStart w:id="1245" w:name="_Toc222033892"/>
      <w:bookmarkStart w:id="1246" w:name="_Toc229305399"/>
      <w:bookmarkStart w:id="1247" w:name="_Toc222032710"/>
      <w:bookmarkStart w:id="1248" w:name="_Toc222029541"/>
      <w:bookmarkStart w:id="1249" w:name="_Toc222031043"/>
      <w:bookmarkStart w:id="1250" w:name="_Toc2936488"/>
      <w:bookmarkStart w:id="1251" w:name="_Toc2948186"/>
      <w:bookmarkStart w:id="1252" w:name="_Toc2936732"/>
      <w:r>
        <w:rPr>
          <w:rFonts w:hint="eastAsia" w:ascii="宋体" w:hAnsi="宋体" w:eastAsia="宋体" w:cs="宋体"/>
          <w:b/>
          <w:bCs/>
          <w:color w:val="auto"/>
          <w:szCs w:val="32"/>
          <w:lang w:eastAsia="zh-CN"/>
        </w:rPr>
        <w:t>18. 竣工验收</w:t>
      </w:r>
      <w:bookmarkEnd w:id="1244"/>
      <w:bookmarkEnd w:id="1245"/>
      <w:bookmarkEnd w:id="1246"/>
      <w:bookmarkEnd w:id="1247"/>
      <w:bookmarkEnd w:id="1248"/>
      <w:bookmarkEnd w:id="1249"/>
      <w:r>
        <w:rPr>
          <w:rFonts w:hint="eastAsia" w:ascii="宋体" w:hAnsi="宋体" w:eastAsia="宋体" w:cs="宋体"/>
          <w:b/>
          <w:bCs/>
          <w:color w:val="auto"/>
          <w:szCs w:val="32"/>
          <w:lang w:eastAsia="zh-CN"/>
        </w:rPr>
        <w:t>（验收）</w:t>
      </w:r>
      <w:bookmarkEnd w:id="1250"/>
      <w:bookmarkEnd w:id="1251"/>
      <w:bookmarkEnd w:id="1252"/>
    </w:p>
    <w:p>
      <w:pPr>
        <w:pStyle w:val="16"/>
        <w:spacing w:line="400" w:lineRule="exact"/>
        <w:rPr>
          <w:rFonts w:ascii="宋体" w:hAnsi="宋体" w:eastAsia="宋体" w:cs="宋体"/>
          <w:b/>
          <w:color w:val="auto"/>
          <w:lang w:eastAsia="zh-CN"/>
        </w:rPr>
      </w:pPr>
      <w:bookmarkStart w:id="1253" w:name="_Toc221951272"/>
      <w:bookmarkStart w:id="1254" w:name="_Toc1207"/>
      <w:bookmarkStart w:id="1255" w:name="_Toc24626"/>
      <w:r>
        <w:rPr>
          <w:rFonts w:hint="eastAsia" w:ascii="宋体" w:hAnsi="宋体" w:eastAsia="宋体" w:cs="宋体"/>
          <w:b/>
          <w:color w:val="auto"/>
          <w:lang w:eastAsia="zh-CN"/>
        </w:rPr>
        <w:t xml:space="preserve">18.1 </w:t>
      </w:r>
      <w:bookmarkEnd w:id="1253"/>
      <w:r>
        <w:rPr>
          <w:rFonts w:hint="eastAsia" w:ascii="宋体" w:hAnsi="宋体" w:eastAsia="宋体" w:cs="宋体"/>
          <w:b/>
          <w:color w:val="auto"/>
          <w:lang w:eastAsia="zh-CN"/>
        </w:rPr>
        <w:t>验收工作分类</w:t>
      </w:r>
      <w:bookmarkEnd w:id="1254"/>
      <w:bookmarkEnd w:id="1255"/>
    </w:p>
    <w:p>
      <w:pPr>
        <w:pStyle w:val="16"/>
        <w:spacing w:line="400" w:lineRule="exact"/>
        <w:ind w:firstLine="480" w:firstLineChars="200"/>
        <w:rPr>
          <w:rFonts w:ascii="宋体" w:hAnsi="宋体" w:eastAsia="宋体" w:cs="宋体"/>
          <w:color w:val="auto"/>
          <w:lang w:eastAsia="zh-CN"/>
        </w:rPr>
      </w:pPr>
      <w:bookmarkStart w:id="1256" w:name="_Toc221951274"/>
      <w:r>
        <w:rPr>
          <w:rFonts w:hint="eastAsia" w:ascii="宋体" w:hAnsi="宋体" w:eastAsia="宋体" w:cs="宋体"/>
          <w:color w:val="auto"/>
          <w:lang w:eastAsia="zh-CN"/>
        </w:rPr>
        <w:t>根据《水利工程建设项目验收管理规定》(水利部令第30号)和《水利水电建设工程验收规程》（SL223-2008）的相关规定执行。</w:t>
      </w:r>
    </w:p>
    <w:p>
      <w:pPr>
        <w:pStyle w:val="16"/>
        <w:spacing w:line="400" w:lineRule="exact"/>
        <w:rPr>
          <w:rFonts w:ascii="宋体" w:hAnsi="宋体" w:eastAsia="宋体" w:cs="宋体"/>
          <w:b/>
          <w:color w:val="auto"/>
          <w:lang w:eastAsia="zh-CN"/>
        </w:rPr>
      </w:pPr>
      <w:bookmarkStart w:id="1257" w:name="_Toc21154"/>
      <w:bookmarkStart w:id="1258" w:name="_Toc6781"/>
      <w:r>
        <w:rPr>
          <w:rFonts w:hint="eastAsia" w:ascii="宋体" w:hAnsi="宋体" w:eastAsia="宋体" w:cs="宋体"/>
          <w:b/>
          <w:color w:val="auto"/>
          <w:lang w:eastAsia="zh-CN"/>
        </w:rPr>
        <w:t>18.2 分部工程验收</w:t>
      </w:r>
      <w:bookmarkEnd w:id="1257"/>
      <w:bookmarkEnd w:id="1258"/>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18.2.1本工程由发包人主持的分部工程验收为 ：</w:t>
      </w:r>
      <w:r>
        <w:rPr>
          <w:rFonts w:hint="eastAsia" w:ascii="宋体" w:hAnsi="宋体" w:eastAsia="宋体" w:cs="宋体"/>
          <w:color w:val="auto"/>
          <w:u w:val="single"/>
          <w:lang w:eastAsia="zh-CN"/>
        </w:rPr>
        <w:t xml:space="preserve">   /    </w:t>
      </w:r>
      <w:r>
        <w:rPr>
          <w:rFonts w:hint="eastAsia" w:ascii="宋体" w:hAnsi="宋体" w:eastAsia="宋体" w:cs="宋体"/>
          <w:color w:val="auto"/>
          <w:lang w:eastAsia="zh-CN"/>
        </w:rPr>
        <w:t>，其余由监理主持。</w:t>
      </w:r>
    </w:p>
    <w:p>
      <w:pPr>
        <w:pStyle w:val="16"/>
        <w:spacing w:line="400" w:lineRule="exact"/>
        <w:rPr>
          <w:rFonts w:ascii="宋体" w:hAnsi="宋体" w:eastAsia="宋体" w:cs="宋体"/>
          <w:b/>
          <w:color w:val="auto"/>
          <w:lang w:eastAsia="zh-CN"/>
        </w:rPr>
      </w:pPr>
      <w:bookmarkStart w:id="1259" w:name="_Toc30925"/>
      <w:bookmarkStart w:id="1260" w:name="_Toc22526"/>
      <w:r>
        <w:rPr>
          <w:rFonts w:hint="eastAsia" w:ascii="宋体" w:hAnsi="宋体" w:eastAsia="宋体" w:cs="宋体"/>
          <w:b/>
          <w:color w:val="auto"/>
          <w:lang w:eastAsia="zh-CN"/>
        </w:rPr>
        <w:t>18.3 单位工程验收</w:t>
      </w:r>
      <w:bookmarkEnd w:id="1259"/>
      <w:bookmarkEnd w:id="1260"/>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18.3.1 提前投入使用的单位工程包括：</w:t>
      </w:r>
      <w:r>
        <w:rPr>
          <w:rFonts w:hint="eastAsia" w:ascii="宋体" w:hAnsi="宋体" w:eastAsia="宋体" w:cs="宋体"/>
          <w:color w:val="auto"/>
          <w:u w:val="single"/>
          <w:lang w:eastAsia="zh-CN"/>
        </w:rPr>
        <w:t>在签订施工承包合同时明确</w:t>
      </w:r>
      <w:r>
        <w:rPr>
          <w:rFonts w:hint="eastAsia" w:ascii="宋体" w:hAnsi="宋体" w:eastAsia="宋体" w:cs="宋体"/>
          <w:color w:val="auto"/>
          <w:lang w:eastAsia="zh-CN"/>
        </w:rPr>
        <w:t>。</w:t>
      </w:r>
    </w:p>
    <w:bookmarkEnd w:id="1256"/>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18.5阶段验收</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18.5.1 本合同工程阶段验收类别包括：</w:t>
      </w:r>
      <w:bookmarkStart w:id="1261" w:name="_Toc221951284"/>
      <w:r>
        <w:rPr>
          <w:rFonts w:hint="eastAsia" w:ascii="宋体" w:hAnsi="宋体" w:eastAsia="宋体" w:cs="宋体"/>
          <w:color w:val="auto"/>
          <w:u w:val="single"/>
          <w:lang w:eastAsia="zh-CN"/>
        </w:rPr>
        <w:t>在签订施工承包合同时明确</w:t>
      </w:r>
      <w:r>
        <w:rPr>
          <w:rFonts w:hint="eastAsia" w:ascii="宋体" w:hAnsi="宋体" w:eastAsia="宋体" w:cs="宋体"/>
          <w:color w:val="auto"/>
          <w:lang w:eastAsia="zh-CN"/>
        </w:rPr>
        <w:t>。</w:t>
      </w:r>
      <w:bookmarkEnd w:id="1261"/>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18.6专项验收</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18.6.2本合同工程专项验收类别包括：</w:t>
      </w:r>
      <w:r>
        <w:rPr>
          <w:rFonts w:hint="eastAsia" w:ascii="宋体" w:hAnsi="宋体" w:eastAsia="宋体" w:cs="宋体"/>
          <w:color w:val="auto"/>
          <w:u w:val="single"/>
          <w:lang w:eastAsia="zh-CN"/>
        </w:rPr>
        <w:t>在签订施工承包合同时明确</w:t>
      </w:r>
      <w:r>
        <w:rPr>
          <w:rFonts w:hint="eastAsia" w:ascii="宋体" w:hAnsi="宋体" w:eastAsia="宋体" w:cs="宋体"/>
          <w:color w:val="auto"/>
          <w:lang w:eastAsia="zh-CN"/>
        </w:rPr>
        <w:t>。</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18.8 施工期运行</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18.8.1需要在施工期运行的单位工程或工程设备为：</w:t>
      </w:r>
      <w:r>
        <w:rPr>
          <w:rFonts w:hint="eastAsia" w:ascii="宋体" w:hAnsi="宋体" w:eastAsia="宋体" w:cs="宋体"/>
          <w:color w:val="auto"/>
          <w:u w:val="single"/>
          <w:lang w:eastAsia="zh-CN"/>
        </w:rPr>
        <w:t xml:space="preserve"> 在签订施工承包合同时明确</w:t>
      </w:r>
      <w:r>
        <w:rPr>
          <w:rFonts w:hint="eastAsia" w:ascii="宋体" w:hAnsi="宋体" w:eastAsia="宋体" w:cs="宋体"/>
          <w:color w:val="auto"/>
          <w:lang w:eastAsia="zh-CN"/>
        </w:rPr>
        <w:t>。</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18.9试运行</w:t>
      </w:r>
    </w:p>
    <w:p>
      <w:pPr>
        <w:pStyle w:val="16"/>
        <w:spacing w:line="400" w:lineRule="exact"/>
        <w:ind w:left="479" w:leftChars="228"/>
        <w:rPr>
          <w:rFonts w:ascii="宋体" w:hAnsi="宋体" w:eastAsia="宋体" w:cs="宋体"/>
          <w:color w:val="auto"/>
          <w:lang w:eastAsia="zh-CN"/>
        </w:rPr>
      </w:pPr>
      <w:r>
        <w:rPr>
          <w:rFonts w:hint="eastAsia" w:ascii="宋体" w:hAnsi="宋体" w:eastAsia="宋体" w:cs="宋体"/>
          <w:color w:val="auto"/>
          <w:lang w:eastAsia="zh-CN"/>
        </w:rPr>
        <w:t>18.9.1试运行的组织：</w:t>
      </w:r>
      <w:r>
        <w:rPr>
          <w:rFonts w:hint="eastAsia" w:ascii="宋体" w:hAnsi="宋体" w:eastAsia="宋体" w:cs="宋体"/>
          <w:color w:val="auto"/>
          <w:u w:val="single"/>
          <w:lang w:eastAsia="zh-CN"/>
        </w:rPr>
        <w:t xml:space="preserve"> /  </w:t>
      </w:r>
      <w:r>
        <w:rPr>
          <w:rFonts w:hint="eastAsia" w:ascii="宋体" w:hAnsi="宋体" w:eastAsia="宋体" w:cs="宋体"/>
          <w:color w:val="auto"/>
          <w:lang w:eastAsia="zh-CN"/>
        </w:rPr>
        <w:t>；费用承担：</w:t>
      </w:r>
      <w:r>
        <w:rPr>
          <w:rFonts w:hint="eastAsia" w:ascii="宋体" w:hAnsi="宋体" w:eastAsia="宋体" w:cs="宋体"/>
          <w:color w:val="auto"/>
          <w:u w:val="single"/>
          <w:lang w:eastAsia="zh-CN"/>
        </w:rPr>
        <w:t xml:space="preserve">  /  </w:t>
      </w:r>
      <w:r>
        <w:rPr>
          <w:rFonts w:hint="eastAsia" w:ascii="宋体" w:hAnsi="宋体" w:eastAsia="宋体" w:cs="宋体"/>
          <w:color w:val="auto"/>
          <w:lang w:eastAsia="zh-CN"/>
        </w:rPr>
        <w:t>。</w:t>
      </w:r>
    </w:p>
    <w:p>
      <w:pPr>
        <w:pStyle w:val="52"/>
        <w:spacing w:before="0" w:after="0" w:line="400" w:lineRule="exact"/>
        <w:rPr>
          <w:rFonts w:ascii="宋体" w:hAnsi="宋体" w:eastAsia="宋体" w:cs="宋体"/>
          <w:b/>
          <w:bCs/>
          <w:color w:val="auto"/>
          <w:szCs w:val="32"/>
          <w:lang w:eastAsia="zh-CN"/>
        </w:rPr>
      </w:pPr>
      <w:bookmarkStart w:id="1262" w:name="_Toc2936489"/>
      <w:bookmarkStart w:id="1263" w:name="_Toc2936733"/>
      <w:bookmarkStart w:id="1264" w:name="_Toc2948187"/>
      <w:r>
        <w:rPr>
          <w:rFonts w:hint="eastAsia" w:ascii="宋体" w:hAnsi="宋体" w:eastAsia="宋体" w:cs="宋体"/>
          <w:b/>
          <w:bCs/>
          <w:color w:val="auto"/>
          <w:szCs w:val="32"/>
          <w:lang w:eastAsia="zh-CN"/>
        </w:rPr>
        <w:t>19. 缺陷责任与保修责任</w:t>
      </w:r>
      <w:bookmarkEnd w:id="1262"/>
      <w:bookmarkEnd w:id="1263"/>
      <w:bookmarkEnd w:id="1264"/>
    </w:p>
    <w:p>
      <w:pPr>
        <w:pStyle w:val="16"/>
        <w:spacing w:line="400" w:lineRule="exact"/>
        <w:rPr>
          <w:rFonts w:ascii="宋体" w:hAnsi="宋体" w:eastAsia="宋体" w:cs="宋体"/>
          <w:b/>
          <w:color w:val="auto"/>
          <w:lang w:eastAsia="zh-CN"/>
        </w:rPr>
      </w:pPr>
      <w:bookmarkStart w:id="1265" w:name="_Toc328"/>
      <w:bookmarkStart w:id="1266" w:name="_Toc20061"/>
      <w:r>
        <w:rPr>
          <w:rFonts w:hint="eastAsia" w:ascii="宋体" w:hAnsi="宋体" w:eastAsia="宋体" w:cs="宋体"/>
          <w:b/>
          <w:color w:val="auto"/>
          <w:lang w:eastAsia="zh-CN"/>
        </w:rPr>
        <w:t>19.1 缺陷责任期（工程质量保修期）的起算时间</w:t>
      </w:r>
      <w:bookmarkEnd w:id="1265"/>
      <w:bookmarkEnd w:id="1266"/>
    </w:p>
    <w:p>
      <w:pPr>
        <w:pStyle w:val="16"/>
        <w:spacing w:line="400" w:lineRule="exact"/>
        <w:ind w:firstLine="480" w:firstLineChars="200"/>
        <w:rPr>
          <w:rFonts w:ascii="宋体" w:hAnsi="宋体" w:eastAsia="宋体" w:cs="宋体"/>
          <w:color w:val="auto"/>
          <w:highlight w:val="yellow"/>
          <w:lang w:eastAsia="zh-CN"/>
        </w:rPr>
      </w:pPr>
      <w:r>
        <w:rPr>
          <w:rFonts w:hint="eastAsia" w:ascii="宋体" w:hAnsi="宋体" w:eastAsia="宋体" w:cs="宋体"/>
          <w:color w:val="auto"/>
          <w:lang w:eastAsia="zh-CN"/>
        </w:rPr>
        <w:t>本工程缺陷责任期（工程质量保修）计算如下：起算日按通用条款19.1和19.7的约定，</w:t>
      </w:r>
      <w:r>
        <w:rPr>
          <w:rFonts w:hint="eastAsia" w:ascii="宋体" w:hAnsi="宋体" w:eastAsia="宋体" w:cs="宋体"/>
          <w:color w:val="auto"/>
          <w:lang w:eastAsia="zh-CN"/>
        </w:rPr>
        <w:t>终止日按专用条款1.1.4.</w:t>
      </w:r>
      <w:r>
        <w:rPr>
          <w:rFonts w:hint="eastAsia" w:ascii="宋体" w:hAnsi="宋体" w:eastAsia="宋体" w:cs="宋体"/>
          <w:color w:val="auto"/>
          <w:lang w:val="en-US" w:eastAsia="zh-CN"/>
        </w:rPr>
        <w:t>6</w:t>
      </w:r>
      <w:r>
        <w:rPr>
          <w:rFonts w:hint="eastAsia" w:ascii="宋体" w:hAnsi="宋体" w:eastAsia="宋体" w:cs="宋体"/>
          <w:color w:val="auto"/>
          <w:lang w:eastAsia="zh-CN"/>
        </w:rPr>
        <w:t>约定。</w:t>
      </w:r>
    </w:p>
    <w:p>
      <w:pPr>
        <w:pStyle w:val="52"/>
        <w:spacing w:before="0" w:after="0" w:line="400" w:lineRule="exact"/>
        <w:rPr>
          <w:rFonts w:ascii="宋体" w:hAnsi="宋体" w:eastAsia="宋体" w:cs="宋体"/>
          <w:b/>
          <w:bCs/>
          <w:color w:val="auto"/>
          <w:szCs w:val="32"/>
          <w:lang w:eastAsia="zh-CN"/>
        </w:rPr>
      </w:pPr>
      <w:bookmarkStart w:id="1267" w:name="_Toc222031044"/>
      <w:bookmarkStart w:id="1268" w:name="_Toc221951299"/>
      <w:bookmarkStart w:id="1269" w:name="_Toc2936490"/>
      <w:bookmarkStart w:id="1270" w:name="_Toc222029542"/>
      <w:bookmarkStart w:id="1271" w:name="_Toc222032711"/>
      <w:bookmarkStart w:id="1272" w:name="_Toc229305400"/>
      <w:bookmarkStart w:id="1273" w:name="_Toc2948188"/>
      <w:bookmarkStart w:id="1274" w:name="_Toc222033893"/>
      <w:bookmarkStart w:id="1275" w:name="_Toc2936734"/>
      <w:r>
        <w:rPr>
          <w:rFonts w:hint="eastAsia" w:ascii="宋体" w:hAnsi="宋体" w:eastAsia="宋体" w:cs="宋体"/>
          <w:b/>
          <w:bCs/>
          <w:color w:val="auto"/>
          <w:szCs w:val="32"/>
          <w:lang w:eastAsia="zh-CN"/>
        </w:rPr>
        <w:t>20. 保险</w:t>
      </w:r>
      <w:bookmarkEnd w:id="1267"/>
      <w:bookmarkEnd w:id="1268"/>
      <w:bookmarkEnd w:id="1269"/>
      <w:bookmarkEnd w:id="1270"/>
      <w:bookmarkEnd w:id="1271"/>
      <w:bookmarkEnd w:id="1272"/>
      <w:bookmarkEnd w:id="1273"/>
      <w:bookmarkEnd w:id="1274"/>
      <w:bookmarkEnd w:id="1275"/>
    </w:p>
    <w:p>
      <w:pPr>
        <w:pStyle w:val="16"/>
        <w:spacing w:line="400" w:lineRule="exact"/>
        <w:rPr>
          <w:rFonts w:ascii="宋体" w:hAnsi="宋体" w:eastAsia="宋体" w:cs="宋体"/>
          <w:b/>
          <w:color w:val="auto"/>
          <w:lang w:eastAsia="zh-CN"/>
        </w:rPr>
      </w:pPr>
      <w:bookmarkStart w:id="1276" w:name="_Toc541"/>
      <w:bookmarkStart w:id="1277" w:name="_Toc1407"/>
      <w:bookmarkStart w:id="1278" w:name="_Toc221951321"/>
      <w:r>
        <w:rPr>
          <w:rFonts w:hint="eastAsia" w:ascii="宋体" w:hAnsi="宋体" w:eastAsia="宋体" w:cs="宋体"/>
          <w:b/>
          <w:color w:val="auto"/>
          <w:lang w:eastAsia="zh-CN"/>
        </w:rPr>
        <w:t>20.1 工程保险</w:t>
      </w:r>
      <w:bookmarkEnd w:id="1276"/>
      <w:bookmarkEnd w:id="1277"/>
      <w:bookmarkEnd w:id="1278"/>
    </w:p>
    <w:p>
      <w:pPr>
        <w:pStyle w:val="16"/>
        <w:spacing w:line="400" w:lineRule="exact"/>
        <w:ind w:firstLine="480" w:firstLineChars="200"/>
        <w:rPr>
          <w:rFonts w:ascii="宋体" w:hAnsi="宋体" w:eastAsia="宋体" w:cs="宋体"/>
          <w:color w:val="auto"/>
          <w:lang w:eastAsia="zh-CN"/>
        </w:rPr>
      </w:pPr>
      <w:bookmarkStart w:id="1279" w:name="_Toc221951323"/>
      <w:r>
        <w:rPr>
          <w:rFonts w:hint="eastAsia" w:ascii="宋体" w:hAnsi="宋体" w:eastAsia="宋体" w:cs="宋体"/>
          <w:color w:val="auto"/>
          <w:lang w:eastAsia="zh-CN"/>
        </w:rPr>
        <w:t>建筑工程一切险和（或）安装工程一切险投保人：</w:t>
      </w:r>
      <w:r>
        <w:rPr>
          <w:rFonts w:hint="eastAsia" w:ascii="宋体" w:hAnsi="宋体" w:eastAsia="宋体" w:cs="宋体"/>
          <w:color w:val="auto"/>
          <w:u w:val="single"/>
          <w:lang w:eastAsia="zh-CN"/>
        </w:rPr>
        <w:t xml:space="preserve"> 承包人 </w:t>
      </w:r>
      <w:r>
        <w:rPr>
          <w:rFonts w:hint="eastAsia" w:ascii="宋体" w:hAnsi="宋体" w:eastAsia="宋体" w:cs="宋体"/>
          <w:color w:val="auto"/>
          <w:lang w:eastAsia="zh-CN"/>
        </w:rPr>
        <w:t xml:space="preserve">；                        </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投保内容：</w:t>
      </w:r>
      <w:r>
        <w:rPr>
          <w:rFonts w:hint="eastAsia" w:ascii="宋体" w:hAnsi="宋体" w:eastAsia="宋体" w:cs="宋体"/>
          <w:color w:val="auto"/>
          <w:u w:val="single"/>
          <w:lang w:eastAsia="zh-CN"/>
        </w:rPr>
        <w:t>为本合同工程派遣或雇用的任何人员进行意外伤亡和人身事故保险，保险费用包含在工程报价中</w:t>
      </w:r>
      <w:r>
        <w:rPr>
          <w:rFonts w:hint="eastAsia" w:ascii="宋体" w:hAnsi="宋体" w:eastAsia="宋体" w:cs="宋体"/>
          <w:color w:val="auto"/>
          <w:lang w:eastAsia="zh-CN"/>
        </w:rPr>
        <w:t xml:space="preserve">；      </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保险金额、保险费率和保险期限：</w:t>
      </w:r>
      <w:r>
        <w:rPr>
          <w:rFonts w:hint="eastAsia" w:ascii="宋体" w:hAnsi="宋体" w:eastAsia="宋体" w:cs="宋体"/>
          <w:color w:val="auto"/>
          <w:u w:val="single"/>
          <w:lang w:eastAsia="zh-CN"/>
        </w:rPr>
        <w:t>在签订施工承包合同时明确</w:t>
      </w:r>
      <w:r>
        <w:rPr>
          <w:rFonts w:hint="eastAsia" w:ascii="宋体" w:hAnsi="宋体" w:eastAsia="宋体" w:cs="宋体"/>
          <w:color w:val="auto"/>
          <w:lang w:eastAsia="zh-CN"/>
        </w:rPr>
        <w:t>。</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20.4 第三者责任险</w:t>
      </w:r>
      <w:bookmarkEnd w:id="1279"/>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 xml:space="preserve">20.4.2  第三者责任险保险费率：；                                       </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 xml:space="preserve">第三者责任险保险金额：。 </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20.5其他保险</w:t>
      </w:r>
    </w:p>
    <w:p>
      <w:pPr>
        <w:pStyle w:val="16"/>
        <w:spacing w:line="400" w:lineRule="exact"/>
        <w:ind w:firstLine="480" w:firstLineChars="200"/>
        <w:rPr>
          <w:rFonts w:ascii="宋体" w:hAnsi="宋体" w:eastAsia="宋体" w:cs="宋体"/>
          <w:color w:val="auto"/>
          <w:lang w:eastAsia="zh-CN"/>
        </w:rPr>
      </w:pPr>
      <w:bookmarkStart w:id="1280" w:name="_Toc221951327"/>
      <w:r>
        <w:rPr>
          <w:rFonts w:hint="eastAsia" w:ascii="宋体" w:hAnsi="宋体" w:eastAsia="宋体" w:cs="宋体"/>
          <w:color w:val="auto"/>
          <w:lang w:eastAsia="zh-CN"/>
        </w:rPr>
        <w:t>需要投保的其他内容：</w:t>
      </w:r>
      <w:r>
        <w:rPr>
          <w:rFonts w:hint="eastAsia" w:ascii="宋体" w:hAnsi="宋体" w:eastAsia="宋体" w:cs="宋体"/>
          <w:color w:val="auto"/>
          <w:u w:val="single"/>
          <w:lang w:eastAsia="zh-CN"/>
        </w:rPr>
        <w:t>建筑意外伤害保险</w:t>
      </w:r>
      <w:r>
        <w:rPr>
          <w:rFonts w:hint="eastAsia" w:ascii="宋体" w:hAnsi="宋体" w:eastAsia="宋体" w:cs="宋体"/>
          <w:color w:val="auto"/>
          <w:lang w:eastAsia="zh-CN"/>
        </w:rPr>
        <w:t>；</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保险金额、保险费率和保险期限：</w:t>
      </w:r>
      <w:r>
        <w:rPr>
          <w:rFonts w:hint="eastAsia" w:ascii="宋体" w:hAnsi="宋体" w:eastAsia="宋体" w:cs="宋体"/>
          <w:color w:val="auto"/>
          <w:u w:val="single"/>
          <w:lang w:eastAsia="zh-CN"/>
        </w:rPr>
        <w:t>在签订施工承包合同时明确</w:t>
      </w:r>
      <w:r>
        <w:rPr>
          <w:rFonts w:hint="eastAsia" w:ascii="宋体" w:hAnsi="宋体" w:eastAsia="宋体" w:cs="宋体"/>
          <w:color w:val="auto"/>
          <w:lang w:eastAsia="zh-CN"/>
        </w:rPr>
        <w:t>。</w:t>
      </w:r>
    </w:p>
    <w:p>
      <w:pPr>
        <w:pStyle w:val="16"/>
        <w:spacing w:line="400" w:lineRule="exact"/>
        <w:rPr>
          <w:rFonts w:ascii="宋体" w:hAnsi="宋体" w:eastAsia="宋体" w:cs="宋体"/>
          <w:b/>
          <w:color w:val="auto"/>
          <w:lang w:eastAsia="zh-CN"/>
        </w:rPr>
      </w:pPr>
      <w:r>
        <w:rPr>
          <w:rFonts w:hint="eastAsia" w:ascii="宋体" w:hAnsi="宋体" w:eastAsia="宋体" w:cs="宋体"/>
          <w:b/>
          <w:color w:val="auto"/>
          <w:lang w:eastAsia="zh-CN"/>
        </w:rPr>
        <w:t>20.6 对各项保险的一般要求</w:t>
      </w:r>
      <w:bookmarkEnd w:id="1280"/>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20.6.1 保险凭证</w:t>
      </w:r>
    </w:p>
    <w:p>
      <w:pPr>
        <w:pStyle w:val="16"/>
        <w:spacing w:line="400" w:lineRule="exact"/>
        <w:ind w:firstLine="480" w:firstLineChars="200"/>
        <w:rPr>
          <w:rFonts w:ascii="宋体" w:hAnsi="宋体" w:eastAsia="宋体" w:cs="宋体"/>
          <w:color w:val="auto"/>
          <w:lang w:eastAsia="zh-CN"/>
        </w:rPr>
      </w:pPr>
      <w:bookmarkStart w:id="1281" w:name="_Toc221951329"/>
      <w:r>
        <w:rPr>
          <w:rFonts w:hint="eastAsia" w:ascii="宋体" w:hAnsi="宋体" w:eastAsia="宋体" w:cs="宋体"/>
          <w:color w:val="auto"/>
          <w:lang w:eastAsia="zh-CN"/>
        </w:rPr>
        <w:t>承包人提交保险凭证的期限：</w:t>
      </w:r>
      <w:bookmarkEnd w:id="1281"/>
      <w:r>
        <w:rPr>
          <w:rFonts w:hint="eastAsia" w:ascii="宋体" w:hAnsi="宋体" w:eastAsia="宋体" w:cs="宋体"/>
          <w:color w:val="auto"/>
          <w:lang w:eastAsia="zh-CN"/>
        </w:rPr>
        <w:t>；</w:t>
      </w:r>
    </w:p>
    <w:p>
      <w:pPr>
        <w:pStyle w:val="16"/>
        <w:spacing w:line="400" w:lineRule="exact"/>
        <w:ind w:firstLine="480" w:firstLineChars="200"/>
        <w:rPr>
          <w:rFonts w:ascii="宋体" w:hAnsi="宋体" w:eastAsia="宋体" w:cs="宋体"/>
          <w:color w:val="auto"/>
          <w:lang w:eastAsia="zh-CN"/>
        </w:rPr>
      </w:pPr>
      <w:bookmarkStart w:id="1282" w:name="_Toc221951330"/>
      <w:r>
        <w:rPr>
          <w:rFonts w:hint="eastAsia" w:ascii="宋体" w:hAnsi="宋体" w:eastAsia="宋体" w:cs="宋体"/>
          <w:color w:val="auto"/>
          <w:lang w:eastAsia="zh-CN"/>
        </w:rPr>
        <w:t>保险条件：。</w:t>
      </w:r>
      <w:bookmarkEnd w:id="1282"/>
    </w:p>
    <w:p>
      <w:pPr>
        <w:pStyle w:val="16"/>
        <w:spacing w:line="400" w:lineRule="exact"/>
        <w:ind w:firstLine="480" w:firstLineChars="200"/>
        <w:rPr>
          <w:rFonts w:ascii="宋体" w:hAnsi="宋体" w:eastAsia="宋体" w:cs="宋体"/>
          <w:color w:val="auto"/>
          <w:lang w:eastAsia="zh-CN"/>
        </w:rPr>
      </w:pPr>
      <w:bookmarkStart w:id="1283" w:name="_Toc221951331"/>
      <w:r>
        <w:rPr>
          <w:rFonts w:hint="eastAsia" w:ascii="宋体" w:hAnsi="宋体" w:eastAsia="宋体" w:cs="宋体"/>
          <w:color w:val="auto"/>
          <w:lang w:eastAsia="zh-CN"/>
        </w:rPr>
        <w:t>20.6.4 保险金不足的补偿</w:t>
      </w:r>
      <w:bookmarkEnd w:id="1283"/>
    </w:p>
    <w:p>
      <w:pPr>
        <w:pStyle w:val="16"/>
        <w:spacing w:line="400" w:lineRule="exact"/>
        <w:ind w:firstLine="480" w:firstLineChars="200"/>
        <w:rPr>
          <w:rFonts w:ascii="宋体" w:hAnsi="宋体" w:eastAsia="宋体" w:cs="宋体"/>
          <w:color w:val="auto"/>
          <w:lang w:eastAsia="zh-CN"/>
        </w:rPr>
      </w:pPr>
      <w:bookmarkStart w:id="1284" w:name="_Toc221951332"/>
      <w:r>
        <w:rPr>
          <w:rFonts w:hint="eastAsia" w:ascii="宋体" w:hAnsi="宋体" w:eastAsia="宋体" w:cs="宋体"/>
          <w:color w:val="auto"/>
          <w:lang w:eastAsia="zh-CN"/>
        </w:rPr>
        <w:t>承包人负责补偿的范围与金额：</w:t>
      </w:r>
      <w:bookmarkEnd w:id="1284"/>
      <w:r>
        <w:rPr>
          <w:rFonts w:hint="eastAsia" w:ascii="宋体" w:hAnsi="宋体" w:eastAsia="宋体" w:cs="宋体"/>
          <w:color w:val="auto"/>
          <w:lang w:eastAsia="zh-CN"/>
        </w:rPr>
        <w:t>；</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发包人负责补偿的范围与金额：。</w:t>
      </w:r>
    </w:p>
    <w:p>
      <w:pPr>
        <w:pStyle w:val="52"/>
        <w:spacing w:before="0" w:after="0" w:line="360" w:lineRule="exact"/>
        <w:rPr>
          <w:rFonts w:ascii="宋体" w:hAnsi="宋体" w:eastAsia="宋体" w:cs="宋体"/>
          <w:b/>
          <w:bCs/>
          <w:color w:val="auto"/>
          <w:szCs w:val="32"/>
          <w:lang w:eastAsia="zh-CN"/>
        </w:rPr>
      </w:pPr>
      <w:bookmarkStart w:id="1285" w:name="_Toc229593394"/>
      <w:bookmarkStart w:id="1286" w:name="_Toc2936491"/>
      <w:bookmarkStart w:id="1287" w:name="_Toc2936735"/>
      <w:bookmarkStart w:id="1288" w:name="_Toc241491287"/>
      <w:bookmarkStart w:id="1289" w:name="_Toc216003201"/>
      <w:bookmarkStart w:id="1290" w:name="_Toc2948189"/>
      <w:r>
        <w:rPr>
          <w:rFonts w:hint="eastAsia" w:ascii="宋体" w:hAnsi="宋体" w:eastAsia="宋体" w:cs="宋体"/>
          <w:b/>
          <w:bCs/>
          <w:color w:val="auto"/>
          <w:szCs w:val="32"/>
          <w:lang w:eastAsia="zh-CN"/>
        </w:rPr>
        <w:t>21. 不可抗力</w:t>
      </w:r>
      <w:bookmarkEnd w:id="1285"/>
      <w:bookmarkEnd w:id="1286"/>
      <w:bookmarkEnd w:id="1287"/>
      <w:bookmarkEnd w:id="1288"/>
      <w:bookmarkEnd w:id="1289"/>
      <w:bookmarkEnd w:id="1290"/>
    </w:p>
    <w:p>
      <w:pPr>
        <w:pStyle w:val="16"/>
        <w:spacing w:line="360" w:lineRule="exact"/>
        <w:rPr>
          <w:rFonts w:ascii="宋体" w:hAnsi="宋体" w:eastAsia="宋体" w:cs="宋体"/>
          <w:b/>
          <w:color w:val="auto"/>
          <w:lang w:eastAsia="zh-CN"/>
        </w:rPr>
      </w:pPr>
      <w:bookmarkStart w:id="1291" w:name="_Toc31637"/>
      <w:bookmarkStart w:id="1292" w:name="_Toc216003202"/>
      <w:bookmarkStart w:id="1293" w:name="_Toc229593395"/>
      <w:bookmarkStart w:id="1294" w:name="_Toc15947"/>
      <w:r>
        <w:rPr>
          <w:rFonts w:hint="eastAsia" w:ascii="宋体" w:hAnsi="宋体" w:eastAsia="宋体" w:cs="宋体"/>
          <w:b/>
          <w:color w:val="auto"/>
          <w:lang w:eastAsia="zh-CN"/>
        </w:rPr>
        <w:t>21.1 不可抗力的确认</w:t>
      </w:r>
      <w:bookmarkEnd w:id="1291"/>
      <w:bookmarkEnd w:id="1292"/>
      <w:bookmarkEnd w:id="1293"/>
      <w:bookmarkEnd w:id="1294"/>
    </w:p>
    <w:p>
      <w:pPr>
        <w:pStyle w:val="16"/>
        <w:spacing w:line="360" w:lineRule="auto"/>
        <w:ind w:firstLine="480" w:firstLineChars="200"/>
        <w:rPr>
          <w:rFonts w:ascii="宋体" w:hAnsi="宋体" w:eastAsia="宋体" w:cs="宋体"/>
          <w:color w:val="auto"/>
          <w:sz w:val="21"/>
          <w:szCs w:val="21"/>
          <w:u w:val="single"/>
          <w:lang w:eastAsia="zh-CN"/>
        </w:rPr>
      </w:pPr>
      <w:r>
        <w:rPr>
          <w:rFonts w:hint="eastAsia" w:ascii="宋体" w:hAnsi="宋体" w:eastAsia="宋体" w:cs="宋体"/>
          <w:color w:val="auto"/>
          <w:lang w:eastAsia="zh-CN"/>
        </w:rPr>
        <w:t xml:space="preserve">21.1.1 不可抗力是指承包人和发包人在订立合同时不可预见，在工程施工过程中不可避免发生并不能克服的自然灾害和社会性突发事件，如地震、海啸、瘟疫、水灾、骚乱、暴动、战争和本合同专用合同条款第11.4款的约定。 </w:t>
      </w:r>
    </w:p>
    <w:p>
      <w:pPr>
        <w:pStyle w:val="16"/>
        <w:outlineLvl w:val="3"/>
        <w:rPr>
          <w:rFonts w:ascii="宋体" w:hAnsi="宋体" w:eastAsia="宋体" w:cs="宋体"/>
          <w:b/>
          <w:bCs/>
          <w:color w:val="auto"/>
          <w:lang w:eastAsia="zh-CN"/>
        </w:rPr>
      </w:pPr>
      <w:r>
        <w:rPr>
          <w:rFonts w:hint="eastAsia" w:ascii="宋体" w:hAnsi="宋体" w:eastAsia="宋体" w:cs="宋体"/>
          <w:b/>
          <w:bCs/>
          <w:color w:val="auto"/>
          <w:lang w:eastAsia="zh-CN"/>
        </w:rPr>
        <w:t>24. 争议的解决</w:t>
      </w:r>
    </w:p>
    <w:p>
      <w:pPr>
        <w:pStyle w:val="16"/>
        <w:spacing w:line="360" w:lineRule="auto"/>
        <w:rPr>
          <w:rFonts w:ascii="宋体" w:hAnsi="宋体" w:eastAsia="宋体" w:cs="宋体"/>
          <w:b/>
          <w:color w:val="auto"/>
          <w:lang w:eastAsia="zh-CN"/>
        </w:rPr>
      </w:pPr>
      <w:r>
        <w:rPr>
          <w:rFonts w:hint="eastAsia" w:ascii="宋体" w:hAnsi="宋体" w:eastAsia="宋体" w:cs="宋体"/>
          <w:b/>
          <w:color w:val="auto"/>
          <w:lang w:eastAsia="zh-CN"/>
        </w:rPr>
        <w:t>24.1 争议的解决方式</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合同当事人友好协商解决不成、不愿提请争议评审或不接受争议评审组意见的，约定的合同争议解决方式 ：</w:t>
      </w:r>
      <w:r>
        <w:rPr>
          <w:rFonts w:hint="eastAsia" w:ascii="宋体" w:hAnsi="宋体" w:eastAsia="宋体" w:cs="宋体"/>
          <w:color w:val="auto"/>
          <w:u w:val="single"/>
          <w:lang w:eastAsia="zh-CN"/>
        </w:rPr>
        <w:t xml:space="preserve">  向项目所在地人民法院提起诉讼  </w:t>
      </w:r>
      <w:r>
        <w:rPr>
          <w:rFonts w:hint="eastAsia" w:ascii="宋体" w:hAnsi="宋体" w:eastAsia="宋体" w:cs="宋体"/>
          <w:color w:val="auto"/>
          <w:lang w:eastAsia="zh-CN"/>
        </w:rPr>
        <w:t>。</w:t>
      </w:r>
    </w:p>
    <w:p>
      <w:pPr>
        <w:pStyle w:val="16"/>
        <w:spacing w:line="400" w:lineRule="exact"/>
        <w:ind w:firstLine="480" w:firstLineChars="200"/>
        <w:rPr>
          <w:rFonts w:ascii="宋体" w:hAnsi="宋体" w:eastAsia="宋体" w:cs="宋体"/>
          <w:color w:val="auto"/>
          <w:lang w:eastAsia="zh-CN"/>
        </w:rPr>
      </w:pPr>
      <w:r>
        <w:rPr>
          <w:rFonts w:hint="eastAsia" w:ascii="宋体" w:hAnsi="宋体" w:eastAsia="宋体" w:cs="宋体"/>
          <w:color w:val="auto"/>
          <w:lang w:eastAsia="zh-CN"/>
        </w:rPr>
        <w:t>因诉讼产生的费用由违约方承担，费用包括：诉讼费、评估费、公告费、鉴定费、交通费、律师费等一切费用。</w:t>
      </w:r>
    </w:p>
    <w:p>
      <w:pPr>
        <w:pStyle w:val="52"/>
        <w:numPr>
          <w:ilvl w:val="0"/>
          <w:numId w:val="0"/>
        </w:numPr>
        <w:spacing w:line="240" w:lineRule="exact"/>
        <w:rPr>
          <w:rFonts w:ascii="宋体" w:hAnsi="宋体" w:eastAsia="宋体" w:cs="宋体"/>
          <w:b/>
          <w:bCs/>
          <w:color w:val="auto"/>
          <w:lang w:eastAsia="zh-CN"/>
        </w:rPr>
      </w:pPr>
      <w:r>
        <w:rPr>
          <w:rFonts w:hint="eastAsia" w:ascii="宋体" w:hAnsi="宋体" w:eastAsia="宋体" w:cs="宋体"/>
          <w:b/>
          <w:bCs/>
          <w:color w:val="auto"/>
          <w:lang w:eastAsia="zh-CN"/>
        </w:rPr>
        <w:t>25.附加条款</w:t>
      </w:r>
      <w:bookmarkEnd w:id="1057"/>
      <w:bookmarkEnd w:id="1058"/>
      <w:bookmarkEnd w:id="1059"/>
      <w:bookmarkEnd w:id="1060"/>
      <w:bookmarkEnd w:id="1061"/>
      <w:bookmarkStart w:id="1295" w:name="bookmark1867"/>
      <w:bookmarkStart w:id="1296" w:name="bookmark1866"/>
      <w:bookmarkStart w:id="1297" w:name="bookmark1868"/>
    </w:p>
    <w:p>
      <w:pPr>
        <w:pStyle w:val="52"/>
        <w:spacing w:line="240" w:lineRule="exact"/>
        <w:rPr>
          <w:rFonts w:ascii="宋体" w:hAnsi="宋体" w:eastAsia="宋体" w:cs="宋体"/>
          <w:b/>
          <w:color w:val="auto"/>
          <w:sz w:val="24"/>
          <w:lang w:eastAsia="zh-CN"/>
        </w:rPr>
      </w:pPr>
      <w:r>
        <w:rPr>
          <w:rFonts w:hint="eastAsia" w:ascii="宋体" w:hAnsi="宋体" w:eastAsia="宋体" w:cs="宋体"/>
          <w:b/>
          <w:color w:val="auto"/>
          <w:sz w:val="24"/>
          <w:lang w:eastAsia="zh-CN"/>
        </w:rPr>
        <w:t>25.1对承包人的要求</w:t>
      </w:r>
      <w:bookmarkEnd w:id="1295"/>
      <w:bookmarkEnd w:id="1296"/>
      <w:bookmarkEnd w:id="1297"/>
    </w:p>
    <w:p>
      <w:pPr>
        <w:pStyle w:val="53"/>
        <w:numPr>
          <w:ilvl w:val="0"/>
          <w:numId w:val="38"/>
        </w:numPr>
        <w:tabs>
          <w:tab w:val="left" w:pos="707"/>
        </w:tabs>
        <w:spacing w:line="352" w:lineRule="exact"/>
        <w:ind w:firstLine="440"/>
        <w:jc w:val="both"/>
        <w:rPr>
          <w:color w:val="auto"/>
          <w:sz w:val="24"/>
          <w:szCs w:val="24"/>
        </w:rPr>
      </w:pPr>
      <w:bookmarkStart w:id="1298" w:name="bookmark1869"/>
      <w:bookmarkEnd w:id="1298"/>
      <w:r>
        <w:rPr>
          <w:rFonts w:hint="eastAsia"/>
          <w:color w:val="auto"/>
          <w:sz w:val="24"/>
          <w:szCs w:val="24"/>
        </w:rPr>
        <w:t>因承包人的原因造成施工进度计划滞后，承包人均应按发包人和监理人的指示，采取有效措施赶上进度。若施工进度仍然满足不了发包人的要求，视为承包人已经构成违约，发包人可通知承包人解除合同。发包人可在发出通知5天后派员进驻工地直接监管工程，使用承包人设备、临时工程和材料，另行组织人员或委托其他承包人施工，但发包人的这一行为不免除承包人按合同规定应负的责任。</w:t>
      </w:r>
    </w:p>
    <w:p>
      <w:pPr>
        <w:pStyle w:val="53"/>
        <w:numPr>
          <w:ilvl w:val="0"/>
          <w:numId w:val="38"/>
        </w:numPr>
        <w:tabs>
          <w:tab w:val="left" w:pos="707"/>
        </w:tabs>
        <w:spacing w:line="352" w:lineRule="exact"/>
        <w:ind w:firstLine="440"/>
        <w:jc w:val="both"/>
        <w:rPr>
          <w:color w:val="auto"/>
          <w:sz w:val="24"/>
          <w:szCs w:val="24"/>
        </w:rPr>
      </w:pPr>
      <w:bookmarkStart w:id="1299" w:name="bookmark1870"/>
      <w:bookmarkEnd w:id="1299"/>
      <w:r>
        <w:rPr>
          <w:rFonts w:hint="eastAsia"/>
          <w:color w:val="auto"/>
          <w:sz w:val="24"/>
          <w:szCs w:val="24"/>
        </w:rPr>
        <w:t>遵守国务院《建设工程质量管理条例》，根据水利部、自治区和水利厅的有关质量管理规定，建立健全质量管理机构，结合工程实际制定完善的可操作性强的质量管理制度，施工质量等级达到合同约定等级。</w:t>
      </w:r>
    </w:p>
    <w:p>
      <w:pPr>
        <w:pStyle w:val="53"/>
        <w:numPr>
          <w:ilvl w:val="0"/>
          <w:numId w:val="38"/>
        </w:numPr>
        <w:tabs>
          <w:tab w:val="left" w:pos="707"/>
        </w:tabs>
        <w:spacing w:line="352" w:lineRule="exact"/>
        <w:ind w:firstLine="440"/>
        <w:jc w:val="both"/>
        <w:rPr>
          <w:color w:val="auto"/>
          <w:sz w:val="24"/>
          <w:szCs w:val="24"/>
        </w:rPr>
      </w:pPr>
      <w:bookmarkStart w:id="1300" w:name="bookmark1871"/>
      <w:bookmarkEnd w:id="1300"/>
      <w:r>
        <w:rPr>
          <w:rFonts w:hint="eastAsia"/>
          <w:color w:val="auto"/>
          <w:sz w:val="24"/>
          <w:szCs w:val="24"/>
        </w:rPr>
        <w:t>按国家《中华人民共和国生产安全法》、《建设工程安全生产管理条例》、自治区安全生产法规和水利水电工程施工安全操作规程的规定建立健全安全管理机构和安全管理制度，采取安全施工保障措施保障工程施工安全。</w:t>
      </w:r>
    </w:p>
    <w:p>
      <w:pPr>
        <w:pStyle w:val="53"/>
        <w:numPr>
          <w:ilvl w:val="0"/>
          <w:numId w:val="38"/>
        </w:numPr>
        <w:tabs>
          <w:tab w:val="left" w:pos="705"/>
        </w:tabs>
        <w:spacing w:line="352" w:lineRule="exact"/>
        <w:ind w:firstLine="440"/>
        <w:jc w:val="both"/>
        <w:rPr>
          <w:color w:val="auto"/>
          <w:sz w:val="24"/>
          <w:szCs w:val="24"/>
        </w:rPr>
      </w:pPr>
      <w:bookmarkStart w:id="1301" w:name="bookmark1872"/>
      <w:bookmarkEnd w:id="1301"/>
      <w:r>
        <w:rPr>
          <w:rFonts w:hint="eastAsia"/>
          <w:color w:val="auto"/>
          <w:sz w:val="24"/>
          <w:szCs w:val="24"/>
        </w:rPr>
        <w:t>按有关施工规程规范及本招标文件技术条款进行组织施工并实施施工过程和移交前工程保护措施。</w:t>
      </w:r>
    </w:p>
    <w:p>
      <w:pPr>
        <w:pStyle w:val="53"/>
        <w:numPr>
          <w:ilvl w:val="0"/>
          <w:numId w:val="38"/>
        </w:numPr>
        <w:tabs>
          <w:tab w:val="left" w:pos="710"/>
        </w:tabs>
        <w:spacing w:line="352" w:lineRule="exact"/>
        <w:ind w:firstLine="440"/>
        <w:jc w:val="both"/>
        <w:rPr>
          <w:color w:val="auto"/>
          <w:sz w:val="24"/>
          <w:szCs w:val="24"/>
        </w:rPr>
      </w:pPr>
      <w:bookmarkStart w:id="1302" w:name="bookmark1873"/>
      <w:bookmarkEnd w:id="1302"/>
      <w:r>
        <w:rPr>
          <w:rFonts w:hint="eastAsia"/>
          <w:color w:val="auto"/>
          <w:sz w:val="24"/>
          <w:szCs w:val="24"/>
        </w:rPr>
        <w:t>承包人违约有以下情况之一者，发包人有权采取合同规定的以下措施处理，并视情节轻重处予违约金。</w:t>
      </w:r>
    </w:p>
    <w:p>
      <w:pPr>
        <w:pStyle w:val="53"/>
        <w:tabs>
          <w:tab w:val="left" w:pos="883"/>
        </w:tabs>
        <w:spacing w:line="352" w:lineRule="exact"/>
        <w:ind w:firstLine="0"/>
        <w:jc w:val="both"/>
        <w:rPr>
          <w:color w:val="auto"/>
          <w:sz w:val="24"/>
          <w:szCs w:val="24"/>
        </w:rPr>
      </w:pPr>
      <w:bookmarkStart w:id="1303" w:name="bookmark1874"/>
      <w:bookmarkEnd w:id="1303"/>
      <w:r>
        <w:rPr>
          <w:rFonts w:hint="eastAsia"/>
          <w:color w:val="auto"/>
          <w:sz w:val="24"/>
          <w:szCs w:val="24"/>
        </w:rPr>
        <w:t>（</w:t>
      </w:r>
      <w:r>
        <w:rPr>
          <w:rFonts w:hint="eastAsia"/>
          <w:color w:val="auto"/>
          <w:sz w:val="24"/>
          <w:szCs w:val="24"/>
          <w:lang w:val="en-US"/>
        </w:rPr>
        <w:t>1</w:t>
      </w:r>
      <w:r>
        <w:rPr>
          <w:rFonts w:hint="eastAsia"/>
          <w:color w:val="auto"/>
          <w:sz w:val="24"/>
          <w:szCs w:val="24"/>
        </w:rPr>
        <w:t>）未经发包人批准，施工期内承包人调走主要施工技术人员(包括建造师、专业工程师)，经发现不及时调回的，违约金额为履约保证金金额的5% ~20% (视情节严重而定)</w:t>
      </w:r>
      <w:r>
        <w:rPr>
          <w:rFonts w:hint="eastAsia"/>
          <w:color w:val="auto"/>
          <w:sz w:val="24"/>
          <w:szCs w:val="24"/>
          <w:lang w:val="en-US"/>
        </w:rPr>
        <w:t>。</w:t>
      </w:r>
    </w:p>
    <w:p>
      <w:pPr>
        <w:pStyle w:val="53"/>
        <w:tabs>
          <w:tab w:val="left" w:pos="880"/>
        </w:tabs>
        <w:spacing w:line="352" w:lineRule="exact"/>
        <w:ind w:firstLine="0"/>
        <w:jc w:val="both"/>
        <w:rPr>
          <w:color w:val="auto"/>
          <w:sz w:val="24"/>
          <w:szCs w:val="24"/>
        </w:rPr>
      </w:pPr>
      <w:bookmarkStart w:id="1304" w:name="bookmark1875"/>
      <w:bookmarkEnd w:id="1304"/>
      <w:r>
        <w:rPr>
          <w:rFonts w:hint="eastAsia"/>
          <w:color w:val="auto"/>
          <w:sz w:val="24"/>
          <w:szCs w:val="24"/>
        </w:rPr>
        <w:t>（</w:t>
      </w:r>
      <w:r>
        <w:rPr>
          <w:rFonts w:hint="eastAsia"/>
          <w:color w:val="auto"/>
          <w:sz w:val="24"/>
          <w:szCs w:val="24"/>
          <w:lang w:val="en-US"/>
        </w:rPr>
        <w:t>2</w:t>
      </w:r>
      <w:r>
        <w:rPr>
          <w:rFonts w:hint="eastAsia"/>
          <w:color w:val="auto"/>
          <w:sz w:val="24"/>
          <w:szCs w:val="24"/>
        </w:rPr>
        <w:t>）未经发包人批准，施工期内自行调走主要施工机械，经发现不及时调回的，违约金额为履约保证金金额的5% ~ 20% (视情节严重而定)</w:t>
      </w:r>
      <w:r>
        <w:rPr>
          <w:rFonts w:hint="eastAsia"/>
          <w:color w:val="auto"/>
          <w:sz w:val="24"/>
          <w:szCs w:val="24"/>
          <w:lang w:val="en-US"/>
        </w:rPr>
        <w:t>。</w:t>
      </w:r>
    </w:p>
    <w:p>
      <w:pPr>
        <w:pStyle w:val="53"/>
        <w:tabs>
          <w:tab w:val="left" w:pos="883"/>
        </w:tabs>
        <w:spacing w:line="352" w:lineRule="exact"/>
        <w:ind w:firstLine="0"/>
        <w:jc w:val="both"/>
        <w:rPr>
          <w:color w:val="auto"/>
          <w:sz w:val="24"/>
          <w:szCs w:val="24"/>
        </w:rPr>
      </w:pPr>
      <w:bookmarkStart w:id="1305" w:name="bookmark1876"/>
      <w:bookmarkEnd w:id="1305"/>
      <w:r>
        <w:rPr>
          <w:rFonts w:hint="eastAsia"/>
          <w:color w:val="auto"/>
          <w:sz w:val="24"/>
          <w:szCs w:val="24"/>
        </w:rPr>
        <w:t>（</w:t>
      </w:r>
      <w:r>
        <w:rPr>
          <w:rFonts w:hint="eastAsia"/>
          <w:color w:val="auto"/>
          <w:sz w:val="24"/>
          <w:szCs w:val="24"/>
          <w:lang w:val="en-US"/>
        </w:rPr>
        <w:t>3</w:t>
      </w:r>
      <w:r>
        <w:rPr>
          <w:rFonts w:hint="eastAsia"/>
          <w:color w:val="auto"/>
          <w:sz w:val="24"/>
          <w:szCs w:val="24"/>
        </w:rPr>
        <w:t>）所有以上违约金额均在承包人的履约保证金(包括银行利息)及计量支付款内扣 除，承包人履约保证金被扣除后，由发包人从最后一次计量支付时扣相应金额补足履约保证金。</w:t>
      </w:r>
    </w:p>
    <w:p>
      <w:pPr>
        <w:pStyle w:val="53"/>
        <w:tabs>
          <w:tab w:val="left" w:pos="885"/>
        </w:tabs>
        <w:spacing w:line="352" w:lineRule="exact"/>
        <w:ind w:firstLine="0"/>
        <w:jc w:val="both"/>
        <w:rPr>
          <w:color w:val="auto"/>
          <w:sz w:val="24"/>
          <w:szCs w:val="24"/>
        </w:rPr>
      </w:pPr>
      <w:bookmarkStart w:id="1306" w:name="bookmark1877"/>
      <w:bookmarkEnd w:id="1306"/>
      <w:r>
        <w:rPr>
          <w:rFonts w:hint="eastAsia"/>
          <w:color w:val="auto"/>
          <w:sz w:val="24"/>
          <w:szCs w:val="24"/>
        </w:rPr>
        <w:t>（</w:t>
      </w:r>
      <w:r>
        <w:rPr>
          <w:rFonts w:hint="eastAsia"/>
          <w:color w:val="auto"/>
          <w:sz w:val="24"/>
          <w:szCs w:val="24"/>
          <w:lang w:val="en-US"/>
        </w:rPr>
        <w:t>4</w:t>
      </w:r>
      <w:r>
        <w:rPr>
          <w:rFonts w:hint="eastAsia"/>
          <w:color w:val="auto"/>
          <w:sz w:val="24"/>
          <w:szCs w:val="24"/>
        </w:rPr>
        <w:t>）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 械、材料和劳动力不能满足施工进度要求，有权指令承包人增加机械、材料和劳动力投入，承包人不得拒绝。</w:t>
      </w:r>
    </w:p>
    <w:p>
      <w:pPr>
        <w:pStyle w:val="53"/>
        <w:tabs>
          <w:tab w:val="left" w:pos="883"/>
        </w:tabs>
        <w:spacing w:line="352" w:lineRule="exact"/>
        <w:ind w:firstLine="0"/>
        <w:jc w:val="both"/>
        <w:rPr>
          <w:color w:val="auto"/>
          <w:sz w:val="24"/>
          <w:szCs w:val="24"/>
        </w:rPr>
      </w:pPr>
      <w:bookmarkStart w:id="1307" w:name="bookmark1878"/>
      <w:bookmarkEnd w:id="1307"/>
      <w:r>
        <w:rPr>
          <w:rFonts w:hint="eastAsia"/>
          <w:color w:val="auto"/>
          <w:sz w:val="24"/>
          <w:szCs w:val="24"/>
        </w:rPr>
        <w:t>（</w:t>
      </w:r>
      <w:r>
        <w:rPr>
          <w:rFonts w:hint="eastAsia"/>
          <w:color w:val="auto"/>
          <w:sz w:val="24"/>
          <w:szCs w:val="24"/>
          <w:lang w:val="en-US"/>
        </w:rPr>
        <w:t>5</w:t>
      </w:r>
      <w:r>
        <w:rPr>
          <w:rFonts w:hint="eastAsia"/>
          <w:color w:val="auto"/>
          <w:sz w:val="24"/>
          <w:szCs w:val="24"/>
        </w:rPr>
        <w:t>）合同签订之日起15日内，承包人无法按合同规定进场全部人员和机械时，作为承包人违约，发包人可解除合同，没收其全部履约保证金，另行发包工程。</w:t>
      </w:r>
    </w:p>
    <w:p>
      <w:pPr>
        <w:pStyle w:val="53"/>
        <w:tabs>
          <w:tab w:val="left" w:pos="880"/>
        </w:tabs>
        <w:spacing w:line="352" w:lineRule="exact"/>
        <w:ind w:firstLine="0"/>
        <w:jc w:val="both"/>
        <w:rPr>
          <w:color w:val="auto"/>
          <w:sz w:val="24"/>
          <w:szCs w:val="24"/>
        </w:rPr>
      </w:pPr>
      <w:bookmarkStart w:id="1308" w:name="bookmark1879"/>
      <w:bookmarkEnd w:id="1308"/>
      <w:r>
        <w:rPr>
          <w:rFonts w:hint="eastAsia"/>
          <w:color w:val="auto"/>
          <w:sz w:val="24"/>
          <w:szCs w:val="24"/>
        </w:rPr>
        <w:t>（</w:t>
      </w:r>
      <w:r>
        <w:rPr>
          <w:rFonts w:hint="eastAsia"/>
          <w:color w:val="auto"/>
          <w:sz w:val="24"/>
          <w:szCs w:val="24"/>
          <w:lang w:val="en-US"/>
        </w:rPr>
        <w:t>6</w:t>
      </w:r>
      <w:r>
        <w:rPr>
          <w:rFonts w:hint="eastAsia"/>
          <w:color w:val="auto"/>
          <w:sz w:val="24"/>
          <w:szCs w:val="24"/>
        </w:rPr>
        <w:t>）合同履行过程中，承包人未按规定要求落实安全生产措施费用专款专用，挪用、 扣减安全生产措施费用，且不服从发包人或监理人的安全生产管理，发包人有权对违反安 全生产相关规定的行为处以罚款直至终止合同。</w:t>
      </w:r>
    </w:p>
    <w:p>
      <w:pPr>
        <w:pStyle w:val="53"/>
        <w:numPr>
          <w:ilvl w:val="0"/>
          <w:numId w:val="38"/>
        </w:numPr>
        <w:tabs>
          <w:tab w:val="left" w:pos="739"/>
        </w:tabs>
        <w:spacing w:line="352" w:lineRule="exact"/>
        <w:ind w:firstLine="440"/>
        <w:jc w:val="both"/>
        <w:rPr>
          <w:color w:val="auto"/>
          <w:sz w:val="24"/>
          <w:szCs w:val="24"/>
        </w:rPr>
      </w:pPr>
      <w:bookmarkStart w:id="1309" w:name="bookmark1880"/>
      <w:bookmarkEnd w:id="1309"/>
      <w:r>
        <w:rPr>
          <w:rFonts w:hint="eastAsia"/>
          <w:color w:val="auto"/>
          <w:sz w:val="24"/>
          <w:szCs w:val="24"/>
        </w:rPr>
        <w:t>承包人生活设施及施工场地，应自费配备消防设备，防止火灾发生。</w:t>
      </w:r>
    </w:p>
    <w:p>
      <w:pPr>
        <w:pStyle w:val="53"/>
        <w:numPr>
          <w:ilvl w:val="0"/>
          <w:numId w:val="38"/>
        </w:numPr>
        <w:tabs>
          <w:tab w:val="left" w:pos="719"/>
        </w:tabs>
        <w:spacing w:line="352" w:lineRule="exact"/>
        <w:ind w:firstLine="420"/>
        <w:jc w:val="both"/>
        <w:rPr>
          <w:color w:val="auto"/>
          <w:sz w:val="24"/>
          <w:szCs w:val="24"/>
        </w:rPr>
      </w:pPr>
      <w:bookmarkStart w:id="1310" w:name="bookmark1881"/>
      <w:bookmarkEnd w:id="1310"/>
      <w:r>
        <w:rPr>
          <w:rFonts w:hint="eastAsia"/>
          <w:color w:val="auto"/>
          <w:sz w:val="24"/>
          <w:szCs w:val="24"/>
        </w:rPr>
        <w:t>承包人使用的劳动力均应进行保险，否则不准安排工作，禁止使用童工。</w:t>
      </w:r>
    </w:p>
    <w:p>
      <w:pPr>
        <w:pStyle w:val="53"/>
        <w:tabs>
          <w:tab w:val="left" w:pos="880"/>
        </w:tabs>
        <w:spacing w:line="352" w:lineRule="exact"/>
        <w:ind w:firstLine="511" w:firstLineChars="213"/>
        <w:jc w:val="both"/>
        <w:rPr>
          <w:color w:val="auto"/>
          <w:sz w:val="24"/>
          <w:szCs w:val="24"/>
        </w:rPr>
      </w:pPr>
      <w:r>
        <w:rPr>
          <w:rFonts w:hint="eastAsia"/>
          <w:color w:val="auto"/>
          <w:sz w:val="24"/>
          <w:szCs w:val="24"/>
        </w:rPr>
        <w:t>8. 凡招标文件的合同条件、技术规范、设计图纸没有明显提及或明显遗漏或明显错误的，应以国内现行规范解释为依据，或以国内惯例解释处理。承包人发现后应及时向监理工程师报告，防止造成损失，并不利用以上文件的含糊、遗漏、错误或缺点索取利益。</w:t>
      </w:r>
    </w:p>
    <w:p>
      <w:pPr>
        <w:pStyle w:val="53"/>
        <w:tabs>
          <w:tab w:val="left" w:pos="734"/>
        </w:tabs>
        <w:spacing w:line="355" w:lineRule="exact"/>
        <w:ind w:firstLine="480" w:firstLineChars="200"/>
        <w:jc w:val="both"/>
        <w:rPr>
          <w:color w:val="auto"/>
          <w:sz w:val="24"/>
          <w:szCs w:val="24"/>
        </w:rPr>
      </w:pPr>
      <w:bookmarkStart w:id="1311" w:name="bookmark1883"/>
      <w:bookmarkEnd w:id="1311"/>
      <w:r>
        <w:rPr>
          <w:rFonts w:hint="eastAsia"/>
          <w:color w:val="auto"/>
          <w:sz w:val="24"/>
          <w:szCs w:val="24"/>
        </w:rPr>
        <w:t>9. 承包人未能按时完成当月合同进度计划70%工程量的，发包人有权自行组织施工， 以不超过投标报价的2倍单价扣减承包人的进度款，支付自行组织施工完成的工程款。也 有权终止本合同并清退承包人，承包人须在10天内离场，否则发包人将强行撤出所有施工 设备，所造成的全部损失由承包人承担。</w:t>
      </w:r>
    </w:p>
    <w:p>
      <w:pPr>
        <w:pStyle w:val="53"/>
        <w:tabs>
          <w:tab w:val="left" w:pos="801"/>
        </w:tabs>
        <w:jc w:val="both"/>
        <w:rPr>
          <w:color w:val="auto"/>
          <w:sz w:val="24"/>
          <w:szCs w:val="24"/>
        </w:rPr>
      </w:pPr>
      <w:bookmarkStart w:id="1312" w:name="bookmark1884"/>
      <w:bookmarkEnd w:id="1312"/>
      <w:r>
        <w:rPr>
          <w:rFonts w:hint="eastAsia"/>
          <w:color w:val="auto"/>
          <w:sz w:val="24"/>
          <w:szCs w:val="24"/>
        </w:rPr>
        <w:t>10. 有关主管部门及发包人检查发现问题时，承包人应按要求整改。在规定时间内不进 行整改或整改无效的，发包人有权终止本施工合同并清退承包人。承包人须在10天内离 场，否则发包人将强行撤出所有施工设备，所造成的全部损失由承包人承担。</w:t>
      </w:r>
    </w:p>
    <w:p>
      <w:pPr>
        <w:pStyle w:val="53"/>
        <w:tabs>
          <w:tab w:val="left" w:pos="801"/>
        </w:tabs>
        <w:jc w:val="both"/>
        <w:rPr>
          <w:b/>
          <w:color w:val="auto"/>
          <w:sz w:val="24"/>
          <w:szCs w:val="24"/>
        </w:rPr>
      </w:pPr>
      <w:bookmarkStart w:id="1313" w:name="bookmark1886"/>
      <w:bookmarkStart w:id="1314" w:name="bookmark1885"/>
      <w:bookmarkStart w:id="1315" w:name="bookmark1887"/>
      <w:r>
        <w:rPr>
          <w:rFonts w:hint="eastAsia"/>
          <w:b/>
          <w:color w:val="auto"/>
          <w:sz w:val="24"/>
          <w:szCs w:val="24"/>
        </w:rPr>
        <w:t>2</w:t>
      </w:r>
      <w:r>
        <w:rPr>
          <w:rFonts w:hint="eastAsia"/>
          <w:b/>
          <w:color w:val="auto"/>
          <w:sz w:val="24"/>
          <w:szCs w:val="24"/>
          <w:lang w:val="en-US"/>
        </w:rPr>
        <w:t>5</w:t>
      </w:r>
      <w:r>
        <w:rPr>
          <w:rFonts w:hint="eastAsia"/>
          <w:b/>
          <w:color w:val="auto"/>
          <w:sz w:val="24"/>
          <w:szCs w:val="24"/>
        </w:rPr>
        <w:t>.2</w:t>
      </w:r>
      <w:r>
        <w:rPr>
          <w:rFonts w:hint="eastAsia"/>
          <w:color w:val="auto"/>
          <w:sz w:val="24"/>
          <w:szCs w:val="24"/>
        </w:rPr>
        <w:t>发包人所有付款（含预付款）均转入如下承包人单位基本账户</w:t>
      </w:r>
      <w:r>
        <w:rPr>
          <w:rFonts w:hint="eastAsia"/>
          <w:color w:val="auto"/>
          <w:sz w:val="24"/>
          <w:szCs w:val="24"/>
        </w:rPr>
        <w:tab/>
      </w:r>
      <w:r>
        <w:rPr>
          <w:rFonts w:hint="eastAsia"/>
          <w:color w:val="auto"/>
          <w:sz w:val="24"/>
          <w:szCs w:val="24"/>
        </w:rPr>
        <w:t>（签订施工合同时标明），承包人单位基本账户发生改变时，承包人应书面通知 （法定代表人签字并加盖单位公章）发包人。</w:t>
      </w:r>
      <w:bookmarkEnd w:id="1313"/>
      <w:bookmarkEnd w:id="1314"/>
      <w:bookmarkEnd w:id="1315"/>
    </w:p>
    <w:p>
      <w:pPr>
        <w:bidi w:val="0"/>
        <w:ind w:firstLine="482" w:firstLineChars="200"/>
        <w:rPr>
          <w:color w:val="auto"/>
          <w:lang w:eastAsia="zh-CN"/>
        </w:rPr>
      </w:pPr>
      <w:bookmarkStart w:id="1316" w:name="bookmark1890"/>
      <w:bookmarkStart w:id="1317" w:name="bookmark1889"/>
      <w:bookmarkStart w:id="1318" w:name="bookmark1888"/>
      <w:r>
        <w:rPr>
          <w:rFonts w:hint="eastAsia" w:ascii="宋体" w:hAnsi="宋体" w:cs="宋体"/>
          <w:b/>
          <w:color w:val="auto"/>
          <w:sz w:val="24"/>
          <w:szCs w:val="24"/>
        </w:rPr>
        <w:t>25.3</w:t>
      </w:r>
      <w:r>
        <w:rPr>
          <w:rFonts w:hint="eastAsia" w:ascii="宋体" w:hAnsi="宋体" w:cs="宋体"/>
          <w:color w:val="auto"/>
          <w:sz w:val="24"/>
          <w:szCs w:val="24"/>
        </w:rPr>
        <w:t>专用合同条款中未尽事宜，在签订施工合同时双方再商定。</w:t>
      </w:r>
      <w:bookmarkEnd w:id="1316"/>
      <w:bookmarkEnd w:id="1317"/>
      <w:bookmarkEnd w:id="1318"/>
      <w:r>
        <w:rPr>
          <w:color w:val="auto"/>
          <w:lang w:eastAsia="zh-CN"/>
        </w:rPr>
        <w:br w:type="page"/>
      </w:r>
      <w:bookmarkEnd w:id="1062"/>
      <w:bookmarkEnd w:id="1063"/>
      <w:bookmarkEnd w:id="1064"/>
      <w:bookmarkEnd w:id="1065"/>
      <w:bookmarkEnd w:id="1066"/>
    </w:p>
    <w:p>
      <w:pPr>
        <w:bidi w:val="0"/>
        <w:ind w:firstLine="602" w:firstLineChars="200"/>
        <w:jc w:val="center"/>
        <w:rPr>
          <w:rFonts w:hint="eastAsia" w:ascii="Times New Roman" w:hAnsi="Times New Roman" w:eastAsia="宋体" w:cs="Times New Roman"/>
          <w:b/>
          <w:bCs/>
          <w:color w:val="auto"/>
          <w:kern w:val="2"/>
          <w:sz w:val="30"/>
          <w:szCs w:val="30"/>
          <w:highlight w:val="none"/>
          <w:lang w:val="en-US" w:eastAsia="zh-CN" w:bidi="ar-SA"/>
        </w:rPr>
      </w:pPr>
      <w:r>
        <w:rPr>
          <w:rFonts w:hint="eastAsia" w:ascii="Times New Roman" w:hAnsi="Times New Roman" w:eastAsia="宋体" w:cs="Times New Roman"/>
          <w:b/>
          <w:bCs/>
          <w:color w:val="auto"/>
          <w:kern w:val="2"/>
          <w:sz w:val="30"/>
          <w:szCs w:val="30"/>
          <w:highlight w:val="none"/>
          <w:lang w:val="en-US" w:eastAsia="zh-CN" w:bidi="ar-SA"/>
        </w:rPr>
        <w:t>第</w:t>
      </w:r>
      <w:r>
        <w:rPr>
          <w:rFonts w:hint="eastAsia" w:eastAsia="宋体" w:cs="Times New Roman"/>
          <w:b/>
          <w:bCs/>
          <w:color w:val="auto"/>
          <w:kern w:val="2"/>
          <w:sz w:val="30"/>
          <w:szCs w:val="30"/>
          <w:highlight w:val="none"/>
          <w:lang w:val="en-US" w:eastAsia="zh-CN" w:bidi="ar-SA"/>
        </w:rPr>
        <w:t>四</w:t>
      </w:r>
      <w:r>
        <w:rPr>
          <w:rFonts w:hint="eastAsia" w:ascii="Times New Roman" w:hAnsi="Times New Roman" w:eastAsia="宋体" w:cs="Times New Roman"/>
          <w:b/>
          <w:bCs/>
          <w:color w:val="auto"/>
          <w:kern w:val="2"/>
          <w:sz w:val="30"/>
          <w:szCs w:val="30"/>
          <w:highlight w:val="none"/>
          <w:lang w:val="en-US" w:eastAsia="zh-CN" w:bidi="ar-SA"/>
        </w:rPr>
        <w:t>节  合同附件格式</w:t>
      </w:r>
    </w:p>
    <w:p>
      <w:pPr>
        <w:pStyle w:val="36"/>
        <w:keepNext/>
        <w:keepLines/>
        <w:spacing w:before="280" w:after="290" w:line="372" w:lineRule="auto"/>
        <w:outlineLvl w:val="4"/>
        <w:rPr>
          <w:b/>
          <w:color w:val="auto"/>
          <w:sz w:val="28"/>
          <w:highlight w:val="none"/>
          <w:lang w:eastAsia="zh-CN"/>
        </w:rPr>
      </w:pPr>
      <w:bookmarkStart w:id="1319" w:name="_Toc15523"/>
      <w:bookmarkStart w:id="1320" w:name="_Toc20923"/>
      <w:r>
        <w:rPr>
          <w:rFonts w:hint="eastAsia" w:ascii="宋体" w:hAnsi="宋体" w:eastAsia="宋体" w:cs="宋体"/>
          <w:b/>
          <w:color w:val="auto"/>
          <w:sz w:val="28"/>
          <w:highlight w:val="none"/>
          <w:lang w:eastAsia="zh-CN"/>
        </w:rPr>
        <w:t>附件</w:t>
      </w:r>
      <w:r>
        <w:rPr>
          <w:rFonts w:hint="eastAsia" w:ascii="宋体" w:hAnsi="宋体" w:cs="宋体"/>
          <w:b/>
          <w:color w:val="auto"/>
          <w:sz w:val="28"/>
          <w:highlight w:val="none"/>
          <w:lang w:val="en-US" w:eastAsia="zh-CN"/>
        </w:rPr>
        <w:t>一</w:t>
      </w:r>
      <w:r>
        <w:rPr>
          <w:rFonts w:hint="eastAsia" w:ascii="宋体" w:hAnsi="宋体" w:eastAsia="宋体" w:cs="宋体"/>
          <w:b/>
          <w:color w:val="auto"/>
          <w:sz w:val="28"/>
          <w:highlight w:val="none"/>
          <w:lang w:eastAsia="zh-CN"/>
        </w:rPr>
        <w:t>：履约保函</w:t>
      </w:r>
      <w:bookmarkEnd w:id="1319"/>
      <w:bookmarkEnd w:id="1320"/>
    </w:p>
    <w:p>
      <w:pPr>
        <w:pStyle w:val="36"/>
        <w:jc w:val="center"/>
        <w:rPr>
          <w:rFonts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履约保函</w:t>
      </w:r>
    </w:p>
    <w:p>
      <w:pPr>
        <w:pStyle w:val="36"/>
        <w:jc w:val="center"/>
        <w:rPr>
          <w:rFonts w:ascii="宋体" w:hAnsi="宋体" w:eastAsia="宋体" w:cs="宋体"/>
          <w:b/>
          <w:color w:val="auto"/>
          <w:highlight w:val="none"/>
          <w:lang w:eastAsia="zh-CN"/>
        </w:rPr>
      </w:pPr>
    </w:p>
    <w:p>
      <w:pPr>
        <w:pStyle w:val="36"/>
        <w:jc w:val="center"/>
        <w:rPr>
          <w:b/>
          <w:color w:val="auto"/>
          <w:highlight w:val="none"/>
          <w:lang w:eastAsia="zh-CN"/>
        </w:rPr>
      </w:pPr>
    </w:p>
    <w:p>
      <w:pPr>
        <w:pStyle w:val="36"/>
        <w:tabs>
          <w:tab w:val="left" w:pos="1870"/>
        </w:tabs>
        <w:spacing w:after="340" w:line="354"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（发包人名称）：</w:t>
      </w:r>
    </w:p>
    <w:p>
      <w:pPr>
        <w:pStyle w:val="36"/>
        <w:tabs>
          <w:tab w:val="left" w:pos="847"/>
          <w:tab w:val="left" w:pos="1870"/>
          <w:tab w:val="left" w:pos="3485"/>
          <w:tab w:val="left" w:pos="3554"/>
          <w:tab w:val="left" w:pos="6878"/>
          <w:tab w:val="left" w:pos="8059"/>
        </w:tabs>
        <w:spacing w:line="354" w:lineRule="exact"/>
        <w:ind w:firstLine="42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 xml:space="preserve">鉴于（发包人名称，以下简称“发包人”）接受 </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（承包人名称，以下称“承包人”）于</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年</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 xml:space="preserve">月 </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日递交的（项目名称）</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（标段名称）的投标文件。我方愿意无条件地、不可撤销地就承包人履行与你方订立的合同，向你方提供担保。</w:t>
      </w:r>
    </w:p>
    <w:p>
      <w:pPr>
        <w:pStyle w:val="36"/>
        <w:tabs>
          <w:tab w:val="left" w:pos="733"/>
          <w:tab w:val="left" w:pos="4879"/>
          <w:tab w:val="left" w:pos="7402"/>
        </w:tabs>
        <w:spacing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1.</w:t>
      </w:r>
      <w:r>
        <w:rPr>
          <w:rFonts w:hint="eastAsia" w:ascii="宋体" w:hAnsi="宋体" w:eastAsia="宋体" w:cs="宋体"/>
          <w:color w:val="auto"/>
          <w:sz w:val="21"/>
          <w:szCs w:val="21"/>
          <w:highlight w:val="none"/>
          <w:lang w:val="zh-CN" w:eastAsia="zh-CN" w:bidi="zh-CN"/>
        </w:rPr>
        <w:t>担保金额人民币（大写）</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元（¥</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eastAsia="zh-CN"/>
        </w:rPr>
        <w:t>元）</w:t>
      </w:r>
      <w:r>
        <w:rPr>
          <w:rFonts w:hint="eastAsia" w:ascii="宋体" w:hAnsi="宋体" w:eastAsia="宋体" w:cs="宋体"/>
          <w:color w:val="auto"/>
          <w:sz w:val="21"/>
          <w:szCs w:val="21"/>
          <w:highlight w:val="none"/>
          <w:vertAlign w:val="subscript"/>
          <w:lang w:eastAsia="zh-CN"/>
        </w:rPr>
        <w:t>o</w:t>
      </w:r>
    </w:p>
    <w:p>
      <w:pPr>
        <w:pStyle w:val="36"/>
        <w:tabs>
          <w:tab w:val="left" w:pos="697"/>
        </w:tabs>
        <w:spacing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2.</w:t>
      </w:r>
      <w:r>
        <w:rPr>
          <w:rFonts w:hint="eastAsia" w:ascii="宋体" w:hAnsi="宋体" w:eastAsia="宋体" w:cs="宋体"/>
          <w:color w:val="auto"/>
          <w:sz w:val="21"/>
          <w:szCs w:val="21"/>
          <w:highlight w:val="none"/>
          <w:lang w:val="zh-CN" w:eastAsia="zh-CN" w:bidi="zh-CN"/>
        </w:rPr>
        <w:t>担保有效期自发包人与承包人签订的合同生效之日起至发包人签发工程完工证书之日止。</w:t>
      </w:r>
    </w:p>
    <w:p>
      <w:pPr>
        <w:pStyle w:val="36"/>
        <w:tabs>
          <w:tab w:val="left" w:pos="736"/>
        </w:tabs>
        <w:spacing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3.</w:t>
      </w:r>
      <w:r>
        <w:rPr>
          <w:rFonts w:hint="eastAsia" w:ascii="宋体" w:hAnsi="宋体" w:eastAsia="宋体" w:cs="宋体"/>
          <w:color w:val="auto"/>
          <w:sz w:val="21"/>
          <w:szCs w:val="21"/>
          <w:highlight w:val="none"/>
          <w:lang w:val="zh-CN" w:eastAsia="zh-CN" w:bidi="zh-CN"/>
        </w:rPr>
        <w:t>在本担保有效期内，因承包人违反合同约定的义务给你方造成经济损失时，我方在收到你方以书面形式提出的在担保金额内的赔偿要求后，无条件地在7天内予以支付。</w:t>
      </w:r>
    </w:p>
    <w:p>
      <w:pPr>
        <w:pStyle w:val="36"/>
        <w:tabs>
          <w:tab w:val="left" w:pos="740"/>
        </w:tabs>
        <w:spacing w:after="340"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4.</w:t>
      </w:r>
      <w:r>
        <w:rPr>
          <w:rFonts w:hint="eastAsia" w:ascii="宋体" w:hAnsi="宋体" w:eastAsia="宋体" w:cs="宋体"/>
          <w:color w:val="auto"/>
          <w:sz w:val="21"/>
          <w:szCs w:val="21"/>
          <w:highlight w:val="none"/>
          <w:lang w:val="zh-CN" w:eastAsia="zh-CN" w:bidi="zh-CN"/>
        </w:rPr>
        <w:t>发包人和承包人按《通用合同条款》第15条变更合同时，我方承担本担保规定的义务不变。</w:t>
      </w:r>
    </w:p>
    <w:p>
      <w:pPr>
        <w:pStyle w:val="36"/>
        <w:jc w:val="right"/>
        <w:rPr>
          <w:rFonts w:eastAsia="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w:t>
      </w:r>
      <w:r>
        <w:rPr>
          <w:rFonts w:hint="eastAsia" w:eastAsia="宋体"/>
          <w:color w:val="auto"/>
          <w:sz w:val="21"/>
          <w:szCs w:val="21"/>
          <w:highlight w:val="none"/>
          <w:lang w:eastAsia="zh-CN"/>
        </w:rPr>
        <w:t>担  保 人：</w:t>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（盖单位公章）</w:t>
      </w:r>
      <w:r>
        <w:rPr>
          <w:color w:val="auto"/>
          <w:sz w:val="21"/>
          <w:szCs w:val="21"/>
          <w:highlight w:val="none"/>
          <w:lang w:eastAsia="zh-CN"/>
        </w:rPr>
        <w:t xml:space="preserve"> </w:t>
      </w:r>
    </w:p>
    <w:p>
      <w:pPr>
        <w:pStyle w:val="36"/>
        <w:jc w:val="right"/>
        <w:rPr>
          <w:rFonts w:eastAsia="宋体"/>
          <w:color w:val="auto"/>
          <w:sz w:val="21"/>
          <w:szCs w:val="21"/>
          <w:highlight w:val="none"/>
          <w:lang w:eastAsia="zh-CN"/>
        </w:rPr>
      </w:pPr>
      <w:r>
        <w:rPr>
          <w:rFonts w:hint="eastAsia" w:eastAsia="宋体"/>
          <w:color w:val="auto"/>
          <w:sz w:val="21"/>
          <w:szCs w:val="21"/>
          <w:highlight w:val="none"/>
          <w:lang w:eastAsia="zh-CN"/>
        </w:rPr>
        <w:t xml:space="preserve">           定代表人(或委托代理人)：</w:t>
      </w:r>
      <w:r>
        <w:rPr>
          <w:rFonts w:hint="eastAsia" w:eastAsia="宋体"/>
          <w:color w:val="auto"/>
          <w:sz w:val="21"/>
          <w:szCs w:val="21"/>
          <w:highlight w:val="none"/>
          <w:u w:val="single"/>
          <w:lang w:eastAsia="zh-CN"/>
        </w:rPr>
        <w:t xml:space="preserve">    </w:t>
      </w:r>
      <w:r>
        <w:rPr>
          <w:rFonts w:hint="eastAsia"/>
          <w:color w:val="auto"/>
          <w:sz w:val="21"/>
          <w:szCs w:val="21"/>
          <w:highlight w:val="none"/>
          <w:u w:val="single"/>
          <w:lang w:eastAsia="zh-CN"/>
        </w:rPr>
        <w:t xml:space="preserve"> </w:t>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（签字）</w:t>
      </w:r>
    </w:p>
    <w:p>
      <w:pPr>
        <w:pStyle w:val="36"/>
        <w:jc w:val="right"/>
        <w:rPr>
          <w:rFonts w:eastAsia="宋体"/>
          <w:color w:val="auto"/>
          <w:sz w:val="21"/>
          <w:szCs w:val="21"/>
          <w:highlight w:val="none"/>
          <w:lang w:eastAsia="zh-CN"/>
        </w:rPr>
      </w:pPr>
      <w:r>
        <w:rPr>
          <w:rFonts w:hint="eastAsia" w:eastAsia="宋体"/>
          <w:color w:val="auto"/>
          <w:sz w:val="21"/>
          <w:szCs w:val="21"/>
          <w:highlight w:val="none"/>
          <w:lang w:eastAsia="zh-CN"/>
        </w:rPr>
        <w:t>地       址：</w:t>
      </w:r>
      <w:r>
        <w:rPr>
          <w:rFonts w:hint="eastAsia" w:eastAsia="宋体"/>
          <w:color w:val="auto"/>
          <w:sz w:val="21"/>
          <w:szCs w:val="21"/>
          <w:highlight w:val="none"/>
          <w:u w:val="single"/>
          <w:lang w:eastAsia="zh-CN"/>
        </w:rPr>
        <w:t xml:space="preserve">                </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 xml:space="preserve"> </w:t>
      </w:r>
    </w:p>
    <w:p>
      <w:pPr>
        <w:pStyle w:val="36"/>
        <w:jc w:val="right"/>
        <w:rPr>
          <w:rFonts w:eastAsia="宋体"/>
          <w:color w:val="auto"/>
          <w:sz w:val="21"/>
          <w:szCs w:val="21"/>
          <w:highlight w:val="none"/>
          <w:lang w:eastAsia="zh-CN"/>
        </w:rPr>
      </w:pPr>
      <w:r>
        <w:rPr>
          <w:rFonts w:hint="eastAsia" w:eastAsia="宋体"/>
          <w:color w:val="auto"/>
          <w:sz w:val="21"/>
          <w:szCs w:val="21"/>
          <w:highlight w:val="none"/>
          <w:lang w:eastAsia="zh-CN"/>
        </w:rPr>
        <w:t xml:space="preserve">        邮政编码：</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 xml:space="preserve"> </w:t>
      </w:r>
    </w:p>
    <w:p>
      <w:pPr>
        <w:pStyle w:val="36"/>
        <w:jc w:val="right"/>
        <w:rPr>
          <w:rFonts w:eastAsia="宋体"/>
          <w:color w:val="auto"/>
          <w:sz w:val="21"/>
          <w:szCs w:val="21"/>
          <w:highlight w:val="none"/>
          <w:u w:val="single"/>
          <w:lang w:eastAsia="zh-CN"/>
        </w:rPr>
      </w:pPr>
      <w:r>
        <w:rPr>
          <w:rFonts w:hint="eastAsia" w:eastAsia="宋体"/>
          <w:color w:val="auto"/>
          <w:sz w:val="21"/>
          <w:szCs w:val="21"/>
          <w:highlight w:val="none"/>
          <w:lang w:eastAsia="zh-CN"/>
        </w:rPr>
        <w:t xml:space="preserve">        电        话：</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p>
    <w:p>
      <w:pPr>
        <w:pStyle w:val="36"/>
        <w:jc w:val="right"/>
        <w:rPr>
          <w:rFonts w:eastAsia="宋体"/>
          <w:color w:val="auto"/>
          <w:sz w:val="21"/>
          <w:szCs w:val="21"/>
          <w:highlight w:val="none"/>
          <w:lang w:eastAsia="zh-CN"/>
        </w:rPr>
      </w:pPr>
      <w:r>
        <w:rPr>
          <w:rFonts w:hint="eastAsia" w:eastAsia="宋体"/>
          <w:color w:val="auto"/>
          <w:sz w:val="21"/>
          <w:szCs w:val="21"/>
          <w:highlight w:val="none"/>
          <w:lang w:eastAsia="zh-CN"/>
        </w:rPr>
        <w:t xml:space="preserve">        传        真：</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p>
    <w:p>
      <w:pPr>
        <w:pStyle w:val="36"/>
        <w:jc w:val="right"/>
        <w:rPr>
          <w:rFonts w:hint="eastAsia" w:ascii="宋体" w:hAnsi="宋体" w:eastAsia="宋体" w:cs="宋体"/>
          <w:color w:val="auto"/>
          <w:sz w:val="21"/>
          <w:szCs w:val="21"/>
          <w:highlight w:val="none"/>
          <w:lang w:eastAsia="zh-CN"/>
        </w:rPr>
      </w:pP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年</w:t>
      </w: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月</w:t>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 xml:space="preserve">日 </w:t>
      </w:r>
      <w:r>
        <w:rPr>
          <w:rFonts w:hint="eastAsia" w:ascii="宋体" w:hAnsi="宋体" w:eastAsia="宋体" w:cs="宋体"/>
          <w:color w:val="auto"/>
          <w:sz w:val="21"/>
          <w:szCs w:val="21"/>
          <w:highlight w:val="none"/>
          <w:lang w:eastAsia="zh-CN"/>
        </w:rPr>
        <w:t xml:space="preserve">    </w:t>
      </w:r>
    </w:p>
    <w:p>
      <w:pPr>
        <w:pStyle w:val="36"/>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注：</w:t>
      </w:r>
    </w:p>
    <w:p>
      <w:pPr>
        <w:pStyle w:val="36"/>
        <w:tabs>
          <w:tab w:val="left" w:pos="733"/>
        </w:tabs>
        <w:spacing w:line="354"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1.</w:t>
      </w:r>
      <w:r>
        <w:rPr>
          <w:rFonts w:hint="eastAsia" w:ascii="宋体" w:hAnsi="宋体" w:eastAsia="宋体" w:cs="宋体"/>
          <w:color w:val="auto"/>
          <w:sz w:val="21"/>
          <w:szCs w:val="21"/>
          <w:highlight w:val="none"/>
          <w:lang w:val="zh-CN" w:eastAsia="zh-CN" w:bidi="zh-CN"/>
        </w:rPr>
        <w:t>担保人必须是投标人单位基本账户的开户银行。</w:t>
      </w:r>
    </w:p>
    <w:p>
      <w:pPr>
        <w:pStyle w:val="36"/>
        <w:tabs>
          <w:tab w:val="left" w:pos="750"/>
        </w:tabs>
        <w:spacing w:after="340" w:line="354"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2.</w:t>
      </w:r>
      <w:r>
        <w:rPr>
          <w:rFonts w:hint="eastAsia" w:ascii="宋体" w:hAnsi="宋体" w:eastAsia="宋体" w:cs="宋体"/>
          <w:color w:val="auto"/>
          <w:sz w:val="21"/>
          <w:szCs w:val="21"/>
          <w:highlight w:val="none"/>
          <w:lang w:val="zh-CN" w:eastAsia="zh-CN" w:bidi="zh-CN"/>
        </w:rPr>
        <w:t>委托代理人应附授权委托书。</w:t>
      </w:r>
    </w:p>
    <w:p>
      <w:pPr>
        <w:pStyle w:val="36"/>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pPr>
        <w:pStyle w:val="36"/>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pPr>
        <w:pStyle w:val="36"/>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pPr>
        <w:pStyle w:val="36"/>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pPr>
        <w:pStyle w:val="36"/>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pPr>
        <w:pStyle w:val="36"/>
        <w:keepNext/>
        <w:keepLines/>
        <w:spacing w:before="280" w:after="290" w:line="372" w:lineRule="auto"/>
        <w:outlineLvl w:val="4"/>
        <w:rPr>
          <w:b/>
          <w:color w:val="auto"/>
          <w:sz w:val="28"/>
          <w:highlight w:val="none"/>
          <w:lang w:eastAsia="zh-CN"/>
        </w:rPr>
      </w:pPr>
      <w:bookmarkStart w:id="1321" w:name="_Toc12217"/>
      <w:bookmarkStart w:id="1322" w:name="_Toc28234"/>
      <w:r>
        <w:rPr>
          <w:rFonts w:hint="eastAsia" w:ascii="宋体" w:hAnsi="宋体" w:eastAsia="宋体" w:cs="宋体"/>
          <w:b/>
          <w:color w:val="auto"/>
          <w:sz w:val="28"/>
          <w:highlight w:val="none"/>
          <w:lang w:eastAsia="zh-CN"/>
        </w:rPr>
        <w:br w:type="page"/>
      </w:r>
      <w:r>
        <w:rPr>
          <w:rFonts w:hint="eastAsia" w:ascii="宋体" w:hAnsi="宋体" w:eastAsia="宋体" w:cs="宋体"/>
          <w:b/>
          <w:color w:val="auto"/>
          <w:sz w:val="28"/>
          <w:highlight w:val="none"/>
          <w:lang w:eastAsia="zh-CN"/>
        </w:rPr>
        <w:t>附件</w:t>
      </w:r>
      <w:r>
        <w:rPr>
          <w:rFonts w:hint="eastAsia" w:ascii="宋体" w:hAnsi="宋体" w:cs="宋体"/>
          <w:b/>
          <w:color w:val="auto"/>
          <w:sz w:val="28"/>
          <w:highlight w:val="none"/>
          <w:lang w:val="en-US" w:eastAsia="zh-CN"/>
        </w:rPr>
        <w:t>二</w:t>
      </w:r>
      <w:r>
        <w:rPr>
          <w:rFonts w:hint="eastAsia" w:ascii="宋体" w:hAnsi="宋体" w:eastAsia="宋体" w:cs="宋体"/>
          <w:b/>
          <w:color w:val="auto"/>
          <w:sz w:val="28"/>
          <w:highlight w:val="none"/>
          <w:lang w:eastAsia="zh-CN"/>
        </w:rPr>
        <w:t>：预付款担保函</w:t>
      </w:r>
      <w:bookmarkEnd w:id="1321"/>
      <w:bookmarkEnd w:id="1322"/>
    </w:p>
    <w:p>
      <w:pPr>
        <w:pStyle w:val="36"/>
        <w:spacing w:before="120" w:beforeLines="50"/>
        <w:jc w:val="center"/>
        <w:rPr>
          <w:rFonts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预付款担保函</w:t>
      </w:r>
    </w:p>
    <w:p>
      <w:pPr>
        <w:pStyle w:val="36"/>
        <w:jc w:val="center"/>
        <w:rPr>
          <w:b/>
          <w:color w:val="auto"/>
          <w:highlight w:val="none"/>
          <w:lang w:eastAsia="zh-CN"/>
        </w:rPr>
      </w:pPr>
    </w:p>
    <w:p>
      <w:pPr>
        <w:pStyle w:val="36"/>
        <w:tabs>
          <w:tab w:val="left" w:pos="1870"/>
        </w:tabs>
        <w:spacing w:after="34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（发包人名称）:</w:t>
      </w:r>
    </w:p>
    <w:p>
      <w:pPr>
        <w:pStyle w:val="36"/>
        <w:tabs>
          <w:tab w:val="left" w:pos="1870"/>
          <w:tab w:val="left" w:pos="2707"/>
          <w:tab w:val="left" w:pos="5004"/>
          <w:tab w:val="left" w:pos="5033"/>
          <w:tab w:val="left" w:pos="6163"/>
          <w:tab w:val="left" w:pos="7322"/>
          <w:tab w:val="left" w:pos="8333"/>
        </w:tabs>
        <w:spacing w:after="120" w:line="355" w:lineRule="exact"/>
        <w:ind w:firstLine="42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根据</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（承包人名称，以下称“承包人”）与</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 xml:space="preserve"> （发包人名称，以下简称“发包人”）于</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年</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月</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 xml:space="preserve">日签订的 </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（项目名称）</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（标段名称）合同协议书，承包人 按约定的金额向发包人提交一份预付款担保，即有权得到发包人支付相等金额的预付款。 我方愿意就你方提供给承包人的预付款提供担保。</w:t>
      </w:r>
    </w:p>
    <w:p>
      <w:pPr>
        <w:pStyle w:val="36"/>
        <w:numPr>
          <w:ilvl w:val="0"/>
          <w:numId w:val="0"/>
        </w:numPr>
        <w:tabs>
          <w:tab w:val="left" w:pos="719"/>
          <w:tab w:val="left" w:pos="4879"/>
          <w:tab w:val="left" w:pos="7402"/>
        </w:tabs>
        <w:spacing w:line="372" w:lineRule="auto"/>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en-US" w:eastAsia="zh-CN" w:bidi="zh-CN"/>
        </w:rPr>
        <w:t>1.</w:t>
      </w:r>
      <w:r>
        <w:rPr>
          <w:rFonts w:hint="eastAsia" w:ascii="宋体" w:hAnsi="宋体" w:eastAsia="宋体" w:cs="宋体"/>
          <w:color w:val="auto"/>
          <w:sz w:val="21"/>
          <w:szCs w:val="21"/>
          <w:highlight w:val="none"/>
          <w:lang w:val="zh-CN" w:eastAsia="zh-CN" w:bidi="zh-CN"/>
        </w:rPr>
        <w:t>担保金额人民币（大写）</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元（¥</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vertAlign w:val="subscript"/>
          <w:lang w:eastAsia="zh-CN"/>
        </w:rPr>
        <w:t>o</w:t>
      </w:r>
    </w:p>
    <w:p>
      <w:pPr>
        <w:pStyle w:val="36"/>
        <w:numPr>
          <w:ilvl w:val="0"/>
          <w:numId w:val="0"/>
        </w:numPr>
        <w:tabs>
          <w:tab w:val="left" w:pos="719"/>
          <w:tab w:val="left" w:pos="4879"/>
          <w:tab w:val="left" w:pos="7402"/>
        </w:tabs>
        <w:spacing w:line="372" w:lineRule="auto"/>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cs="宋体"/>
          <w:color w:val="auto"/>
          <w:sz w:val="21"/>
          <w:szCs w:val="21"/>
          <w:highlight w:val="none"/>
          <w:lang w:val="en-US" w:eastAsia="zh-CN" w:bidi="zh-CN"/>
        </w:rPr>
        <w:t>2.</w:t>
      </w:r>
      <w:r>
        <w:rPr>
          <w:rFonts w:hint="eastAsia" w:ascii="宋体" w:hAnsi="宋体" w:eastAsia="宋体" w:cs="宋体"/>
          <w:color w:val="auto"/>
          <w:sz w:val="21"/>
          <w:szCs w:val="21"/>
          <w:highlight w:val="none"/>
          <w:lang w:val="zh-CN" w:eastAsia="zh-CN" w:bidi="zh-CN"/>
        </w:rPr>
        <w:t>担保有效期自预付款支付给承包人起生效，至发包人签发的进度付款证书说明已完全扣清止。</w:t>
      </w:r>
    </w:p>
    <w:p>
      <w:pPr>
        <w:pStyle w:val="36"/>
        <w:numPr>
          <w:ilvl w:val="0"/>
          <w:numId w:val="0"/>
        </w:numPr>
        <w:tabs>
          <w:tab w:val="left" w:pos="719"/>
          <w:tab w:val="left" w:pos="4879"/>
          <w:tab w:val="left" w:pos="7402"/>
        </w:tabs>
        <w:spacing w:line="372" w:lineRule="auto"/>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cs="宋体"/>
          <w:color w:val="auto"/>
          <w:sz w:val="21"/>
          <w:szCs w:val="21"/>
          <w:highlight w:val="none"/>
          <w:lang w:val="en-US" w:eastAsia="zh-CN" w:bidi="zh-CN"/>
        </w:rPr>
        <w:t>3.</w:t>
      </w:r>
      <w:r>
        <w:rPr>
          <w:rFonts w:hint="eastAsia" w:ascii="宋体" w:hAnsi="宋体" w:eastAsia="宋体" w:cs="宋体"/>
          <w:color w:val="auto"/>
          <w:sz w:val="21"/>
          <w:szCs w:val="21"/>
          <w:highlight w:val="none"/>
          <w:lang w:val="zh-CN" w:eastAsia="zh-CN" w:bidi="zh-CN"/>
        </w:rPr>
        <w:t>在本担保有效期内，因承包人违反合同约定的义务而要求收回预付款时，我方在收到你方的书面通知后，无条件地在7天内予以支付。但本担保的担保金额，在任何时候不应超过预付款金额减去发包人按合同约定在向承包人签发的进度付款证书中已扣回的金额。发包人和承包人按《通用合同条款》第15条变更合同时，我方承担本担保规定的义务不变。</w:t>
      </w:r>
    </w:p>
    <w:p>
      <w:pPr>
        <w:pStyle w:val="36"/>
        <w:tabs>
          <w:tab w:val="left" w:pos="731"/>
        </w:tabs>
        <w:spacing w:line="355" w:lineRule="exact"/>
        <w:ind w:left="420"/>
        <w:jc w:val="both"/>
        <w:rPr>
          <w:rFonts w:hint="eastAsia" w:ascii="宋体" w:hAnsi="宋体" w:eastAsia="宋体" w:cs="宋体"/>
          <w:color w:val="auto"/>
          <w:sz w:val="21"/>
          <w:szCs w:val="21"/>
          <w:highlight w:val="none"/>
          <w:lang w:val="zh-CN" w:eastAsia="zh-CN" w:bidi="zh-CN"/>
        </w:rPr>
      </w:pPr>
    </w:p>
    <w:p>
      <w:pPr>
        <w:pStyle w:val="36"/>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担  保 人：</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（盖单位公章） </w:t>
      </w:r>
    </w:p>
    <w:p>
      <w:pPr>
        <w:pStyle w:val="36"/>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z w:val="21"/>
          <w:szCs w:val="21"/>
          <w:highlight w:val="none"/>
          <w:lang w:val="en-US" w:eastAsia="zh-CN"/>
        </w:rPr>
        <w:t>法定</w:t>
      </w:r>
      <w:r>
        <w:rPr>
          <w:rFonts w:hint="eastAsia" w:ascii="宋体" w:hAnsi="宋体" w:eastAsia="宋体" w:cs="宋体"/>
          <w:color w:val="auto"/>
          <w:sz w:val="21"/>
          <w:szCs w:val="21"/>
          <w:highlight w:val="none"/>
          <w:lang w:eastAsia="zh-CN"/>
        </w:rPr>
        <w:t>代表人(或委托代理人)：</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（签字）</w:t>
      </w:r>
    </w:p>
    <w:p>
      <w:pPr>
        <w:pStyle w:val="36"/>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       址：</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w:t>
      </w:r>
    </w:p>
    <w:p>
      <w:pPr>
        <w:pStyle w:val="36"/>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邮政编码：</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w:t>
      </w:r>
    </w:p>
    <w:p>
      <w:pPr>
        <w:pStyle w:val="36"/>
        <w:jc w:val="right"/>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lang w:eastAsia="zh-CN"/>
        </w:rPr>
        <w:t xml:space="preserve">        电        话：</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p>
    <w:p>
      <w:pPr>
        <w:pStyle w:val="36"/>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传        真：</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p>
    <w:p>
      <w:pPr>
        <w:pStyle w:val="36"/>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日     </w:t>
      </w:r>
    </w:p>
    <w:p>
      <w:pPr>
        <w:pStyle w:val="36"/>
        <w:tabs>
          <w:tab w:val="left" w:pos="726"/>
        </w:tabs>
        <w:spacing w:after="340" w:line="355"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注：</w:t>
      </w:r>
    </w:p>
    <w:p>
      <w:pPr>
        <w:pStyle w:val="36"/>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w:t>
      </w:r>
      <w:r>
        <w:rPr>
          <w:rFonts w:ascii="宋体" w:hAnsi="宋体" w:eastAsia="宋体" w:cs="宋体"/>
          <w:color w:val="auto"/>
          <w:sz w:val="21"/>
          <w:szCs w:val="21"/>
          <w:highlight w:val="none"/>
          <w:lang w:val="zh-CN" w:eastAsia="zh-CN" w:bidi="zh-CN"/>
        </w:rPr>
        <w:t>担保人必须是投标人单位基本账户的开户银行。</w:t>
      </w:r>
    </w:p>
    <w:p>
      <w:pPr>
        <w:pStyle w:val="19"/>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w:t>
      </w:r>
      <w:r>
        <w:rPr>
          <w:rFonts w:ascii="宋体" w:hAnsi="宋体" w:eastAsia="宋体" w:cs="宋体"/>
          <w:color w:val="auto"/>
          <w:sz w:val="21"/>
          <w:szCs w:val="21"/>
          <w:highlight w:val="none"/>
          <w:lang w:val="zh-CN" w:eastAsia="zh-CN" w:bidi="zh-CN"/>
        </w:rPr>
        <w:t>委托代理人应附授权委托书</w:t>
      </w:r>
    </w:p>
    <w:p>
      <w:pPr>
        <w:pStyle w:val="19"/>
        <w:rPr>
          <w:rFonts w:ascii="宋体" w:hAnsi="宋体" w:eastAsia="宋体" w:cs="宋体"/>
          <w:color w:val="auto"/>
          <w:sz w:val="20"/>
          <w:szCs w:val="20"/>
          <w:highlight w:val="none"/>
          <w:lang w:val="zh-CN" w:eastAsia="zh-CN" w:bidi="zh-CN"/>
        </w:rPr>
      </w:pPr>
    </w:p>
    <w:p>
      <w:pPr>
        <w:bidi w:val="0"/>
        <w:rPr>
          <w:color w:val="auto"/>
          <w:lang w:val="zh-CN" w:eastAsia="zh-CN"/>
        </w:rPr>
      </w:pPr>
    </w:p>
    <w:p>
      <w:pPr>
        <w:bidi w:val="0"/>
        <w:rPr>
          <w:color w:val="auto"/>
          <w:lang w:val="zh-CN" w:eastAsia="zh-CN"/>
        </w:rPr>
      </w:pPr>
    </w:p>
    <w:p>
      <w:pPr>
        <w:bidi w:val="0"/>
        <w:rPr>
          <w:color w:val="auto"/>
        </w:rPr>
      </w:pPr>
    </w:p>
    <w:p>
      <w:pPr>
        <w:bidi w:val="0"/>
        <w:rPr>
          <w:color w:val="auto"/>
          <w:lang w:val="zh-CN" w:eastAsia="zh-CN"/>
        </w:rPr>
      </w:pPr>
    </w:p>
    <w:p>
      <w:pPr>
        <w:bidi w:val="0"/>
        <w:rPr>
          <w:color w:val="auto"/>
          <w:lang w:val="zh-CN" w:eastAsia="zh-CN"/>
        </w:rPr>
      </w:pPr>
    </w:p>
    <w:p>
      <w:pPr>
        <w:bidi w:val="0"/>
        <w:rPr>
          <w:color w:val="auto"/>
          <w:lang w:val="zh-CN" w:eastAsia="zh-CN"/>
        </w:rPr>
      </w:pPr>
    </w:p>
    <w:p>
      <w:pPr>
        <w:bidi w:val="0"/>
        <w:rPr>
          <w:color w:val="auto"/>
          <w:lang w:val="zh-CN" w:eastAsia="zh-CN"/>
        </w:rPr>
      </w:pPr>
    </w:p>
    <w:p>
      <w:pPr>
        <w:bidi w:val="0"/>
        <w:rPr>
          <w:color w:val="auto"/>
          <w:lang w:val="zh-CN" w:eastAsia="zh-CN"/>
        </w:rPr>
      </w:pPr>
    </w:p>
    <w:p>
      <w:pPr>
        <w:bidi w:val="0"/>
        <w:rPr>
          <w:color w:val="auto"/>
          <w:lang w:val="zh-CN" w:eastAsia="zh-CN"/>
        </w:rPr>
      </w:pPr>
    </w:p>
    <w:p>
      <w:pPr>
        <w:bidi w:val="0"/>
        <w:rPr>
          <w:color w:val="auto"/>
          <w:lang w:val="zh-CN" w:eastAsia="zh-CN"/>
        </w:rPr>
      </w:pPr>
    </w:p>
    <w:p>
      <w:pPr>
        <w:bidi w:val="0"/>
        <w:rPr>
          <w:color w:val="auto"/>
          <w:lang w:val="zh-CN" w:eastAsia="zh-CN"/>
        </w:rPr>
      </w:pPr>
    </w:p>
    <w:p>
      <w:pPr>
        <w:bidi w:val="0"/>
        <w:rPr>
          <w:color w:val="auto"/>
          <w:lang w:val="zh-CN" w:eastAsia="zh-CN"/>
        </w:rPr>
      </w:pPr>
    </w:p>
    <w:p>
      <w:pPr>
        <w:bidi w:val="0"/>
        <w:rPr>
          <w:color w:val="auto"/>
          <w:lang w:val="zh-CN" w:eastAsia="zh-CN"/>
        </w:rPr>
      </w:pPr>
    </w:p>
    <w:p>
      <w:pPr>
        <w:bidi w:val="0"/>
        <w:rPr>
          <w:color w:val="auto"/>
          <w:lang w:val="zh-CN" w:eastAsia="zh-CN"/>
        </w:rPr>
      </w:pPr>
    </w:p>
    <w:p>
      <w:pPr>
        <w:bidi w:val="0"/>
        <w:rPr>
          <w:rFonts w:hint="eastAsia"/>
          <w:color w:val="auto"/>
        </w:rPr>
      </w:pPr>
      <w:bookmarkStart w:id="1323" w:name="_Toc23153"/>
      <w:bookmarkStart w:id="1324" w:name="_Toc13697"/>
    </w:p>
    <w:p>
      <w:pPr>
        <w:bidi w:val="0"/>
        <w:rPr>
          <w:rFonts w:hint="eastAsia"/>
          <w:color w:val="auto"/>
        </w:rPr>
      </w:pPr>
    </w:p>
    <w:p>
      <w:pPr>
        <w:pStyle w:val="2"/>
        <w:jc w:val="center"/>
        <w:rPr>
          <w:rFonts w:hint="default" w:eastAsia="宋体"/>
          <w:color w:val="auto"/>
          <w:highlight w:val="none"/>
          <w:lang w:val="en-US" w:eastAsia="zh-CN"/>
        </w:rPr>
      </w:pPr>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1323"/>
      <w:bookmarkEnd w:id="1324"/>
    </w:p>
    <w:p>
      <w:pPr>
        <w:tabs>
          <w:tab w:val="left" w:pos="3261"/>
        </w:tabs>
        <w:spacing w:line="360" w:lineRule="auto"/>
        <w:contextualSpacing/>
        <w:jc w:val="center"/>
        <w:rPr>
          <w:rFonts w:hint="eastAsia" w:ascii="宋体" w:hAnsi="宋体" w:eastAsia="宋体" w:cs="宋体"/>
          <w:b/>
          <w:color w:val="auto"/>
          <w:sz w:val="44"/>
          <w:szCs w:val="44"/>
          <w:highlight w:val="none"/>
        </w:rPr>
        <w:sectPr>
          <w:headerReference r:id="rId17" w:type="default"/>
          <w:footerReference r:id="rId18"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2"/>
        <w:jc w:val="center"/>
        <w:rPr>
          <w:rFonts w:hint="eastAsia"/>
          <w:color w:val="auto"/>
          <w:highlight w:val="none"/>
        </w:rPr>
      </w:pPr>
      <w:bookmarkStart w:id="1325" w:name="_Toc6522"/>
      <w:bookmarkStart w:id="1326" w:name="_Toc948"/>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1325"/>
      <w:bookmarkEnd w:id="1326"/>
    </w:p>
    <w:p>
      <w:pPr>
        <w:pStyle w:val="24"/>
        <w:rPr>
          <w:rFonts w:hint="eastAsia"/>
          <w:color w:val="auto"/>
          <w:highlight w:val="none"/>
        </w:rPr>
      </w:pPr>
    </w:p>
    <w:p>
      <w:pPr>
        <w:rPr>
          <w:rFonts w:hint="eastAsia"/>
          <w:color w:val="auto"/>
          <w:highlight w:val="none"/>
        </w:rPr>
      </w:pPr>
    </w:p>
    <w:p>
      <w:pPr>
        <w:pStyle w:val="24"/>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pPr>
        <w:pStyle w:val="2"/>
        <w:spacing w:line="360" w:lineRule="auto"/>
        <w:jc w:val="center"/>
        <w:rPr>
          <w:rFonts w:hint="eastAsia" w:ascii="宋体" w:hAnsi="宋体" w:eastAsia="宋体" w:cs="宋体"/>
          <w:b/>
          <w:bCs/>
          <w:color w:val="auto"/>
          <w:highlight w:val="none"/>
        </w:rPr>
      </w:pPr>
      <w:bookmarkStart w:id="1327" w:name="_Toc11110"/>
      <w:bookmarkStart w:id="1328" w:name="_Toc5640"/>
      <w:bookmarkStart w:id="1329" w:name="_Toc24083"/>
    </w:p>
    <w:p>
      <w:pPr>
        <w:pStyle w:val="2"/>
        <w:spacing w:line="360" w:lineRule="auto"/>
        <w:jc w:val="center"/>
        <w:rPr>
          <w:rFonts w:hint="eastAsia" w:ascii="宋体" w:hAnsi="宋体" w:eastAsia="宋体" w:cs="宋体"/>
          <w:b/>
          <w:bCs/>
          <w:color w:val="auto"/>
          <w:highlight w:val="none"/>
        </w:rPr>
      </w:pPr>
    </w:p>
    <w:p>
      <w:pPr>
        <w:pStyle w:val="2"/>
        <w:spacing w:line="360" w:lineRule="auto"/>
        <w:jc w:val="center"/>
        <w:rPr>
          <w:rFonts w:hint="eastAsia" w:ascii="宋体" w:hAnsi="宋体" w:eastAsia="宋体" w:cs="宋体"/>
          <w:b/>
          <w:bCs/>
          <w:color w:val="auto"/>
          <w:highlight w:val="none"/>
        </w:rPr>
      </w:pPr>
    </w:p>
    <w:p>
      <w:pPr>
        <w:pStyle w:val="2"/>
        <w:spacing w:line="360" w:lineRule="auto"/>
        <w:jc w:val="center"/>
        <w:rPr>
          <w:rFonts w:hint="eastAsia" w:ascii="宋体" w:hAnsi="宋体" w:eastAsia="宋体" w:cs="宋体"/>
          <w:b/>
          <w:bCs/>
          <w:color w:val="auto"/>
          <w:highlight w:val="none"/>
        </w:rPr>
      </w:pPr>
    </w:p>
    <w:p>
      <w:pPr>
        <w:pStyle w:val="2"/>
        <w:spacing w:line="360" w:lineRule="auto"/>
        <w:jc w:val="center"/>
        <w:rPr>
          <w:rFonts w:hint="eastAsia" w:ascii="宋体" w:hAnsi="宋体" w:eastAsia="宋体" w:cs="宋体"/>
          <w:b/>
          <w:bCs/>
          <w:color w:val="auto"/>
          <w:highlight w:val="none"/>
        </w:rPr>
      </w:pPr>
    </w:p>
    <w:p>
      <w:pPr>
        <w:pStyle w:val="2"/>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1327"/>
      <w:bookmarkEnd w:id="1328"/>
      <w:bookmarkEnd w:id="1329"/>
    </w:p>
    <w:p>
      <w:pPr>
        <w:bidi w:val="0"/>
        <w:rPr>
          <w:rFonts w:hint="eastAsia"/>
          <w:color w:val="auto"/>
          <w:lang w:val="en-US"/>
        </w:rPr>
      </w:pPr>
    </w:p>
    <w:p>
      <w:pPr>
        <w:bidi w:val="0"/>
        <w:rPr>
          <w:rFonts w:hint="eastAsia"/>
          <w:color w:val="auto"/>
          <w:lang w:val="en-US"/>
        </w:rPr>
      </w:pPr>
    </w:p>
    <w:p>
      <w:pPr>
        <w:tabs>
          <w:tab w:val="left" w:pos="4238"/>
        </w:tabs>
        <w:bidi w:val="0"/>
        <w:jc w:val="left"/>
        <w:rPr>
          <w:rFonts w:hint="eastAsia" w:eastAsia="宋体"/>
          <w:color w:val="auto"/>
          <w:lang w:val="en-US" w:eastAsia="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color w:val="auto"/>
          <w:lang w:val="en-US" w:eastAsia="zh-CN"/>
        </w:rPr>
        <w:tab/>
      </w: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pPr>
        <w:pStyle w:val="15"/>
        <w:spacing w:line="360" w:lineRule="auto"/>
        <w:ind w:firstLine="482" w:firstLineChars="200"/>
        <w:contextualSpacing/>
        <w:rPr>
          <w:rFonts w:hint="eastAsia" w:ascii="宋体" w:hAnsi="宋体" w:eastAsia="宋体" w:cs="宋体"/>
          <w:b/>
          <w:bCs/>
          <w:color w:val="auto"/>
          <w:sz w:val="24"/>
          <w:szCs w:val="24"/>
          <w:highlight w:val="none"/>
        </w:rPr>
      </w:pPr>
    </w:p>
    <w:p>
      <w:pPr>
        <w:pStyle w:val="15"/>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pPr>
        <w:pStyle w:val="15"/>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pPr>
        <w:pStyle w:val="15"/>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5"/>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pPr>
        <w:pStyle w:val="15"/>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pPr>
        <w:pStyle w:val="15"/>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p>
    <w:p>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p>
    <w:p>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pPr>
        <w:pStyle w:val="15"/>
        <w:spacing w:line="360" w:lineRule="auto"/>
        <w:contextualSpacing/>
        <w:rPr>
          <w:rFonts w:hint="eastAsia" w:ascii="宋体" w:hAnsi="宋体" w:eastAsia="宋体" w:cs="宋体"/>
          <w:b/>
          <w:color w:val="auto"/>
          <w:sz w:val="24"/>
          <w:szCs w:val="24"/>
          <w:highlight w:val="none"/>
          <w:lang w:eastAsia="zh-CN"/>
        </w:rPr>
      </w:pPr>
    </w:p>
    <w:p>
      <w:pPr>
        <w:pStyle w:val="15"/>
        <w:spacing w:line="360" w:lineRule="auto"/>
        <w:contextualSpacing/>
        <w:rPr>
          <w:rFonts w:hint="eastAsia" w:ascii="宋体" w:hAnsi="宋体" w:eastAsia="宋体" w:cs="宋体"/>
          <w:b/>
          <w:color w:val="auto"/>
          <w:sz w:val="24"/>
          <w:szCs w:val="24"/>
          <w:highlight w:val="none"/>
          <w:lang w:eastAsia="zh-CN"/>
        </w:rPr>
      </w:pPr>
    </w:p>
    <w:p>
      <w:pPr>
        <w:pStyle w:val="15"/>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pPr>
        <w:pStyle w:val="15"/>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pPr>
        <w:pStyle w:val="15"/>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pPr>
        <w:pStyle w:val="15"/>
        <w:snapToGrid w:val="0"/>
        <w:spacing w:line="360" w:lineRule="auto"/>
        <w:rPr>
          <w:rFonts w:hint="eastAsia" w:ascii="宋体" w:hAnsi="宋体" w:eastAsia="宋体" w:cs="宋体"/>
          <w:b/>
          <w:color w:val="auto"/>
          <w:sz w:val="24"/>
          <w:szCs w:val="24"/>
          <w:highlight w:val="none"/>
        </w:rPr>
      </w:pPr>
    </w:p>
    <w:p>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pPr>
        <w:pStyle w:val="15"/>
        <w:snapToGrid w:val="0"/>
        <w:spacing w:line="360" w:lineRule="auto"/>
        <w:ind w:firstLine="482" w:firstLineChars="200"/>
        <w:rPr>
          <w:rFonts w:hint="eastAsia" w:ascii="宋体" w:hAnsi="宋体" w:eastAsia="宋体" w:cs="宋体"/>
          <w:b/>
          <w:bCs/>
          <w:color w:val="auto"/>
          <w:sz w:val="24"/>
          <w:szCs w:val="24"/>
          <w:highlight w:val="none"/>
        </w:rPr>
      </w:pPr>
    </w:p>
    <w:p>
      <w:pPr>
        <w:pStyle w:val="15"/>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5"/>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pPr>
        <w:pStyle w:val="15"/>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pPr>
        <w:pStyle w:val="15"/>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pPr>
        <w:pStyle w:val="15"/>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5"/>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pPr>
        <w:pStyle w:val="15"/>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pPr>
        <w:pStyle w:val="15"/>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pPr>
        <w:pStyle w:val="15"/>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pPr>
        <w:pStyle w:val="15"/>
        <w:spacing w:line="360" w:lineRule="auto"/>
        <w:ind w:left="25" w:leftChars="12" w:firstLine="352" w:firstLineChars="147"/>
        <w:rPr>
          <w:rFonts w:hint="eastAsia" w:ascii="宋体" w:hAnsi="宋体" w:eastAsia="宋体" w:cs="宋体"/>
          <w:color w:val="auto"/>
          <w:sz w:val="24"/>
          <w:szCs w:val="24"/>
          <w:highlight w:val="none"/>
        </w:rPr>
      </w:pPr>
    </w:p>
    <w:p>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pPr>
        <w:pStyle w:val="15"/>
        <w:spacing w:line="360" w:lineRule="auto"/>
        <w:ind w:left="25" w:leftChars="12" w:firstLine="352" w:firstLineChars="147"/>
        <w:rPr>
          <w:rFonts w:hint="eastAsia" w:ascii="宋体" w:hAnsi="宋体" w:eastAsia="宋体" w:cs="宋体"/>
          <w:color w:val="auto"/>
          <w:sz w:val="24"/>
          <w:szCs w:val="24"/>
          <w:highlight w:val="none"/>
        </w:rPr>
      </w:pPr>
    </w:p>
    <w:p>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pPr>
        <w:pStyle w:val="15"/>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pPr>
        <w:pStyle w:val="15"/>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pPr>
        <w:pStyle w:val="15"/>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p>
      <w:pPr>
        <w:rPr>
          <w:rFonts w:hint="eastAsia"/>
          <w:color w:val="auto"/>
          <w:highlight w:val="none"/>
        </w:rPr>
      </w:pPr>
    </w:p>
    <w:p>
      <w:pPr>
        <w:rPr>
          <w:rFonts w:hint="eastAsia"/>
          <w:color w:val="auto"/>
          <w:highlight w:val="none"/>
        </w:rPr>
      </w:pPr>
    </w:p>
    <w:p>
      <w:pPr>
        <w:rPr>
          <w:color w:val="auto"/>
          <w:highlight w:val="none"/>
        </w:rPr>
      </w:pPr>
    </w:p>
    <w:sectPr>
      <w:footerReference r:id="rId21" w:type="first"/>
      <w:headerReference r:id="rId19" w:type="default"/>
      <w:footerReference r:id="rId20"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E03CA7D-CE03-49A7-840E-E47C7F3DEB70}"/>
  </w:font>
  <w:font w:name="黑体">
    <w:panose1 w:val="02010609060101010101"/>
    <w:charset w:val="86"/>
    <w:family w:val="auto"/>
    <w:pitch w:val="default"/>
    <w:sig w:usb0="800002BF" w:usb1="38CF7CFA" w:usb2="00000016" w:usb3="00000000" w:csb0="00040001" w:csb1="00000000"/>
    <w:embedRegular r:id="rId2" w:fontKey="{6400F52A-D6F5-464F-85A4-8D8644CEE7DB}"/>
  </w:font>
  <w:font w:name="Courier New">
    <w:panose1 w:val="02070309020205020404"/>
    <w:charset w:val="01"/>
    <w:family w:val="modern"/>
    <w:pitch w:val="default"/>
    <w:sig w:usb0="E0002EFF" w:usb1="C0007843" w:usb2="00000009" w:usb3="00000000" w:csb0="400001FF" w:csb1="FFFF0000"/>
    <w:embedRegular r:id="rId3" w:fontKey="{83B2828B-2222-44B9-8079-AF2F0B6CF84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85FD40F-ED2B-413A-AF76-956824E2D5AE}"/>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970ADD9F-4B2C-42E1-B540-868821AA7600}"/>
  </w:font>
  <w:font w:name="仿宋">
    <w:panose1 w:val="02010609060101010101"/>
    <w:charset w:val="86"/>
    <w:family w:val="modern"/>
    <w:pitch w:val="default"/>
    <w:sig w:usb0="800002BF" w:usb1="38CF7CFA" w:usb2="00000016" w:usb3="00000000" w:csb0="00040001" w:csb1="00000000"/>
    <w:embedRegular r:id="rId6" w:fontKey="{9EBF4F4C-7524-4EE0-B10C-D17F3FCB820B}"/>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方正小标宋简体">
    <w:panose1 w:val="02000000000000000000"/>
    <w:charset w:val="86"/>
    <w:family w:val="script"/>
    <w:pitch w:val="default"/>
    <w:sig w:usb0="00000000" w:usb1="00000000" w:usb2="00000000" w:usb3="00000000" w:csb0="00000000" w:csb1="00000000"/>
    <w:embedRegular r:id="rId7" w:fontKey="{BC27A499-4B52-4589-B848-2C61A755F22D}"/>
  </w:font>
  <w:font w:name="华文新魏">
    <w:panose1 w:val="02010800040101010101"/>
    <w:charset w:val="86"/>
    <w:family w:val="auto"/>
    <w:pitch w:val="default"/>
    <w:sig w:usb0="00000000" w:usb1="00000000" w:usb2="00000000" w:usb3="00000000" w:csb0="00000000" w:csb1="00000000"/>
    <w:embedRegular r:id="rId8" w:fontKey="{5F70CFC7-833D-43DD-9594-D1EB32113000}"/>
  </w:font>
  <w:font w:name="Tahoma">
    <w:panose1 w:val="020B0604030504040204"/>
    <w:charset w:val="00"/>
    <w:family w:val="auto"/>
    <w:pitch w:val="default"/>
    <w:sig w:usb0="E1002EFF" w:usb1="C000605B" w:usb2="00000029" w:usb3="00000000" w:csb0="200101FF" w:csb1="20280000"/>
    <w:embedRegular r:id="rId9" w:fontKey="{167AFE1A-2F20-4A5A-9480-637CA587C73F}"/>
  </w:font>
  <w:font w:name="Arial Unicode MS">
    <w:altName w:val="宋体"/>
    <w:panose1 w:val="020B0604020202020204"/>
    <w:charset w:val="86"/>
    <w:family w:val="swiss"/>
    <w:pitch w:val="default"/>
    <w:sig w:usb0="00000000" w:usb1="00000000" w:usb2="0000003F" w:usb3="00000000" w:csb0="603F01FF" w:csb1="FFFF0000"/>
    <w:embedRegular r:id="rId10" w:fontKey="{0EE64218-D416-4393-9EA4-508DDC6C9B79}"/>
  </w:font>
  <w:font w:name="微软雅黑">
    <w:panose1 w:val="020B0503020204020204"/>
    <w:charset w:val="86"/>
    <w:family w:val="auto"/>
    <w:pitch w:val="default"/>
    <w:sig w:usb0="80000287" w:usb1="2ACF3C50" w:usb2="00000016" w:usb3="00000000" w:csb0="0004001F" w:csb1="00000000"/>
    <w:embedRegular r:id="rId11" w:fontKey="{A62E78A2-1158-497B-BC91-4D400A03AE0C}"/>
  </w:font>
  <w:font w:name="MS Mincho">
    <w:altName w:val="Yu Gothic UI"/>
    <w:panose1 w:val="02020609040205080304"/>
    <w:charset w:val="80"/>
    <w:family w:val="modern"/>
    <w:pitch w:val="default"/>
    <w:sig w:usb0="00000000" w:usb1="00000000" w:usb2="00000012" w:usb3="00000000" w:csb0="4002009F" w:csb1="DFD70000"/>
    <w:embedRegular r:id="rId12" w:fontKey="{CBCAB2B4-0FFF-4EB7-8E28-3367B2439601}"/>
  </w:font>
  <w:font w:name="新宋体">
    <w:panose1 w:val="02010609030101010101"/>
    <w:charset w:val="86"/>
    <w:family w:val="modern"/>
    <w:pitch w:val="default"/>
    <w:sig w:usb0="00000283" w:usb1="288F0000" w:usb2="00000006" w:usb3="00000000" w:csb0="00040001" w:csb1="00000000"/>
    <w:embedRegular r:id="rId13" w:fontKey="{C2D7E797-8C81-4EF8-AD81-4F253AECDF61}"/>
  </w:font>
  <w:font w:name="楷体_GB2312">
    <w:altName w:val="楷体"/>
    <w:panose1 w:val="02010609030101010101"/>
    <w:charset w:val="86"/>
    <w:family w:val="modern"/>
    <w:pitch w:val="default"/>
    <w:sig w:usb0="00000000" w:usb1="00000000" w:usb2="00000000" w:usb3="00000000" w:csb0="00040000" w:csb1="00000000"/>
    <w:embedRegular r:id="rId14" w:fontKey="{7567CCB7-3527-496F-9655-3556BAB8528C}"/>
  </w:font>
  <w:font w:name="Palatino Linotype">
    <w:panose1 w:val="02040502050505030304"/>
    <w:charset w:val="00"/>
    <w:family w:val="roman"/>
    <w:pitch w:val="default"/>
    <w:sig w:usb0="E0000287" w:usb1="40000013" w:usb2="00000000" w:usb3="00000000" w:csb0="2000019F" w:csb1="00000000"/>
    <w:embedRegular r:id="rId15" w:fontKey="{855E7137-EA8D-48D4-8BDB-2879028045B1}"/>
  </w:font>
  <w:font w:name="Yu Gothic UI">
    <w:panose1 w:val="020B05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439"/>
        <w:tab w:val="clear" w:pos="4153"/>
      </w:tabs>
      <w:jc w:val="both"/>
    </w:pPr>
  </w:p>
  <w:p>
    <w:pPr>
      <w:pStyle w:val="1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jc w:val="center"/>
                          </w:pPr>
                          <w:r>
                            <w:fldChar w:fldCharType="begin"/>
                          </w:r>
                          <w:r>
                            <w:instrText xml:space="preserve"> PAGE  \* MERGEFORMAT </w:instrText>
                          </w:r>
                          <w:r>
                            <w:fldChar w:fldCharType="separate"/>
                          </w:r>
                          <w:r>
                            <w:t>122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hV+BjrgEAAEsD&#10;AAAOAAAAAAAAAAEAIAAAAB4BAABkcnMvZTJvRG9jLnhtbFBLBQYAAAAABgAGAFkBAAA+BQAAAAA=&#10;">
              <v:fill on="f" focussize="0,0"/>
              <v:stroke on="f"/>
              <v:imagedata o:title=""/>
              <o:lock v:ext="edit" aspectratio="f"/>
              <v:textbox inset="0mm,0mm,0mm,0mm" style="mso-fit-shape-to-text:t;">
                <w:txbxContent>
                  <w:p>
                    <w:pPr>
                      <w:pStyle w:val="19"/>
                      <w:jc w:val="center"/>
                    </w:pPr>
                    <w:r>
                      <w:fldChar w:fldCharType="begin"/>
                    </w:r>
                    <w:r>
                      <w:instrText xml:space="preserve"> PAGE  \* MERGEFORMAT </w:instrText>
                    </w:r>
                    <w:r>
                      <w:fldChar w:fldCharType="separate"/>
                    </w:r>
                    <w:r>
                      <w:t>122</w:t>
                    </w:r>
                    <w:r>
                      <w:fldChar w:fldCharType="end"/>
                    </w:r>
                  </w:p>
                </w:txbxContent>
              </v:textbox>
            </v:shape>
          </w:pict>
        </mc:Fallback>
      </mc:AlternateContent>
    </w:r>
  </w:p>
  <w:p>
    <w:pPr>
      <w:pStyle w:val="1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w5O64BAABLAwAADgAAAGRycy9lMm9Eb2MueG1srVPNThsxEL5X4h0s&#10;34mXSFT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x/Dk7rgEAAEsD&#10;AAAOAAAAAAAAAAEAIAAAAB4BAABkcnMvZTJvRG9jLnhtbFBLBQYAAAAABgAGAFkBAAA+BQAAAAA=&#10;">
              <v:fill on="f" focussize="0,0"/>
              <v:stroke on="f"/>
              <v:imagedata o:title=""/>
              <o:lock v:ext="edit" aspectratio="f"/>
              <v:textbox inset="0mm,0mm,0mm,0mm" style="mso-fit-shape-to-text:t;">
                <w:txbxContent>
                  <w:p>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rTuua8BAABN&#10;AwAADgAAAAAAAAABACAAAAAeAQAAZHJzL2Uyb0RvYy54bWxQSwUGAAAAAAYABgBZAQAAPwU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jc w:val="center"/>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fill on="f" focussize="0,0"/>
              <v:stroke on="f"/>
              <v:imagedata o:title=""/>
              <o:lock v:ext="edit" aspectratio="f"/>
              <v:textbox inset="0mm,0mm,0mm,0mm" style="mso-fit-shape-to-text:t;">
                <w:txbxContent>
                  <w:p>
                    <w:pPr>
                      <w:pStyle w:val="19"/>
                      <w:jc w:val="center"/>
                    </w:pPr>
                    <w:r>
                      <w:fldChar w:fldCharType="begin"/>
                    </w:r>
                    <w:r>
                      <w:instrText xml:space="preserve"> PAGE  \* MERGEFORMAT </w:instrText>
                    </w:r>
                    <w:r>
                      <w:fldChar w:fldCharType="separate"/>
                    </w:r>
                    <w:r>
                      <w:t>90</w:t>
                    </w:r>
                    <w:r>
                      <w:fldChar w:fldCharType="end"/>
                    </w:r>
                  </w:p>
                </w:txbxContent>
              </v:textbox>
            </v:shape>
          </w:pict>
        </mc:Fallback>
      </mc:AlternateContent>
    </w:r>
  </w:p>
  <w:p>
    <w:pPr>
      <w:pStyle w:val="19"/>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xZ+TlrgEAAEsD&#10;AAAOAAAAAAAAAAEAIAAAAB4BAABkcnMvZTJvRG9jLnhtbFBLBQYAAAAABgAGAFkBAAA+BQAAAAA=&#10;">
              <v:fill on="f" focussize="0,0"/>
              <v:stroke on="f"/>
              <v:imagedata o:title=""/>
              <o:lock v:ext="edit" aspectratio="f"/>
              <v:textbox inset="0mm,0mm,0mm,0mm" style="mso-fit-shape-to-text:t;">
                <w:txbxContent>
                  <w:p>
                    <w:pPr>
                      <w:pStyle w:val="19"/>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439"/>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VHQvfLIB&#10;AABZAwAADgAAAAAAAAABACAAAAAeAQAAZHJzL2Uyb0RvYy54bWxQSwUGAAAAAAYABgBZAQAAQgUA&#10;AAAA&#10;">
              <v:fill on="f" focussize="0,0"/>
              <v:stroke on="f"/>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lqd70rIB&#10;AABZAwAADgAAAAAAAAABACAAAAAeAQAAZHJzL2Uyb0RvYy54bWxQSwUGAAAAAAYABgBZAQAAQgUA&#10;AAAA&#10;">
              <v:fill on="f" focussize="0,0"/>
              <v:stroke on="f"/>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i2KTEsQEA&#10;AFkDAAAOAAAAAAAAAAEAIAAAAB4BAABkcnMvZTJvRG9jLnhtbFBLBQYAAAAABgAGAFkBAABBBQAA&#10;AAA=&#10;">
              <v:fill on="f" focussize="0,0"/>
              <v:stroke on="f"/>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4bVggbAgAAIQQAAA4A&#10;AAAAAAAAAQAgAAAAHwEAAGRycy9lMm9Eb2MueG1sUEsFBgAAAAAGAAYAWQEAAKw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sm+JArIB&#10;AABZAwAADgAAAAAAAAABACAAAAAeAQAAZHJzL2Uyb0RvYy54bWxQSwUGAAAAAAYABgBZAQAAQgUA&#10;AAAA&#10;">
              <v:fill on="f" focussize="0,0"/>
              <v:stroke on="f"/>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p>
    <w:pPr>
      <w:pStyle w:val="1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WL2gb7IB&#10;AABbAwAADgAAAAAAAAABACAAAAAeAQAAZHJzL2Uyb0RvYy54bWxQSwUGAAAAAAYABgBZAQAAQgUA&#10;AAAA&#10;">
              <v:fill on="f" focussize="0,0"/>
              <v:stroke on="f"/>
              <v:imagedata o:title=""/>
              <o:lock v:ext="edit" aspectratio="f"/>
              <v:textbox inset="0mm,0mm,0mm,0mm" style="mso-fit-shape-to-text:t;">
                <w:txbxContent>
                  <w:p>
                    <w:pPr>
                      <w:pStyle w:val="1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p>
    <w:pPr>
      <w:pStyle w:val="1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439"/>
        <w:tab w:val="clear" w:pos="4153"/>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GgGnsQEA&#10;AFsDAAAOAAAAAAAAAAEAIAAAAB4BAABkcnMvZTJvRG9jLnhtbFBLBQYAAAAABgAGAFkBAABBBQAA&#10;AAA=&#10;">
              <v:fill on="f" focussize="0,0"/>
              <v:stroke on="f"/>
              <v:imagedata o:title=""/>
              <o:lock v:ext="edit" aspectratio="f"/>
              <v:textbox inset="0mm,0mm,0mm,0mm" style="mso-fit-shape-to-text:t;">
                <w:txbxContent>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color w:val="auto"/>
      </w:rPr>
    </w:pPr>
    <w:r>
      <w:rPr>
        <w:rFonts w:hint="eastAsia"/>
        <w:color w:val="auto"/>
      </w:rPr>
      <w:t>南宁市政府采购竞争性磋商采购文件（项目编号：</w:t>
    </w:r>
    <w:r>
      <w:rPr>
        <w:rFonts w:hint="eastAsia"/>
        <w:color w:val="auto"/>
        <w:lang w:eastAsia="zh-CN"/>
      </w:rPr>
      <w:t>NNZC2025-C2-270019-JHGC</w:t>
    </w:r>
    <w:r>
      <w:rPr>
        <w:rFonts w:hint="eastAsia"/>
        <w:color w:val="auto"/>
      </w:rPr>
      <w:t>）</w:t>
    </w:r>
  </w:p>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color w:val="auto"/>
      </w:rPr>
    </w:pPr>
    <w:r>
      <w:rPr>
        <w:rFonts w:hint="eastAsia"/>
        <w:color w:val="auto"/>
      </w:rPr>
      <w:t>南宁市政府采购竞争性磋商采购文件（项目编号：</w:t>
    </w:r>
    <w:r>
      <w:rPr>
        <w:rFonts w:hint="eastAsia"/>
        <w:color w:val="auto"/>
        <w:lang w:eastAsia="zh-CN"/>
      </w:rPr>
      <w:t>NNZC2025-C2-270019-JHGC</w:t>
    </w:r>
    <w:r>
      <w:rPr>
        <w:rFonts w:hint="eastAsia"/>
        <w:color w:val="auto"/>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color w:val="auto"/>
      </w:rPr>
    </w:pPr>
    <w:r>
      <w:rPr>
        <w:rFonts w:hint="eastAsia"/>
        <w:color w:val="auto"/>
      </w:rPr>
      <w:t>南宁市政府采购竞争性磋商采购文件（项目编号：</w:t>
    </w:r>
    <w:r>
      <w:rPr>
        <w:rFonts w:hint="eastAsia"/>
        <w:color w:val="auto"/>
        <w:lang w:eastAsia="zh-CN"/>
      </w:rPr>
      <w:t>NNZC2025-C2-270019-JHGC</w:t>
    </w:r>
    <w:r>
      <w:rPr>
        <w:rFonts w:hint="eastAsia"/>
        <w:color w:val="auto"/>
      </w:rPr>
      <w:t>）</w:t>
    </w:r>
  </w:p>
  <w:p>
    <w:pPr>
      <w:pStyle w:val="2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color w:val="auto"/>
      </w:rPr>
      <w:t>南宁市政府采购竞争性磋商采购文件（项目编号：</w:t>
    </w:r>
    <w:r>
      <w:rPr>
        <w:rFonts w:hint="eastAsia"/>
        <w:color w:val="auto"/>
        <w:lang w:eastAsia="zh-CN"/>
      </w:rPr>
      <w:t>NNZC2025-C2-270019-JHGC</w:t>
    </w:r>
    <w:r>
      <w:rPr>
        <w:rFonts w:hint="eastAsia"/>
        <w:color w:val="auto"/>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5EC3C5"/>
    <w:multiLevelType w:val="singleLevel"/>
    <w:tmpl w:val="825EC3C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
    <w:nsid w:val="883B3669"/>
    <w:multiLevelType w:val="singleLevel"/>
    <w:tmpl w:val="883B366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
    <w:nsid w:val="98CD717A"/>
    <w:multiLevelType w:val="singleLevel"/>
    <w:tmpl w:val="98CD717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
    <w:nsid w:val="9C11E984"/>
    <w:multiLevelType w:val="singleLevel"/>
    <w:tmpl w:val="9C11E98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
    <w:nsid w:val="9C7198AA"/>
    <w:multiLevelType w:val="singleLevel"/>
    <w:tmpl w:val="9C7198A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5">
    <w:nsid w:val="9D7EB8E6"/>
    <w:multiLevelType w:val="singleLevel"/>
    <w:tmpl w:val="9D7EB8E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6">
    <w:nsid w:val="9DFC6F65"/>
    <w:multiLevelType w:val="singleLevel"/>
    <w:tmpl w:val="9DFC6F6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7">
    <w:nsid w:val="9F81B9F9"/>
    <w:multiLevelType w:val="singleLevel"/>
    <w:tmpl w:val="9F81B9F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8">
    <w:nsid w:val="BCECA0B4"/>
    <w:multiLevelType w:val="singleLevel"/>
    <w:tmpl w:val="BCECA0B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9">
    <w:nsid w:val="BF50FE6B"/>
    <w:multiLevelType w:val="singleLevel"/>
    <w:tmpl w:val="BF50FE6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0">
    <w:nsid w:val="CD699D1D"/>
    <w:multiLevelType w:val="singleLevel"/>
    <w:tmpl w:val="CD699D1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1">
    <w:nsid w:val="E0294EC7"/>
    <w:multiLevelType w:val="singleLevel"/>
    <w:tmpl w:val="E0294EC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2">
    <w:nsid w:val="E52D9448"/>
    <w:multiLevelType w:val="singleLevel"/>
    <w:tmpl w:val="E52D944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3">
    <w:nsid w:val="F4A942FE"/>
    <w:multiLevelType w:val="singleLevel"/>
    <w:tmpl w:val="F4A942F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4">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5">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6">
    <w:nsid w:val="01836A6D"/>
    <w:multiLevelType w:val="singleLevel"/>
    <w:tmpl w:val="01836A6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7">
    <w:nsid w:val="03C240C0"/>
    <w:multiLevelType w:val="singleLevel"/>
    <w:tmpl w:val="03C240C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8">
    <w:nsid w:val="10F0DB0B"/>
    <w:multiLevelType w:val="singleLevel"/>
    <w:tmpl w:val="10F0DB0B"/>
    <w:lvl w:ilvl="0" w:tentative="0">
      <w:start w:val="2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lvl>
  </w:abstractNum>
  <w:abstractNum w:abstractNumId="19">
    <w:nsid w:val="1AD50295"/>
    <w:multiLevelType w:val="singleLevel"/>
    <w:tmpl w:val="1AD5029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0">
    <w:nsid w:val="21B3B1B1"/>
    <w:multiLevelType w:val="singleLevel"/>
    <w:tmpl w:val="21B3B1B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1">
    <w:nsid w:val="227C9188"/>
    <w:multiLevelType w:val="singleLevel"/>
    <w:tmpl w:val="227C918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2">
    <w:nsid w:val="22A42B04"/>
    <w:multiLevelType w:val="singleLevel"/>
    <w:tmpl w:val="22A42B04"/>
    <w:lvl w:ilvl="0" w:tentative="0">
      <w:start w:val="1"/>
      <w:numFmt w:val="decimal"/>
      <w:pStyle w:val="9"/>
      <w:lvlText w:val="%1."/>
      <w:lvlJc w:val="left"/>
      <w:pPr>
        <w:tabs>
          <w:tab w:val="left" w:pos="360"/>
        </w:tabs>
        <w:ind w:left="360" w:hanging="360"/>
      </w:pPr>
    </w:lvl>
  </w:abstractNum>
  <w:abstractNum w:abstractNumId="23">
    <w:nsid w:val="251342A6"/>
    <w:multiLevelType w:val="singleLevel"/>
    <w:tmpl w:val="251342A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4">
    <w:nsid w:val="2B3F3F89"/>
    <w:multiLevelType w:val="singleLevel"/>
    <w:tmpl w:val="2B3F3F8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5">
    <w:nsid w:val="3FE315B6"/>
    <w:multiLevelType w:val="singleLevel"/>
    <w:tmpl w:val="3FE315B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6">
    <w:nsid w:val="40F245EA"/>
    <w:multiLevelType w:val="singleLevel"/>
    <w:tmpl w:val="40F245E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7">
    <w:nsid w:val="4A51D704"/>
    <w:multiLevelType w:val="singleLevel"/>
    <w:tmpl w:val="4A51D70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8">
    <w:nsid w:val="4CD1E351"/>
    <w:multiLevelType w:val="singleLevel"/>
    <w:tmpl w:val="4CD1E35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9">
    <w:nsid w:val="4D63189B"/>
    <w:multiLevelType w:val="singleLevel"/>
    <w:tmpl w:val="4D63189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0">
    <w:nsid w:val="4FB438A5"/>
    <w:multiLevelType w:val="singleLevel"/>
    <w:tmpl w:val="4FB438A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1">
    <w:nsid w:val="51C4BC33"/>
    <w:multiLevelType w:val="singleLevel"/>
    <w:tmpl w:val="51C4BC3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2">
    <w:nsid w:val="54701CA1"/>
    <w:multiLevelType w:val="singleLevel"/>
    <w:tmpl w:val="54701CA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3">
    <w:nsid w:val="5FCE4367"/>
    <w:multiLevelType w:val="singleLevel"/>
    <w:tmpl w:val="5FCE436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4">
    <w:nsid w:val="68B298F7"/>
    <w:multiLevelType w:val="singleLevel"/>
    <w:tmpl w:val="68B298F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5">
    <w:nsid w:val="7763323B"/>
    <w:multiLevelType w:val="singleLevel"/>
    <w:tmpl w:val="7763323B"/>
    <w:lvl w:ilvl="0" w:tentative="0">
      <w:start w:val="2"/>
      <w:numFmt w:val="decimal"/>
      <w:suff w:val="nothing"/>
      <w:lvlText w:val="（%1）"/>
      <w:lvlJc w:val="left"/>
    </w:lvl>
  </w:abstractNum>
  <w:abstractNum w:abstractNumId="36">
    <w:nsid w:val="7763323C"/>
    <w:multiLevelType w:val="singleLevel"/>
    <w:tmpl w:val="7763323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7">
    <w:nsid w:val="7763323E"/>
    <w:multiLevelType w:val="singleLevel"/>
    <w:tmpl w:val="7763323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num w:numId="1">
    <w:abstractNumId w:val="22"/>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4"/>
  </w:num>
  <w:num w:numId="6">
    <w:abstractNumId w:val="8"/>
  </w:num>
  <w:num w:numId="7">
    <w:abstractNumId w:val="28"/>
  </w:num>
  <w:num w:numId="8">
    <w:abstractNumId w:val="3"/>
  </w:num>
  <w:num w:numId="9">
    <w:abstractNumId w:val="11"/>
  </w:num>
  <w:num w:numId="10">
    <w:abstractNumId w:val="19"/>
  </w:num>
  <w:num w:numId="11">
    <w:abstractNumId w:val="27"/>
  </w:num>
  <w:num w:numId="12">
    <w:abstractNumId w:val="0"/>
  </w:num>
  <w:num w:numId="13">
    <w:abstractNumId w:val="1"/>
  </w:num>
  <w:num w:numId="14">
    <w:abstractNumId w:val="16"/>
  </w:num>
  <w:num w:numId="15">
    <w:abstractNumId w:val="7"/>
  </w:num>
  <w:num w:numId="16">
    <w:abstractNumId w:val="9"/>
  </w:num>
  <w:num w:numId="17">
    <w:abstractNumId w:val="13"/>
  </w:num>
  <w:num w:numId="18">
    <w:abstractNumId w:val="33"/>
  </w:num>
  <w:num w:numId="19">
    <w:abstractNumId w:val="32"/>
  </w:num>
  <w:num w:numId="20">
    <w:abstractNumId w:val="20"/>
  </w:num>
  <w:num w:numId="21">
    <w:abstractNumId w:val="2"/>
  </w:num>
  <w:num w:numId="22">
    <w:abstractNumId w:val="17"/>
  </w:num>
  <w:num w:numId="23">
    <w:abstractNumId w:val="6"/>
  </w:num>
  <w:num w:numId="24">
    <w:abstractNumId w:val="24"/>
  </w:num>
  <w:num w:numId="25">
    <w:abstractNumId w:val="31"/>
  </w:num>
  <w:num w:numId="26">
    <w:abstractNumId w:val="10"/>
  </w:num>
  <w:num w:numId="27">
    <w:abstractNumId w:val="4"/>
  </w:num>
  <w:num w:numId="28">
    <w:abstractNumId w:val="23"/>
  </w:num>
  <w:num w:numId="29">
    <w:abstractNumId w:val="26"/>
  </w:num>
  <w:num w:numId="30">
    <w:abstractNumId w:val="29"/>
  </w:num>
  <w:num w:numId="31">
    <w:abstractNumId w:val="30"/>
  </w:num>
  <w:num w:numId="32">
    <w:abstractNumId w:val="21"/>
  </w:num>
  <w:num w:numId="33">
    <w:abstractNumId w:val="12"/>
  </w:num>
  <w:num w:numId="34">
    <w:abstractNumId w:val="5"/>
  </w:num>
  <w:num w:numId="35">
    <w:abstractNumId w:val="18"/>
  </w:num>
  <w:num w:numId="36">
    <w:abstractNumId w:val="25"/>
  </w:num>
  <w:num w:numId="37">
    <w:abstractNumId w:val="35"/>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2ZDNkYWQzYjFmNTNmMGExNzhkN2ZhNjkxNjM0OTMifQ=="/>
  </w:docVars>
  <w:rsids>
    <w:rsidRoot w:val="4A792BC1"/>
    <w:rsid w:val="000C2E08"/>
    <w:rsid w:val="002C4449"/>
    <w:rsid w:val="003A6B66"/>
    <w:rsid w:val="006D6F3B"/>
    <w:rsid w:val="00A67D58"/>
    <w:rsid w:val="00F12975"/>
    <w:rsid w:val="011F03E0"/>
    <w:rsid w:val="013B0DE8"/>
    <w:rsid w:val="01437C9C"/>
    <w:rsid w:val="015C0A67"/>
    <w:rsid w:val="017A296A"/>
    <w:rsid w:val="01F121F4"/>
    <w:rsid w:val="021C1DC4"/>
    <w:rsid w:val="021E308C"/>
    <w:rsid w:val="028E4F47"/>
    <w:rsid w:val="028E5259"/>
    <w:rsid w:val="029434E3"/>
    <w:rsid w:val="02B80216"/>
    <w:rsid w:val="02F36F2B"/>
    <w:rsid w:val="031501B1"/>
    <w:rsid w:val="033624C6"/>
    <w:rsid w:val="034170D2"/>
    <w:rsid w:val="03C926DB"/>
    <w:rsid w:val="041A3F91"/>
    <w:rsid w:val="041D47D5"/>
    <w:rsid w:val="0442423B"/>
    <w:rsid w:val="04E11CA6"/>
    <w:rsid w:val="04F55751"/>
    <w:rsid w:val="04F82B4C"/>
    <w:rsid w:val="05037796"/>
    <w:rsid w:val="053A13B6"/>
    <w:rsid w:val="0543026B"/>
    <w:rsid w:val="05832D5D"/>
    <w:rsid w:val="06007623"/>
    <w:rsid w:val="06E46069"/>
    <w:rsid w:val="07287718"/>
    <w:rsid w:val="07D959FB"/>
    <w:rsid w:val="08210B42"/>
    <w:rsid w:val="08A872D9"/>
    <w:rsid w:val="08A94889"/>
    <w:rsid w:val="08EB30F3"/>
    <w:rsid w:val="090441AF"/>
    <w:rsid w:val="09684744"/>
    <w:rsid w:val="09790599"/>
    <w:rsid w:val="09F537C0"/>
    <w:rsid w:val="0A0C3321"/>
    <w:rsid w:val="0A5D3B7D"/>
    <w:rsid w:val="0AAB4CA5"/>
    <w:rsid w:val="0AC92FC0"/>
    <w:rsid w:val="0B0C3126"/>
    <w:rsid w:val="0B0F6FFD"/>
    <w:rsid w:val="0B195A81"/>
    <w:rsid w:val="0BC669F3"/>
    <w:rsid w:val="0C1D16F4"/>
    <w:rsid w:val="0C253D2D"/>
    <w:rsid w:val="0C3B6140"/>
    <w:rsid w:val="0C41127C"/>
    <w:rsid w:val="0C8A677F"/>
    <w:rsid w:val="0CA32483"/>
    <w:rsid w:val="0CDA1A87"/>
    <w:rsid w:val="0CFD31D2"/>
    <w:rsid w:val="0D0C6AA6"/>
    <w:rsid w:val="0D18022F"/>
    <w:rsid w:val="0D333F71"/>
    <w:rsid w:val="0D821B4C"/>
    <w:rsid w:val="0DB00467"/>
    <w:rsid w:val="0DB55804"/>
    <w:rsid w:val="0DCD1019"/>
    <w:rsid w:val="0E372937"/>
    <w:rsid w:val="0E7B0A75"/>
    <w:rsid w:val="0E853195"/>
    <w:rsid w:val="0ECF42F5"/>
    <w:rsid w:val="0F1609AB"/>
    <w:rsid w:val="0F2B3F79"/>
    <w:rsid w:val="0F551273"/>
    <w:rsid w:val="0F601A19"/>
    <w:rsid w:val="0F8F00B0"/>
    <w:rsid w:val="0FD83CA6"/>
    <w:rsid w:val="0FFC5BE6"/>
    <w:rsid w:val="10686DD7"/>
    <w:rsid w:val="10863702"/>
    <w:rsid w:val="10BA7FBF"/>
    <w:rsid w:val="111649AD"/>
    <w:rsid w:val="112847B9"/>
    <w:rsid w:val="11531836"/>
    <w:rsid w:val="11AE74B8"/>
    <w:rsid w:val="11E518EA"/>
    <w:rsid w:val="12744159"/>
    <w:rsid w:val="13B77EDC"/>
    <w:rsid w:val="14180B15"/>
    <w:rsid w:val="14554682"/>
    <w:rsid w:val="14656E95"/>
    <w:rsid w:val="149179B3"/>
    <w:rsid w:val="14F21B98"/>
    <w:rsid w:val="1513734D"/>
    <w:rsid w:val="157D000D"/>
    <w:rsid w:val="15A765F4"/>
    <w:rsid w:val="15E6711C"/>
    <w:rsid w:val="164E59A4"/>
    <w:rsid w:val="16565924"/>
    <w:rsid w:val="16687409"/>
    <w:rsid w:val="16B965DF"/>
    <w:rsid w:val="17033ECD"/>
    <w:rsid w:val="172872C1"/>
    <w:rsid w:val="174311DE"/>
    <w:rsid w:val="17485BB5"/>
    <w:rsid w:val="17516817"/>
    <w:rsid w:val="17BE5353"/>
    <w:rsid w:val="18324737"/>
    <w:rsid w:val="188B3EA1"/>
    <w:rsid w:val="18A46E1B"/>
    <w:rsid w:val="18B057C0"/>
    <w:rsid w:val="18BE2183"/>
    <w:rsid w:val="19184AEB"/>
    <w:rsid w:val="19725A25"/>
    <w:rsid w:val="19B412DF"/>
    <w:rsid w:val="1A0C2EC9"/>
    <w:rsid w:val="1A0E09F0"/>
    <w:rsid w:val="1A9058A9"/>
    <w:rsid w:val="1B54323F"/>
    <w:rsid w:val="1C530E35"/>
    <w:rsid w:val="1CAC5149"/>
    <w:rsid w:val="1D0B5264"/>
    <w:rsid w:val="1D6B7F07"/>
    <w:rsid w:val="1D7F21CE"/>
    <w:rsid w:val="1D867E58"/>
    <w:rsid w:val="1D8B2357"/>
    <w:rsid w:val="1E043C4C"/>
    <w:rsid w:val="1E506AD5"/>
    <w:rsid w:val="1EBC5680"/>
    <w:rsid w:val="1EC254C5"/>
    <w:rsid w:val="1F3E0788"/>
    <w:rsid w:val="1F7818AD"/>
    <w:rsid w:val="1F901EA7"/>
    <w:rsid w:val="1FFA25FF"/>
    <w:rsid w:val="202251F5"/>
    <w:rsid w:val="20444624"/>
    <w:rsid w:val="214038BF"/>
    <w:rsid w:val="216323BE"/>
    <w:rsid w:val="216F462D"/>
    <w:rsid w:val="21B20044"/>
    <w:rsid w:val="21C422DC"/>
    <w:rsid w:val="21EB1616"/>
    <w:rsid w:val="22001566"/>
    <w:rsid w:val="226E52DF"/>
    <w:rsid w:val="227B299A"/>
    <w:rsid w:val="22BD4DFB"/>
    <w:rsid w:val="22C32593"/>
    <w:rsid w:val="23084722"/>
    <w:rsid w:val="23185EE2"/>
    <w:rsid w:val="23216393"/>
    <w:rsid w:val="234611FA"/>
    <w:rsid w:val="2349553F"/>
    <w:rsid w:val="2431093C"/>
    <w:rsid w:val="24B16B47"/>
    <w:rsid w:val="24B7340D"/>
    <w:rsid w:val="25184E18"/>
    <w:rsid w:val="252D5589"/>
    <w:rsid w:val="25755DC7"/>
    <w:rsid w:val="258108C5"/>
    <w:rsid w:val="25CC2EDF"/>
    <w:rsid w:val="25DA526E"/>
    <w:rsid w:val="25F807A6"/>
    <w:rsid w:val="26A7481C"/>
    <w:rsid w:val="27806CC5"/>
    <w:rsid w:val="281F3608"/>
    <w:rsid w:val="284B1574"/>
    <w:rsid w:val="28642EDD"/>
    <w:rsid w:val="295071B5"/>
    <w:rsid w:val="298E0913"/>
    <w:rsid w:val="2A015401"/>
    <w:rsid w:val="2A821E6E"/>
    <w:rsid w:val="2AC87988"/>
    <w:rsid w:val="2ADA512F"/>
    <w:rsid w:val="2B2C047E"/>
    <w:rsid w:val="2BA56CDA"/>
    <w:rsid w:val="2BD445E9"/>
    <w:rsid w:val="2BD61589"/>
    <w:rsid w:val="2C194947"/>
    <w:rsid w:val="2C372028"/>
    <w:rsid w:val="2CA952D4"/>
    <w:rsid w:val="2CCD3F5D"/>
    <w:rsid w:val="2CD81465"/>
    <w:rsid w:val="2CDE6947"/>
    <w:rsid w:val="2CF061F0"/>
    <w:rsid w:val="2D3827E8"/>
    <w:rsid w:val="2D8E5ADB"/>
    <w:rsid w:val="2DC62910"/>
    <w:rsid w:val="2E1343CF"/>
    <w:rsid w:val="2E556795"/>
    <w:rsid w:val="2E8C2EA8"/>
    <w:rsid w:val="2EC102CF"/>
    <w:rsid w:val="2F3A598B"/>
    <w:rsid w:val="2FAF1ED5"/>
    <w:rsid w:val="30AA3DBF"/>
    <w:rsid w:val="30E67B79"/>
    <w:rsid w:val="30FE7EF5"/>
    <w:rsid w:val="313703D4"/>
    <w:rsid w:val="31923235"/>
    <w:rsid w:val="31BB1005"/>
    <w:rsid w:val="31F91ADC"/>
    <w:rsid w:val="329905F3"/>
    <w:rsid w:val="32A509BB"/>
    <w:rsid w:val="32DC1068"/>
    <w:rsid w:val="3345560D"/>
    <w:rsid w:val="33501C21"/>
    <w:rsid w:val="336A2CE3"/>
    <w:rsid w:val="337A7F82"/>
    <w:rsid w:val="33865643"/>
    <w:rsid w:val="339F1E17"/>
    <w:rsid w:val="345C7BDD"/>
    <w:rsid w:val="346577CD"/>
    <w:rsid w:val="34842A78"/>
    <w:rsid w:val="34BF39F8"/>
    <w:rsid w:val="34E43456"/>
    <w:rsid w:val="34E844EF"/>
    <w:rsid w:val="35FA7C22"/>
    <w:rsid w:val="3679148F"/>
    <w:rsid w:val="368E27F2"/>
    <w:rsid w:val="36956DC4"/>
    <w:rsid w:val="36DF1C32"/>
    <w:rsid w:val="376E466E"/>
    <w:rsid w:val="37E1553E"/>
    <w:rsid w:val="37ED732A"/>
    <w:rsid w:val="38144CF3"/>
    <w:rsid w:val="383529B9"/>
    <w:rsid w:val="383C4059"/>
    <w:rsid w:val="388C4F55"/>
    <w:rsid w:val="389C17C7"/>
    <w:rsid w:val="38F82B3F"/>
    <w:rsid w:val="393D49F6"/>
    <w:rsid w:val="394463F8"/>
    <w:rsid w:val="39870694"/>
    <w:rsid w:val="399D0C9D"/>
    <w:rsid w:val="3A9578F2"/>
    <w:rsid w:val="3AB3119F"/>
    <w:rsid w:val="3AB3217D"/>
    <w:rsid w:val="3B1F25AF"/>
    <w:rsid w:val="3B223EA3"/>
    <w:rsid w:val="3B4069B8"/>
    <w:rsid w:val="3B5B6740"/>
    <w:rsid w:val="3B604055"/>
    <w:rsid w:val="3B84478F"/>
    <w:rsid w:val="3C003E02"/>
    <w:rsid w:val="3C8B2027"/>
    <w:rsid w:val="3CB03193"/>
    <w:rsid w:val="3CE034DB"/>
    <w:rsid w:val="3D540560"/>
    <w:rsid w:val="3D6176CB"/>
    <w:rsid w:val="3DDE0AF1"/>
    <w:rsid w:val="3E125828"/>
    <w:rsid w:val="3E2F5C06"/>
    <w:rsid w:val="3EFF6AAC"/>
    <w:rsid w:val="3F075E88"/>
    <w:rsid w:val="3F470381"/>
    <w:rsid w:val="3F975F9A"/>
    <w:rsid w:val="3FA15AA1"/>
    <w:rsid w:val="3FEE6372"/>
    <w:rsid w:val="410D73A4"/>
    <w:rsid w:val="425A03C6"/>
    <w:rsid w:val="43127AF9"/>
    <w:rsid w:val="432A1A6E"/>
    <w:rsid w:val="434846C3"/>
    <w:rsid w:val="43516F22"/>
    <w:rsid w:val="43C33D49"/>
    <w:rsid w:val="43F87442"/>
    <w:rsid w:val="443006B8"/>
    <w:rsid w:val="44380293"/>
    <w:rsid w:val="449C1FF9"/>
    <w:rsid w:val="44A27E03"/>
    <w:rsid w:val="44A8366B"/>
    <w:rsid w:val="44B1564F"/>
    <w:rsid w:val="46733953"/>
    <w:rsid w:val="468974CC"/>
    <w:rsid w:val="47073925"/>
    <w:rsid w:val="47413903"/>
    <w:rsid w:val="47617B01"/>
    <w:rsid w:val="47C87B80"/>
    <w:rsid w:val="47E6294F"/>
    <w:rsid w:val="483B47F6"/>
    <w:rsid w:val="48593CB8"/>
    <w:rsid w:val="486D3C5C"/>
    <w:rsid w:val="489F2326"/>
    <w:rsid w:val="48B25ADB"/>
    <w:rsid w:val="48D8460A"/>
    <w:rsid w:val="48FE0830"/>
    <w:rsid w:val="492E044C"/>
    <w:rsid w:val="49656BC0"/>
    <w:rsid w:val="498126DD"/>
    <w:rsid w:val="498C371F"/>
    <w:rsid w:val="49E36EF3"/>
    <w:rsid w:val="4A050C18"/>
    <w:rsid w:val="4A792BC1"/>
    <w:rsid w:val="4AB66139"/>
    <w:rsid w:val="4B1530DD"/>
    <w:rsid w:val="4B614574"/>
    <w:rsid w:val="4BDD5F04"/>
    <w:rsid w:val="4BEC277D"/>
    <w:rsid w:val="4C0B2731"/>
    <w:rsid w:val="4C3B4DC5"/>
    <w:rsid w:val="4CBD7ED0"/>
    <w:rsid w:val="4D0819F5"/>
    <w:rsid w:val="4D2560BA"/>
    <w:rsid w:val="4D753E6E"/>
    <w:rsid w:val="4DD23507"/>
    <w:rsid w:val="4DE93BA1"/>
    <w:rsid w:val="4DEE4A39"/>
    <w:rsid w:val="4E0631B0"/>
    <w:rsid w:val="4E1C3F53"/>
    <w:rsid w:val="4EB83982"/>
    <w:rsid w:val="4F7479F9"/>
    <w:rsid w:val="4F895B22"/>
    <w:rsid w:val="4FCE5F50"/>
    <w:rsid w:val="50660FDB"/>
    <w:rsid w:val="50B769E4"/>
    <w:rsid w:val="50D94BAC"/>
    <w:rsid w:val="516A3A56"/>
    <w:rsid w:val="51C969CF"/>
    <w:rsid w:val="522C2D32"/>
    <w:rsid w:val="52490566"/>
    <w:rsid w:val="528C2795"/>
    <w:rsid w:val="52F7383A"/>
    <w:rsid w:val="537F7760"/>
    <w:rsid w:val="538F3C48"/>
    <w:rsid w:val="53F77C65"/>
    <w:rsid w:val="54120E10"/>
    <w:rsid w:val="54314DC4"/>
    <w:rsid w:val="544D37A5"/>
    <w:rsid w:val="548337AD"/>
    <w:rsid w:val="54B35714"/>
    <w:rsid w:val="54B96A47"/>
    <w:rsid w:val="554F18E1"/>
    <w:rsid w:val="55967510"/>
    <w:rsid w:val="55A610CB"/>
    <w:rsid w:val="55F21C44"/>
    <w:rsid w:val="56674A08"/>
    <w:rsid w:val="56985C18"/>
    <w:rsid w:val="56B62190"/>
    <w:rsid w:val="56FD6884"/>
    <w:rsid w:val="572A46D5"/>
    <w:rsid w:val="574A6CC2"/>
    <w:rsid w:val="57A7064B"/>
    <w:rsid w:val="57C00874"/>
    <w:rsid w:val="57C9597B"/>
    <w:rsid w:val="58005F43"/>
    <w:rsid w:val="58A53ACD"/>
    <w:rsid w:val="58E7530E"/>
    <w:rsid w:val="590A0A70"/>
    <w:rsid w:val="59101387"/>
    <w:rsid w:val="59170968"/>
    <w:rsid w:val="5928560F"/>
    <w:rsid w:val="59F06D79"/>
    <w:rsid w:val="59F20A8D"/>
    <w:rsid w:val="5A3708D8"/>
    <w:rsid w:val="5ACC12DE"/>
    <w:rsid w:val="5ADC59C5"/>
    <w:rsid w:val="5B162F19"/>
    <w:rsid w:val="5B294982"/>
    <w:rsid w:val="5B6634E0"/>
    <w:rsid w:val="5B8464BB"/>
    <w:rsid w:val="5BC76675"/>
    <w:rsid w:val="5BCE0086"/>
    <w:rsid w:val="5BD7618C"/>
    <w:rsid w:val="5BFA549B"/>
    <w:rsid w:val="5BFC5F23"/>
    <w:rsid w:val="5C06444B"/>
    <w:rsid w:val="5C845807"/>
    <w:rsid w:val="5C86208C"/>
    <w:rsid w:val="5CD1707F"/>
    <w:rsid w:val="5CE72757"/>
    <w:rsid w:val="5CE868B8"/>
    <w:rsid w:val="5CF54884"/>
    <w:rsid w:val="5CF76AE6"/>
    <w:rsid w:val="5D861F38"/>
    <w:rsid w:val="5D971C5A"/>
    <w:rsid w:val="5E007C1C"/>
    <w:rsid w:val="5E355124"/>
    <w:rsid w:val="5E902386"/>
    <w:rsid w:val="5F1C0A86"/>
    <w:rsid w:val="5F244448"/>
    <w:rsid w:val="5F337B7D"/>
    <w:rsid w:val="5F3F6522"/>
    <w:rsid w:val="5F8A5E32"/>
    <w:rsid w:val="5F961395"/>
    <w:rsid w:val="60A97F8B"/>
    <w:rsid w:val="61276BD7"/>
    <w:rsid w:val="613227E3"/>
    <w:rsid w:val="614442C4"/>
    <w:rsid w:val="61555AB1"/>
    <w:rsid w:val="61AB7E9F"/>
    <w:rsid w:val="61B21B87"/>
    <w:rsid w:val="61C7701B"/>
    <w:rsid w:val="6283416F"/>
    <w:rsid w:val="62A71B4E"/>
    <w:rsid w:val="63042A79"/>
    <w:rsid w:val="634C03F1"/>
    <w:rsid w:val="6384309D"/>
    <w:rsid w:val="63B3765E"/>
    <w:rsid w:val="64061D04"/>
    <w:rsid w:val="643C1D4A"/>
    <w:rsid w:val="6440001F"/>
    <w:rsid w:val="6467184C"/>
    <w:rsid w:val="64B17A5F"/>
    <w:rsid w:val="65006AFE"/>
    <w:rsid w:val="654E17AC"/>
    <w:rsid w:val="658B24C1"/>
    <w:rsid w:val="65B01873"/>
    <w:rsid w:val="65B90E14"/>
    <w:rsid w:val="66664CDC"/>
    <w:rsid w:val="666F593F"/>
    <w:rsid w:val="66B81126"/>
    <w:rsid w:val="66D8599D"/>
    <w:rsid w:val="670D68DE"/>
    <w:rsid w:val="67375865"/>
    <w:rsid w:val="673C6210"/>
    <w:rsid w:val="6743013D"/>
    <w:rsid w:val="67E6072C"/>
    <w:rsid w:val="683009BB"/>
    <w:rsid w:val="6870620A"/>
    <w:rsid w:val="68E85E7D"/>
    <w:rsid w:val="690855AF"/>
    <w:rsid w:val="69BE3E7E"/>
    <w:rsid w:val="69C51D1A"/>
    <w:rsid w:val="6A534F36"/>
    <w:rsid w:val="6AEB755E"/>
    <w:rsid w:val="6AFE4151"/>
    <w:rsid w:val="6B1E16E2"/>
    <w:rsid w:val="6B411657"/>
    <w:rsid w:val="6B78643D"/>
    <w:rsid w:val="6B854620"/>
    <w:rsid w:val="6BA208B3"/>
    <w:rsid w:val="6BFD1F48"/>
    <w:rsid w:val="6C98785A"/>
    <w:rsid w:val="6D1A58B1"/>
    <w:rsid w:val="6D2E23EC"/>
    <w:rsid w:val="6D723464"/>
    <w:rsid w:val="6D9B170F"/>
    <w:rsid w:val="6DDB7D5E"/>
    <w:rsid w:val="6E591796"/>
    <w:rsid w:val="6E8977BA"/>
    <w:rsid w:val="6E9C6766"/>
    <w:rsid w:val="6F212F57"/>
    <w:rsid w:val="7033265A"/>
    <w:rsid w:val="70466F16"/>
    <w:rsid w:val="70763D6E"/>
    <w:rsid w:val="70D56FC1"/>
    <w:rsid w:val="710B35D9"/>
    <w:rsid w:val="711865AB"/>
    <w:rsid w:val="711A294B"/>
    <w:rsid w:val="721970A7"/>
    <w:rsid w:val="72ED0FAD"/>
    <w:rsid w:val="732D07CF"/>
    <w:rsid w:val="733E7D70"/>
    <w:rsid w:val="734E2D80"/>
    <w:rsid w:val="737427E7"/>
    <w:rsid w:val="737D110D"/>
    <w:rsid w:val="743D32AB"/>
    <w:rsid w:val="748B46F4"/>
    <w:rsid w:val="7490269B"/>
    <w:rsid w:val="75330480"/>
    <w:rsid w:val="75FA4D6A"/>
    <w:rsid w:val="76216828"/>
    <w:rsid w:val="762416C6"/>
    <w:rsid w:val="762561FA"/>
    <w:rsid w:val="76DB2B7D"/>
    <w:rsid w:val="77DA4BE2"/>
    <w:rsid w:val="781A76D5"/>
    <w:rsid w:val="7836666D"/>
    <w:rsid w:val="78600EB5"/>
    <w:rsid w:val="78A3200D"/>
    <w:rsid w:val="78C8581A"/>
    <w:rsid w:val="79143B6F"/>
    <w:rsid w:val="793865FF"/>
    <w:rsid w:val="79815209"/>
    <w:rsid w:val="798C478A"/>
    <w:rsid w:val="7A564E8A"/>
    <w:rsid w:val="7A5C3FD5"/>
    <w:rsid w:val="7AF64429"/>
    <w:rsid w:val="7B7E3E42"/>
    <w:rsid w:val="7BC736D0"/>
    <w:rsid w:val="7C530EBB"/>
    <w:rsid w:val="7C6D4277"/>
    <w:rsid w:val="7C8021FC"/>
    <w:rsid w:val="7D26764B"/>
    <w:rsid w:val="7D2D1C58"/>
    <w:rsid w:val="7D807FDA"/>
    <w:rsid w:val="7E6E42D6"/>
    <w:rsid w:val="7E8E7AFF"/>
    <w:rsid w:val="7F192494"/>
    <w:rsid w:val="7F8B1FD5"/>
    <w:rsid w:val="7F923FF5"/>
    <w:rsid w:val="7FF80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9"/>
    <w:pPr>
      <w:keepNext/>
      <w:keepLines/>
      <w:spacing w:before="260" w:after="260" w:line="416" w:lineRule="auto"/>
      <w:outlineLvl w:val="2"/>
    </w:pPr>
    <w:rPr>
      <w:sz w:val="32"/>
      <w:szCs w:val="32"/>
    </w:rPr>
  </w:style>
  <w:style w:type="paragraph" w:styleId="5">
    <w:name w:val="heading 4"/>
    <w:basedOn w:val="4"/>
    <w:next w:val="6"/>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5"/>
    <w:next w:val="7"/>
    <w:qFormat/>
    <w:uiPriority w:val="0"/>
    <w:pPr>
      <w:keepNext/>
      <w:keepLines/>
      <w:spacing w:before="280" w:after="290" w:line="372" w:lineRule="auto"/>
      <w:outlineLvl w:val="4"/>
    </w:pPr>
    <w:rPr>
      <w:sz w:val="28"/>
    </w:rPr>
  </w:style>
  <w:style w:type="character" w:default="1" w:styleId="28">
    <w:name w:val="Default Paragraph Font"/>
    <w:semiHidden/>
    <w:qFormat/>
    <w:uiPriority w:val="0"/>
  </w:style>
  <w:style w:type="table" w:default="1" w:styleId="26">
    <w:name w:val="Normal Table"/>
    <w:semiHidden/>
    <w:qFormat/>
    <w:uiPriority w:val="0"/>
    <w:tblPr>
      <w:tblLayout w:type="fixed"/>
      <w:tblCellMar>
        <w:top w:w="0" w:type="dxa"/>
        <w:left w:w="108" w:type="dxa"/>
        <w:bottom w:w="0" w:type="dxa"/>
        <w:right w:w="108" w:type="dxa"/>
      </w:tblCellMar>
    </w:tblPr>
  </w:style>
  <w:style w:type="paragraph" w:styleId="7">
    <w:name w:val="Normal Indent"/>
    <w:basedOn w:val="1"/>
    <w:unhideWhenUsed/>
    <w:qFormat/>
    <w:uiPriority w:val="99"/>
    <w:pPr>
      <w:ind w:firstLine="420"/>
    </w:pPr>
    <w:rPr>
      <w:szCs w:val="20"/>
    </w:rPr>
  </w:style>
  <w:style w:type="paragraph" w:styleId="8">
    <w:name w:val="index 8"/>
    <w:basedOn w:val="1"/>
    <w:next w:val="1"/>
    <w:qFormat/>
    <w:uiPriority w:val="0"/>
    <w:pPr>
      <w:tabs>
        <w:tab w:val="left" w:pos="540"/>
        <w:tab w:val="left" w:pos="900"/>
      </w:tabs>
      <w:jc w:val="center"/>
    </w:pPr>
    <w:rPr>
      <w:rFonts w:hAnsi="宋体" w:cs="宋体"/>
      <w:color w:val="000000"/>
      <w:sz w:val="32"/>
      <w:szCs w:val="32"/>
    </w:rPr>
  </w:style>
  <w:style w:type="paragraph" w:styleId="9">
    <w:name w:val="List Number"/>
    <w:basedOn w:val="1"/>
    <w:qFormat/>
    <w:uiPriority w:val="0"/>
    <w:pPr>
      <w:numPr>
        <w:ilvl w:val="0"/>
        <w:numId w:val="1"/>
      </w:numPr>
    </w:pPr>
  </w:style>
  <w:style w:type="paragraph" w:styleId="10">
    <w:name w:val="annotation text"/>
    <w:basedOn w:val="1"/>
    <w:unhideWhenUsed/>
    <w:qFormat/>
    <w:uiPriority w:val="99"/>
    <w:pPr>
      <w:jc w:val="left"/>
    </w:pPr>
  </w:style>
  <w:style w:type="paragraph" w:styleId="11">
    <w:name w:val="Body Text 3"/>
    <w:basedOn w:val="1"/>
    <w:qFormat/>
    <w:uiPriority w:val="99"/>
    <w:pPr>
      <w:spacing w:after="120"/>
    </w:pPr>
    <w:rPr>
      <w:sz w:val="16"/>
      <w:szCs w:val="16"/>
    </w:rPr>
  </w:style>
  <w:style w:type="paragraph" w:styleId="12">
    <w:name w:val="Body Text"/>
    <w:basedOn w:val="1"/>
    <w:unhideWhenUsed/>
    <w:qFormat/>
    <w:uiPriority w:val="99"/>
    <w:pPr>
      <w:spacing w:after="120"/>
    </w:pPr>
  </w:style>
  <w:style w:type="paragraph" w:styleId="13">
    <w:name w:val="Body Text Indent"/>
    <w:basedOn w:val="1"/>
    <w:next w:val="1"/>
    <w:unhideWhenUsed/>
    <w:qFormat/>
    <w:uiPriority w:val="99"/>
    <w:pPr>
      <w:ind w:firstLine="830" w:firstLineChars="352"/>
    </w:pPr>
    <w:rPr>
      <w:rFonts w:ascii="仿宋_GB2312" w:eastAsia="仿宋_GB2312"/>
      <w:kern w:val="0"/>
      <w:sz w:val="32"/>
      <w:szCs w:val="20"/>
    </w:rPr>
  </w:style>
  <w:style w:type="paragraph" w:styleId="14">
    <w:name w:val="List 2"/>
    <w:basedOn w:val="1"/>
    <w:unhideWhenUsed/>
    <w:qFormat/>
    <w:uiPriority w:val="99"/>
    <w:pPr>
      <w:ind w:left="100" w:leftChars="200" w:hanging="200" w:hangingChars="200"/>
      <w:contextualSpacing/>
    </w:pPr>
  </w:style>
  <w:style w:type="paragraph" w:styleId="15">
    <w:name w:val="Plain Text"/>
    <w:basedOn w:val="16"/>
    <w:unhideWhenUsed/>
    <w:qFormat/>
    <w:uiPriority w:val="99"/>
    <w:rPr>
      <w:rFonts w:ascii="宋体" w:hAnsi="Courier New"/>
      <w:kern w:val="0"/>
      <w:sz w:val="20"/>
      <w:szCs w:val="21"/>
    </w:rPr>
  </w:style>
  <w:style w:type="paragraph" w:customStyle="1" w:styleId="16">
    <w:name w:val="正文_2_0"/>
    <w:next w:val="17"/>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17">
    <w:name w:val="页脚_2"/>
    <w:basedOn w:val="16"/>
    <w:unhideWhenUsed/>
    <w:qFormat/>
    <w:uiPriority w:val="99"/>
    <w:pPr>
      <w:tabs>
        <w:tab w:val="center" w:pos="4153"/>
        <w:tab w:val="right" w:pos="8306"/>
      </w:tabs>
      <w:snapToGrid w:val="0"/>
      <w:jc w:val="left"/>
    </w:pPr>
    <w:rPr>
      <w:sz w:val="18"/>
      <w:szCs w:val="18"/>
    </w:rPr>
  </w:style>
  <w:style w:type="paragraph" w:styleId="18">
    <w:name w:val="Date"/>
    <w:basedOn w:val="1"/>
    <w:next w:val="1"/>
    <w:unhideWhenUsed/>
    <w:qFormat/>
    <w:uiPriority w:val="99"/>
    <w:pPr>
      <w:ind w:left="100" w:leftChars="2500"/>
    </w:pPr>
  </w:style>
  <w:style w:type="paragraph" w:styleId="19">
    <w:name w:val="footer"/>
    <w:basedOn w:val="1"/>
    <w:unhideWhenUsed/>
    <w:qFormat/>
    <w:uiPriority w:val="0"/>
    <w:pPr>
      <w:tabs>
        <w:tab w:val="center" w:pos="4153"/>
        <w:tab w:val="right" w:pos="8306"/>
      </w:tabs>
      <w:snapToGrid w:val="0"/>
      <w:jc w:val="left"/>
    </w:pPr>
    <w:rPr>
      <w:kern w:val="0"/>
      <w:sz w:val="18"/>
      <w:szCs w:val="18"/>
    </w:rPr>
  </w:style>
  <w:style w:type="paragraph" w:styleId="20">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unhideWhenUsed/>
    <w:qFormat/>
    <w:uiPriority w:val="39"/>
  </w:style>
  <w:style w:type="paragraph" w:styleId="22">
    <w:name w:val="List"/>
    <w:basedOn w:val="1"/>
    <w:unhideWhenUsed/>
    <w:qFormat/>
    <w:uiPriority w:val="99"/>
    <w:pPr>
      <w:ind w:left="200" w:hanging="200" w:hangingChars="200"/>
      <w:contextualSpacing/>
    </w:pPr>
  </w:style>
  <w:style w:type="paragraph" w:styleId="23">
    <w:name w:val="table of figures"/>
    <w:basedOn w:val="1"/>
    <w:next w:val="1"/>
    <w:qFormat/>
    <w:uiPriority w:val="0"/>
    <w:pPr>
      <w:ind w:leftChars="200" w:hanging="200" w:hangingChars="200"/>
    </w:pPr>
    <w:rPr>
      <w:rFonts w:ascii="Times New Roman" w:hAnsi="Times New Roman" w:eastAsia="宋体" w:cs="Times New Roman"/>
    </w:rPr>
  </w:style>
  <w:style w:type="paragraph" w:styleId="24">
    <w:name w:val="toc 2"/>
    <w:basedOn w:val="1"/>
    <w:next w:val="1"/>
    <w:unhideWhenUsed/>
    <w:qFormat/>
    <w:uiPriority w:val="39"/>
    <w:pPr>
      <w:tabs>
        <w:tab w:val="right" w:leader="dot" w:pos="8296"/>
      </w:tabs>
      <w:ind w:left="420" w:leftChars="200"/>
    </w:pPr>
  </w:style>
  <w:style w:type="paragraph" w:styleId="25">
    <w:name w:val="Body Text First Indent 2"/>
    <w:basedOn w:val="13"/>
    <w:qFormat/>
    <w:uiPriority w:val="0"/>
    <w:pPr>
      <w:spacing w:before="240" w:after="120" w:line="360" w:lineRule="auto"/>
      <w:ind w:left="420" w:leftChars="200" w:firstLine="420" w:firstLineChars="200"/>
    </w:pPr>
    <w:rPr>
      <w:rFonts w:ascii="宋体" w:hAnsi="Calibri" w:eastAsia="宋体" w:cs="宋体"/>
      <w:kern w:val="2"/>
      <w:sz w:val="21"/>
      <w:szCs w:val="24"/>
    </w:rPr>
  </w:style>
  <w:style w:type="table" w:styleId="27">
    <w:name w:val="Table Grid"/>
    <w:basedOn w:val="2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styleId="29">
    <w:name w:val="Hyperlink"/>
    <w:unhideWhenUsed/>
    <w:qFormat/>
    <w:uiPriority w:val="99"/>
    <w:rPr>
      <w:color w:val="0000FF"/>
      <w:u w:val="single"/>
    </w:rPr>
  </w:style>
  <w:style w:type="paragraph" w:customStyle="1" w:styleId="30">
    <w:name w:val="正文2"/>
    <w:basedOn w:val="1"/>
    <w:qFormat/>
    <w:uiPriority w:val="0"/>
    <w:pPr>
      <w:adjustRightInd w:val="0"/>
      <w:spacing w:before="156" w:line="360" w:lineRule="auto"/>
      <w:ind w:firstLine="510" w:firstLineChars="200"/>
    </w:pPr>
    <w:rPr>
      <w:kern w:val="0"/>
      <w:sz w:val="24"/>
      <w:szCs w:val="20"/>
    </w:rPr>
  </w:style>
  <w:style w:type="paragraph" w:customStyle="1" w:styleId="31">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2">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
    <w:name w:val="10"/>
    <w:qFormat/>
    <w:uiPriority w:val="0"/>
    <w:rPr>
      <w:rFonts w:hint="default" w:ascii="Times New Roman" w:hAnsi="Times New Roman" w:cs="Times New Roman"/>
    </w:rPr>
  </w:style>
  <w:style w:type="paragraph" w:customStyle="1" w:styleId="36">
    <w:name w:val="正文_2"/>
    <w:basedOn w:val="3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正文_3"/>
    <w:basedOn w:val="1"/>
    <w:qFormat/>
    <w:uiPriority w:val="0"/>
    <w:rPr>
      <w:szCs w:val="22"/>
    </w:rPr>
  </w:style>
  <w:style w:type="paragraph" w:customStyle="1" w:styleId="38">
    <w:name w:val="表格文字115"/>
    <w:basedOn w:val="1"/>
    <w:qFormat/>
    <w:uiPriority w:val="0"/>
    <w:pPr>
      <w:spacing w:before="25" w:after="25"/>
      <w:jc w:val="left"/>
    </w:pPr>
    <w:rPr>
      <w:bCs/>
      <w:spacing w:val="10"/>
      <w:kern w:val="0"/>
      <w:sz w:val="24"/>
    </w:rPr>
  </w:style>
  <w:style w:type="paragraph" w:customStyle="1" w:styleId="39">
    <w:name w:val="Normal Indent1"/>
    <w:basedOn w:val="1"/>
    <w:qFormat/>
    <w:uiPriority w:val="0"/>
    <w:pPr>
      <w:spacing w:line="660" w:lineRule="exact"/>
      <w:ind w:firstLine="720"/>
    </w:pPr>
    <w:rPr>
      <w:rFonts w:eastAsia="Cambria Math"/>
      <w:sz w:val="36"/>
      <w:szCs w:val="36"/>
    </w:rPr>
  </w:style>
  <w:style w:type="paragraph" w:customStyle="1" w:styleId="40">
    <w:name w:val="font5"/>
    <w:basedOn w:val="1"/>
    <w:qFormat/>
    <w:uiPriority w:val="0"/>
    <w:pPr>
      <w:widowControl/>
      <w:spacing w:before="100" w:beforeAutospacing="1" w:after="100" w:afterAutospacing="1"/>
      <w:jc w:val="left"/>
    </w:pPr>
    <w:rPr>
      <w:kern w:val="0"/>
      <w:sz w:val="24"/>
      <w:szCs w:val="20"/>
    </w:rPr>
  </w:style>
  <w:style w:type="paragraph" w:customStyle="1" w:styleId="41">
    <w:name w:val="正文文本 (2)4"/>
    <w:basedOn w:val="1"/>
    <w:qFormat/>
    <w:uiPriority w:val="0"/>
    <w:pPr>
      <w:shd w:val="clear" w:color="auto" w:fill="FFFFFF"/>
      <w:spacing w:before="300" w:line="439" w:lineRule="exact"/>
      <w:jc w:val="distribute"/>
    </w:pPr>
    <w:rPr>
      <w:rFonts w:ascii="MingLiU" w:hAnsi="MingLiU" w:eastAsia="MingLiU"/>
      <w:spacing w:val="20"/>
    </w:rPr>
  </w:style>
  <w:style w:type="character" w:customStyle="1" w:styleId="42">
    <w:name w:val="正文文本 (2) + 间距 0 pt Exact1"/>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43">
    <w:name w:val="正文文本 (2) + 5.5 pt1"/>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paragraph" w:customStyle="1" w:styleId="44">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47">
    <w:name w:val="Body text|1"/>
    <w:basedOn w:val="1"/>
    <w:qFormat/>
    <w:uiPriority w:val="0"/>
    <w:pPr>
      <w:spacing w:line="360" w:lineRule="auto"/>
      <w:ind w:firstLine="400"/>
    </w:pPr>
    <w:rPr>
      <w:rFonts w:ascii="宋体" w:hAnsi="宋体" w:eastAsia="宋体" w:cs="宋体"/>
      <w:sz w:val="20"/>
      <w:szCs w:val="20"/>
      <w:lang w:val="zh-CN" w:eastAsia="zh-CN" w:bidi="zh-CN"/>
    </w:rPr>
  </w:style>
  <w:style w:type="paragraph" w:customStyle="1" w:styleId="48">
    <w:name w:val="Body text|2"/>
    <w:basedOn w:val="1"/>
    <w:qFormat/>
    <w:uiPriority w:val="0"/>
    <w:pPr>
      <w:spacing w:after="30"/>
      <w:ind w:firstLine="420"/>
    </w:pPr>
    <w:rPr>
      <w:rFonts w:ascii="Times New Roman" w:hAnsi="Times New Roman"/>
      <w:kern w:val="0"/>
      <w:sz w:val="20"/>
      <w:szCs w:val="20"/>
    </w:rPr>
  </w:style>
  <w:style w:type="paragraph" w:customStyle="1" w:styleId="49">
    <w:name w:val="Other|1"/>
    <w:basedOn w:val="1"/>
    <w:qFormat/>
    <w:uiPriority w:val="0"/>
    <w:pPr>
      <w:spacing w:line="263" w:lineRule="exact"/>
    </w:pPr>
    <w:rPr>
      <w:rFonts w:ascii="宋体" w:hAnsi="宋体" w:eastAsia="宋体" w:cs="宋体"/>
      <w:color w:val="auto"/>
      <w:kern w:val="2"/>
      <w:sz w:val="18"/>
      <w:szCs w:val="18"/>
      <w:lang w:val="zh-TW" w:eastAsia="zh-TW" w:bidi="zh-TW"/>
    </w:rPr>
  </w:style>
  <w:style w:type="character" w:customStyle="1" w:styleId="50">
    <w:name w:val="bookmark-item uuid-1595987359344 code-00004 addword single-line-text-input-box-cls"/>
    <w:qFormat/>
    <w:uiPriority w:val="0"/>
  </w:style>
  <w:style w:type="paragraph" w:customStyle="1" w:styleId="51">
    <w:name w:val="标题 3_0"/>
    <w:basedOn w:val="16"/>
    <w:next w:val="16"/>
    <w:unhideWhenUsed/>
    <w:qFormat/>
    <w:uiPriority w:val="0"/>
    <w:pPr>
      <w:keepNext/>
      <w:keepLines/>
      <w:spacing w:line="413" w:lineRule="auto"/>
      <w:outlineLvl w:val="2"/>
    </w:pPr>
    <w:rPr>
      <w:b/>
      <w:sz w:val="32"/>
    </w:rPr>
  </w:style>
  <w:style w:type="paragraph" w:customStyle="1" w:styleId="52">
    <w:name w:val="标题 4_0"/>
    <w:basedOn w:val="44"/>
    <w:next w:val="16"/>
    <w:unhideWhenUsed/>
    <w:qFormat/>
    <w:uiPriority w:val="0"/>
    <w:pPr>
      <w:keepNext/>
      <w:keepLines/>
      <w:spacing w:before="280" w:after="290" w:line="372" w:lineRule="auto"/>
      <w:outlineLvl w:val="3"/>
    </w:pPr>
    <w:rPr>
      <w:rFonts w:ascii="Arial" w:hAnsi="Arial" w:eastAsia="黑体"/>
      <w:sz w:val="28"/>
    </w:rPr>
  </w:style>
  <w:style w:type="paragraph" w:customStyle="1" w:styleId="53">
    <w:name w:val="Body text|1_1"/>
    <w:basedOn w:val="16"/>
    <w:qFormat/>
    <w:uiPriority w:val="0"/>
    <w:pPr>
      <w:spacing w:line="360" w:lineRule="auto"/>
      <w:ind w:firstLine="400"/>
    </w:pPr>
    <w:rPr>
      <w:rFonts w:ascii="宋体" w:hAnsi="宋体" w:eastAsia="宋体" w:cs="宋体"/>
      <w:color w:val="auto"/>
      <w:kern w:val="2"/>
      <w:sz w:val="20"/>
      <w:szCs w:val="20"/>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w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145</Pages>
  <Words>88159</Words>
  <Characters>94300</Characters>
  <Lines>0</Lines>
  <Paragraphs>0</Paragraphs>
  <TotalTime>1</TotalTime>
  <ScaleCrop>false</ScaleCrop>
  <LinksUpToDate>false</LinksUpToDate>
  <CharactersWithSpaces>101448</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吸香糖王力宏</cp:lastModifiedBy>
  <cp:lastPrinted>2024-07-08T09:14:00Z</cp:lastPrinted>
  <dcterms:modified xsi:type="dcterms:W3CDTF">2025-03-11T07:59:03Z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7EA12CC98704463F8B90E9C3EF0633C0_13</vt:lpwstr>
  </property>
  <property fmtid="{D5CDD505-2E9C-101B-9397-08002B2CF9AE}" pid="4" name="KSOTemplateDocerSaveRecord">
    <vt:lpwstr>eyJoZGlkIjoiNTU2ZDNkYWQzYjFmNTNmMGExNzhkN2ZhNjkxNjM0OTMiLCJ1c2VySWQiOiI0MDA0NTk1NjQifQ==</vt:lpwstr>
  </property>
</Properties>
</file>